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364"/>
        </w:tabs>
        <w:kinsoku w:val="0"/>
        <w:overflowPunct w:val="0"/>
        <w:spacing w:line="600" w:lineRule="auto"/>
        <w:jc w:val="center"/>
        <w:rPr>
          <w:rFonts w:ascii="Times New Roman" w:hAnsi="Times New Roman"/>
          <w:b/>
          <w:spacing w:val="-6"/>
          <w:sz w:val="44"/>
          <w:szCs w:val="44"/>
        </w:rPr>
      </w:pPr>
      <w:bookmarkStart w:id="0" w:name="_Toc219258485"/>
      <w:r>
        <w:rPr>
          <w:rFonts w:ascii="Times New Roman" w:hAnsi="Times New Roman"/>
          <w:b/>
          <w:spacing w:val="-6"/>
          <w:sz w:val="44"/>
          <w:szCs w:val="44"/>
        </w:rPr>
        <w:t>中国石油化工股份有限公司长岭分公司</w:t>
      </w:r>
    </w:p>
    <w:p>
      <w:pPr>
        <w:tabs>
          <w:tab w:val="left" w:pos="8364"/>
        </w:tabs>
        <w:kinsoku w:val="0"/>
        <w:overflowPunct w:val="0"/>
        <w:spacing w:line="600" w:lineRule="auto"/>
        <w:jc w:val="center"/>
        <w:rPr>
          <w:rFonts w:ascii="Times New Roman" w:hAnsi="Times New Roman"/>
          <w:b/>
          <w:spacing w:val="-6"/>
          <w:sz w:val="44"/>
          <w:szCs w:val="44"/>
        </w:rPr>
      </w:pPr>
      <w:r>
        <w:rPr>
          <w:rFonts w:ascii="Times New Roman" w:hAnsi="Times New Roman"/>
          <w:b/>
          <w:spacing w:val="-6"/>
          <w:sz w:val="44"/>
          <w:szCs w:val="44"/>
        </w:rPr>
        <w:t>1.2万吨/年油泥浮渣资源化利用项目</w:t>
      </w:r>
    </w:p>
    <w:p>
      <w:pPr>
        <w:kinsoku w:val="0"/>
        <w:overflowPunct w:val="0"/>
        <w:spacing w:line="360" w:lineRule="auto"/>
        <w:jc w:val="center"/>
        <w:rPr>
          <w:rFonts w:ascii="Times New Roman" w:hAnsi="Times New Roman"/>
          <w:b/>
          <w:sz w:val="84"/>
          <w:szCs w:val="84"/>
        </w:rPr>
      </w:pPr>
      <w:r>
        <w:rPr>
          <w:rFonts w:ascii="Times New Roman" w:hAnsi="Times New Roman"/>
          <w:b/>
          <w:sz w:val="84"/>
          <w:szCs w:val="84"/>
        </w:rPr>
        <w:t>环境影响报告书</w:t>
      </w:r>
    </w:p>
    <w:p>
      <w:pPr>
        <w:spacing w:line="360" w:lineRule="auto"/>
        <w:jc w:val="center"/>
        <w:rPr>
          <w:rFonts w:ascii="Times New Roman" w:hAnsi="Times New Roman"/>
          <w:b/>
          <w:sz w:val="48"/>
          <w:szCs w:val="52"/>
        </w:rPr>
      </w:pPr>
      <w:r>
        <w:rPr>
          <w:rFonts w:ascii="Times New Roman" w:hAnsi="Times New Roman"/>
          <w:b/>
          <w:sz w:val="48"/>
          <w:szCs w:val="52"/>
        </w:rPr>
        <w:t>（报批稿）</w:t>
      </w:r>
    </w:p>
    <w:p>
      <w:pPr>
        <w:kinsoku w:val="0"/>
        <w:overflowPunct w:val="0"/>
        <w:ind w:firstLine="1446"/>
        <w:rPr>
          <w:rFonts w:ascii="Times New Roman" w:hAnsi="Times New Roman"/>
          <w:b/>
          <w:bCs/>
          <w:sz w:val="72"/>
        </w:rPr>
      </w:pPr>
    </w:p>
    <w:p>
      <w:pPr>
        <w:kinsoku w:val="0"/>
        <w:overflowPunct w:val="0"/>
        <w:ind w:firstLine="1446"/>
        <w:rPr>
          <w:rFonts w:ascii="Times New Roman" w:hAnsi="Times New Roman"/>
          <w:b/>
          <w:bCs/>
          <w:sz w:val="72"/>
        </w:rPr>
      </w:pPr>
    </w:p>
    <w:p>
      <w:pPr>
        <w:kinsoku w:val="0"/>
        <w:overflowPunct w:val="0"/>
        <w:ind w:firstLine="1446"/>
        <w:rPr>
          <w:rFonts w:ascii="Times New Roman" w:hAnsi="Times New Roman"/>
          <w:b/>
          <w:bCs/>
          <w:sz w:val="72"/>
        </w:rPr>
      </w:pPr>
    </w:p>
    <w:p>
      <w:pPr>
        <w:kinsoku w:val="0"/>
        <w:overflowPunct w:val="0"/>
        <w:ind w:firstLine="1446"/>
        <w:rPr>
          <w:rFonts w:ascii="Times New Roman" w:hAnsi="Times New Roman"/>
          <w:b/>
          <w:bCs/>
          <w:sz w:val="72"/>
        </w:rPr>
      </w:pPr>
    </w:p>
    <w:p>
      <w:pPr>
        <w:kinsoku w:val="0"/>
        <w:overflowPunct w:val="0"/>
        <w:ind w:firstLine="1446"/>
        <w:rPr>
          <w:rFonts w:ascii="Times New Roman" w:hAnsi="Times New Roman"/>
          <w:b/>
          <w:bCs/>
          <w:sz w:val="72"/>
        </w:rPr>
      </w:pPr>
    </w:p>
    <w:p>
      <w:pPr>
        <w:kinsoku w:val="0"/>
        <w:overflowPunct w:val="0"/>
        <w:ind w:firstLine="1446"/>
        <w:rPr>
          <w:rFonts w:ascii="Times New Roman" w:hAnsi="Times New Roman"/>
          <w:b/>
          <w:bCs/>
          <w:sz w:val="72"/>
        </w:rPr>
      </w:pPr>
    </w:p>
    <w:p>
      <w:pPr>
        <w:pStyle w:val="2"/>
        <w:ind w:left="420" w:firstLine="1446"/>
        <w:rPr>
          <w:b/>
          <w:bCs/>
          <w:sz w:val="72"/>
        </w:rPr>
      </w:pPr>
    </w:p>
    <w:p>
      <w:pPr>
        <w:rPr>
          <w:rFonts w:ascii="Times New Roman" w:hAnsi="Times New Roman"/>
        </w:rPr>
      </w:pPr>
    </w:p>
    <w:p>
      <w:pPr>
        <w:kinsoku w:val="0"/>
        <w:overflowPunct w:val="0"/>
        <w:spacing w:line="360" w:lineRule="auto"/>
        <w:ind w:firstLine="1285" w:firstLineChars="400"/>
        <w:rPr>
          <w:rFonts w:ascii="Times New Roman" w:hAnsi="Times New Roman"/>
          <w:b/>
          <w:sz w:val="32"/>
          <w:szCs w:val="32"/>
        </w:rPr>
      </w:pPr>
      <w:r>
        <w:rPr>
          <w:rFonts w:ascii="Times New Roman" w:hAnsi="Times New Roman"/>
          <w:b/>
          <w:sz w:val="32"/>
          <w:szCs w:val="32"/>
        </w:rPr>
        <w:t>建设单位：中国石油化工股份有限公司长岭分公司</w:t>
      </w:r>
    </w:p>
    <w:p>
      <w:pPr>
        <w:kinsoku w:val="0"/>
        <w:overflowPunct w:val="0"/>
        <w:spacing w:line="360" w:lineRule="auto"/>
        <w:ind w:firstLine="1285" w:firstLineChars="400"/>
        <w:rPr>
          <w:rFonts w:ascii="Times New Roman" w:hAnsi="Times New Roman"/>
          <w:b/>
          <w:sz w:val="32"/>
          <w:szCs w:val="32"/>
        </w:rPr>
      </w:pPr>
      <w:r>
        <w:rPr>
          <w:rFonts w:ascii="Times New Roman" w:hAnsi="Times New Roman"/>
          <w:b/>
          <w:sz w:val="32"/>
          <w:szCs w:val="32"/>
        </w:rPr>
        <w:t>编制单位：</w:t>
      </w:r>
      <w:r>
        <w:rPr>
          <w:rFonts w:ascii="Times New Roman" w:hAnsi="Times New Roman"/>
          <w:b/>
          <w:snapToGrid w:val="0"/>
          <w:sz w:val="32"/>
          <w:szCs w:val="32"/>
        </w:rPr>
        <w:t>湖南环腾环保工程有限公司</w:t>
      </w:r>
    </w:p>
    <w:p>
      <w:pPr>
        <w:spacing w:line="360" w:lineRule="auto"/>
        <w:ind w:firstLine="3593" w:firstLineChars="1123"/>
        <w:rPr>
          <w:rFonts w:ascii="Times New Roman" w:hAnsi="Times New Roman"/>
          <w:sz w:val="30"/>
          <w:szCs w:val="30"/>
        </w:rPr>
        <w:sectPr>
          <w:footerReference r:id="rId6" w:type="first"/>
          <w:footerReference r:id="rId4" w:type="default"/>
          <w:headerReference r:id="rId3" w:type="even"/>
          <w:footerReference r:id="rId5" w:type="even"/>
          <w:pgSz w:w="11906" w:h="16838"/>
          <w:pgMar w:top="1701" w:right="1588" w:bottom="1985" w:left="1588" w:header="851" w:footer="1134" w:gutter="0"/>
          <w:pgNumType w:start="1"/>
          <w:cols w:space="720" w:num="1"/>
          <w:titlePg/>
          <w:docGrid w:type="lines" w:linePitch="312" w:charSpace="0"/>
        </w:sectPr>
      </w:pPr>
      <w:r>
        <w:rPr>
          <w:rFonts w:ascii="Times New Roman" w:hAnsi="Times New Roman"/>
          <w:sz w:val="32"/>
          <w:szCs w:val="32"/>
        </w:rPr>
        <w:t>2020年7月</w:t>
      </w:r>
    </w:p>
    <w:p>
      <w:pPr>
        <w:jc w:val="center"/>
        <w:rPr>
          <w:rFonts w:ascii="Times New Roman" w:hAnsi="Times New Roman"/>
          <w:b/>
          <w:sz w:val="36"/>
          <w:szCs w:val="36"/>
        </w:rPr>
      </w:pPr>
      <w:bookmarkStart w:id="1" w:name="_Hlk23672429"/>
      <w:r>
        <w:rPr>
          <w:rFonts w:ascii="Times New Roman" w:hAnsi="Times New Roman"/>
          <w:b/>
          <w:sz w:val="36"/>
          <w:szCs w:val="36"/>
        </w:rPr>
        <w:t>建设项目环境影响评价报告书修改说明</w:t>
      </w:r>
    </w:p>
    <w:p>
      <w:pPr>
        <w:jc w:val="center"/>
        <w:rPr>
          <w:rFonts w:ascii="Times New Roman" w:hAnsi="Times New Roman"/>
          <w:sz w:val="44"/>
          <w:szCs w:val="44"/>
        </w:rPr>
      </w:pPr>
    </w:p>
    <w:p>
      <w:pPr>
        <w:spacing w:line="360" w:lineRule="auto"/>
        <w:ind w:firstLine="480" w:firstLineChars="200"/>
        <w:rPr>
          <w:rFonts w:ascii="Times New Roman" w:hAnsi="Times New Roman"/>
          <w:sz w:val="24"/>
          <w:shd w:val="clear" w:color="auto" w:fill="FFFFFF"/>
        </w:rPr>
      </w:pPr>
      <w:r>
        <w:rPr>
          <w:rFonts w:ascii="Times New Roman" w:hAnsi="Times New Roman"/>
          <w:sz w:val="24"/>
          <w:shd w:val="clear" w:color="auto" w:fill="FFFFFF"/>
        </w:rPr>
        <w:t>2020年5月27日，岳阳市生态环境局在岳阳市主持召开了《中国石油化工股份有限公司长岭分公司1.2万吨/年油泥浮渣资源化利用项目环境影响报告书》技术评审会。根据专家评审意见，主要修改内容如下：</w:t>
      </w:r>
    </w:p>
    <w:bookmarkEnd w:id="1"/>
    <w:tbl>
      <w:tblPr>
        <w:tblStyle w:val="46"/>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797"/>
        <w:gridCol w:w="4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b/>
                <w:bCs/>
                <w:szCs w:val="21"/>
              </w:rPr>
            </w:pPr>
            <w:r>
              <w:rPr>
                <w:rFonts w:hint="eastAsia" w:asciiTheme="minorEastAsia" w:hAnsiTheme="minorEastAsia" w:cstheme="minorEastAsia"/>
                <w:b/>
                <w:bCs/>
                <w:szCs w:val="21"/>
              </w:rPr>
              <w:t>序号</w:t>
            </w:r>
          </w:p>
        </w:tc>
        <w:tc>
          <w:tcPr>
            <w:tcW w:w="3797" w:type="dxa"/>
          </w:tcPr>
          <w:p>
            <w:pPr>
              <w:rPr>
                <w:rFonts w:asciiTheme="minorEastAsia" w:hAnsiTheme="minorEastAsia" w:cstheme="minorEastAsia"/>
                <w:b/>
                <w:bCs/>
                <w:szCs w:val="21"/>
              </w:rPr>
            </w:pPr>
            <w:r>
              <w:rPr>
                <w:rFonts w:hint="eastAsia" w:asciiTheme="minorEastAsia" w:hAnsiTheme="minorEastAsia" w:cstheme="minorEastAsia"/>
                <w:b/>
                <w:bCs/>
                <w:szCs w:val="21"/>
              </w:rPr>
              <w:t>专家意见</w:t>
            </w:r>
          </w:p>
        </w:tc>
        <w:tc>
          <w:tcPr>
            <w:tcW w:w="4141" w:type="dxa"/>
          </w:tcPr>
          <w:p>
            <w:pPr>
              <w:rPr>
                <w:rFonts w:asciiTheme="minorEastAsia" w:hAnsiTheme="minorEastAsia" w:cstheme="minorEastAsia"/>
                <w:b/>
                <w:bCs/>
                <w:szCs w:val="21"/>
              </w:rPr>
            </w:pPr>
            <w:r>
              <w:rPr>
                <w:rFonts w:hint="eastAsia" w:asciiTheme="minorEastAsia" w:hAnsiTheme="minorEastAsia" w:cstheme="minorEastAsia"/>
                <w:b/>
                <w:bCs/>
                <w:szCs w:val="21"/>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1</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完善项目由来，明确原油泥浮渣利用方式及存在的问题；完善油泥浮渣来源、数量及危险废物代码；明确本项目所用油泥浮渣仅限于中石化长岭分公司自产，不得接受其他企业的油泥浮渣。</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已完善项目由来，明确油泥浮渣利用方式及存在的问题P2；完善油泥浮渣来源、数量及危险废物代码P2；明确本项目所用油泥浮渣仅限于中石化长岭分公司自产，不得接受其他企业的油泥浮渣P2。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2</w:t>
            </w:r>
          </w:p>
        </w:tc>
        <w:tc>
          <w:tcPr>
            <w:tcW w:w="3797" w:type="dxa"/>
          </w:tcPr>
          <w:p>
            <w:r>
              <w:rPr>
                <w:rFonts w:hint="eastAsia"/>
              </w:rPr>
              <w:t>核实油泥、浮渣成分，特别是氯、硫、镍等含量；结合</w:t>
            </w:r>
            <w:r>
              <w:t>CFB锅炉运行调度情况</w:t>
            </w:r>
            <w:r>
              <w:rPr>
                <w:rFonts w:hint="eastAsia"/>
              </w:rPr>
              <w:t>，明确本项目油泥浮渣掺烧方式和掺烧比例，分析项目实施对CFB锅炉的影响；结合原料投加量及热值，明确项目实施前后燃料变化情况。</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已核实</w:t>
            </w:r>
            <w:r>
              <w:rPr>
                <w:rFonts w:hint="eastAsia"/>
              </w:rPr>
              <w:t>核实油泥、浮渣成分，特别是氯、硫、镍等含量P39；结合</w:t>
            </w:r>
            <w:r>
              <w:t>CFB锅炉运行调度情况</w:t>
            </w:r>
            <w:r>
              <w:rPr>
                <w:rFonts w:hint="eastAsia"/>
              </w:rPr>
              <w:t>，明确本项目油泥浮渣掺烧方式和掺烧比例，分析项目实施对CFB锅炉的影响P38；结合原料投加量及热值，明确项目实施前后燃料变化情况P38、P51。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3</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强化项目依托CFB锅炉、原料罐等相关设施的可行性，核实项目实施前CFB锅炉大气污染排放量。</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已强化项目依托CFB锅炉、原料罐等相关设施的可行性P29-33、P36，已核实项目实施前CFB锅炉大气污染排放量P33-34。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4</w:t>
            </w:r>
          </w:p>
        </w:tc>
        <w:tc>
          <w:tcPr>
            <w:tcW w:w="3797" w:type="dxa"/>
          </w:tcPr>
          <w:p>
            <w:pPr>
              <w:rPr>
                <w:rFonts w:asciiTheme="minorEastAsia" w:hAnsiTheme="minorEastAsia" w:cstheme="minorEastAsia"/>
                <w:szCs w:val="21"/>
              </w:rPr>
            </w:pPr>
            <w:r>
              <w:rPr>
                <w:rFonts w:asciiTheme="minorEastAsia" w:hAnsiTheme="minorEastAsia" w:cstheme="minorEastAsia"/>
                <w:szCs w:val="21"/>
              </w:rPr>
              <w:t>完善地下水</w:t>
            </w:r>
            <w:r>
              <w:rPr>
                <w:rFonts w:hint="eastAsia" w:asciiTheme="minorEastAsia" w:hAnsiTheme="minorEastAsia" w:cstheme="minorEastAsia"/>
                <w:szCs w:val="21"/>
              </w:rPr>
              <w:t>、</w:t>
            </w:r>
            <w:r>
              <w:rPr>
                <w:rFonts w:asciiTheme="minorEastAsia" w:hAnsiTheme="minorEastAsia" w:cstheme="minorEastAsia"/>
                <w:szCs w:val="21"/>
              </w:rPr>
              <w:t>土壤</w:t>
            </w:r>
            <w:r>
              <w:rPr>
                <w:rFonts w:hint="eastAsia" w:asciiTheme="minorEastAsia" w:hAnsiTheme="minorEastAsia" w:cstheme="minorEastAsia"/>
                <w:szCs w:val="21"/>
              </w:rPr>
              <w:t>、</w:t>
            </w:r>
            <w:r>
              <w:rPr>
                <w:rFonts w:asciiTheme="minorEastAsia" w:hAnsiTheme="minorEastAsia" w:cstheme="minorEastAsia"/>
                <w:szCs w:val="21"/>
              </w:rPr>
              <w:t>环境空气中镍等特征因子环境质量现状评价</w:t>
            </w:r>
            <w:r>
              <w:rPr>
                <w:rFonts w:hint="eastAsia" w:asciiTheme="minorEastAsia" w:hAnsiTheme="minorEastAsia" w:cstheme="minorEastAsia"/>
                <w:szCs w:val="21"/>
              </w:rPr>
              <w:t>。</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w:t>
            </w:r>
            <w:r>
              <w:rPr>
                <w:rFonts w:asciiTheme="minorEastAsia" w:hAnsiTheme="minorEastAsia" w:cstheme="minorEastAsia"/>
                <w:szCs w:val="21"/>
              </w:rPr>
              <w:t>完善地下水</w:t>
            </w:r>
            <w:r>
              <w:rPr>
                <w:rFonts w:hint="eastAsia" w:asciiTheme="minorEastAsia" w:hAnsiTheme="minorEastAsia" w:cstheme="minorEastAsia"/>
                <w:szCs w:val="21"/>
              </w:rPr>
              <w:t>、</w:t>
            </w:r>
            <w:r>
              <w:rPr>
                <w:rFonts w:asciiTheme="minorEastAsia" w:hAnsiTheme="minorEastAsia" w:cstheme="minorEastAsia"/>
                <w:szCs w:val="21"/>
              </w:rPr>
              <w:t>土壤</w:t>
            </w:r>
            <w:r>
              <w:rPr>
                <w:rFonts w:hint="eastAsia" w:asciiTheme="minorEastAsia" w:hAnsiTheme="minorEastAsia" w:cstheme="minorEastAsia"/>
                <w:szCs w:val="21"/>
              </w:rPr>
              <w:t>、</w:t>
            </w:r>
            <w:r>
              <w:rPr>
                <w:rFonts w:asciiTheme="minorEastAsia" w:hAnsiTheme="minorEastAsia" w:cstheme="minorEastAsia"/>
                <w:szCs w:val="21"/>
              </w:rPr>
              <w:t>环境空气中镍等特征因子环境质量现状评价</w:t>
            </w:r>
            <w:r>
              <w:rPr>
                <w:rFonts w:hint="eastAsia" w:asciiTheme="minorEastAsia" w:hAnsiTheme="minorEastAsia" w:cstheme="minorEastAsia"/>
                <w:szCs w:val="21"/>
              </w:rPr>
              <w:t>P59-61、P62-65、P57。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5</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结合项目实施后废气污染源排放情况及排放参数，校核项目大气评价等级；校核项目环境风险物质及环境风险评级等级。</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结合项目实施后废气污染源排放情况及排放参数，已校核项目大气评价等级P19-23；已校核项目环境风险物质及环境风险评级等级P26。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6</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根据核实的大气、风险等各要素评价范围，进一步完善项目环境保护目标。</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已根据核实的大气、风险等各要素评价范围，进一步完善项目环境保护目标P26-28。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7</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根据项目利用对象属于危险废物，按相关规范要求，细化油泥浮渣收集、转运、贮存、利用过程的工艺及产污节点说明，强化上述过程中的污染控制措施。</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已根据项目利用对象属于危险废物，按相关规范要求，细化油泥浮渣收集、转运、贮存、利用过程的工艺及产污节点说明，强化上述过程中的污染控制措施P41-47。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8</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结合监测期间CFB锅炉运行负荷和油泥浮渣掺烧比及设计的最大掺烧比，校核项目实施后废气污染源强；补充项目实施后镍等污染物排放量，校核大气环境影响预测结果。</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结合监测期间CFB锅炉运行负荷和油泥浮渣掺烧比及设计的最大掺烧比，校核项目实施后废气污染源强p47-48；补充项目实施后镍等污染物排放量P10</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rPr>
              <w:t>，校核大气环境影响预测结果p8</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-10</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9</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完善镍等大气沉降对土壤环境的影响分析；根据掺烧比例，核实炉灰、炉渣属性。核实项目实施前后主要污染物变化情况。</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已完善镍等大气沉降对土壤环境的影响分析P11</w:t>
            </w:r>
            <w:r>
              <w:rPr>
                <w:rFonts w:hint="eastAsia" w:asciiTheme="minorEastAsia" w:hAnsiTheme="minorEastAsia" w:cstheme="minorEastAsia"/>
                <w:szCs w:val="21"/>
                <w:lang w:val="en-US" w:eastAsia="zh-CN"/>
              </w:rPr>
              <w:t>3</w:t>
            </w:r>
            <w:bookmarkStart w:id="643" w:name="_GoBack"/>
            <w:bookmarkEnd w:id="643"/>
            <w:r>
              <w:rPr>
                <w:rFonts w:hint="eastAsia" w:asciiTheme="minorEastAsia" w:hAnsiTheme="minorEastAsia" w:cstheme="minorEastAsia"/>
                <w:szCs w:val="21"/>
              </w:rPr>
              <w:t>；已根据掺烧比例，核实炉灰、炉渣属性p49。核实项目实施前后主要污染物变化情况p51-52。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10</w:t>
            </w:r>
          </w:p>
        </w:tc>
        <w:tc>
          <w:tcPr>
            <w:tcW w:w="3797" w:type="dxa"/>
          </w:tcPr>
          <w:p>
            <w:pPr>
              <w:rPr>
                <w:rFonts w:asciiTheme="minorEastAsia" w:hAnsiTheme="minorEastAsia" w:cstheme="minorEastAsia"/>
                <w:szCs w:val="21"/>
              </w:rPr>
            </w:pPr>
            <w:r>
              <w:rPr>
                <w:rFonts w:hint="eastAsia" w:asciiTheme="minorEastAsia" w:hAnsiTheme="minorEastAsia" w:cstheme="minorEastAsia"/>
                <w:szCs w:val="21"/>
              </w:rPr>
              <w:t>补充项目环保目标图、评价范围图等图件。</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已补充项目环保目标图、评价范围图等图件。见附图。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42" w:type="dxa"/>
            <w:gridSpan w:val="3"/>
          </w:tcPr>
          <w:p>
            <w:r>
              <w:rPr>
                <w:rFonts w:hint="eastAsia"/>
              </w:rPr>
              <w:t>专家复核意见：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01" w:type="dxa"/>
            <w:gridSpan w:val="2"/>
          </w:tcPr>
          <w:p>
            <w:pPr>
              <w:rPr>
                <w:rFonts w:asciiTheme="minorEastAsia" w:hAnsiTheme="minorEastAsia" w:cstheme="minorEastAsia"/>
                <w:szCs w:val="21"/>
              </w:rPr>
            </w:pPr>
            <w:r>
              <w:rPr>
                <w:rFonts w:hint="eastAsia" w:asciiTheme="minorEastAsia" w:hAnsiTheme="minorEastAsia" w:cstheme="minorEastAsia"/>
                <w:szCs w:val="21"/>
              </w:rPr>
              <w:t>签名</w:t>
            </w:r>
          </w:p>
        </w:tc>
        <w:tc>
          <w:tcPr>
            <w:tcW w:w="4141" w:type="dxa"/>
          </w:tcPr>
          <w:p>
            <w:pPr>
              <w:rPr>
                <w:rFonts w:asciiTheme="minorEastAsia" w:hAnsiTheme="minorEastAsia" w:cstheme="minorEastAsia"/>
                <w:szCs w:val="21"/>
              </w:rPr>
            </w:pPr>
            <w:r>
              <w:rPr>
                <w:rFonts w:hint="eastAsia" w:asciiTheme="minorEastAsia" w:hAnsiTheme="minorEastAsia" w:cstheme="minorEastAsia"/>
                <w:szCs w:val="21"/>
              </w:rPr>
              <w:t>日期</w:t>
            </w:r>
          </w:p>
        </w:tc>
      </w:tr>
    </w:tbl>
    <w:p>
      <w:pPr>
        <w:spacing w:line="360" w:lineRule="exact"/>
        <w:rPr>
          <w:rFonts w:ascii="Times New Roman" w:hAnsi="Times New Roman"/>
          <w:sz w:val="36"/>
          <w:szCs w:val="36"/>
        </w:rPr>
      </w:pPr>
    </w:p>
    <w:p>
      <w:pPr>
        <w:spacing w:line="360" w:lineRule="exact"/>
        <w:jc w:val="center"/>
        <w:rPr>
          <w:rFonts w:ascii="Times New Roman" w:hAnsi="Times New Roman"/>
          <w:b/>
          <w:caps/>
          <w:sz w:val="36"/>
          <w:szCs w:val="36"/>
        </w:rPr>
      </w:pPr>
      <w:r>
        <w:rPr>
          <w:rFonts w:ascii="Times New Roman" w:hAnsi="Times New Roman"/>
          <w:sz w:val="36"/>
          <w:szCs w:val="36"/>
        </w:rPr>
        <w:t>目    录</w:t>
      </w:r>
    </w:p>
    <w:p>
      <w:pPr>
        <w:pStyle w:val="34"/>
        <w:tabs>
          <w:tab w:val="right" w:leader="dot" w:pos="8902"/>
        </w:tabs>
        <w:rPr>
          <w:b w:val="0"/>
          <w:caps w:val="0"/>
          <w:sz w:val="24"/>
          <w:szCs w:val="24"/>
        </w:rPr>
      </w:pPr>
      <w:r>
        <w:rPr>
          <w:b w:val="0"/>
          <w:caps w:val="0"/>
          <w:sz w:val="24"/>
          <w:szCs w:val="24"/>
        </w:rPr>
        <w:fldChar w:fldCharType="begin"/>
      </w:r>
      <w:r>
        <w:rPr>
          <w:b w:val="0"/>
          <w:caps w:val="0"/>
          <w:sz w:val="24"/>
          <w:szCs w:val="24"/>
        </w:rPr>
        <w:instrText xml:space="preserve">TOC \o "1-3" \h \u </w:instrText>
      </w:r>
      <w:r>
        <w:rPr>
          <w:b w:val="0"/>
          <w:caps w:val="0"/>
          <w:sz w:val="24"/>
          <w:szCs w:val="24"/>
        </w:rPr>
        <w:fldChar w:fldCharType="separate"/>
      </w:r>
      <w:r>
        <w:rPr>
          <w:sz w:val="24"/>
          <w:szCs w:val="24"/>
        </w:rPr>
        <w:fldChar w:fldCharType="begin"/>
      </w:r>
      <w:r>
        <w:rPr>
          <w:sz w:val="24"/>
          <w:szCs w:val="24"/>
        </w:rPr>
        <w:instrText xml:space="preserve"> HYPERLINK \l "_Toc23799" </w:instrText>
      </w:r>
      <w:r>
        <w:rPr>
          <w:sz w:val="24"/>
          <w:szCs w:val="24"/>
        </w:rPr>
        <w:fldChar w:fldCharType="separate"/>
      </w:r>
      <w:r>
        <w:rPr>
          <w:b w:val="0"/>
          <w:caps w:val="0"/>
          <w:sz w:val="24"/>
          <w:szCs w:val="24"/>
        </w:rPr>
        <w:t>概　述</w:t>
      </w:r>
      <w:r>
        <w:rPr>
          <w:b w:val="0"/>
          <w:caps w:val="0"/>
          <w:sz w:val="24"/>
          <w:szCs w:val="24"/>
        </w:rPr>
        <w:tab/>
      </w:r>
      <w:r>
        <w:rPr>
          <w:b w:val="0"/>
          <w:caps w:val="0"/>
          <w:sz w:val="24"/>
          <w:szCs w:val="24"/>
        </w:rPr>
        <w:fldChar w:fldCharType="begin"/>
      </w:r>
      <w:r>
        <w:rPr>
          <w:b w:val="0"/>
          <w:caps w:val="0"/>
          <w:sz w:val="24"/>
          <w:szCs w:val="24"/>
        </w:rPr>
        <w:instrText xml:space="preserve"> PAGEREF _Toc23799 </w:instrText>
      </w:r>
      <w:r>
        <w:rPr>
          <w:b w:val="0"/>
          <w:caps w:val="0"/>
          <w:sz w:val="24"/>
          <w:szCs w:val="24"/>
        </w:rPr>
        <w:fldChar w:fldCharType="separate"/>
      </w:r>
      <w:r>
        <w:rPr>
          <w:b w:val="0"/>
          <w:caps w:val="0"/>
          <w:sz w:val="24"/>
          <w:szCs w:val="24"/>
        </w:rPr>
        <w:t>1</w:t>
      </w:r>
      <w:r>
        <w:rPr>
          <w:b w:val="0"/>
          <w:caps w:val="0"/>
          <w:sz w:val="24"/>
          <w:szCs w:val="24"/>
        </w:rPr>
        <w:fldChar w:fldCharType="end"/>
      </w:r>
      <w:r>
        <w:rPr>
          <w:b w:val="0"/>
          <w:caps w:val="0"/>
          <w:sz w:val="24"/>
          <w:szCs w:val="24"/>
        </w:rPr>
        <w:fldChar w:fldCharType="end"/>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"_Toc2651" </w:instrText>
      </w:r>
      <w:r>
        <w:rPr>
          <w:sz w:val="24"/>
          <w:szCs w:val="24"/>
        </w:rPr>
        <w:fldChar w:fldCharType="separate"/>
      </w:r>
      <w:r>
        <w:rPr>
          <w:b w:val="0"/>
          <w:caps w:val="0"/>
          <w:sz w:val="24"/>
          <w:szCs w:val="24"/>
        </w:rPr>
        <w:t>1. 总则</w:t>
      </w:r>
      <w:r>
        <w:rPr>
          <w:b w:val="0"/>
          <w:caps w:val="0"/>
          <w:sz w:val="24"/>
          <w:szCs w:val="24"/>
        </w:rPr>
        <w:tab/>
      </w:r>
      <w:r>
        <w:rPr>
          <w:rFonts w:hint="eastAsia"/>
          <w:b w:val="0"/>
          <w:caps w:val="0"/>
          <w:sz w:val="24"/>
          <w:szCs w:val="24"/>
        </w:rPr>
        <w:t>8</w:t>
      </w:r>
      <w:r>
        <w:rPr>
          <w:rFonts w:hint="eastAsia"/>
          <w:b w:val="0"/>
          <w:caps w:val="0"/>
          <w:sz w:val="24"/>
          <w:szCs w:val="24"/>
        </w:rPr>
        <w:fldChar w:fldCharType="end"/>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"_Toc21817" </w:instrText>
      </w:r>
      <w:r>
        <w:rPr>
          <w:sz w:val="24"/>
          <w:szCs w:val="24"/>
        </w:rPr>
        <w:fldChar w:fldCharType="separate"/>
      </w:r>
      <w:r>
        <w:rPr>
          <w:smallCaps w:val="0"/>
          <w:sz w:val="24"/>
          <w:szCs w:val="24"/>
        </w:rPr>
        <w:t>1.1. 编制依据</w:t>
      </w:r>
      <w:r>
        <w:rPr>
          <w:smallCaps w:val="0"/>
          <w:sz w:val="24"/>
          <w:szCs w:val="24"/>
        </w:rPr>
        <w:tab/>
      </w:r>
      <w:r>
        <w:rPr>
          <w:rFonts w:hint="eastAsia"/>
          <w:smallCaps w:val="0"/>
          <w:sz w:val="24"/>
          <w:szCs w:val="24"/>
        </w:rPr>
        <w:t>8</w:t>
      </w:r>
      <w:r>
        <w:rPr>
          <w:rFonts w:hint="eastAsia"/>
          <w:smallCaps w:val="0"/>
          <w:sz w:val="24"/>
          <w:szCs w:val="24"/>
        </w:rPr>
        <w:fldChar w:fldCharType="end"/>
      </w:r>
    </w:p>
    <w:p>
      <w:pPr>
        <w:pStyle w:val="39"/>
        <w:tabs>
          <w:tab w:val="right" w:leader="dot" w:pos="8902"/>
        </w:tabs>
        <w:rPr>
          <w:sz w:val="24"/>
          <w:szCs w:val="24"/>
        </w:rPr>
      </w:pPr>
      <w:r>
        <w:rPr>
          <w:sz w:val="24"/>
          <w:szCs w:val="24"/>
        </w:rPr>
        <w:fldChar w:fldCharType="begin"/>
      </w:r>
      <w:r>
        <w:rPr>
          <w:sz w:val="24"/>
          <w:szCs w:val="24"/>
        </w:rPr>
        <w:instrText xml:space="preserve"> HYPERLINK \l "_Toc4548" </w:instrText>
      </w:r>
      <w:r>
        <w:rPr>
          <w:sz w:val="24"/>
          <w:szCs w:val="24"/>
        </w:rPr>
        <w:fldChar w:fldCharType="separate"/>
      </w:r>
      <w:r>
        <w:rPr>
          <w:smallCaps w:val="0"/>
          <w:sz w:val="24"/>
          <w:szCs w:val="24"/>
        </w:rPr>
        <w:t>1.2. 相关规划及环境功能区划</w:t>
      </w:r>
      <w:r>
        <w:rPr>
          <w:smallCaps w:val="0"/>
          <w:sz w:val="24"/>
          <w:szCs w:val="24"/>
        </w:rPr>
        <w:tab/>
      </w:r>
      <w:r>
        <w:rPr>
          <w:smallCaps w:val="0"/>
          <w:sz w:val="24"/>
          <w:szCs w:val="24"/>
        </w:rPr>
        <w:t>1</w:t>
      </w:r>
      <w:r>
        <w:rPr>
          <w:smallCaps w:val="0"/>
          <w:sz w:val="24"/>
          <w:szCs w:val="24"/>
        </w:rPr>
        <w:fldChar w:fldCharType="end"/>
      </w:r>
      <w:r>
        <w:rPr>
          <w:rFonts w:hint="eastAsia"/>
          <w:smallCaps w:val="0"/>
          <w:sz w:val="24"/>
          <w:szCs w:val="24"/>
        </w:rPr>
        <w:t>1</w:t>
      </w:r>
    </w:p>
    <w:p>
      <w:pPr>
        <w:pStyle w:val="39"/>
        <w:tabs>
          <w:tab w:val="right" w:leader="dot" w:pos="8902"/>
        </w:tabs>
        <w:rPr>
          <w:sz w:val="24"/>
          <w:szCs w:val="24"/>
        </w:rPr>
      </w:pPr>
      <w:r>
        <w:rPr>
          <w:sz w:val="24"/>
          <w:szCs w:val="24"/>
        </w:rPr>
        <w:fldChar w:fldCharType="begin"/>
      </w:r>
      <w:r>
        <w:rPr>
          <w:sz w:val="24"/>
          <w:szCs w:val="24"/>
        </w:rPr>
        <w:instrText xml:space="preserve"> HYPERLINK \l "_Toc29256" </w:instrText>
      </w:r>
      <w:r>
        <w:rPr>
          <w:sz w:val="24"/>
          <w:szCs w:val="24"/>
        </w:rPr>
        <w:fldChar w:fldCharType="separate"/>
      </w:r>
      <w:r>
        <w:rPr>
          <w:smallCaps w:val="0"/>
          <w:sz w:val="24"/>
          <w:szCs w:val="24"/>
        </w:rPr>
        <w:t>1.3. 评价因子识别与筛选</w:t>
      </w:r>
      <w:r>
        <w:rPr>
          <w:smallCaps w:val="0"/>
          <w:sz w:val="24"/>
          <w:szCs w:val="24"/>
        </w:rPr>
        <w:tab/>
      </w:r>
      <w:r>
        <w:rPr>
          <w:smallCaps w:val="0"/>
          <w:sz w:val="24"/>
          <w:szCs w:val="24"/>
        </w:rPr>
        <w:t>1</w:t>
      </w:r>
      <w:r>
        <w:rPr>
          <w:smallCaps w:val="0"/>
          <w:sz w:val="24"/>
          <w:szCs w:val="24"/>
        </w:rPr>
        <w:fldChar w:fldCharType="end"/>
      </w:r>
      <w:r>
        <w:rPr>
          <w:rFonts w:hint="eastAsia"/>
          <w:smallCaps w:val="0"/>
          <w:sz w:val="24"/>
          <w:szCs w:val="24"/>
        </w:rPr>
        <w:t>2</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"_Toc7136" </w:instrText>
      </w:r>
      <w:r>
        <w:rPr>
          <w:sz w:val="24"/>
          <w:szCs w:val="24"/>
        </w:rPr>
        <w:fldChar w:fldCharType="separate"/>
      </w:r>
      <w:r>
        <w:rPr>
          <w:smallCaps w:val="0"/>
          <w:sz w:val="24"/>
          <w:szCs w:val="24"/>
        </w:rPr>
        <w:t>1.4. 评价标准</w:t>
      </w:r>
      <w:r>
        <w:rPr>
          <w:smallCaps w:val="0"/>
          <w:sz w:val="24"/>
          <w:szCs w:val="24"/>
        </w:rPr>
        <w:tab/>
      </w:r>
      <w:r>
        <w:rPr>
          <w:smallCaps w:val="0"/>
          <w:sz w:val="24"/>
          <w:szCs w:val="24"/>
        </w:rPr>
        <w:t>1</w:t>
      </w:r>
      <w:r>
        <w:rPr>
          <w:smallCaps w:val="0"/>
          <w:sz w:val="24"/>
          <w:szCs w:val="24"/>
        </w:rPr>
        <w:fldChar w:fldCharType="end"/>
      </w:r>
      <w:r>
        <w:rPr>
          <w:rFonts w:hint="eastAsia"/>
          <w:smallCaps w:val="0"/>
          <w:sz w:val="24"/>
          <w:szCs w:val="24"/>
        </w:rPr>
        <w:t>4</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"_Toc23724" </w:instrText>
      </w:r>
      <w:r>
        <w:rPr>
          <w:sz w:val="24"/>
          <w:szCs w:val="24"/>
        </w:rPr>
        <w:fldChar w:fldCharType="separate"/>
      </w:r>
      <w:r>
        <w:rPr>
          <w:smallCaps w:val="0"/>
          <w:sz w:val="24"/>
          <w:szCs w:val="24"/>
        </w:rPr>
        <w:t>1.5. 评价工作等级及评价范围</w:t>
      </w:r>
      <w:r>
        <w:rPr>
          <w:smallCaps w:val="0"/>
          <w:sz w:val="24"/>
          <w:szCs w:val="24"/>
        </w:rPr>
        <w:tab/>
      </w:r>
      <w:r>
        <w:rPr>
          <w:smallCaps w:val="0"/>
          <w:sz w:val="24"/>
          <w:szCs w:val="24"/>
        </w:rPr>
        <w:t>1</w:t>
      </w:r>
      <w:r>
        <w:rPr>
          <w:smallCaps w:val="0"/>
          <w:sz w:val="24"/>
          <w:szCs w:val="24"/>
        </w:rPr>
        <w:fldChar w:fldCharType="end"/>
      </w:r>
      <w:r>
        <w:rPr>
          <w:rFonts w:hint="eastAsia"/>
          <w:smallCaps w:val="0"/>
          <w:sz w:val="24"/>
          <w:szCs w:val="24"/>
        </w:rPr>
        <w:t>9</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"_Toc18661" </w:instrText>
      </w:r>
      <w:r>
        <w:rPr>
          <w:sz w:val="24"/>
          <w:szCs w:val="24"/>
        </w:rPr>
        <w:fldChar w:fldCharType="separate"/>
      </w:r>
      <w:r>
        <w:rPr>
          <w:smallCaps w:val="0"/>
          <w:sz w:val="24"/>
          <w:szCs w:val="24"/>
        </w:rPr>
        <w:t>1.6. 环境保护目标</w:t>
      </w:r>
      <w:r>
        <w:rPr>
          <w:smallCaps w:val="0"/>
          <w:sz w:val="24"/>
          <w:szCs w:val="24"/>
        </w:rPr>
        <w:tab/>
      </w:r>
      <w:r>
        <w:rPr>
          <w:smallCaps w:val="0"/>
          <w:sz w:val="24"/>
          <w:szCs w:val="24"/>
        </w:rPr>
        <w:t>2</w:t>
      </w:r>
      <w:r>
        <w:rPr>
          <w:smallCaps w:val="0"/>
          <w:sz w:val="24"/>
          <w:szCs w:val="24"/>
        </w:rPr>
        <w:fldChar w:fldCharType="end"/>
      </w:r>
      <w:r>
        <w:rPr>
          <w:rFonts w:hint="eastAsia"/>
          <w:smallCaps w:val="0"/>
          <w:sz w:val="24"/>
          <w:szCs w:val="24"/>
        </w:rPr>
        <w:t>6</w:t>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"_Toc4760" </w:instrText>
      </w:r>
      <w:r>
        <w:rPr>
          <w:sz w:val="24"/>
          <w:szCs w:val="24"/>
        </w:rPr>
        <w:fldChar w:fldCharType="separate"/>
      </w:r>
      <w:r>
        <w:rPr>
          <w:b w:val="0"/>
          <w:caps w:val="0"/>
          <w:sz w:val="24"/>
          <w:szCs w:val="24"/>
        </w:rPr>
        <w:t>2.依托工程分析</w:t>
      </w:r>
      <w:r>
        <w:rPr>
          <w:b w:val="0"/>
          <w:caps w:val="0"/>
          <w:sz w:val="24"/>
          <w:szCs w:val="24"/>
        </w:rPr>
        <w:tab/>
      </w:r>
      <w:r>
        <w:rPr>
          <w:b w:val="0"/>
          <w:caps w:val="0"/>
          <w:sz w:val="24"/>
          <w:szCs w:val="24"/>
        </w:rPr>
        <w:t>2</w:t>
      </w:r>
      <w:r>
        <w:rPr>
          <w:b w:val="0"/>
          <w:caps w:val="0"/>
          <w:sz w:val="24"/>
          <w:szCs w:val="24"/>
        </w:rPr>
        <w:fldChar w:fldCharType="end"/>
      </w:r>
      <w:r>
        <w:rPr>
          <w:rFonts w:hint="eastAsia"/>
          <w:b w:val="0"/>
          <w:caps w:val="0"/>
          <w:sz w:val="24"/>
          <w:szCs w:val="24"/>
        </w:rPr>
        <w:t>9</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"_Toc28154" </w:instrText>
      </w:r>
      <w:r>
        <w:rPr>
          <w:sz w:val="24"/>
          <w:szCs w:val="24"/>
        </w:rPr>
        <w:fldChar w:fldCharType="separate"/>
      </w:r>
      <w:r>
        <w:rPr>
          <w:smallCaps w:val="0"/>
          <w:sz w:val="24"/>
          <w:szCs w:val="24"/>
        </w:rPr>
        <w:t>2.1. 2.1项目依托装置情况：</w:t>
      </w:r>
      <w:r>
        <w:rPr>
          <w:smallCaps w:val="0"/>
          <w:sz w:val="24"/>
          <w:szCs w:val="24"/>
        </w:rPr>
        <w:tab/>
      </w:r>
      <w:r>
        <w:rPr>
          <w:smallCaps w:val="0"/>
          <w:sz w:val="24"/>
          <w:szCs w:val="24"/>
        </w:rPr>
        <w:t>2</w:t>
      </w:r>
      <w:r>
        <w:rPr>
          <w:smallCaps w:val="0"/>
          <w:sz w:val="24"/>
          <w:szCs w:val="24"/>
        </w:rPr>
        <w:fldChar w:fldCharType="end"/>
      </w:r>
      <w:r>
        <w:rPr>
          <w:rFonts w:hint="eastAsia"/>
          <w:smallCaps w:val="0"/>
          <w:sz w:val="24"/>
          <w:szCs w:val="24"/>
        </w:rPr>
        <w:t>9</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"_Toc28154" </w:instrText>
      </w:r>
      <w:r>
        <w:rPr>
          <w:sz w:val="24"/>
          <w:szCs w:val="24"/>
        </w:rPr>
        <w:fldChar w:fldCharType="separate"/>
      </w:r>
      <w:r>
        <w:rPr>
          <w:smallCaps w:val="0"/>
          <w:sz w:val="24"/>
          <w:szCs w:val="24"/>
        </w:rPr>
        <w:t>2.2. 2019年CFB锅炉污染物排放情况及污染防治措施</w:t>
      </w:r>
      <w:r>
        <w:rPr>
          <w:smallCaps w:val="0"/>
          <w:sz w:val="24"/>
          <w:szCs w:val="24"/>
        </w:rPr>
        <w:tab/>
      </w:r>
      <w:r>
        <w:rPr>
          <w:smallCaps w:val="0"/>
          <w:sz w:val="24"/>
          <w:szCs w:val="24"/>
        </w:rPr>
        <w:t>3</w:t>
      </w:r>
      <w:r>
        <w:rPr>
          <w:smallCaps w:val="0"/>
          <w:sz w:val="24"/>
          <w:szCs w:val="24"/>
        </w:rPr>
        <w:fldChar w:fldCharType="end"/>
      </w:r>
      <w:r>
        <w:rPr>
          <w:rFonts w:hint="eastAsia"/>
          <w:smallCaps w:val="0"/>
          <w:sz w:val="24"/>
          <w:szCs w:val="24"/>
        </w:rPr>
        <w:t>2</w:t>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"_Toc4760" </w:instrText>
      </w:r>
      <w:r>
        <w:rPr>
          <w:sz w:val="24"/>
          <w:szCs w:val="24"/>
        </w:rPr>
        <w:fldChar w:fldCharType="separate"/>
      </w:r>
      <w:r>
        <w:rPr>
          <w:b w:val="0"/>
          <w:caps w:val="0"/>
          <w:sz w:val="24"/>
          <w:szCs w:val="24"/>
        </w:rPr>
        <w:t>3. 建设项目工程分析</w:t>
      </w:r>
      <w:r>
        <w:rPr>
          <w:b w:val="0"/>
          <w:caps w:val="0"/>
          <w:sz w:val="24"/>
          <w:szCs w:val="24"/>
        </w:rPr>
        <w:tab/>
      </w:r>
      <w:r>
        <w:rPr>
          <w:b w:val="0"/>
          <w:caps w:val="0"/>
          <w:sz w:val="24"/>
          <w:szCs w:val="24"/>
        </w:rPr>
        <w:t>3</w:t>
      </w:r>
      <w:r>
        <w:rPr>
          <w:b w:val="0"/>
          <w:caps w:val="0"/>
          <w:sz w:val="24"/>
          <w:szCs w:val="24"/>
        </w:rPr>
        <w:fldChar w:fldCharType="end"/>
      </w:r>
      <w:r>
        <w:rPr>
          <w:rFonts w:hint="eastAsia"/>
          <w:b w:val="0"/>
          <w:caps w:val="0"/>
          <w:sz w:val="24"/>
          <w:szCs w:val="24"/>
        </w:rPr>
        <w:t>5</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"_Toc28154" </w:instrText>
      </w:r>
      <w:r>
        <w:rPr>
          <w:sz w:val="24"/>
          <w:szCs w:val="24"/>
        </w:rPr>
        <w:fldChar w:fldCharType="separate"/>
      </w:r>
      <w:r>
        <w:rPr>
          <w:smallCaps w:val="0"/>
          <w:sz w:val="24"/>
          <w:szCs w:val="24"/>
        </w:rPr>
        <w:t>3.1. 建设项目概况</w:t>
      </w:r>
      <w:r>
        <w:rPr>
          <w:smallCaps w:val="0"/>
          <w:sz w:val="24"/>
          <w:szCs w:val="24"/>
        </w:rPr>
        <w:tab/>
      </w:r>
      <w:r>
        <w:rPr>
          <w:smallCaps w:val="0"/>
          <w:sz w:val="24"/>
          <w:szCs w:val="24"/>
        </w:rPr>
        <w:t>3</w:t>
      </w:r>
      <w:r>
        <w:rPr>
          <w:smallCaps w:val="0"/>
          <w:sz w:val="24"/>
          <w:szCs w:val="24"/>
        </w:rPr>
        <w:fldChar w:fldCharType="end"/>
      </w:r>
      <w:r>
        <w:rPr>
          <w:rFonts w:hint="eastAsia"/>
          <w:smallCaps w:val="0"/>
          <w:sz w:val="24"/>
          <w:szCs w:val="24"/>
        </w:rPr>
        <w:t>5</w:t>
      </w:r>
    </w:p>
    <w:p>
      <w:pPr>
        <w:pStyle w:val="39"/>
        <w:tabs>
          <w:tab w:val="right" w:leader="dot" w:pos="8902"/>
        </w:tabs>
        <w:rPr>
          <w:sz w:val="24"/>
          <w:szCs w:val="24"/>
        </w:rPr>
      </w:pPr>
      <w:r>
        <w:rPr>
          <w:sz w:val="24"/>
          <w:szCs w:val="24"/>
        </w:rPr>
        <w:fldChar w:fldCharType="begin"/>
      </w:r>
      <w:r>
        <w:rPr>
          <w:sz w:val="24"/>
          <w:szCs w:val="24"/>
        </w:rPr>
        <w:instrText xml:space="preserve"> HYPERLINK \l "_Toc15115" </w:instrText>
      </w:r>
      <w:r>
        <w:rPr>
          <w:sz w:val="24"/>
          <w:szCs w:val="24"/>
        </w:rPr>
        <w:fldChar w:fldCharType="separate"/>
      </w:r>
      <w:r>
        <w:rPr>
          <w:smallCaps w:val="0"/>
          <w:sz w:val="24"/>
          <w:szCs w:val="24"/>
        </w:rPr>
        <w:t>3.2 工程分析</w:t>
      </w:r>
      <w:r>
        <w:rPr>
          <w:smallCaps w:val="0"/>
          <w:sz w:val="24"/>
          <w:szCs w:val="24"/>
        </w:rPr>
        <w:tab/>
      </w:r>
      <w:r>
        <w:rPr>
          <w:smallCaps w:val="0"/>
          <w:sz w:val="24"/>
          <w:szCs w:val="24"/>
        </w:rPr>
        <w:t>4</w:t>
      </w:r>
      <w:r>
        <w:rPr>
          <w:smallCaps w:val="0"/>
          <w:sz w:val="24"/>
          <w:szCs w:val="24"/>
        </w:rPr>
        <w:fldChar w:fldCharType="end"/>
      </w:r>
      <w:r>
        <w:rPr>
          <w:smallCaps w:val="0"/>
          <w:sz w:val="24"/>
          <w:szCs w:val="24"/>
        </w:rPr>
        <w:t>1</w:t>
      </w:r>
    </w:p>
    <w:p>
      <w:pPr>
        <w:pStyle w:val="39"/>
        <w:tabs>
          <w:tab w:val="right" w:leader="dot" w:pos="8902"/>
        </w:tabs>
        <w:rPr>
          <w:sz w:val="24"/>
          <w:szCs w:val="24"/>
        </w:rPr>
      </w:pPr>
      <w:r>
        <w:rPr>
          <w:sz w:val="24"/>
          <w:szCs w:val="24"/>
        </w:rPr>
        <w:fldChar w:fldCharType="begin"/>
      </w:r>
      <w:r>
        <w:rPr>
          <w:sz w:val="24"/>
          <w:szCs w:val="24"/>
        </w:rPr>
        <w:instrText xml:space="preserve"> HYPERLINK \l "_Toc6371" </w:instrText>
      </w:r>
      <w:r>
        <w:rPr>
          <w:sz w:val="24"/>
          <w:szCs w:val="24"/>
        </w:rPr>
        <w:fldChar w:fldCharType="separate"/>
      </w:r>
      <w:r>
        <w:rPr>
          <w:smallCaps w:val="0"/>
          <w:sz w:val="24"/>
          <w:szCs w:val="24"/>
        </w:rPr>
        <w:t>3.3 总量控制分析</w:t>
      </w:r>
      <w:r>
        <w:rPr>
          <w:smallCaps w:val="0"/>
          <w:sz w:val="24"/>
          <w:szCs w:val="24"/>
        </w:rPr>
        <w:tab/>
      </w:r>
      <w:r>
        <w:rPr>
          <w:smallCaps w:val="0"/>
          <w:sz w:val="24"/>
          <w:szCs w:val="24"/>
        </w:rPr>
        <w:t>5</w:t>
      </w:r>
      <w:r>
        <w:rPr>
          <w:smallCaps w:val="0"/>
          <w:sz w:val="24"/>
          <w:szCs w:val="24"/>
        </w:rPr>
        <w:fldChar w:fldCharType="end"/>
      </w:r>
      <w:r>
        <w:rPr>
          <w:rFonts w:hint="eastAsia"/>
          <w:smallCaps w:val="0"/>
          <w:sz w:val="24"/>
          <w:szCs w:val="24"/>
        </w:rPr>
        <w:t>2</w:t>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"_Toc14720" </w:instrText>
      </w:r>
      <w:r>
        <w:rPr>
          <w:sz w:val="24"/>
          <w:szCs w:val="24"/>
        </w:rPr>
        <w:fldChar w:fldCharType="separate"/>
      </w:r>
      <w:r>
        <w:rPr>
          <w:b w:val="0"/>
          <w:caps w:val="0"/>
          <w:sz w:val="24"/>
          <w:szCs w:val="24"/>
        </w:rPr>
        <w:t>4. 环境现状调查与评价</w:t>
      </w:r>
      <w:r>
        <w:rPr>
          <w:b w:val="0"/>
          <w:caps w:val="0"/>
          <w:sz w:val="24"/>
          <w:szCs w:val="24"/>
        </w:rPr>
        <w:tab/>
      </w:r>
      <w:r>
        <w:rPr>
          <w:b w:val="0"/>
          <w:caps w:val="0"/>
          <w:sz w:val="24"/>
          <w:szCs w:val="24"/>
        </w:rPr>
        <w:t>5</w:t>
      </w:r>
      <w:r>
        <w:rPr>
          <w:b w:val="0"/>
          <w:caps w:val="0"/>
          <w:sz w:val="24"/>
          <w:szCs w:val="24"/>
        </w:rPr>
        <w:fldChar w:fldCharType="end"/>
      </w:r>
      <w:r>
        <w:rPr>
          <w:rFonts w:hint="eastAsia"/>
          <w:b w:val="0"/>
          <w:caps w:val="0"/>
          <w:sz w:val="24"/>
          <w:szCs w:val="24"/>
        </w:rPr>
        <w:t>3</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"_Toc2640" </w:instrText>
      </w:r>
      <w:r>
        <w:rPr>
          <w:sz w:val="24"/>
          <w:szCs w:val="24"/>
        </w:rPr>
        <w:fldChar w:fldCharType="separate"/>
      </w:r>
      <w:r>
        <w:rPr>
          <w:smallCaps w:val="0"/>
          <w:sz w:val="24"/>
          <w:szCs w:val="24"/>
        </w:rPr>
        <w:t xml:space="preserve">4.1 </w:t>
      </w:r>
      <w:r>
        <w:rPr>
          <w:sz w:val="24"/>
          <w:szCs w:val="24"/>
        </w:rPr>
        <w:t>自然环境现状调查与评价</w:t>
      </w:r>
      <w:r>
        <w:rPr>
          <w:smallCaps w:val="0"/>
          <w:sz w:val="24"/>
          <w:szCs w:val="24"/>
        </w:rPr>
        <w:tab/>
      </w:r>
      <w:r>
        <w:rPr>
          <w:smallCaps w:val="0"/>
          <w:sz w:val="24"/>
          <w:szCs w:val="24"/>
        </w:rPr>
        <w:fldChar w:fldCharType="end"/>
      </w:r>
      <w:r>
        <w:rPr>
          <w:smallCaps w:val="0"/>
          <w:sz w:val="24"/>
          <w:szCs w:val="24"/>
        </w:rPr>
        <w:t>5</w:t>
      </w:r>
      <w:r>
        <w:rPr>
          <w:rFonts w:hint="eastAsia"/>
          <w:smallCaps w:val="0"/>
          <w:sz w:val="24"/>
          <w:szCs w:val="24"/>
        </w:rPr>
        <w:t>3</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"_Toc310" </w:instrText>
      </w:r>
      <w:r>
        <w:rPr>
          <w:sz w:val="24"/>
          <w:szCs w:val="24"/>
        </w:rPr>
        <w:fldChar w:fldCharType="separate"/>
      </w:r>
      <w:r>
        <w:rPr>
          <w:smallCaps w:val="0"/>
          <w:sz w:val="24"/>
          <w:szCs w:val="24"/>
        </w:rPr>
        <w:t xml:space="preserve">4.2 </w:t>
      </w:r>
      <w:r>
        <w:rPr>
          <w:sz w:val="24"/>
          <w:szCs w:val="24"/>
        </w:rPr>
        <w:t>社会环境概况</w:t>
      </w:r>
      <w:r>
        <w:rPr>
          <w:smallCaps w:val="0"/>
          <w:sz w:val="24"/>
          <w:szCs w:val="24"/>
        </w:rPr>
        <w:tab/>
      </w:r>
      <w:r>
        <w:rPr>
          <w:smallCaps w:val="0"/>
          <w:sz w:val="24"/>
          <w:szCs w:val="24"/>
        </w:rPr>
        <w:fldChar w:fldCharType="end"/>
      </w:r>
      <w:r>
        <w:rPr>
          <w:smallCaps w:val="0"/>
          <w:sz w:val="24"/>
          <w:szCs w:val="24"/>
        </w:rPr>
        <w:t>5</w:t>
      </w:r>
      <w:r>
        <w:rPr>
          <w:rFonts w:hint="eastAsia"/>
          <w:smallCaps w:val="0"/>
          <w:sz w:val="24"/>
          <w:szCs w:val="24"/>
        </w:rPr>
        <w:t>5</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"_Toc29815" </w:instrText>
      </w:r>
      <w:r>
        <w:rPr>
          <w:sz w:val="24"/>
          <w:szCs w:val="24"/>
        </w:rPr>
        <w:fldChar w:fldCharType="separate"/>
      </w:r>
      <w:r>
        <w:rPr>
          <w:smallCaps w:val="0"/>
          <w:sz w:val="24"/>
          <w:szCs w:val="24"/>
        </w:rPr>
        <w:t>4.3 环境空气质量现状监测与评价</w:t>
      </w:r>
      <w:r>
        <w:rPr>
          <w:smallCaps w:val="0"/>
          <w:sz w:val="24"/>
          <w:szCs w:val="24"/>
        </w:rPr>
        <w:tab/>
      </w:r>
      <w:r>
        <w:rPr>
          <w:smallCaps w:val="0"/>
          <w:sz w:val="24"/>
          <w:szCs w:val="24"/>
        </w:rPr>
        <w:fldChar w:fldCharType="end"/>
      </w:r>
      <w:r>
        <w:rPr>
          <w:smallCaps w:val="0"/>
          <w:sz w:val="24"/>
          <w:szCs w:val="24"/>
        </w:rPr>
        <w:t>5</w:t>
      </w:r>
      <w:r>
        <w:rPr>
          <w:rFonts w:hint="eastAsia"/>
          <w:smallCaps w:val="0"/>
          <w:sz w:val="24"/>
          <w:szCs w:val="24"/>
        </w:rPr>
        <w:t>6</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"_Toc29815" </w:instrText>
      </w:r>
      <w:r>
        <w:rPr>
          <w:sz w:val="24"/>
          <w:szCs w:val="24"/>
        </w:rPr>
        <w:fldChar w:fldCharType="separate"/>
      </w:r>
      <w:r>
        <w:rPr>
          <w:smallCaps w:val="0"/>
          <w:sz w:val="24"/>
          <w:szCs w:val="24"/>
        </w:rPr>
        <w:t>4.4 地表水环境质量现状监测与评价</w:t>
      </w:r>
      <w:r>
        <w:rPr>
          <w:smallCaps w:val="0"/>
          <w:sz w:val="24"/>
          <w:szCs w:val="24"/>
        </w:rPr>
        <w:tab/>
      </w:r>
      <w:r>
        <w:rPr>
          <w:smallCaps w:val="0"/>
          <w:sz w:val="24"/>
          <w:szCs w:val="24"/>
        </w:rPr>
        <w:t>5</w:t>
      </w:r>
      <w:r>
        <w:rPr>
          <w:smallCaps w:val="0"/>
          <w:sz w:val="24"/>
          <w:szCs w:val="24"/>
        </w:rPr>
        <w:fldChar w:fldCharType="end"/>
      </w:r>
      <w:r>
        <w:rPr>
          <w:rFonts w:hint="eastAsia"/>
          <w:smallCaps w:val="0"/>
          <w:sz w:val="24"/>
          <w:szCs w:val="24"/>
        </w:rPr>
        <w:t>8</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"_Toc29815" </w:instrText>
      </w:r>
      <w:r>
        <w:rPr>
          <w:sz w:val="24"/>
          <w:szCs w:val="24"/>
        </w:rPr>
        <w:fldChar w:fldCharType="separate"/>
      </w:r>
      <w:r>
        <w:rPr>
          <w:smallCaps w:val="0"/>
          <w:sz w:val="24"/>
          <w:szCs w:val="24"/>
        </w:rPr>
        <w:t>4.5 地下水质量现状监测与评价</w:t>
      </w:r>
      <w:r>
        <w:rPr>
          <w:smallCaps w:val="0"/>
          <w:sz w:val="24"/>
          <w:szCs w:val="24"/>
        </w:rPr>
        <w:tab/>
      </w:r>
      <w:r>
        <w:rPr>
          <w:smallCaps w:val="0"/>
          <w:sz w:val="24"/>
          <w:szCs w:val="24"/>
        </w:rPr>
        <w:fldChar w:fldCharType="end"/>
      </w:r>
      <w:r>
        <w:rPr>
          <w:smallCaps w:val="0"/>
          <w:sz w:val="24"/>
          <w:szCs w:val="24"/>
        </w:rPr>
        <w:t>5</w:t>
      </w:r>
      <w:r>
        <w:rPr>
          <w:rFonts w:hint="eastAsia"/>
          <w:smallCaps w:val="0"/>
          <w:sz w:val="24"/>
          <w:szCs w:val="24"/>
        </w:rPr>
        <w:t>9</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"_Toc310" </w:instrText>
      </w:r>
      <w:r>
        <w:rPr>
          <w:sz w:val="24"/>
          <w:szCs w:val="24"/>
        </w:rPr>
        <w:fldChar w:fldCharType="separate"/>
      </w:r>
      <w:r>
        <w:rPr>
          <w:smallCaps w:val="0"/>
          <w:sz w:val="24"/>
          <w:szCs w:val="24"/>
        </w:rPr>
        <w:t>4.6 声环境质量现状监测与评价</w:t>
      </w:r>
      <w:r>
        <w:rPr>
          <w:smallCaps w:val="0"/>
          <w:sz w:val="24"/>
          <w:szCs w:val="24"/>
        </w:rPr>
        <w:tab/>
      </w:r>
      <w:r>
        <w:rPr>
          <w:smallCaps w:val="0"/>
          <w:sz w:val="24"/>
          <w:szCs w:val="24"/>
        </w:rPr>
        <w:fldChar w:fldCharType="end"/>
      </w:r>
      <w:r>
        <w:rPr>
          <w:rFonts w:hint="eastAsia"/>
          <w:smallCaps w:val="0"/>
          <w:sz w:val="24"/>
          <w:szCs w:val="24"/>
        </w:rPr>
        <w:t>61</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"_Toc310" </w:instrText>
      </w:r>
      <w:r>
        <w:rPr>
          <w:sz w:val="24"/>
          <w:szCs w:val="24"/>
        </w:rPr>
        <w:fldChar w:fldCharType="separate"/>
      </w:r>
      <w:r>
        <w:rPr>
          <w:smallCaps w:val="0"/>
          <w:sz w:val="24"/>
          <w:szCs w:val="24"/>
        </w:rPr>
        <w:t>4.7 土壤环境质量现状监测与评价</w:t>
      </w:r>
      <w:r>
        <w:rPr>
          <w:smallCaps w:val="0"/>
          <w:sz w:val="24"/>
          <w:szCs w:val="24"/>
        </w:rPr>
        <w:tab/>
      </w:r>
      <w:r>
        <w:rPr>
          <w:smallCaps w:val="0"/>
          <w:sz w:val="24"/>
          <w:szCs w:val="24"/>
        </w:rPr>
        <w:fldChar w:fldCharType="end"/>
      </w:r>
      <w:r>
        <w:rPr>
          <w:smallCaps w:val="0"/>
          <w:sz w:val="24"/>
          <w:szCs w:val="24"/>
        </w:rPr>
        <w:t>6</w:t>
      </w:r>
      <w:r>
        <w:rPr>
          <w:rFonts w:hint="eastAsia"/>
          <w:smallCaps w:val="0"/>
          <w:sz w:val="24"/>
          <w:szCs w:val="24"/>
        </w:rPr>
        <w:t>2</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"_Toc310" </w:instrText>
      </w:r>
      <w:r>
        <w:rPr>
          <w:sz w:val="24"/>
          <w:szCs w:val="24"/>
        </w:rPr>
        <w:fldChar w:fldCharType="separate"/>
      </w:r>
      <w:r>
        <w:rPr>
          <w:smallCaps w:val="0"/>
          <w:sz w:val="24"/>
          <w:szCs w:val="24"/>
        </w:rPr>
        <w:t>4.8生态环境质量现状评价</w:t>
      </w:r>
      <w:r>
        <w:rPr>
          <w:smallCaps w:val="0"/>
          <w:sz w:val="24"/>
          <w:szCs w:val="24"/>
        </w:rPr>
        <w:tab/>
      </w:r>
      <w:r>
        <w:rPr>
          <w:smallCaps w:val="0"/>
          <w:sz w:val="24"/>
          <w:szCs w:val="24"/>
        </w:rPr>
        <w:fldChar w:fldCharType="end"/>
      </w:r>
      <w:r>
        <w:rPr>
          <w:smallCaps w:val="0"/>
          <w:sz w:val="24"/>
          <w:szCs w:val="24"/>
        </w:rPr>
        <w:t>6</w:t>
      </w:r>
      <w:r>
        <w:rPr>
          <w:rFonts w:hint="eastAsia"/>
          <w:smallCaps w:val="0"/>
          <w:sz w:val="24"/>
          <w:szCs w:val="24"/>
        </w:rPr>
        <w:t>6</w:t>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"_Toc12549" </w:instrText>
      </w:r>
      <w:r>
        <w:rPr>
          <w:sz w:val="24"/>
          <w:szCs w:val="24"/>
        </w:rPr>
        <w:fldChar w:fldCharType="separate"/>
      </w:r>
      <w:r>
        <w:rPr>
          <w:b w:val="0"/>
          <w:caps w:val="0"/>
          <w:sz w:val="24"/>
          <w:szCs w:val="24"/>
        </w:rPr>
        <w:t>5 施工期环境影响分析</w:t>
      </w:r>
      <w:r>
        <w:rPr>
          <w:b w:val="0"/>
          <w:caps w:val="0"/>
          <w:sz w:val="24"/>
          <w:szCs w:val="24"/>
        </w:rPr>
        <w:tab/>
      </w:r>
      <w:r>
        <w:rPr>
          <w:b w:val="0"/>
          <w:caps w:val="0"/>
          <w:sz w:val="24"/>
          <w:szCs w:val="24"/>
        </w:rPr>
        <w:fldChar w:fldCharType="end"/>
      </w:r>
      <w:r>
        <w:rPr>
          <w:b w:val="0"/>
          <w:caps w:val="0"/>
          <w:sz w:val="24"/>
          <w:szCs w:val="24"/>
        </w:rPr>
        <w:t>6</w:t>
      </w:r>
      <w:r>
        <w:rPr>
          <w:rFonts w:hint="eastAsia"/>
          <w:b w:val="0"/>
          <w:caps w:val="0"/>
          <w:sz w:val="24"/>
          <w:szCs w:val="24"/>
        </w:rPr>
        <w:t>7</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"_Toc15853" </w:instrText>
      </w:r>
      <w:r>
        <w:rPr>
          <w:sz w:val="24"/>
          <w:szCs w:val="24"/>
        </w:rPr>
        <w:fldChar w:fldCharType="separate"/>
      </w:r>
      <w:r>
        <w:rPr>
          <w:smallCaps w:val="0"/>
          <w:sz w:val="24"/>
          <w:szCs w:val="24"/>
        </w:rPr>
        <w:t xml:space="preserve">5.1 </w:t>
      </w:r>
      <w:r>
        <w:rPr>
          <w:sz w:val="24"/>
          <w:szCs w:val="24"/>
        </w:rPr>
        <w:t>施工期大气环境影响分析</w:t>
      </w:r>
      <w:r>
        <w:rPr>
          <w:smallCaps w:val="0"/>
          <w:sz w:val="24"/>
          <w:szCs w:val="24"/>
        </w:rPr>
        <w:tab/>
      </w:r>
      <w:r>
        <w:rPr>
          <w:smallCaps w:val="0"/>
          <w:sz w:val="24"/>
          <w:szCs w:val="24"/>
        </w:rPr>
        <w:fldChar w:fldCharType="end"/>
      </w:r>
      <w:r>
        <w:rPr>
          <w:smallCaps w:val="0"/>
          <w:sz w:val="24"/>
          <w:szCs w:val="24"/>
        </w:rPr>
        <w:t>6</w:t>
      </w:r>
      <w:r>
        <w:rPr>
          <w:rFonts w:hint="eastAsia"/>
          <w:smallCaps w:val="0"/>
          <w:sz w:val="24"/>
          <w:szCs w:val="24"/>
        </w:rPr>
        <w:t>7</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"_Toc20743" </w:instrText>
      </w:r>
      <w:r>
        <w:rPr>
          <w:sz w:val="24"/>
          <w:szCs w:val="24"/>
        </w:rPr>
        <w:fldChar w:fldCharType="separate"/>
      </w:r>
      <w:r>
        <w:rPr>
          <w:smallCaps w:val="0"/>
          <w:sz w:val="24"/>
          <w:szCs w:val="24"/>
        </w:rPr>
        <w:t>5.2</w:t>
      </w:r>
      <w:r>
        <w:rPr>
          <w:sz w:val="24"/>
          <w:szCs w:val="24"/>
        </w:rPr>
        <w:t>施工废水影响分析</w:t>
      </w:r>
      <w:r>
        <w:rPr>
          <w:smallCaps w:val="0"/>
          <w:sz w:val="24"/>
          <w:szCs w:val="24"/>
        </w:rPr>
        <w:tab/>
      </w:r>
      <w:r>
        <w:rPr>
          <w:smallCaps w:val="0"/>
          <w:sz w:val="24"/>
          <w:szCs w:val="24"/>
        </w:rPr>
        <w:t>6</w:t>
      </w:r>
      <w:r>
        <w:rPr>
          <w:smallCaps w:val="0"/>
          <w:sz w:val="24"/>
          <w:szCs w:val="24"/>
        </w:rPr>
        <w:fldChar w:fldCharType="end"/>
      </w:r>
      <w:r>
        <w:rPr>
          <w:rFonts w:hint="eastAsia"/>
          <w:smallCaps w:val="0"/>
          <w:sz w:val="24"/>
          <w:szCs w:val="24"/>
        </w:rPr>
        <w:t>7</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"_Toc20343" </w:instrText>
      </w:r>
      <w:r>
        <w:rPr>
          <w:sz w:val="24"/>
          <w:szCs w:val="24"/>
        </w:rPr>
        <w:fldChar w:fldCharType="separate"/>
      </w:r>
      <w:r>
        <w:rPr>
          <w:smallCaps w:val="0"/>
          <w:sz w:val="24"/>
          <w:szCs w:val="24"/>
        </w:rPr>
        <w:t xml:space="preserve">5.3 </w:t>
      </w:r>
      <w:r>
        <w:rPr>
          <w:sz w:val="24"/>
          <w:szCs w:val="24"/>
        </w:rPr>
        <w:t>施工噪声预测与评价</w:t>
      </w:r>
      <w:r>
        <w:rPr>
          <w:smallCaps w:val="0"/>
          <w:sz w:val="24"/>
          <w:szCs w:val="24"/>
        </w:rPr>
        <w:tab/>
      </w:r>
      <w:r>
        <w:rPr>
          <w:smallCaps w:val="0"/>
          <w:sz w:val="24"/>
          <w:szCs w:val="24"/>
        </w:rPr>
        <w:t>6</w:t>
      </w:r>
      <w:r>
        <w:rPr>
          <w:smallCaps w:val="0"/>
          <w:sz w:val="24"/>
          <w:szCs w:val="24"/>
        </w:rPr>
        <w:fldChar w:fldCharType="end"/>
      </w:r>
      <w:r>
        <w:rPr>
          <w:rFonts w:hint="eastAsia"/>
          <w:smallCaps w:val="0"/>
          <w:sz w:val="24"/>
          <w:szCs w:val="24"/>
        </w:rPr>
        <w:t>8</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"_Toc4396" </w:instrText>
      </w:r>
      <w:r>
        <w:rPr>
          <w:sz w:val="24"/>
          <w:szCs w:val="24"/>
        </w:rPr>
        <w:fldChar w:fldCharType="separate"/>
      </w:r>
      <w:r>
        <w:rPr>
          <w:smallCaps w:val="0"/>
          <w:sz w:val="24"/>
          <w:szCs w:val="24"/>
        </w:rPr>
        <w:t>5.4 施工期固废环境影响分析</w:t>
      </w:r>
      <w:r>
        <w:rPr>
          <w:smallCaps w:val="0"/>
          <w:sz w:val="24"/>
          <w:szCs w:val="24"/>
        </w:rPr>
        <w:tab/>
      </w:r>
      <w:r>
        <w:rPr>
          <w:smallCaps w:val="0"/>
          <w:sz w:val="24"/>
          <w:szCs w:val="24"/>
        </w:rPr>
        <w:fldChar w:fldCharType="end"/>
      </w:r>
      <w:r>
        <w:rPr>
          <w:smallCaps w:val="0"/>
          <w:sz w:val="24"/>
          <w:szCs w:val="24"/>
        </w:rPr>
        <w:t>6</w:t>
      </w:r>
      <w:r>
        <w:rPr>
          <w:rFonts w:hint="eastAsia"/>
          <w:smallCaps w:val="0"/>
          <w:sz w:val="24"/>
          <w:szCs w:val="24"/>
        </w:rPr>
        <w:t>8</w:t>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"_Toc15163" </w:instrText>
      </w:r>
      <w:r>
        <w:rPr>
          <w:sz w:val="24"/>
          <w:szCs w:val="24"/>
        </w:rPr>
        <w:fldChar w:fldCharType="separate"/>
      </w:r>
      <w:r>
        <w:rPr>
          <w:b w:val="0"/>
          <w:caps w:val="0"/>
          <w:sz w:val="24"/>
          <w:szCs w:val="24"/>
        </w:rPr>
        <w:t>6 运营期环境影响预测与评价</w:t>
      </w:r>
      <w:r>
        <w:rPr>
          <w:b w:val="0"/>
          <w:caps w:val="0"/>
          <w:sz w:val="24"/>
          <w:szCs w:val="24"/>
        </w:rPr>
        <w:tab/>
      </w:r>
      <w:r>
        <w:rPr>
          <w:b w:val="0"/>
          <w:caps w:val="0"/>
          <w:sz w:val="24"/>
          <w:szCs w:val="24"/>
        </w:rPr>
        <w:t>7</w:t>
      </w:r>
      <w:r>
        <w:rPr>
          <w:b w:val="0"/>
          <w:caps w:val="0"/>
          <w:sz w:val="24"/>
          <w:szCs w:val="24"/>
        </w:rPr>
        <w:fldChar w:fldCharType="end"/>
      </w:r>
      <w:r>
        <w:rPr>
          <w:rFonts w:hint="eastAsia"/>
          <w:b w:val="0"/>
          <w:caps w:val="0"/>
          <w:sz w:val="24"/>
          <w:szCs w:val="24"/>
        </w:rPr>
        <w:t>0</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"_Toc4396" </w:instrText>
      </w:r>
      <w:r>
        <w:rPr>
          <w:sz w:val="24"/>
          <w:szCs w:val="24"/>
        </w:rPr>
        <w:fldChar w:fldCharType="separate"/>
      </w:r>
      <w:r>
        <w:rPr>
          <w:smallCaps w:val="0"/>
          <w:sz w:val="24"/>
          <w:szCs w:val="24"/>
        </w:rPr>
        <w:t xml:space="preserve">6.1 </w:t>
      </w:r>
      <w:r>
        <w:rPr>
          <w:sz w:val="24"/>
          <w:szCs w:val="24"/>
        </w:rPr>
        <w:t>大气环境影响预测评价</w:t>
      </w:r>
      <w:r>
        <w:rPr>
          <w:smallCaps w:val="0"/>
          <w:sz w:val="24"/>
          <w:szCs w:val="24"/>
        </w:rPr>
        <w:tab/>
      </w:r>
      <w:r>
        <w:rPr>
          <w:smallCaps w:val="0"/>
          <w:sz w:val="24"/>
          <w:szCs w:val="24"/>
        </w:rPr>
        <w:t>7</w:t>
      </w:r>
      <w:r>
        <w:rPr>
          <w:smallCaps w:val="0"/>
          <w:sz w:val="24"/>
          <w:szCs w:val="24"/>
        </w:rPr>
        <w:fldChar w:fldCharType="end"/>
      </w:r>
      <w:r>
        <w:rPr>
          <w:rFonts w:hint="eastAsia"/>
          <w:smallCaps w:val="0"/>
          <w:sz w:val="24"/>
          <w:szCs w:val="24"/>
        </w:rPr>
        <w:t>0</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"_Toc4396" </w:instrText>
      </w:r>
      <w:r>
        <w:rPr>
          <w:sz w:val="24"/>
          <w:szCs w:val="24"/>
        </w:rPr>
        <w:fldChar w:fldCharType="separate"/>
      </w:r>
      <w:r>
        <w:rPr>
          <w:smallCaps w:val="0"/>
          <w:sz w:val="24"/>
          <w:szCs w:val="24"/>
        </w:rPr>
        <w:t xml:space="preserve">6.2 </w:t>
      </w:r>
      <w:r>
        <w:rPr>
          <w:sz w:val="24"/>
          <w:szCs w:val="24"/>
        </w:rPr>
        <w:t>地表水环境影响分析</w:t>
      </w:r>
      <w:r>
        <w:rPr>
          <w:smallCaps w:val="0"/>
          <w:sz w:val="24"/>
          <w:szCs w:val="24"/>
        </w:rPr>
        <w:tab/>
      </w:r>
      <w:r>
        <w:rPr>
          <w:smallCaps w:val="0"/>
          <w:sz w:val="24"/>
          <w:szCs w:val="24"/>
        </w:rPr>
        <w:fldChar w:fldCharType="end"/>
      </w:r>
      <w:r>
        <w:rPr>
          <w:smallCaps w:val="0"/>
          <w:sz w:val="24"/>
          <w:szCs w:val="24"/>
        </w:rPr>
        <w:t>1</w:t>
      </w:r>
      <w:r>
        <w:rPr>
          <w:rFonts w:hint="eastAsia"/>
          <w:smallCaps w:val="0"/>
          <w:sz w:val="24"/>
          <w:szCs w:val="24"/>
        </w:rPr>
        <w:t>0</w:t>
      </w:r>
      <w:r>
        <w:rPr>
          <w:rFonts w:hint="eastAsia"/>
          <w:smallCaps w:val="0"/>
          <w:sz w:val="24"/>
          <w:szCs w:val="24"/>
          <w:lang w:val="en-US" w:eastAsia="zh-CN"/>
        </w:rPr>
        <w:t>6</w:t>
      </w:r>
    </w:p>
    <w:p>
      <w:pPr>
        <w:pStyle w:val="39"/>
        <w:tabs>
          <w:tab w:val="right" w:leader="dot" w:pos="8902"/>
        </w:tabs>
        <w:rPr>
          <w:rFonts w:hint="eastAsia" w:eastAsia="宋体"/>
          <w:smallCaps w:val="0"/>
          <w:sz w:val="24"/>
          <w:szCs w:val="24"/>
          <w:lang w:val="en-US" w:eastAsia="zh-CN"/>
        </w:rPr>
      </w:pPr>
      <w:r>
        <w:rPr>
          <w:sz w:val="24"/>
          <w:szCs w:val="24"/>
        </w:rPr>
        <w:fldChar w:fldCharType="begin"/>
      </w:r>
      <w:r>
        <w:rPr>
          <w:sz w:val="24"/>
          <w:szCs w:val="24"/>
        </w:rPr>
        <w:instrText xml:space="preserve"> HYPERLINK \l "_Toc3369" </w:instrText>
      </w:r>
      <w:r>
        <w:rPr>
          <w:sz w:val="24"/>
          <w:szCs w:val="24"/>
        </w:rPr>
        <w:fldChar w:fldCharType="separate"/>
      </w:r>
      <w:r>
        <w:rPr>
          <w:smallCaps w:val="0"/>
          <w:sz w:val="24"/>
          <w:szCs w:val="24"/>
        </w:rPr>
        <w:t xml:space="preserve">6.3 </w:t>
      </w:r>
      <w:r>
        <w:rPr>
          <w:sz w:val="24"/>
          <w:szCs w:val="24"/>
        </w:rPr>
        <w:t>地下水环境影响评价</w:t>
      </w:r>
      <w:r>
        <w:rPr>
          <w:smallCaps w:val="0"/>
          <w:sz w:val="24"/>
          <w:szCs w:val="24"/>
        </w:rPr>
        <w:tab/>
      </w:r>
      <w:r>
        <w:rPr>
          <w:smallCaps w:val="0"/>
          <w:sz w:val="24"/>
          <w:szCs w:val="24"/>
        </w:rPr>
        <w:fldChar w:fldCharType="end"/>
      </w:r>
      <w:r>
        <w:rPr>
          <w:smallCaps w:val="0"/>
          <w:sz w:val="24"/>
          <w:szCs w:val="24"/>
        </w:rPr>
        <w:t>1</w:t>
      </w:r>
      <w:r>
        <w:rPr>
          <w:rFonts w:hint="eastAsia"/>
          <w:smallCaps w:val="0"/>
          <w:sz w:val="24"/>
          <w:szCs w:val="24"/>
        </w:rPr>
        <w:t>0</w:t>
      </w:r>
      <w:r>
        <w:rPr>
          <w:rFonts w:hint="eastAsia"/>
          <w:smallCaps w:val="0"/>
          <w:sz w:val="24"/>
          <w:szCs w:val="24"/>
          <w:lang w:val="en-US" w:eastAsia="zh-CN"/>
        </w:rPr>
        <w:t>6</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"_Toc3527" </w:instrText>
      </w:r>
      <w:r>
        <w:rPr>
          <w:sz w:val="24"/>
          <w:szCs w:val="24"/>
        </w:rPr>
        <w:fldChar w:fldCharType="separate"/>
      </w:r>
      <w:r>
        <w:rPr>
          <w:smallCaps w:val="0"/>
          <w:sz w:val="24"/>
          <w:szCs w:val="24"/>
        </w:rPr>
        <w:t xml:space="preserve">6.4 </w:t>
      </w:r>
      <w:r>
        <w:rPr>
          <w:sz w:val="24"/>
          <w:szCs w:val="24"/>
        </w:rPr>
        <w:t>声环境影响预测与评价</w:t>
      </w:r>
      <w:r>
        <w:rPr>
          <w:smallCaps w:val="0"/>
          <w:sz w:val="24"/>
          <w:szCs w:val="24"/>
        </w:rPr>
        <w:tab/>
      </w:r>
      <w:r>
        <w:rPr>
          <w:smallCaps w:val="0"/>
          <w:sz w:val="24"/>
          <w:szCs w:val="24"/>
        </w:rPr>
        <w:t>1</w:t>
      </w:r>
      <w:r>
        <w:rPr>
          <w:smallCaps w:val="0"/>
          <w:sz w:val="24"/>
          <w:szCs w:val="24"/>
        </w:rPr>
        <w:fldChar w:fldCharType="end"/>
      </w:r>
      <w:r>
        <w:rPr>
          <w:smallCaps w:val="0"/>
          <w:sz w:val="24"/>
          <w:szCs w:val="24"/>
        </w:rPr>
        <w:t>1</w:t>
      </w:r>
      <w:r>
        <w:rPr>
          <w:rFonts w:hint="eastAsia"/>
          <w:smallCaps w:val="0"/>
          <w:sz w:val="24"/>
          <w:szCs w:val="24"/>
          <w:lang w:val="en-US" w:eastAsia="zh-CN"/>
        </w:rPr>
        <w:t>1</w:t>
      </w:r>
    </w:p>
    <w:p>
      <w:pPr>
        <w:pStyle w:val="39"/>
        <w:tabs>
          <w:tab w:val="right" w:leader="dot" w:pos="8902"/>
        </w:tabs>
        <w:rPr>
          <w:rFonts w:hint="eastAsia" w:eastAsia="宋体"/>
          <w:sz w:val="24"/>
          <w:szCs w:val="24"/>
          <w:lang w:eastAsia="zh-CN"/>
        </w:rPr>
      </w:pPr>
      <w:r>
        <w:rPr>
          <w:sz w:val="24"/>
          <w:szCs w:val="24"/>
        </w:rPr>
        <w:fldChar w:fldCharType="begin"/>
      </w:r>
      <w:r>
        <w:rPr>
          <w:sz w:val="24"/>
          <w:szCs w:val="24"/>
        </w:rPr>
        <w:instrText xml:space="preserve"> HYPERLINK \l "_Toc3527" </w:instrText>
      </w:r>
      <w:r>
        <w:rPr>
          <w:sz w:val="24"/>
          <w:szCs w:val="24"/>
        </w:rPr>
        <w:fldChar w:fldCharType="separate"/>
      </w:r>
      <w:r>
        <w:rPr>
          <w:smallCaps w:val="0"/>
          <w:sz w:val="24"/>
          <w:szCs w:val="24"/>
        </w:rPr>
        <w:t xml:space="preserve">6.5 </w:t>
      </w:r>
      <w:r>
        <w:rPr>
          <w:sz w:val="24"/>
          <w:szCs w:val="24"/>
        </w:rPr>
        <w:t>固体废物环境影响分析</w:t>
      </w:r>
      <w:r>
        <w:rPr>
          <w:smallCaps w:val="0"/>
          <w:sz w:val="24"/>
          <w:szCs w:val="24"/>
        </w:rPr>
        <w:tab/>
      </w:r>
      <w:r>
        <w:rPr>
          <w:smallCaps w:val="0"/>
          <w:sz w:val="24"/>
          <w:szCs w:val="24"/>
        </w:rPr>
        <w:fldChar w:fldCharType="end"/>
      </w:r>
      <w:r>
        <w:rPr>
          <w:smallCaps w:val="0"/>
          <w:sz w:val="24"/>
          <w:szCs w:val="24"/>
        </w:rPr>
        <w:t>11</w:t>
      </w:r>
      <w:r>
        <w:rPr>
          <w:rFonts w:hint="eastAsia"/>
          <w:smallCaps w:val="0"/>
          <w:sz w:val="24"/>
          <w:szCs w:val="24"/>
          <w:lang w:val="en-US" w:eastAsia="zh-CN"/>
        </w:rPr>
        <w:t>2</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"_Toc9341" </w:instrText>
      </w:r>
      <w:r>
        <w:rPr>
          <w:sz w:val="24"/>
          <w:szCs w:val="24"/>
        </w:rPr>
        <w:fldChar w:fldCharType="separate"/>
      </w:r>
      <w:r>
        <w:rPr>
          <w:smallCaps w:val="0"/>
          <w:sz w:val="24"/>
          <w:szCs w:val="24"/>
        </w:rPr>
        <w:t xml:space="preserve">6.6 </w:t>
      </w:r>
      <w:r>
        <w:rPr>
          <w:sz w:val="24"/>
          <w:szCs w:val="24"/>
        </w:rPr>
        <w:t>土壤环境影响分析</w:t>
      </w:r>
      <w:r>
        <w:rPr>
          <w:smallCaps w:val="0"/>
          <w:sz w:val="24"/>
          <w:szCs w:val="24"/>
        </w:rPr>
        <w:tab/>
      </w:r>
      <w:r>
        <w:rPr>
          <w:smallCaps w:val="0"/>
          <w:sz w:val="24"/>
          <w:szCs w:val="24"/>
        </w:rPr>
        <w:t>1</w:t>
      </w:r>
      <w:r>
        <w:rPr>
          <w:smallCaps w:val="0"/>
          <w:sz w:val="24"/>
          <w:szCs w:val="24"/>
        </w:rPr>
        <w:fldChar w:fldCharType="end"/>
      </w:r>
      <w:r>
        <w:rPr>
          <w:smallCaps w:val="0"/>
          <w:sz w:val="24"/>
          <w:szCs w:val="24"/>
        </w:rPr>
        <w:t>1</w:t>
      </w:r>
      <w:r>
        <w:rPr>
          <w:rFonts w:hint="eastAsia"/>
          <w:smallCaps w:val="0"/>
          <w:sz w:val="24"/>
          <w:szCs w:val="24"/>
          <w:lang w:val="en-US" w:eastAsia="zh-CN"/>
        </w:rPr>
        <w:t>3</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"_Toc9341" </w:instrText>
      </w:r>
      <w:r>
        <w:rPr>
          <w:sz w:val="24"/>
          <w:szCs w:val="24"/>
        </w:rPr>
        <w:fldChar w:fldCharType="separate"/>
      </w:r>
      <w:r>
        <w:rPr>
          <w:smallCaps w:val="0"/>
          <w:sz w:val="24"/>
          <w:szCs w:val="24"/>
        </w:rPr>
        <w:t xml:space="preserve">6.7 </w:t>
      </w:r>
      <w:r>
        <w:rPr>
          <w:sz w:val="24"/>
          <w:szCs w:val="24"/>
        </w:rPr>
        <w:t>生态环境影响分析</w:t>
      </w:r>
      <w:r>
        <w:rPr>
          <w:smallCaps w:val="0"/>
          <w:sz w:val="24"/>
          <w:szCs w:val="24"/>
        </w:rPr>
        <w:tab/>
      </w:r>
      <w:r>
        <w:rPr>
          <w:smallCaps w:val="0"/>
          <w:sz w:val="24"/>
          <w:szCs w:val="24"/>
        </w:rPr>
        <w:t>1</w:t>
      </w:r>
      <w:r>
        <w:rPr>
          <w:smallCaps w:val="0"/>
          <w:sz w:val="24"/>
          <w:szCs w:val="24"/>
        </w:rPr>
        <w:fldChar w:fldCharType="end"/>
      </w:r>
      <w:r>
        <w:rPr>
          <w:smallCaps w:val="0"/>
          <w:sz w:val="24"/>
          <w:szCs w:val="24"/>
        </w:rPr>
        <w:t>1</w:t>
      </w:r>
      <w:r>
        <w:rPr>
          <w:rFonts w:hint="eastAsia"/>
          <w:smallCaps w:val="0"/>
          <w:sz w:val="24"/>
          <w:szCs w:val="24"/>
          <w:lang w:val="en-US" w:eastAsia="zh-CN"/>
        </w:rPr>
        <w:t>3</w:t>
      </w:r>
    </w:p>
    <w:p>
      <w:pPr>
        <w:pStyle w:val="34"/>
        <w:tabs>
          <w:tab w:val="right" w:leader="dot" w:pos="8902"/>
        </w:tabs>
        <w:rPr>
          <w:rFonts w:hint="eastAsia" w:eastAsia="宋体"/>
          <w:b w:val="0"/>
          <w:caps w:val="0"/>
          <w:sz w:val="24"/>
          <w:szCs w:val="24"/>
          <w:lang w:eastAsia="zh-CN"/>
        </w:rPr>
      </w:pPr>
      <w:r>
        <w:rPr>
          <w:sz w:val="24"/>
          <w:szCs w:val="24"/>
        </w:rPr>
        <w:fldChar w:fldCharType="begin"/>
      </w:r>
      <w:r>
        <w:rPr>
          <w:sz w:val="24"/>
          <w:szCs w:val="24"/>
        </w:rPr>
        <w:instrText xml:space="preserve"> HYPERLINK \l "_Toc15163" </w:instrText>
      </w:r>
      <w:r>
        <w:rPr>
          <w:sz w:val="24"/>
          <w:szCs w:val="24"/>
        </w:rPr>
        <w:fldChar w:fldCharType="separate"/>
      </w:r>
      <w:r>
        <w:rPr>
          <w:b w:val="0"/>
          <w:caps w:val="0"/>
          <w:sz w:val="24"/>
          <w:szCs w:val="24"/>
        </w:rPr>
        <w:t>7 环保措施及其可行性论证</w:t>
      </w:r>
      <w:r>
        <w:rPr>
          <w:b w:val="0"/>
          <w:caps w:val="0"/>
          <w:sz w:val="24"/>
          <w:szCs w:val="24"/>
        </w:rPr>
        <w:tab/>
      </w:r>
      <w:r>
        <w:rPr>
          <w:b w:val="0"/>
          <w:caps w:val="0"/>
          <w:sz w:val="24"/>
          <w:szCs w:val="24"/>
        </w:rPr>
        <w:fldChar w:fldCharType="end"/>
      </w:r>
      <w:r>
        <w:rPr>
          <w:b w:val="0"/>
          <w:caps w:val="0"/>
          <w:sz w:val="24"/>
          <w:szCs w:val="24"/>
        </w:rPr>
        <w:t>11</w:t>
      </w:r>
      <w:r>
        <w:rPr>
          <w:rFonts w:hint="eastAsia"/>
          <w:b w:val="0"/>
          <w:caps w:val="0"/>
          <w:sz w:val="24"/>
          <w:szCs w:val="24"/>
          <w:lang w:val="en-US" w:eastAsia="zh-CN"/>
        </w:rPr>
        <w:t>5</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"_Toc4396" </w:instrText>
      </w:r>
      <w:r>
        <w:rPr>
          <w:sz w:val="24"/>
          <w:szCs w:val="24"/>
        </w:rPr>
        <w:fldChar w:fldCharType="separate"/>
      </w:r>
      <w:r>
        <w:rPr>
          <w:smallCaps w:val="0"/>
          <w:sz w:val="24"/>
          <w:szCs w:val="24"/>
        </w:rPr>
        <w:t xml:space="preserve">7.1 </w:t>
      </w:r>
      <w:r>
        <w:rPr>
          <w:sz w:val="24"/>
          <w:szCs w:val="24"/>
        </w:rPr>
        <w:t>废气治理措施及其可行性分析</w:t>
      </w:r>
      <w:r>
        <w:rPr>
          <w:smallCaps w:val="0"/>
          <w:sz w:val="24"/>
          <w:szCs w:val="24"/>
        </w:rPr>
        <w:tab/>
      </w:r>
      <w:r>
        <w:rPr>
          <w:smallCaps w:val="0"/>
          <w:sz w:val="24"/>
          <w:szCs w:val="24"/>
        </w:rPr>
        <w:t>1</w:t>
      </w:r>
      <w:r>
        <w:rPr>
          <w:smallCaps w:val="0"/>
          <w:sz w:val="24"/>
          <w:szCs w:val="24"/>
        </w:rPr>
        <w:fldChar w:fldCharType="end"/>
      </w:r>
      <w:r>
        <w:rPr>
          <w:smallCaps w:val="0"/>
          <w:sz w:val="24"/>
          <w:szCs w:val="24"/>
        </w:rPr>
        <w:t>1</w:t>
      </w:r>
      <w:r>
        <w:rPr>
          <w:rFonts w:hint="eastAsia"/>
          <w:smallCaps w:val="0"/>
          <w:sz w:val="24"/>
          <w:szCs w:val="24"/>
          <w:lang w:val="en-US" w:eastAsia="zh-CN"/>
        </w:rPr>
        <w:t>5</w:t>
      </w:r>
    </w:p>
    <w:p>
      <w:pPr>
        <w:pStyle w:val="39"/>
        <w:tabs>
          <w:tab w:val="right" w:leader="dot" w:pos="8902"/>
        </w:tabs>
        <w:rPr>
          <w:rFonts w:hint="default" w:eastAsia="宋体"/>
          <w:smallCaps w:val="0"/>
          <w:sz w:val="24"/>
          <w:szCs w:val="24"/>
          <w:lang w:val="en-US" w:eastAsia="zh-CN"/>
        </w:rPr>
      </w:pPr>
      <w:r>
        <w:rPr>
          <w:sz w:val="24"/>
          <w:szCs w:val="24"/>
        </w:rPr>
        <w:fldChar w:fldCharType="begin"/>
      </w:r>
      <w:r>
        <w:rPr>
          <w:sz w:val="24"/>
          <w:szCs w:val="24"/>
        </w:rPr>
        <w:instrText xml:space="preserve"> HYPERLINK \l "_Toc4396" </w:instrText>
      </w:r>
      <w:r>
        <w:rPr>
          <w:sz w:val="24"/>
          <w:szCs w:val="24"/>
        </w:rPr>
        <w:fldChar w:fldCharType="separate"/>
      </w:r>
      <w:r>
        <w:rPr>
          <w:smallCaps w:val="0"/>
          <w:sz w:val="24"/>
          <w:szCs w:val="24"/>
        </w:rPr>
        <w:t xml:space="preserve">7.2 </w:t>
      </w:r>
      <w:r>
        <w:rPr>
          <w:sz w:val="24"/>
          <w:szCs w:val="24"/>
        </w:rPr>
        <w:t>废水治理措施分析</w:t>
      </w:r>
      <w:r>
        <w:rPr>
          <w:smallCaps w:val="0"/>
          <w:sz w:val="24"/>
          <w:szCs w:val="24"/>
        </w:rPr>
        <w:tab/>
      </w:r>
      <w:r>
        <w:rPr>
          <w:smallCaps w:val="0"/>
          <w:sz w:val="24"/>
          <w:szCs w:val="24"/>
        </w:rPr>
        <w:fldChar w:fldCharType="end"/>
      </w:r>
      <w:r>
        <w:rPr>
          <w:smallCaps w:val="0"/>
          <w:sz w:val="24"/>
          <w:szCs w:val="24"/>
        </w:rPr>
        <w:t>1</w:t>
      </w:r>
      <w:r>
        <w:rPr>
          <w:rFonts w:hint="eastAsia"/>
          <w:smallCaps w:val="0"/>
          <w:sz w:val="24"/>
          <w:szCs w:val="24"/>
          <w:lang w:val="en-US" w:eastAsia="zh-CN"/>
        </w:rPr>
        <w:t>19</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"_Toc3369" </w:instrText>
      </w:r>
      <w:r>
        <w:rPr>
          <w:sz w:val="24"/>
          <w:szCs w:val="24"/>
        </w:rPr>
        <w:fldChar w:fldCharType="separate"/>
      </w:r>
      <w:r>
        <w:rPr>
          <w:smallCaps w:val="0"/>
          <w:sz w:val="24"/>
          <w:szCs w:val="24"/>
        </w:rPr>
        <w:t>7.3 地下水防治措施分析</w:t>
      </w:r>
      <w:r>
        <w:rPr>
          <w:smallCaps w:val="0"/>
          <w:sz w:val="24"/>
          <w:szCs w:val="24"/>
        </w:rPr>
        <w:tab/>
      </w:r>
      <w:r>
        <w:rPr>
          <w:smallCaps w:val="0"/>
          <w:sz w:val="24"/>
          <w:szCs w:val="24"/>
        </w:rPr>
        <w:fldChar w:fldCharType="end"/>
      </w:r>
      <w:r>
        <w:rPr>
          <w:smallCaps w:val="0"/>
          <w:sz w:val="24"/>
          <w:szCs w:val="24"/>
        </w:rPr>
        <w:t>12</w:t>
      </w:r>
      <w:r>
        <w:rPr>
          <w:rFonts w:hint="eastAsia"/>
          <w:smallCaps w:val="0"/>
          <w:sz w:val="24"/>
          <w:szCs w:val="24"/>
          <w:lang w:val="en-US" w:eastAsia="zh-CN"/>
        </w:rPr>
        <w:t>1</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"_Toc3527" </w:instrText>
      </w:r>
      <w:r>
        <w:rPr>
          <w:sz w:val="24"/>
          <w:szCs w:val="24"/>
        </w:rPr>
        <w:fldChar w:fldCharType="separate"/>
      </w:r>
      <w:r>
        <w:rPr>
          <w:smallCaps w:val="0"/>
          <w:sz w:val="24"/>
          <w:szCs w:val="24"/>
        </w:rPr>
        <w:t>7.4 噪声治理措施分析</w:t>
      </w:r>
      <w:r>
        <w:rPr>
          <w:smallCaps w:val="0"/>
          <w:sz w:val="24"/>
          <w:szCs w:val="24"/>
        </w:rPr>
        <w:tab/>
      </w:r>
      <w:r>
        <w:rPr>
          <w:smallCaps w:val="0"/>
          <w:sz w:val="24"/>
          <w:szCs w:val="24"/>
        </w:rPr>
        <w:fldChar w:fldCharType="end"/>
      </w:r>
      <w:r>
        <w:rPr>
          <w:smallCaps w:val="0"/>
          <w:sz w:val="24"/>
          <w:szCs w:val="24"/>
        </w:rPr>
        <w:t>12</w:t>
      </w:r>
      <w:r>
        <w:rPr>
          <w:rFonts w:hint="eastAsia"/>
          <w:smallCaps w:val="0"/>
          <w:sz w:val="24"/>
          <w:szCs w:val="24"/>
          <w:lang w:val="en-US" w:eastAsia="zh-CN"/>
        </w:rPr>
        <w:t>2</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"_Toc3527" </w:instrText>
      </w:r>
      <w:r>
        <w:rPr>
          <w:sz w:val="24"/>
          <w:szCs w:val="24"/>
        </w:rPr>
        <w:fldChar w:fldCharType="separate"/>
      </w:r>
      <w:r>
        <w:rPr>
          <w:smallCaps w:val="0"/>
          <w:sz w:val="24"/>
          <w:szCs w:val="24"/>
        </w:rPr>
        <w:t>7.5 土壤治理措施分析</w:t>
      </w:r>
      <w:r>
        <w:rPr>
          <w:smallCaps w:val="0"/>
          <w:sz w:val="24"/>
          <w:szCs w:val="24"/>
        </w:rPr>
        <w:tab/>
      </w:r>
      <w:r>
        <w:rPr>
          <w:smallCaps w:val="0"/>
          <w:sz w:val="24"/>
          <w:szCs w:val="24"/>
        </w:rPr>
        <w:t>1</w:t>
      </w:r>
      <w:r>
        <w:rPr>
          <w:smallCaps w:val="0"/>
          <w:sz w:val="24"/>
          <w:szCs w:val="24"/>
        </w:rPr>
        <w:fldChar w:fldCharType="end"/>
      </w:r>
      <w:r>
        <w:rPr>
          <w:smallCaps w:val="0"/>
          <w:sz w:val="24"/>
          <w:szCs w:val="24"/>
        </w:rPr>
        <w:t>2</w:t>
      </w:r>
      <w:r>
        <w:rPr>
          <w:rFonts w:hint="eastAsia"/>
          <w:smallCaps w:val="0"/>
          <w:sz w:val="24"/>
          <w:szCs w:val="24"/>
          <w:lang w:val="en-US" w:eastAsia="zh-CN"/>
        </w:rPr>
        <w:t>3</w:t>
      </w:r>
    </w:p>
    <w:p>
      <w:pPr>
        <w:pStyle w:val="39"/>
        <w:tabs>
          <w:tab w:val="right" w:leader="dot" w:pos="8902"/>
        </w:tabs>
        <w:rPr>
          <w:rFonts w:hint="eastAsia" w:eastAsia="宋体"/>
          <w:sz w:val="24"/>
          <w:szCs w:val="24"/>
          <w:lang w:eastAsia="zh-CN"/>
        </w:rPr>
      </w:pPr>
      <w:r>
        <w:rPr>
          <w:sz w:val="24"/>
          <w:szCs w:val="24"/>
        </w:rPr>
        <w:fldChar w:fldCharType="begin"/>
      </w:r>
      <w:r>
        <w:rPr>
          <w:sz w:val="24"/>
          <w:szCs w:val="24"/>
        </w:rPr>
        <w:instrText xml:space="preserve"> HYPERLINK \l "_Toc3527" </w:instrText>
      </w:r>
      <w:r>
        <w:rPr>
          <w:sz w:val="24"/>
          <w:szCs w:val="24"/>
        </w:rPr>
        <w:fldChar w:fldCharType="separate"/>
      </w:r>
      <w:r>
        <w:rPr>
          <w:smallCaps w:val="0"/>
          <w:sz w:val="24"/>
          <w:szCs w:val="24"/>
        </w:rPr>
        <w:t>7.6 固废处理措施分析</w:t>
      </w:r>
      <w:r>
        <w:rPr>
          <w:smallCaps w:val="0"/>
          <w:sz w:val="24"/>
          <w:szCs w:val="24"/>
        </w:rPr>
        <w:tab/>
      </w:r>
      <w:r>
        <w:rPr>
          <w:smallCaps w:val="0"/>
          <w:sz w:val="24"/>
          <w:szCs w:val="24"/>
        </w:rPr>
        <w:t>1</w:t>
      </w:r>
      <w:r>
        <w:rPr>
          <w:smallCaps w:val="0"/>
          <w:sz w:val="24"/>
          <w:szCs w:val="24"/>
        </w:rPr>
        <w:fldChar w:fldCharType="end"/>
      </w:r>
      <w:r>
        <w:rPr>
          <w:smallCaps w:val="0"/>
          <w:sz w:val="24"/>
          <w:szCs w:val="24"/>
        </w:rPr>
        <w:t>2</w:t>
      </w:r>
      <w:r>
        <w:rPr>
          <w:rFonts w:hint="eastAsia"/>
          <w:smallCaps w:val="0"/>
          <w:sz w:val="24"/>
          <w:szCs w:val="24"/>
          <w:lang w:val="en-US" w:eastAsia="zh-CN"/>
        </w:rPr>
        <w:t>3</w:t>
      </w:r>
    </w:p>
    <w:p>
      <w:pPr>
        <w:pStyle w:val="34"/>
        <w:tabs>
          <w:tab w:val="right" w:leader="dot" w:pos="8902"/>
        </w:tabs>
        <w:rPr>
          <w:rFonts w:hint="eastAsia" w:eastAsia="宋体"/>
          <w:b w:val="0"/>
          <w:caps w:val="0"/>
          <w:sz w:val="24"/>
          <w:szCs w:val="24"/>
          <w:lang w:eastAsia="zh-CN"/>
        </w:rPr>
      </w:pPr>
      <w:r>
        <w:rPr>
          <w:sz w:val="24"/>
          <w:szCs w:val="24"/>
        </w:rPr>
        <w:fldChar w:fldCharType="begin"/>
      </w:r>
      <w:r>
        <w:rPr>
          <w:sz w:val="24"/>
          <w:szCs w:val="24"/>
        </w:rPr>
        <w:instrText xml:space="preserve"> HYPERLINK \l "_Toc27407" </w:instrText>
      </w:r>
      <w:r>
        <w:rPr>
          <w:sz w:val="24"/>
          <w:szCs w:val="24"/>
        </w:rPr>
        <w:fldChar w:fldCharType="separate"/>
      </w:r>
      <w:r>
        <w:rPr>
          <w:b w:val="0"/>
          <w:caps w:val="0"/>
          <w:sz w:val="24"/>
          <w:szCs w:val="24"/>
        </w:rPr>
        <w:t>8 环境风险分析及防控措施</w:t>
      </w:r>
      <w:r>
        <w:rPr>
          <w:b w:val="0"/>
          <w:caps w:val="0"/>
          <w:sz w:val="24"/>
          <w:szCs w:val="24"/>
        </w:rPr>
        <w:tab/>
      </w:r>
      <w:r>
        <w:rPr>
          <w:b w:val="0"/>
          <w:caps w:val="0"/>
          <w:sz w:val="24"/>
          <w:szCs w:val="24"/>
        </w:rPr>
        <w:fldChar w:fldCharType="end"/>
      </w:r>
      <w:r>
        <w:rPr>
          <w:b w:val="0"/>
          <w:bCs w:val="0"/>
          <w:caps w:val="0"/>
          <w:sz w:val="24"/>
          <w:szCs w:val="24"/>
        </w:rPr>
        <w:t>12</w:t>
      </w:r>
      <w:r>
        <w:rPr>
          <w:rFonts w:hint="eastAsia"/>
          <w:b w:val="0"/>
          <w:bCs w:val="0"/>
          <w:caps w:val="0"/>
          <w:sz w:val="24"/>
          <w:szCs w:val="24"/>
          <w:lang w:val="en-US" w:eastAsia="zh-CN"/>
        </w:rPr>
        <w:t>4</w:t>
      </w:r>
    </w:p>
    <w:p>
      <w:pPr>
        <w:pStyle w:val="39"/>
        <w:tabs>
          <w:tab w:val="right" w:leader="dot" w:pos="8902"/>
        </w:tabs>
        <w:rPr>
          <w:rFonts w:hint="eastAsia" w:eastAsia="宋体"/>
          <w:sz w:val="24"/>
          <w:szCs w:val="24"/>
          <w:lang w:eastAsia="zh-CN"/>
        </w:rPr>
      </w:pPr>
      <w:r>
        <w:rPr>
          <w:sz w:val="24"/>
          <w:szCs w:val="24"/>
        </w:rPr>
        <w:fldChar w:fldCharType="begin"/>
      </w:r>
      <w:r>
        <w:rPr>
          <w:sz w:val="24"/>
          <w:szCs w:val="24"/>
        </w:rPr>
        <w:instrText xml:space="preserve"> HYPERLINK \l "_Toc32664" </w:instrText>
      </w:r>
      <w:r>
        <w:rPr>
          <w:sz w:val="24"/>
          <w:szCs w:val="24"/>
        </w:rPr>
        <w:fldChar w:fldCharType="separate"/>
      </w:r>
      <w:r>
        <w:rPr>
          <w:smallCaps w:val="0"/>
          <w:sz w:val="24"/>
          <w:szCs w:val="24"/>
        </w:rPr>
        <w:t>8.1 评价目的</w:t>
      </w:r>
      <w:r>
        <w:rPr>
          <w:smallCaps w:val="0"/>
          <w:sz w:val="24"/>
          <w:szCs w:val="24"/>
        </w:rPr>
        <w:tab/>
      </w:r>
      <w:r>
        <w:rPr>
          <w:smallCaps w:val="0"/>
          <w:sz w:val="24"/>
          <w:szCs w:val="24"/>
        </w:rPr>
        <w:fldChar w:fldCharType="end"/>
      </w:r>
      <w:r>
        <w:rPr>
          <w:smallCaps w:val="0"/>
          <w:sz w:val="24"/>
          <w:szCs w:val="24"/>
        </w:rPr>
        <w:t>12</w:t>
      </w:r>
      <w:r>
        <w:rPr>
          <w:rFonts w:hint="eastAsia"/>
          <w:smallCaps w:val="0"/>
          <w:sz w:val="24"/>
          <w:szCs w:val="24"/>
          <w:lang w:val="en-US" w:eastAsia="zh-CN"/>
        </w:rPr>
        <w:t>4</w:t>
      </w:r>
    </w:p>
    <w:p>
      <w:pPr>
        <w:pStyle w:val="39"/>
        <w:tabs>
          <w:tab w:val="right" w:leader="dot" w:pos="8902"/>
        </w:tabs>
        <w:rPr>
          <w:rFonts w:hint="eastAsia" w:eastAsia="宋体"/>
          <w:smallCaps w:val="0"/>
          <w:sz w:val="24"/>
          <w:szCs w:val="24"/>
          <w:lang w:eastAsia="zh-CN"/>
        </w:rPr>
      </w:pPr>
      <w:r>
        <w:rPr>
          <w:sz w:val="24"/>
          <w:szCs w:val="24"/>
        </w:rPr>
        <w:fldChar w:fldCharType="end"/>
      </w:r>
      <w:r>
        <w:rPr>
          <w:sz w:val="24"/>
          <w:szCs w:val="24"/>
        </w:rPr>
        <w:fldChar w:fldCharType="begin"/>
      </w:r>
      <w:r>
        <w:rPr>
          <w:sz w:val="24"/>
          <w:szCs w:val="24"/>
        </w:rPr>
        <w:instrText xml:space="preserve"> HYPERLINK \l "_Toc5766" </w:instrText>
      </w:r>
      <w:r>
        <w:rPr>
          <w:sz w:val="24"/>
          <w:szCs w:val="24"/>
        </w:rPr>
        <w:fldChar w:fldCharType="separate"/>
      </w:r>
      <w:r>
        <w:rPr>
          <w:sz w:val="24"/>
          <w:szCs w:val="24"/>
        </w:rPr>
        <w:t>8</w:t>
      </w:r>
      <w:r>
        <w:rPr>
          <w:smallCaps w:val="0"/>
          <w:sz w:val="24"/>
          <w:szCs w:val="24"/>
        </w:rPr>
        <w:t xml:space="preserve">.2 </w:t>
      </w:r>
      <w:r>
        <w:rPr>
          <w:sz w:val="24"/>
          <w:szCs w:val="24"/>
        </w:rPr>
        <w:t>环境风险识别与环境风险分析</w:t>
      </w:r>
      <w:r>
        <w:rPr>
          <w:smallCaps w:val="0"/>
          <w:sz w:val="24"/>
          <w:szCs w:val="24"/>
        </w:rPr>
        <w:tab/>
      </w:r>
      <w:r>
        <w:rPr>
          <w:smallCaps w:val="0"/>
          <w:sz w:val="24"/>
          <w:szCs w:val="24"/>
        </w:rPr>
        <w:fldChar w:fldCharType="end"/>
      </w:r>
      <w:r>
        <w:rPr>
          <w:smallCaps w:val="0"/>
          <w:sz w:val="24"/>
          <w:szCs w:val="24"/>
        </w:rPr>
        <w:t>12</w:t>
      </w:r>
      <w:r>
        <w:rPr>
          <w:rFonts w:hint="eastAsia"/>
          <w:smallCaps w:val="0"/>
          <w:sz w:val="24"/>
          <w:szCs w:val="24"/>
          <w:lang w:val="en-US" w:eastAsia="zh-CN"/>
        </w:rPr>
        <w:t>4</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"_Toc23990" </w:instrText>
      </w:r>
      <w:r>
        <w:rPr>
          <w:sz w:val="24"/>
          <w:szCs w:val="24"/>
        </w:rPr>
        <w:fldChar w:fldCharType="separate"/>
      </w:r>
      <w:r>
        <w:rPr>
          <w:smallCaps w:val="0"/>
          <w:sz w:val="24"/>
          <w:szCs w:val="24"/>
        </w:rPr>
        <w:t>8.3</w:t>
      </w:r>
      <w:r>
        <w:rPr>
          <w:sz w:val="24"/>
          <w:szCs w:val="24"/>
        </w:rPr>
        <w:t>环境风险应急预案</w:t>
      </w:r>
      <w:r>
        <w:rPr>
          <w:smallCaps w:val="0"/>
          <w:sz w:val="24"/>
          <w:szCs w:val="24"/>
        </w:rPr>
        <w:tab/>
      </w:r>
      <w:r>
        <w:rPr>
          <w:smallCaps w:val="0"/>
          <w:sz w:val="24"/>
          <w:szCs w:val="24"/>
        </w:rPr>
        <w:fldChar w:fldCharType="end"/>
      </w:r>
      <w:r>
        <w:rPr>
          <w:smallCaps w:val="0"/>
          <w:sz w:val="24"/>
          <w:szCs w:val="24"/>
        </w:rPr>
        <w:t>13</w:t>
      </w:r>
      <w:r>
        <w:rPr>
          <w:rFonts w:hint="eastAsia"/>
          <w:smallCaps w:val="0"/>
          <w:sz w:val="24"/>
          <w:szCs w:val="24"/>
          <w:lang w:val="en-US" w:eastAsia="zh-CN"/>
        </w:rPr>
        <w:t>1</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"_Toc28914" </w:instrText>
      </w:r>
      <w:r>
        <w:rPr>
          <w:sz w:val="24"/>
          <w:szCs w:val="24"/>
        </w:rPr>
        <w:fldChar w:fldCharType="separate"/>
      </w:r>
      <w:r>
        <w:rPr>
          <w:smallCaps w:val="0"/>
          <w:sz w:val="24"/>
          <w:szCs w:val="24"/>
        </w:rPr>
        <w:t>8.4</w:t>
      </w:r>
      <w:r>
        <w:rPr>
          <w:sz w:val="24"/>
          <w:szCs w:val="24"/>
        </w:rPr>
        <w:t>风险评价结论</w:t>
      </w:r>
      <w:r>
        <w:rPr>
          <w:smallCaps w:val="0"/>
          <w:sz w:val="24"/>
          <w:szCs w:val="24"/>
        </w:rPr>
        <w:tab/>
      </w:r>
      <w:r>
        <w:rPr>
          <w:smallCaps w:val="0"/>
          <w:sz w:val="24"/>
          <w:szCs w:val="24"/>
        </w:rPr>
        <w:fldChar w:fldCharType="end"/>
      </w:r>
      <w:r>
        <w:rPr>
          <w:smallCaps w:val="0"/>
          <w:sz w:val="24"/>
          <w:szCs w:val="24"/>
        </w:rPr>
        <w:t>13</w:t>
      </w:r>
      <w:r>
        <w:rPr>
          <w:rFonts w:hint="eastAsia"/>
          <w:smallCaps w:val="0"/>
          <w:sz w:val="24"/>
          <w:szCs w:val="24"/>
          <w:lang w:val="en-US" w:eastAsia="zh-CN"/>
        </w:rPr>
        <w:t>3</w:t>
      </w:r>
    </w:p>
    <w:p>
      <w:pPr>
        <w:pStyle w:val="34"/>
        <w:tabs>
          <w:tab w:val="right" w:leader="dot" w:pos="8902"/>
        </w:tabs>
        <w:rPr>
          <w:rFonts w:hint="eastAsia" w:eastAsia="宋体"/>
          <w:b w:val="0"/>
          <w:caps w:val="0"/>
          <w:sz w:val="24"/>
          <w:szCs w:val="24"/>
          <w:lang w:eastAsia="zh-CN"/>
        </w:rPr>
      </w:pPr>
      <w:r>
        <w:rPr>
          <w:sz w:val="24"/>
          <w:szCs w:val="24"/>
        </w:rPr>
        <w:fldChar w:fldCharType="begin"/>
      </w:r>
      <w:r>
        <w:rPr>
          <w:sz w:val="24"/>
          <w:szCs w:val="24"/>
        </w:rPr>
        <w:instrText xml:space="preserve"> HYPERLINK \l "_Toc32315" </w:instrText>
      </w:r>
      <w:r>
        <w:rPr>
          <w:sz w:val="24"/>
          <w:szCs w:val="24"/>
        </w:rPr>
        <w:fldChar w:fldCharType="separate"/>
      </w:r>
      <w:r>
        <w:rPr>
          <w:b w:val="0"/>
          <w:caps w:val="0"/>
          <w:sz w:val="24"/>
          <w:szCs w:val="24"/>
        </w:rPr>
        <w:t>9 环境经济损益分析</w:t>
      </w:r>
      <w:r>
        <w:rPr>
          <w:b w:val="0"/>
          <w:caps w:val="0"/>
          <w:sz w:val="24"/>
          <w:szCs w:val="24"/>
        </w:rPr>
        <w:tab/>
      </w:r>
      <w:r>
        <w:rPr>
          <w:b w:val="0"/>
          <w:caps w:val="0"/>
          <w:sz w:val="24"/>
          <w:szCs w:val="24"/>
        </w:rPr>
        <w:fldChar w:fldCharType="end"/>
      </w:r>
      <w:r>
        <w:rPr>
          <w:b w:val="0"/>
          <w:caps w:val="0"/>
          <w:sz w:val="24"/>
          <w:szCs w:val="24"/>
        </w:rPr>
        <w:t>13</w:t>
      </w:r>
      <w:r>
        <w:rPr>
          <w:rFonts w:hint="eastAsia"/>
          <w:b w:val="0"/>
          <w:caps w:val="0"/>
          <w:sz w:val="24"/>
          <w:szCs w:val="24"/>
          <w:lang w:val="en-US" w:eastAsia="zh-CN"/>
        </w:rPr>
        <w:t>4</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"_Toc8383" </w:instrText>
      </w:r>
      <w:r>
        <w:rPr>
          <w:sz w:val="24"/>
          <w:szCs w:val="24"/>
        </w:rPr>
        <w:fldChar w:fldCharType="separate"/>
      </w:r>
      <w:r>
        <w:rPr>
          <w:smallCaps w:val="0"/>
          <w:sz w:val="24"/>
          <w:szCs w:val="24"/>
        </w:rPr>
        <w:t>9.1 环境效益分析</w:t>
      </w:r>
      <w:r>
        <w:rPr>
          <w:smallCaps w:val="0"/>
          <w:sz w:val="24"/>
          <w:szCs w:val="24"/>
        </w:rPr>
        <w:tab/>
      </w:r>
      <w:r>
        <w:rPr>
          <w:smallCaps w:val="0"/>
          <w:sz w:val="24"/>
          <w:szCs w:val="24"/>
        </w:rPr>
        <w:t>1</w:t>
      </w:r>
      <w:r>
        <w:rPr>
          <w:smallCaps w:val="0"/>
          <w:sz w:val="24"/>
          <w:szCs w:val="24"/>
        </w:rPr>
        <w:fldChar w:fldCharType="end"/>
      </w:r>
      <w:r>
        <w:rPr>
          <w:smallCaps w:val="0"/>
          <w:sz w:val="24"/>
          <w:szCs w:val="24"/>
        </w:rPr>
        <w:t>3</w:t>
      </w:r>
      <w:r>
        <w:rPr>
          <w:rFonts w:hint="eastAsia"/>
          <w:smallCaps w:val="0"/>
          <w:sz w:val="24"/>
          <w:szCs w:val="24"/>
          <w:lang w:val="en-US" w:eastAsia="zh-CN"/>
        </w:rPr>
        <w:t>4</w:t>
      </w:r>
    </w:p>
    <w:p>
      <w:pPr>
        <w:pStyle w:val="39"/>
        <w:tabs>
          <w:tab w:val="right" w:leader="dot" w:pos="8902"/>
        </w:tabs>
        <w:rPr>
          <w:smallCaps w:val="0"/>
          <w:sz w:val="24"/>
          <w:szCs w:val="24"/>
        </w:rPr>
      </w:pPr>
      <w:r>
        <w:rPr>
          <w:sz w:val="24"/>
          <w:szCs w:val="24"/>
        </w:rPr>
        <w:fldChar w:fldCharType="begin"/>
      </w:r>
      <w:r>
        <w:rPr>
          <w:sz w:val="24"/>
          <w:szCs w:val="24"/>
        </w:rPr>
        <w:instrText xml:space="preserve"> HYPERLINK \l "_Toc27513" </w:instrText>
      </w:r>
      <w:r>
        <w:rPr>
          <w:sz w:val="24"/>
          <w:szCs w:val="24"/>
        </w:rPr>
        <w:fldChar w:fldCharType="separate"/>
      </w:r>
      <w:r>
        <w:rPr>
          <w:smallCaps w:val="0"/>
          <w:sz w:val="24"/>
          <w:szCs w:val="24"/>
        </w:rPr>
        <w:t>9.2 社会效益</w:t>
      </w:r>
      <w:r>
        <w:rPr>
          <w:smallCaps w:val="0"/>
          <w:sz w:val="24"/>
          <w:szCs w:val="24"/>
        </w:rPr>
        <w:tab/>
      </w:r>
      <w:r>
        <w:rPr>
          <w:smallCaps w:val="0"/>
          <w:sz w:val="24"/>
          <w:szCs w:val="24"/>
        </w:rPr>
        <w:fldChar w:fldCharType="end"/>
      </w:r>
      <w:r>
        <w:rPr>
          <w:smallCaps w:val="0"/>
          <w:sz w:val="24"/>
          <w:szCs w:val="24"/>
        </w:rPr>
        <w:t>13</w:t>
      </w:r>
      <w:r>
        <w:rPr>
          <w:rFonts w:hint="eastAsia"/>
          <w:smallCaps w:val="0"/>
          <w:sz w:val="24"/>
          <w:szCs w:val="24"/>
          <w:lang w:val="en-US" w:eastAsia="zh-CN"/>
        </w:rPr>
        <w:t>5</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"_Toc23215" </w:instrText>
      </w:r>
      <w:r>
        <w:rPr>
          <w:sz w:val="24"/>
          <w:szCs w:val="24"/>
        </w:rPr>
        <w:fldChar w:fldCharType="separate"/>
      </w:r>
      <w:r>
        <w:rPr>
          <w:smallCaps w:val="0"/>
          <w:sz w:val="24"/>
          <w:szCs w:val="24"/>
        </w:rPr>
        <w:t>9.3经济效益</w:t>
      </w:r>
      <w:r>
        <w:rPr>
          <w:smallCaps w:val="0"/>
          <w:sz w:val="24"/>
          <w:szCs w:val="24"/>
        </w:rPr>
        <w:tab/>
      </w:r>
      <w:r>
        <w:rPr>
          <w:smallCaps w:val="0"/>
          <w:sz w:val="24"/>
          <w:szCs w:val="24"/>
        </w:rPr>
        <w:t>1</w:t>
      </w:r>
      <w:r>
        <w:rPr>
          <w:smallCaps w:val="0"/>
          <w:sz w:val="24"/>
          <w:szCs w:val="24"/>
        </w:rPr>
        <w:fldChar w:fldCharType="end"/>
      </w:r>
      <w:r>
        <w:rPr>
          <w:smallCaps w:val="0"/>
          <w:sz w:val="24"/>
          <w:szCs w:val="24"/>
        </w:rPr>
        <w:t>3</w:t>
      </w:r>
      <w:r>
        <w:rPr>
          <w:rFonts w:hint="eastAsia"/>
          <w:smallCaps w:val="0"/>
          <w:sz w:val="24"/>
          <w:szCs w:val="24"/>
          <w:lang w:val="en-US" w:eastAsia="zh-CN"/>
        </w:rPr>
        <w:t>5</w:t>
      </w:r>
    </w:p>
    <w:p>
      <w:pPr>
        <w:pStyle w:val="34"/>
        <w:tabs>
          <w:tab w:val="right" w:leader="dot" w:pos="8902"/>
        </w:tabs>
        <w:rPr>
          <w:b w:val="0"/>
          <w:caps w:val="0"/>
          <w:sz w:val="24"/>
          <w:szCs w:val="24"/>
        </w:rPr>
      </w:pPr>
      <w:r>
        <w:rPr>
          <w:sz w:val="24"/>
          <w:szCs w:val="24"/>
        </w:rPr>
        <w:fldChar w:fldCharType="begin"/>
      </w:r>
      <w:r>
        <w:rPr>
          <w:sz w:val="24"/>
          <w:szCs w:val="24"/>
        </w:rPr>
        <w:instrText xml:space="preserve"> HYPERLINK \l "_Toc28002" </w:instrText>
      </w:r>
      <w:r>
        <w:rPr>
          <w:sz w:val="24"/>
          <w:szCs w:val="24"/>
        </w:rPr>
        <w:fldChar w:fldCharType="separate"/>
      </w:r>
      <w:r>
        <w:rPr>
          <w:b w:val="0"/>
          <w:caps w:val="0"/>
          <w:sz w:val="24"/>
          <w:szCs w:val="24"/>
        </w:rPr>
        <w:t>10 环境管理与监测计划</w:t>
      </w:r>
      <w:r>
        <w:rPr>
          <w:b w:val="0"/>
          <w:caps w:val="0"/>
          <w:sz w:val="24"/>
          <w:szCs w:val="24"/>
        </w:rPr>
        <w:tab/>
      </w:r>
      <w:r>
        <w:rPr>
          <w:b w:val="0"/>
          <w:caps w:val="0"/>
          <w:sz w:val="24"/>
          <w:szCs w:val="24"/>
        </w:rPr>
        <w:t>1</w:t>
      </w:r>
      <w:r>
        <w:rPr>
          <w:rFonts w:hint="eastAsia"/>
          <w:b w:val="0"/>
          <w:caps w:val="0"/>
          <w:sz w:val="24"/>
          <w:szCs w:val="24"/>
        </w:rPr>
        <w:t>3</w:t>
      </w:r>
      <w:r>
        <w:rPr>
          <w:rFonts w:hint="eastAsia"/>
          <w:b w:val="0"/>
          <w:caps w:val="0"/>
          <w:sz w:val="24"/>
          <w:szCs w:val="24"/>
        </w:rPr>
        <w:fldChar w:fldCharType="end"/>
      </w:r>
      <w:r>
        <w:rPr>
          <w:rFonts w:hint="eastAsia"/>
          <w:b w:val="0"/>
          <w:caps w:val="0"/>
          <w:sz w:val="24"/>
          <w:szCs w:val="24"/>
          <w:lang w:val="en-US" w:eastAsia="zh-CN"/>
        </w:rPr>
        <w:t>7</w:t>
      </w:r>
    </w:p>
    <w:p>
      <w:pPr>
        <w:pStyle w:val="39"/>
        <w:tabs>
          <w:tab w:val="right" w:leader="dot" w:pos="8902"/>
        </w:tabs>
        <w:rPr>
          <w:rFonts w:hint="eastAsia" w:eastAsia="宋体"/>
          <w:smallCaps w:val="0"/>
          <w:sz w:val="24"/>
          <w:szCs w:val="24"/>
          <w:lang w:val="en-US" w:eastAsia="zh-CN"/>
        </w:rPr>
      </w:pPr>
      <w:r>
        <w:rPr>
          <w:sz w:val="24"/>
          <w:szCs w:val="24"/>
        </w:rPr>
        <w:fldChar w:fldCharType="begin"/>
      </w:r>
      <w:r>
        <w:rPr>
          <w:sz w:val="24"/>
          <w:szCs w:val="24"/>
        </w:rPr>
        <w:instrText xml:space="preserve"> HYPERLINK \l "_Toc27878" </w:instrText>
      </w:r>
      <w:r>
        <w:rPr>
          <w:sz w:val="24"/>
          <w:szCs w:val="24"/>
        </w:rPr>
        <w:fldChar w:fldCharType="separate"/>
      </w:r>
      <w:r>
        <w:rPr>
          <w:smallCaps w:val="0"/>
          <w:sz w:val="24"/>
          <w:szCs w:val="24"/>
        </w:rPr>
        <w:t>10.1 环境保护管理</w:t>
      </w:r>
      <w:r>
        <w:rPr>
          <w:smallCaps w:val="0"/>
          <w:sz w:val="24"/>
          <w:szCs w:val="24"/>
        </w:rPr>
        <w:tab/>
      </w:r>
      <w:r>
        <w:rPr>
          <w:smallCaps w:val="0"/>
          <w:sz w:val="24"/>
          <w:szCs w:val="24"/>
        </w:rPr>
        <w:t>1</w:t>
      </w:r>
      <w:r>
        <w:rPr>
          <w:rFonts w:hint="eastAsia"/>
          <w:smallCaps w:val="0"/>
          <w:sz w:val="24"/>
          <w:szCs w:val="24"/>
        </w:rPr>
        <w:t>3</w:t>
      </w:r>
      <w:r>
        <w:rPr>
          <w:rFonts w:hint="eastAsia"/>
          <w:smallCaps w:val="0"/>
          <w:sz w:val="24"/>
          <w:szCs w:val="24"/>
        </w:rPr>
        <w:fldChar w:fldCharType="end"/>
      </w:r>
      <w:r>
        <w:rPr>
          <w:rFonts w:hint="eastAsia"/>
          <w:smallCaps w:val="0"/>
          <w:sz w:val="24"/>
          <w:szCs w:val="24"/>
          <w:lang w:val="en-US" w:eastAsia="zh-CN"/>
        </w:rPr>
        <w:t>7</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"_Toc32434" </w:instrText>
      </w:r>
      <w:r>
        <w:rPr>
          <w:sz w:val="24"/>
          <w:szCs w:val="24"/>
        </w:rPr>
        <w:fldChar w:fldCharType="separate"/>
      </w:r>
      <w:r>
        <w:rPr>
          <w:smallCaps w:val="0"/>
          <w:sz w:val="24"/>
          <w:szCs w:val="24"/>
        </w:rPr>
        <w:t>10.2 施工期的环境管理</w:t>
      </w:r>
      <w:r>
        <w:rPr>
          <w:smallCaps w:val="0"/>
          <w:sz w:val="24"/>
          <w:szCs w:val="24"/>
        </w:rPr>
        <w:tab/>
      </w:r>
      <w:r>
        <w:rPr>
          <w:smallCaps w:val="0"/>
          <w:sz w:val="24"/>
          <w:szCs w:val="24"/>
        </w:rPr>
        <w:fldChar w:fldCharType="end"/>
      </w:r>
      <w:r>
        <w:rPr>
          <w:smallCaps w:val="0"/>
          <w:sz w:val="24"/>
          <w:szCs w:val="24"/>
        </w:rPr>
        <w:t>1</w:t>
      </w:r>
      <w:r>
        <w:rPr>
          <w:rFonts w:hint="eastAsia"/>
          <w:smallCaps w:val="0"/>
          <w:sz w:val="24"/>
          <w:szCs w:val="24"/>
        </w:rPr>
        <w:t>3</w:t>
      </w:r>
      <w:r>
        <w:rPr>
          <w:rFonts w:hint="eastAsia"/>
          <w:smallCaps w:val="0"/>
          <w:sz w:val="24"/>
          <w:szCs w:val="24"/>
          <w:lang w:val="en-US" w:eastAsia="zh-CN"/>
        </w:rPr>
        <w:t>8</w:t>
      </w:r>
    </w:p>
    <w:p>
      <w:pPr>
        <w:pStyle w:val="39"/>
        <w:tabs>
          <w:tab w:val="right" w:leader="dot" w:pos="8902"/>
        </w:tabs>
        <w:rPr>
          <w:rFonts w:hint="default" w:eastAsia="宋体"/>
          <w:smallCaps w:val="0"/>
          <w:sz w:val="24"/>
          <w:szCs w:val="24"/>
          <w:lang w:val="en-US" w:eastAsia="zh-CN"/>
        </w:rPr>
      </w:pPr>
      <w:r>
        <w:rPr>
          <w:sz w:val="24"/>
          <w:szCs w:val="24"/>
        </w:rPr>
        <w:fldChar w:fldCharType="begin"/>
      </w:r>
      <w:r>
        <w:rPr>
          <w:sz w:val="24"/>
          <w:szCs w:val="24"/>
        </w:rPr>
        <w:instrText xml:space="preserve"> HYPERLINK \l "_Toc1202" </w:instrText>
      </w:r>
      <w:r>
        <w:rPr>
          <w:sz w:val="24"/>
          <w:szCs w:val="24"/>
        </w:rPr>
        <w:fldChar w:fldCharType="separate"/>
      </w:r>
      <w:r>
        <w:rPr>
          <w:smallCaps w:val="0"/>
          <w:sz w:val="24"/>
          <w:szCs w:val="24"/>
        </w:rPr>
        <w:t>10.3 污染物排放管理要求</w:t>
      </w:r>
      <w:r>
        <w:rPr>
          <w:smallCaps w:val="0"/>
          <w:sz w:val="24"/>
          <w:szCs w:val="24"/>
        </w:rPr>
        <w:tab/>
      </w:r>
      <w:r>
        <w:rPr>
          <w:smallCaps w:val="0"/>
          <w:sz w:val="24"/>
          <w:szCs w:val="24"/>
        </w:rPr>
        <w:t>1</w:t>
      </w:r>
      <w:r>
        <w:rPr>
          <w:smallCaps w:val="0"/>
          <w:sz w:val="24"/>
          <w:szCs w:val="24"/>
        </w:rPr>
        <w:fldChar w:fldCharType="end"/>
      </w:r>
      <w:r>
        <w:rPr>
          <w:rFonts w:hint="eastAsia"/>
          <w:smallCaps w:val="0"/>
          <w:sz w:val="24"/>
          <w:szCs w:val="24"/>
          <w:lang w:val="en-US" w:eastAsia="zh-CN"/>
        </w:rPr>
        <w:t>39</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"_Toc28184" </w:instrText>
      </w:r>
      <w:r>
        <w:rPr>
          <w:sz w:val="24"/>
          <w:szCs w:val="24"/>
        </w:rPr>
        <w:fldChar w:fldCharType="separate"/>
      </w:r>
      <w:r>
        <w:rPr>
          <w:smallCaps w:val="0"/>
          <w:sz w:val="24"/>
          <w:szCs w:val="24"/>
        </w:rPr>
        <w:t>10.4 排污许可证制度</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0</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"_Toc21042" </w:instrText>
      </w:r>
      <w:r>
        <w:rPr>
          <w:sz w:val="24"/>
          <w:szCs w:val="24"/>
        </w:rPr>
        <w:fldChar w:fldCharType="separate"/>
      </w:r>
      <w:r>
        <w:rPr>
          <w:smallCaps w:val="0"/>
          <w:sz w:val="24"/>
          <w:szCs w:val="24"/>
        </w:rPr>
        <w:t>10.5 排污口规范化管理</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0</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"_Toc29506" </w:instrText>
      </w:r>
      <w:r>
        <w:rPr>
          <w:sz w:val="24"/>
          <w:szCs w:val="24"/>
        </w:rPr>
        <w:fldChar w:fldCharType="separate"/>
      </w:r>
      <w:r>
        <w:rPr>
          <w:smallCaps w:val="0"/>
          <w:sz w:val="24"/>
          <w:szCs w:val="24"/>
        </w:rPr>
        <w:t>10.6 环境监控机构设置</w:t>
      </w:r>
      <w:r>
        <w:rPr>
          <w:smallCaps w:val="0"/>
          <w:sz w:val="24"/>
          <w:szCs w:val="24"/>
        </w:rPr>
        <w:tab/>
      </w:r>
      <w:r>
        <w:rPr>
          <w:smallCaps w:val="0"/>
          <w:sz w:val="24"/>
          <w:szCs w:val="24"/>
        </w:rPr>
        <w:fldChar w:fldCharType="end"/>
      </w:r>
      <w:r>
        <w:rPr>
          <w:smallCaps w:val="0"/>
          <w:sz w:val="24"/>
          <w:szCs w:val="24"/>
        </w:rPr>
        <w:t>14</w:t>
      </w:r>
      <w:r>
        <w:rPr>
          <w:rFonts w:hint="eastAsia"/>
          <w:smallCaps w:val="0"/>
          <w:sz w:val="24"/>
          <w:szCs w:val="24"/>
          <w:lang w:val="en-US" w:eastAsia="zh-CN"/>
        </w:rPr>
        <w:t>1</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"_Toc27692" </w:instrText>
      </w:r>
      <w:r>
        <w:rPr>
          <w:sz w:val="24"/>
          <w:szCs w:val="24"/>
        </w:rPr>
        <w:fldChar w:fldCharType="separate"/>
      </w:r>
      <w:r>
        <w:rPr>
          <w:smallCaps w:val="0"/>
          <w:sz w:val="24"/>
          <w:szCs w:val="24"/>
        </w:rPr>
        <w:t>10.7 环保设施验收监测</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2</w:t>
      </w:r>
    </w:p>
    <w:p>
      <w:pPr>
        <w:pStyle w:val="34"/>
        <w:tabs>
          <w:tab w:val="right" w:leader="dot" w:pos="8902"/>
        </w:tabs>
        <w:rPr>
          <w:rFonts w:hint="eastAsia" w:eastAsia="宋体"/>
          <w:b w:val="0"/>
          <w:caps w:val="0"/>
          <w:sz w:val="24"/>
          <w:szCs w:val="24"/>
          <w:lang w:eastAsia="zh-CN"/>
        </w:rPr>
      </w:pPr>
      <w:r>
        <w:rPr>
          <w:sz w:val="24"/>
          <w:szCs w:val="24"/>
        </w:rPr>
        <w:fldChar w:fldCharType="begin"/>
      </w:r>
      <w:r>
        <w:rPr>
          <w:sz w:val="24"/>
          <w:szCs w:val="24"/>
        </w:rPr>
        <w:instrText xml:space="preserve"> HYPERLINK \l "_Toc5393" </w:instrText>
      </w:r>
      <w:r>
        <w:rPr>
          <w:sz w:val="24"/>
          <w:szCs w:val="24"/>
        </w:rPr>
        <w:fldChar w:fldCharType="separate"/>
      </w:r>
      <w:r>
        <w:rPr>
          <w:b w:val="0"/>
          <w:caps w:val="0"/>
          <w:sz w:val="24"/>
          <w:szCs w:val="24"/>
        </w:rPr>
        <w:t>11 环境影响评价结论</w:t>
      </w:r>
      <w:r>
        <w:rPr>
          <w:b w:val="0"/>
          <w:caps w:val="0"/>
          <w:sz w:val="24"/>
          <w:szCs w:val="24"/>
        </w:rPr>
        <w:tab/>
      </w:r>
      <w:r>
        <w:rPr>
          <w:b w:val="0"/>
          <w:caps w:val="0"/>
          <w:sz w:val="24"/>
          <w:szCs w:val="24"/>
        </w:rPr>
        <w:t>1</w:t>
      </w:r>
      <w:r>
        <w:rPr>
          <w:b w:val="0"/>
          <w:caps w:val="0"/>
          <w:sz w:val="24"/>
          <w:szCs w:val="24"/>
        </w:rPr>
        <w:fldChar w:fldCharType="end"/>
      </w:r>
      <w:r>
        <w:rPr>
          <w:b w:val="0"/>
          <w:caps w:val="0"/>
          <w:sz w:val="24"/>
          <w:szCs w:val="24"/>
        </w:rPr>
        <w:t>4</w:t>
      </w:r>
      <w:r>
        <w:rPr>
          <w:rFonts w:hint="eastAsia"/>
          <w:b w:val="0"/>
          <w:caps w:val="0"/>
          <w:sz w:val="24"/>
          <w:szCs w:val="24"/>
          <w:lang w:val="en-US" w:eastAsia="zh-CN"/>
        </w:rPr>
        <w:t>4</w:t>
      </w:r>
    </w:p>
    <w:p>
      <w:pPr>
        <w:pStyle w:val="39"/>
        <w:tabs>
          <w:tab w:val="right" w:leader="dot" w:pos="8902"/>
        </w:tabs>
        <w:rPr>
          <w:rFonts w:hint="eastAsia" w:eastAsia="宋体"/>
          <w:smallCaps w:val="0"/>
          <w:sz w:val="24"/>
          <w:szCs w:val="24"/>
          <w:lang w:val="en-US" w:eastAsia="zh-CN"/>
        </w:rPr>
      </w:pPr>
      <w:r>
        <w:rPr>
          <w:sz w:val="24"/>
          <w:szCs w:val="24"/>
        </w:rPr>
        <w:fldChar w:fldCharType="begin"/>
      </w:r>
      <w:r>
        <w:rPr>
          <w:sz w:val="24"/>
          <w:szCs w:val="24"/>
        </w:rPr>
        <w:instrText xml:space="preserve"> HYPERLINK \l "_Toc5584" </w:instrText>
      </w:r>
      <w:r>
        <w:rPr>
          <w:sz w:val="24"/>
          <w:szCs w:val="24"/>
        </w:rPr>
        <w:fldChar w:fldCharType="separate"/>
      </w:r>
      <w:r>
        <w:rPr>
          <w:smallCaps w:val="0"/>
          <w:sz w:val="24"/>
          <w:szCs w:val="24"/>
        </w:rPr>
        <w:t>11.1 项目概况</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4</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"_Toc121" </w:instrText>
      </w:r>
      <w:r>
        <w:rPr>
          <w:sz w:val="24"/>
          <w:szCs w:val="24"/>
        </w:rPr>
        <w:fldChar w:fldCharType="separate"/>
      </w:r>
      <w:r>
        <w:rPr>
          <w:smallCaps w:val="0"/>
          <w:sz w:val="24"/>
          <w:szCs w:val="24"/>
        </w:rPr>
        <w:t>11.2 环境质量现状</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4</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"_Toc7228" </w:instrText>
      </w:r>
      <w:r>
        <w:rPr>
          <w:sz w:val="24"/>
          <w:szCs w:val="24"/>
        </w:rPr>
        <w:fldChar w:fldCharType="separate"/>
      </w:r>
      <w:r>
        <w:rPr>
          <w:smallCaps w:val="0"/>
          <w:sz w:val="24"/>
          <w:szCs w:val="24"/>
        </w:rPr>
        <w:t>11.3 主要环境影响</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5</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"_Toc7543" </w:instrText>
      </w:r>
      <w:r>
        <w:rPr>
          <w:sz w:val="24"/>
          <w:szCs w:val="24"/>
        </w:rPr>
        <w:fldChar w:fldCharType="separate"/>
      </w:r>
      <w:r>
        <w:rPr>
          <w:smallCaps w:val="0"/>
          <w:sz w:val="24"/>
          <w:szCs w:val="24"/>
        </w:rPr>
        <w:t>11.4 环境保护措施</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6</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"_Toc24006" </w:instrText>
      </w:r>
      <w:r>
        <w:rPr>
          <w:sz w:val="24"/>
          <w:szCs w:val="24"/>
        </w:rPr>
        <w:fldChar w:fldCharType="separate"/>
      </w:r>
      <w:r>
        <w:rPr>
          <w:smallCaps w:val="0"/>
          <w:sz w:val="24"/>
          <w:szCs w:val="24"/>
        </w:rPr>
        <w:t>11.5 环境影响经济损益分析结论</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7</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"_Toc14809" </w:instrText>
      </w:r>
      <w:r>
        <w:rPr>
          <w:sz w:val="24"/>
          <w:szCs w:val="24"/>
        </w:rPr>
        <w:fldChar w:fldCharType="separate"/>
      </w:r>
      <w:r>
        <w:rPr>
          <w:smallCaps w:val="0"/>
          <w:sz w:val="24"/>
          <w:szCs w:val="24"/>
        </w:rPr>
        <w:t>11.6 环境管理与监测计划</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7</w:t>
      </w:r>
    </w:p>
    <w:p>
      <w:pPr>
        <w:pStyle w:val="39"/>
        <w:tabs>
          <w:tab w:val="right" w:leader="dot" w:pos="8902"/>
        </w:tabs>
        <w:rPr>
          <w:rFonts w:hint="eastAsia" w:eastAsia="宋体"/>
          <w:smallCaps w:val="0"/>
          <w:sz w:val="24"/>
          <w:szCs w:val="24"/>
          <w:lang w:eastAsia="zh-CN"/>
        </w:rPr>
      </w:pPr>
      <w:r>
        <w:rPr>
          <w:sz w:val="24"/>
          <w:szCs w:val="24"/>
        </w:rPr>
        <w:fldChar w:fldCharType="begin"/>
      </w:r>
      <w:r>
        <w:rPr>
          <w:sz w:val="24"/>
          <w:szCs w:val="24"/>
        </w:rPr>
        <w:instrText xml:space="preserve"> HYPERLINK \l "_Toc14809" </w:instrText>
      </w:r>
      <w:r>
        <w:rPr>
          <w:sz w:val="24"/>
          <w:szCs w:val="24"/>
        </w:rPr>
        <w:fldChar w:fldCharType="separate"/>
      </w:r>
      <w:r>
        <w:rPr>
          <w:smallCaps w:val="0"/>
          <w:sz w:val="24"/>
          <w:szCs w:val="24"/>
        </w:rPr>
        <w:t>11.7 总结论</w:t>
      </w:r>
      <w:r>
        <w:rPr>
          <w:smallCaps w:val="0"/>
          <w:sz w:val="24"/>
          <w:szCs w:val="24"/>
        </w:rPr>
        <w:tab/>
      </w:r>
      <w:r>
        <w:rPr>
          <w:smallCaps w:val="0"/>
          <w:sz w:val="24"/>
          <w:szCs w:val="24"/>
        </w:rPr>
        <w:t>1</w:t>
      </w:r>
      <w:r>
        <w:rPr>
          <w:smallCaps w:val="0"/>
          <w:sz w:val="24"/>
          <w:szCs w:val="24"/>
        </w:rPr>
        <w:fldChar w:fldCharType="end"/>
      </w:r>
      <w:r>
        <w:rPr>
          <w:smallCaps w:val="0"/>
          <w:sz w:val="24"/>
          <w:szCs w:val="24"/>
        </w:rPr>
        <w:t>4</w:t>
      </w:r>
      <w:r>
        <w:rPr>
          <w:rFonts w:hint="eastAsia"/>
          <w:smallCaps w:val="0"/>
          <w:sz w:val="24"/>
          <w:szCs w:val="24"/>
          <w:lang w:val="en-US" w:eastAsia="zh-CN"/>
        </w:rPr>
        <w:t>8</w:t>
      </w:r>
    </w:p>
    <w:p>
      <w:pPr>
        <w:pStyle w:val="39"/>
        <w:tabs>
          <w:tab w:val="right" w:leader="dot" w:pos="8902"/>
        </w:tabs>
        <w:rPr>
          <w:rFonts w:hint="eastAsia" w:eastAsia="宋体"/>
          <w:i/>
          <w:iCs/>
          <w:smallCaps w:val="0"/>
          <w:sz w:val="24"/>
          <w:szCs w:val="24"/>
          <w:lang w:eastAsia="zh-CN"/>
        </w:rPr>
      </w:pPr>
      <w:r>
        <w:rPr>
          <w:sz w:val="24"/>
          <w:szCs w:val="24"/>
        </w:rPr>
        <w:fldChar w:fldCharType="begin"/>
      </w:r>
      <w:r>
        <w:rPr>
          <w:sz w:val="24"/>
          <w:szCs w:val="24"/>
        </w:rPr>
        <w:instrText xml:space="preserve"> HYPERLINK \l "_Toc14809" </w:instrText>
      </w:r>
      <w:r>
        <w:rPr>
          <w:sz w:val="24"/>
          <w:szCs w:val="24"/>
        </w:rPr>
        <w:fldChar w:fldCharType="separate"/>
      </w:r>
      <w:r>
        <w:rPr>
          <w:smallCaps w:val="0"/>
          <w:sz w:val="24"/>
          <w:szCs w:val="24"/>
        </w:rPr>
        <w:t>11.8 建议</w:t>
      </w:r>
      <w:r>
        <w:rPr>
          <w:smallCaps w:val="0"/>
          <w:sz w:val="24"/>
          <w:szCs w:val="24"/>
        </w:rPr>
        <w:tab/>
      </w:r>
      <w:r>
        <w:rPr>
          <w:smallCaps w:val="0"/>
          <w:sz w:val="24"/>
          <w:szCs w:val="24"/>
        </w:rPr>
        <w:t>1</w:t>
      </w:r>
      <w:r>
        <w:rPr>
          <w:smallCaps w:val="0"/>
          <w:sz w:val="24"/>
          <w:szCs w:val="24"/>
        </w:rPr>
        <w:fldChar w:fldCharType="end"/>
      </w:r>
      <w:r>
        <w:rPr>
          <w:rFonts w:hint="eastAsia"/>
          <w:smallCaps w:val="0"/>
          <w:sz w:val="24"/>
          <w:szCs w:val="24"/>
        </w:rPr>
        <w:t>4</w:t>
      </w:r>
      <w:r>
        <w:rPr>
          <w:rFonts w:hint="eastAsia"/>
          <w:smallCaps w:val="0"/>
          <w:sz w:val="24"/>
          <w:szCs w:val="24"/>
          <w:lang w:val="en-US" w:eastAsia="zh-CN"/>
        </w:rPr>
        <w:t>8</w:t>
      </w: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ascii="Times New Roman" w:hAnsi="Times New Roman"/>
          <w:sz w:val="24"/>
          <w:szCs w:val="24"/>
        </w:rPr>
        <w:t xml:space="preserve">一、附图： </w:t>
      </w:r>
    </w:p>
    <w:p>
      <w:pPr>
        <w:spacing w:line="360" w:lineRule="auto"/>
        <w:rPr>
          <w:rFonts w:ascii="Times New Roman" w:hAnsi="Times New Roman"/>
          <w:sz w:val="24"/>
          <w:szCs w:val="24"/>
        </w:rPr>
      </w:pPr>
      <w:r>
        <w:rPr>
          <w:rFonts w:ascii="Times New Roman" w:hAnsi="Times New Roman"/>
          <w:sz w:val="24"/>
          <w:szCs w:val="24"/>
        </w:rPr>
        <w:t xml:space="preserve">附图 1 项目地理位置图； </w:t>
      </w:r>
    </w:p>
    <w:p>
      <w:pPr>
        <w:spacing w:line="360" w:lineRule="auto"/>
        <w:rPr>
          <w:rFonts w:ascii="Times New Roman" w:hAnsi="Times New Roman"/>
          <w:sz w:val="24"/>
          <w:szCs w:val="24"/>
        </w:rPr>
      </w:pPr>
      <w:r>
        <w:rPr>
          <w:rFonts w:ascii="Times New Roman" w:hAnsi="Times New Roman"/>
          <w:sz w:val="24"/>
          <w:szCs w:val="24"/>
        </w:rPr>
        <w:t xml:space="preserve">附图 2 项目四周图及现状照片； </w:t>
      </w:r>
    </w:p>
    <w:p>
      <w:pPr>
        <w:spacing w:line="360" w:lineRule="auto"/>
        <w:rPr>
          <w:rFonts w:ascii="Times New Roman" w:hAnsi="Times New Roman"/>
          <w:sz w:val="24"/>
          <w:szCs w:val="24"/>
        </w:rPr>
      </w:pPr>
      <w:r>
        <w:rPr>
          <w:rFonts w:ascii="Times New Roman" w:hAnsi="Times New Roman"/>
          <w:sz w:val="24"/>
          <w:szCs w:val="24"/>
        </w:rPr>
        <w:t xml:space="preserve">附图 3 环境噪声监测布点图； </w:t>
      </w:r>
    </w:p>
    <w:p>
      <w:pPr>
        <w:spacing w:line="360" w:lineRule="auto"/>
        <w:rPr>
          <w:rFonts w:ascii="Times New Roman" w:hAnsi="Times New Roman"/>
          <w:sz w:val="24"/>
          <w:szCs w:val="24"/>
        </w:rPr>
      </w:pPr>
      <w:r>
        <w:rPr>
          <w:rFonts w:ascii="Times New Roman" w:hAnsi="Times New Roman"/>
          <w:sz w:val="24"/>
          <w:szCs w:val="24"/>
        </w:rPr>
        <w:t>附图 4 环境土壤环境监测布点图；</w:t>
      </w:r>
    </w:p>
    <w:p>
      <w:pPr>
        <w:spacing w:line="360" w:lineRule="auto"/>
        <w:rPr>
          <w:rFonts w:ascii="Times New Roman" w:hAnsi="Times New Roman"/>
          <w:sz w:val="24"/>
          <w:szCs w:val="24"/>
        </w:rPr>
      </w:pPr>
      <w:r>
        <w:rPr>
          <w:rFonts w:ascii="Times New Roman" w:hAnsi="Times New Roman"/>
          <w:sz w:val="24"/>
          <w:szCs w:val="24"/>
        </w:rPr>
        <w:t xml:space="preserve">附图 5 引用项目监测点位与本项目的距离图； </w:t>
      </w:r>
    </w:p>
    <w:p>
      <w:pPr>
        <w:spacing w:line="360" w:lineRule="auto"/>
        <w:rPr>
          <w:rFonts w:ascii="Times New Roman" w:hAnsi="Times New Roman"/>
          <w:sz w:val="24"/>
          <w:szCs w:val="24"/>
        </w:rPr>
      </w:pPr>
      <w:r>
        <w:rPr>
          <w:rFonts w:ascii="Times New Roman" w:hAnsi="Times New Roman"/>
          <w:sz w:val="24"/>
          <w:szCs w:val="24"/>
        </w:rPr>
        <w:t xml:space="preserve">附图 6 项目环保目标图； </w:t>
      </w:r>
    </w:p>
    <w:p>
      <w:pPr>
        <w:spacing w:line="360" w:lineRule="auto"/>
        <w:rPr>
          <w:rFonts w:ascii="Times New Roman" w:hAnsi="Times New Roman"/>
          <w:sz w:val="24"/>
          <w:szCs w:val="24"/>
        </w:rPr>
      </w:pPr>
      <w:r>
        <w:rPr>
          <w:rFonts w:ascii="Times New Roman" w:hAnsi="Times New Roman"/>
          <w:sz w:val="24"/>
          <w:szCs w:val="24"/>
        </w:rPr>
        <w:t>附图 7 项目环保设施图；</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附图 8 项目总平面布置图</w:t>
      </w:r>
      <w:r>
        <w:rPr>
          <w:rFonts w:ascii="Times New Roman" w:hAnsi="Times New Roman"/>
          <w:sz w:val="24"/>
          <w:szCs w:val="24"/>
        </w:rPr>
        <w: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default" w:ascii="Times New Roman" w:hAnsi="Times New Roman" w:eastAsia="宋体" w:cs="Times New Roman"/>
          <w:sz w:val="24"/>
          <w:szCs w:val="24"/>
          <w:lang w:val="en-US" w:eastAsia="zh-CN"/>
        </w:rPr>
        <w:t>9</w:t>
      </w:r>
      <w:r>
        <w:rPr>
          <w:rFonts w:ascii="Times New Roman" w:hAnsi="Times New Roman" w:eastAsia="宋体" w:cs="Times New Roman"/>
          <w:sz w:val="24"/>
          <w:szCs w:val="24"/>
        </w:rPr>
        <w:t>：项目大气评价范围图</w:t>
      </w:r>
      <w:r>
        <w:rPr>
          <w:rFonts w:ascii="Times New Roman" w:hAnsi="Times New Roman"/>
          <w:sz w:val="24"/>
          <w:szCs w:val="24"/>
        </w:rPr>
        <w:t>；</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default" w:ascii="Times New Roman" w:hAnsi="Times New Roman" w:eastAsia="宋体" w:cs="Times New Roman"/>
          <w:sz w:val="24"/>
          <w:szCs w:val="24"/>
          <w:lang w:val="en-US" w:eastAsia="zh-CN"/>
        </w:rPr>
        <w:t>10</w:t>
      </w:r>
      <w:r>
        <w:rPr>
          <w:rFonts w:ascii="Times New Roman" w:hAnsi="Times New Roman" w:eastAsia="宋体" w:cs="Times New Roman"/>
          <w:sz w:val="24"/>
          <w:szCs w:val="24"/>
        </w:rPr>
        <w:t>：项目</w:t>
      </w:r>
      <w:r>
        <w:rPr>
          <w:rFonts w:hint="default" w:ascii="Times New Roman" w:hAnsi="Times New Roman" w:eastAsia="宋体" w:cs="Times New Roman"/>
          <w:sz w:val="24"/>
          <w:szCs w:val="24"/>
          <w:lang w:val="en-US" w:eastAsia="zh-CN"/>
        </w:rPr>
        <w:t>地下水</w:t>
      </w:r>
      <w:r>
        <w:rPr>
          <w:rFonts w:ascii="Times New Roman" w:hAnsi="Times New Roman" w:eastAsia="宋体" w:cs="Times New Roman"/>
          <w:sz w:val="24"/>
          <w:szCs w:val="24"/>
        </w:rPr>
        <w:t>评价范围图</w:t>
      </w:r>
      <w:r>
        <w:rPr>
          <w:rFonts w:ascii="Times New Roman" w:hAnsi="Times New Roman"/>
          <w:sz w:val="24"/>
          <w:szCs w:val="24"/>
        </w:rPr>
        <w:t>；</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default" w:ascii="Times New Roman" w:hAnsi="Times New Roman" w:eastAsia="宋体" w:cs="Times New Roman"/>
          <w:sz w:val="24"/>
          <w:szCs w:val="24"/>
          <w:lang w:val="en-US" w:eastAsia="zh-CN"/>
        </w:rPr>
        <w:t>11</w:t>
      </w:r>
      <w:r>
        <w:rPr>
          <w:rFonts w:ascii="Times New Roman" w:hAnsi="Times New Roman" w:eastAsia="宋体" w:cs="Times New Roman"/>
          <w:sz w:val="24"/>
          <w:szCs w:val="24"/>
        </w:rPr>
        <w:t>：项目</w:t>
      </w:r>
      <w:r>
        <w:rPr>
          <w:rFonts w:hint="default" w:ascii="Times New Roman" w:hAnsi="Times New Roman" w:eastAsia="宋体" w:cs="Times New Roman"/>
          <w:sz w:val="24"/>
          <w:szCs w:val="24"/>
          <w:lang w:val="en-US" w:eastAsia="zh-CN"/>
        </w:rPr>
        <w:t>土壤</w:t>
      </w:r>
      <w:r>
        <w:rPr>
          <w:rFonts w:ascii="Times New Roman" w:hAnsi="Times New Roman" w:eastAsia="宋体" w:cs="Times New Roman"/>
          <w:sz w:val="24"/>
          <w:szCs w:val="24"/>
        </w:rPr>
        <w:t>评价范围图</w:t>
      </w:r>
      <w:r>
        <w:rPr>
          <w:rFonts w:ascii="Times New Roman" w:hAnsi="Times New Roman" w:eastAsia="宋体" w:cs="Times New Roman"/>
          <w:sz w:val="24"/>
          <w:szCs w:val="24"/>
        </w:rPr>
        <w:t>。</w:t>
      </w: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ascii="Times New Roman" w:hAnsi="Times New Roman"/>
          <w:sz w:val="24"/>
          <w:szCs w:val="24"/>
        </w:rPr>
        <w:t xml:space="preserve">二、附件： </w:t>
      </w:r>
    </w:p>
    <w:p>
      <w:pPr>
        <w:spacing w:line="360" w:lineRule="auto"/>
        <w:rPr>
          <w:rFonts w:ascii="Times New Roman" w:hAnsi="Times New Roman"/>
          <w:sz w:val="24"/>
          <w:szCs w:val="24"/>
        </w:rPr>
      </w:pPr>
      <w:r>
        <w:rPr>
          <w:rFonts w:ascii="Times New Roman" w:hAnsi="Times New Roman"/>
          <w:sz w:val="24"/>
          <w:szCs w:val="24"/>
        </w:rPr>
        <w:t xml:space="preserve">附件1 环评委托书； </w:t>
      </w:r>
    </w:p>
    <w:p>
      <w:pPr>
        <w:spacing w:line="360" w:lineRule="auto"/>
        <w:rPr>
          <w:rFonts w:ascii="Times New Roman" w:hAnsi="Times New Roman"/>
          <w:sz w:val="24"/>
          <w:szCs w:val="24"/>
        </w:rPr>
      </w:pPr>
      <w:r>
        <w:rPr>
          <w:rFonts w:ascii="Times New Roman" w:hAnsi="Times New Roman"/>
          <w:sz w:val="24"/>
          <w:szCs w:val="24"/>
        </w:rPr>
        <w:t xml:space="preserve">附件2 评价标准执行函； </w:t>
      </w:r>
    </w:p>
    <w:p>
      <w:pPr>
        <w:spacing w:line="360" w:lineRule="auto"/>
        <w:rPr>
          <w:rFonts w:ascii="Times New Roman" w:hAnsi="Times New Roman"/>
          <w:sz w:val="24"/>
          <w:szCs w:val="24"/>
        </w:rPr>
      </w:pPr>
      <w:r>
        <w:rPr>
          <w:rFonts w:ascii="Times New Roman" w:hAnsi="Times New Roman"/>
          <w:sz w:val="24"/>
          <w:szCs w:val="24"/>
        </w:rPr>
        <w:t>附件3 检测报告</w:t>
      </w:r>
    </w:p>
    <w:p>
      <w:pPr>
        <w:spacing w:line="360" w:lineRule="auto"/>
        <w:rPr>
          <w:rFonts w:ascii="Times New Roman" w:hAnsi="Times New Roman"/>
          <w:sz w:val="24"/>
          <w:szCs w:val="24"/>
        </w:rPr>
      </w:pPr>
      <w:r>
        <w:rPr>
          <w:rFonts w:ascii="Times New Roman" w:hAnsi="Times New Roman"/>
          <w:sz w:val="24"/>
          <w:szCs w:val="24"/>
        </w:rPr>
        <w:t xml:space="preserve">附件4 关于长岭炼化公司暂不执行特别排放限值的回复； </w:t>
      </w:r>
    </w:p>
    <w:p>
      <w:pPr>
        <w:spacing w:line="360" w:lineRule="auto"/>
        <w:rPr>
          <w:rFonts w:ascii="Times New Roman" w:hAnsi="Times New Roman"/>
          <w:sz w:val="24"/>
          <w:szCs w:val="24"/>
        </w:rPr>
      </w:pPr>
      <w:bookmarkStart w:id="2" w:name="附件7专家意见及签名"/>
      <w:bookmarkEnd w:id="2"/>
      <w:r>
        <w:rPr>
          <w:rFonts w:ascii="Times New Roman" w:hAnsi="Times New Roman"/>
          <w:sz w:val="24"/>
          <w:szCs w:val="24"/>
        </w:rPr>
        <w:t xml:space="preserve">附件5 评审会专家意见； </w:t>
      </w: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ascii="Times New Roman" w:hAnsi="Times New Roman"/>
          <w:sz w:val="24"/>
          <w:szCs w:val="24"/>
        </w:rPr>
        <w:t xml:space="preserve">三、附表： </w:t>
      </w:r>
    </w:p>
    <w:p>
      <w:pPr>
        <w:spacing w:line="360" w:lineRule="auto"/>
        <w:rPr>
          <w:rFonts w:ascii="Times New Roman" w:hAnsi="Times New Roman"/>
          <w:sz w:val="24"/>
          <w:szCs w:val="24"/>
        </w:rPr>
      </w:pPr>
      <w:r>
        <w:rPr>
          <w:rFonts w:ascii="Times New Roman" w:hAnsi="Times New Roman"/>
          <w:sz w:val="24"/>
          <w:szCs w:val="24"/>
        </w:rPr>
        <w:t>附表1 大气环境影响评价自查表；</w:t>
      </w:r>
    </w:p>
    <w:p>
      <w:pPr>
        <w:pStyle w:val="2"/>
        <w:ind w:left="0" w:leftChars="0" w:firstLine="0" w:firstLineChars="0"/>
        <w:rPr>
          <w:sz w:val="24"/>
        </w:rPr>
      </w:pPr>
      <w:r>
        <w:rPr>
          <w:sz w:val="24"/>
        </w:rPr>
        <w:t>附表2 风险评价自查表</w:t>
      </w:r>
    </w:p>
    <w:p>
      <w:pPr>
        <w:pStyle w:val="2"/>
        <w:ind w:left="0" w:leftChars="0" w:firstLine="0" w:firstLineChars="0"/>
        <w:rPr>
          <w:sz w:val="24"/>
        </w:rPr>
      </w:pPr>
      <w:r>
        <w:rPr>
          <w:sz w:val="24"/>
        </w:rPr>
        <w:t>附表3 土壤环境影响自查表</w:t>
      </w:r>
    </w:p>
    <w:p>
      <w:pPr>
        <w:spacing w:line="360" w:lineRule="auto"/>
        <w:rPr>
          <w:rFonts w:ascii="Times New Roman" w:hAnsi="Times New Roman"/>
          <w:sz w:val="24"/>
        </w:rPr>
        <w:sectPr>
          <w:headerReference r:id="rId7" w:type="default"/>
          <w:footerReference r:id="rId8" w:type="default"/>
          <w:pgSz w:w="11907" w:h="16840"/>
          <w:pgMar w:top="1474" w:right="1531" w:bottom="1418" w:left="1474" w:header="284" w:footer="851" w:gutter="0"/>
          <w:cols w:space="720" w:num="1"/>
          <w:docGrid w:linePitch="312" w:charSpace="0"/>
        </w:sectPr>
      </w:pPr>
      <w:r>
        <w:rPr>
          <w:rFonts w:ascii="Times New Roman" w:hAnsi="Times New Roman"/>
          <w:sz w:val="24"/>
          <w:szCs w:val="24"/>
        </w:rPr>
        <w:t>附表4 建设项目环评审批基础信息表</w:t>
      </w:r>
    </w:p>
    <w:p>
      <w:pPr>
        <w:pStyle w:val="4"/>
        <w:numPr>
          <w:ilvl w:val="0"/>
          <w:numId w:val="0"/>
        </w:numPr>
        <w:ind w:left="432"/>
      </w:pPr>
      <w:bookmarkStart w:id="3" w:name="_Toc23799"/>
      <w:r>
        <w:t>概 述</w:t>
      </w:r>
      <w:bookmarkEnd w:id="3"/>
    </w:p>
    <w:p>
      <w:pPr>
        <w:pStyle w:val="6"/>
        <w:numPr>
          <w:ilvl w:val="1"/>
          <w:numId w:val="0"/>
        </w:numPr>
        <w:tabs>
          <w:tab w:val="left" w:pos="-3900"/>
        </w:tabs>
        <w:wordWrap w:val="0"/>
        <w:spacing w:before="120" w:after="120"/>
      </w:pPr>
      <w:r>
        <w:t>1、项目背景</w:t>
      </w:r>
    </w:p>
    <w:p>
      <w:pPr>
        <w:pStyle w:val="259"/>
        <w:spacing w:line="360" w:lineRule="auto"/>
        <w:ind w:firstLine="480"/>
        <w:rPr>
          <w:rFonts w:ascii="Times New Roman" w:hAnsi="Times New Roman" w:cs="Times New Roman"/>
        </w:rPr>
      </w:pPr>
      <w:r>
        <w:rPr>
          <w:rFonts w:ascii="Times New Roman" w:hAnsi="Times New Roman" w:cs="Times New Roman"/>
        </w:rPr>
        <w:t>中国石油化工股份有限公司长岭分公司以下简称长岭分公司，是中国石油化工集团公司直属国有大型工业企业。公司座落在洞庭湖畔、长江之滨—岳阳市云溪区路口镇，北临长江，南靠京广、武广铁路，与107国道、京港澳高速公路相邻，水陆交通便利。</w:t>
      </w:r>
    </w:p>
    <w:p>
      <w:pPr>
        <w:pStyle w:val="259"/>
        <w:spacing w:line="360" w:lineRule="auto"/>
        <w:ind w:firstLine="480"/>
        <w:rPr>
          <w:rFonts w:ascii="Times New Roman" w:hAnsi="Times New Roman" w:cs="Times New Roman"/>
        </w:rPr>
      </w:pPr>
      <w:r>
        <w:rPr>
          <w:rFonts w:ascii="Times New Roman" w:hAnsi="Times New Roman" w:cs="Times New Roman"/>
        </w:rPr>
        <w:t>长岭分公司的前身为长岭炼油厂，始建于1965年，投产于1971年。现有员工近3000人，固定资产原值60亿元，拥有两套常减压、两套催化裂化、延迟焦化、催化重整、加氢、制氢、聚丙烯、环保等22套炼油化工生产装置。原油加工量达到800万吨/年，聚丙烯生产能力14万吨/年，重油催化裂化能力400万吨/年，焦化处理能力120万吨/年，催化重整能力70万吨/年，污水处理能力为850吨/小时。主要产品有车用汽油、喷气燃料、车用柴油、普通柴油、溶剂油、燃料油、液化石油气、芳烃、石脑油、石油焦、工业硫磺、聚丙烯等50多种。石化行业污水处理过程中产生的隔油池底泥、浮选浮渣和生产储运过程中的罐底泥，属于危险废物HW08，处理难度大，费用高，转移风险高，实施减量化、无害化和资源化已成为整个行业关注的重点和方向，目前已有企业开展实质性工作。如荆门石化已于2012年起实行“三泥”干化脱水处理，再转至CFB锅炉掺烧，长岭分公司污水处理过程中产生的隔油池底泥、浮选浮渣及公司原油罐区、中间罐区和产品罐区储罐检修时产生的部分罐底油泥，年产生量为1.2万吨/年，主要由水、固体悬浮物、油等组成，含有硫化物、苯系物、酚类、蒽、芘等有毒有害物质，已被国家列入危险固体废弃物《国家危险废物名录》（危废类别：HW08，2016年环保部）。</w:t>
      </w:r>
    </w:p>
    <w:p>
      <w:pPr>
        <w:pStyle w:val="259"/>
        <w:spacing w:line="360" w:lineRule="auto"/>
        <w:ind w:firstLine="480"/>
        <w:rPr>
          <w:rFonts w:ascii="Times New Roman" w:hAnsi="Times New Roman" w:cs="Times New Roman"/>
        </w:rPr>
      </w:pPr>
      <w:r>
        <w:rPr>
          <w:rFonts w:ascii="Times New Roman" w:hAnsi="Times New Roman" w:cs="Times New Roman"/>
        </w:rPr>
        <w:t>长岭分公司污水处理过程中产生的隔油池底泥、浮选浮渣及公司原油罐区、中间罐区和产品罐区储罐检修时产生的部分罐底油泥，年产生量为1.2万吨/年，主要由水、固体悬浮物、油等组成，含有硫化物、苯系物、酚类、蒽、芘等有毒有害物质，已被国家列入危险固体废弃物《国家危险废物名录》（危废类别：HW08，2016年环保部）。</w:t>
      </w:r>
    </w:p>
    <w:p>
      <w:pPr>
        <w:pStyle w:val="259"/>
        <w:spacing w:line="360" w:lineRule="auto"/>
        <w:ind w:firstLine="0" w:firstLineChars="0"/>
        <w:rPr>
          <w:rFonts w:ascii="Times New Roman" w:hAnsi="Times New Roman" w:cs="Times New Roman"/>
        </w:rPr>
      </w:pPr>
      <w:r>
        <w:rPr>
          <w:rFonts w:ascii="Times New Roman" w:hAnsi="Times New Roman" w:cs="Times New Roman"/>
        </w:rPr>
        <w:t>《国家清洁生产促进法》和《固体废物环境污染防治法》要求必须对其进行无害化处理。同时，根据中国石油化工集团公司《样板污水处理场创建标准》（2018.6.27）要求，油泥、浮渣需严格执行政府相关规定，按照减量化、资源化、无害化原则，实现100%合规处理和处置。</w:t>
      </w:r>
    </w:p>
    <w:p>
      <w:pPr>
        <w:autoSpaceDE w:val="0"/>
        <w:autoSpaceDN w:val="0"/>
        <w:adjustRightInd w:val="0"/>
        <w:spacing w:line="312" w:lineRule="auto"/>
        <w:jc w:val="center"/>
        <w:rPr>
          <w:rFonts w:ascii="Times New Roman" w:hAnsi="Times New Roman"/>
          <w:b/>
          <w:sz w:val="24"/>
        </w:rPr>
      </w:pPr>
      <w:r>
        <w:rPr>
          <w:rFonts w:ascii="Times New Roman" w:hAnsi="Times New Roman"/>
          <w:b/>
          <w:sz w:val="24"/>
        </w:rPr>
        <w:t>表1  国家危险废物名录</w:t>
      </w:r>
    </w:p>
    <w:tbl>
      <w:tblPr>
        <w:tblStyle w:val="45"/>
        <w:tblW w:w="101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1"/>
        <w:gridCol w:w="780"/>
        <w:gridCol w:w="1245"/>
        <w:gridCol w:w="4110"/>
        <w:gridCol w:w="1455"/>
        <w:gridCol w:w="1096"/>
        <w:gridCol w:w="6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blHeader/>
          <w:jc w:val="center"/>
        </w:trPr>
        <w:tc>
          <w:tcPr>
            <w:tcW w:w="821" w:type="dxa"/>
            <w:vAlign w:val="center"/>
          </w:tcPr>
          <w:p>
            <w:pPr>
              <w:spacing w:line="312" w:lineRule="auto"/>
              <w:jc w:val="center"/>
              <w:rPr>
                <w:rFonts w:ascii="Times New Roman" w:hAnsi="Times New Roman"/>
                <w:b/>
                <w:szCs w:val="21"/>
                <w:u w:val="single"/>
              </w:rPr>
            </w:pPr>
            <w:r>
              <w:rPr>
                <w:rFonts w:ascii="Times New Roman" w:hAnsi="Times New Roman"/>
                <w:b/>
                <w:szCs w:val="21"/>
                <w:u w:val="single"/>
              </w:rPr>
              <w:t>废物类别</w:t>
            </w:r>
          </w:p>
        </w:tc>
        <w:tc>
          <w:tcPr>
            <w:tcW w:w="780" w:type="dxa"/>
            <w:vAlign w:val="center"/>
          </w:tcPr>
          <w:p>
            <w:pPr>
              <w:spacing w:line="312" w:lineRule="auto"/>
              <w:jc w:val="center"/>
              <w:rPr>
                <w:rFonts w:ascii="Times New Roman" w:hAnsi="Times New Roman"/>
                <w:b/>
                <w:szCs w:val="21"/>
                <w:u w:val="single"/>
              </w:rPr>
            </w:pPr>
            <w:r>
              <w:rPr>
                <w:rFonts w:ascii="Times New Roman" w:hAnsi="Times New Roman"/>
                <w:b/>
                <w:szCs w:val="21"/>
                <w:u w:val="single"/>
              </w:rPr>
              <w:t>行业来源</w:t>
            </w:r>
          </w:p>
        </w:tc>
        <w:tc>
          <w:tcPr>
            <w:tcW w:w="1245" w:type="dxa"/>
            <w:vAlign w:val="center"/>
          </w:tcPr>
          <w:p>
            <w:pPr>
              <w:spacing w:line="312" w:lineRule="auto"/>
              <w:jc w:val="center"/>
              <w:rPr>
                <w:rFonts w:ascii="Times New Roman" w:hAnsi="Times New Roman"/>
                <w:b/>
                <w:szCs w:val="21"/>
                <w:u w:val="single"/>
              </w:rPr>
            </w:pPr>
            <w:r>
              <w:rPr>
                <w:rFonts w:ascii="Times New Roman" w:hAnsi="Times New Roman"/>
                <w:b/>
                <w:szCs w:val="21"/>
                <w:u w:val="single"/>
              </w:rPr>
              <w:t>废物代码</w:t>
            </w:r>
          </w:p>
        </w:tc>
        <w:tc>
          <w:tcPr>
            <w:tcW w:w="4110" w:type="dxa"/>
            <w:vAlign w:val="center"/>
          </w:tcPr>
          <w:p>
            <w:pPr>
              <w:spacing w:line="312" w:lineRule="auto"/>
              <w:jc w:val="center"/>
              <w:rPr>
                <w:rFonts w:ascii="Times New Roman" w:hAnsi="Times New Roman"/>
                <w:b/>
                <w:szCs w:val="21"/>
                <w:u w:val="single"/>
              </w:rPr>
            </w:pPr>
            <w:r>
              <w:rPr>
                <w:rFonts w:ascii="Times New Roman" w:hAnsi="Times New Roman"/>
                <w:b/>
                <w:szCs w:val="21"/>
                <w:u w:val="single"/>
              </w:rPr>
              <w:t>危险废物</w:t>
            </w:r>
          </w:p>
        </w:tc>
        <w:tc>
          <w:tcPr>
            <w:tcW w:w="1455" w:type="dxa"/>
            <w:vAlign w:val="center"/>
          </w:tcPr>
          <w:p>
            <w:pPr>
              <w:spacing w:line="312" w:lineRule="auto"/>
              <w:jc w:val="center"/>
              <w:rPr>
                <w:rFonts w:ascii="Times New Roman" w:hAnsi="Times New Roman"/>
                <w:b/>
                <w:szCs w:val="21"/>
                <w:u w:val="single"/>
              </w:rPr>
            </w:pPr>
            <w:r>
              <w:rPr>
                <w:rFonts w:ascii="Times New Roman" w:hAnsi="Times New Roman"/>
                <w:b/>
                <w:szCs w:val="21"/>
                <w:u w:val="single"/>
              </w:rPr>
              <w:t>危险特性</w:t>
            </w:r>
          </w:p>
        </w:tc>
        <w:tc>
          <w:tcPr>
            <w:tcW w:w="1096" w:type="dxa"/>
            <w:vAlign w:val="center"/>
          </w:tcPr>
          <w:p>
            <w:pPr>
              <w:spacing w:line="312" w:lineRule="auto"/>
              <w:jc w:val="center"/>
              <w:rPr>
                <w:rFonts w:ascii="Times New Roman" w:hAnsi="Times New Roman"/>
                <w:b/>
                <w:szCs w:val="21"/>
                <w:u w:val="single"/>
              </w:rPr>
            </w:pPr>
            <w:r>
              <w:rPr>
                <w:rFonts w:ascii="Times New Roman" w:hAnsi="Times New Roman"/>
                <w:b/>
                <w:szCs w:val="21"/>
                <w:u w:val="single"/>
              </w:rPr>
              <w:t>产生数量（吨/年）</w:t>
            </w:r>
          </w:p>
        </w:tc>
        <w:tc>
          <w:tcPr>
            <w:tcW w:w="640" w:type="dxa"/>
          </w:tcPr>
          <w:p>
            <w:pPr>
              <w:spacing w:line="312" w:lineRule="auto"/>
              <w:jc w:val="center"/>
              <w:rPr>
                <w:rFonts w:ascii="Times New Roman" w:hAnsi="Times New Roman"/>
                <w:b/>
                <w:szCs w:val="21"/>
                <w:u w:val="single"/>
              </w:rPr>
            </w:pPr>
            <w:r>
              <w:rPr>
                <w:rFonts w:ascii="Times New Roman" w:hAnsi="Times New Roman"/>
                <w:b/>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21" w:type="dxa"/>
            <w:vMerge w:val="restart"/>
            <w:vAlign w:val="center"/>
          </w:tcPr>
          <w:p>
            <w:pPr>
              <w:spacing w:line="312" w:lineRule="auto"/>
              <w:jc w:val="center"/>
              <w:rPr>
                <w:rFonts w:ascii="Times New Roman" w:hAnsi="Times New Roman"/>
                <w:szCs w:val="21"/>
                <w:u w:val="single"/>
              </w:rPr>
            </w:pPr>
            <w:r>
              <w:rPr>
                <w:rFonts w:ascii="Times New Roman" w:hAnsi="Times New Roman"/>
                <w:szCs w:val="21"/>
                <w:u w:val="single"/>
              </w:rPr>
              <w:t>HW08</w:t>
            </w:r>
          </w:p>
          <w:p>
            <w:pPr>
              <w:spacing w:line="312" w:lineRule="auto"/>
              <w:jc w:val="center"/>
              <w:rPr>
                <w:rFonts w:ascii="Times New Roman" w:hAnsi="Times New Roman"/>
                <w:szCs w:val="21"/>
                <w:u w:val="single"/>
              </w:rPr>
            </w:pPr>
            <w:r>
              <w:rPr>
                <w:rFonts w:ascii="Times New Roman" w:hAnsi="Times New Roman"/>
                <w:szCs w:val="21"/>
                <w:u w:val="single"/>
              </w:rPr>
              <w:t>废矿物油与含矿物油废物</w:t>
            </w:r>
          </w:p>
        </w:tc>
        <w:tc>
          <w:tcPr>
            <w:tcW w:w="780" w:type="dxa"/>
            <w:vMerge w:val="restart"/>
            <w:vAlign w:val="center"/>
          </w:tcPr>
          <w:p>
            <w:pPr>
              <w:spacing w:line="312" w:lineRule="auto"/>
              <w:jc w:val="center"/>
              <w:rPr>
                <w:rFonts w:ascii="Times New Roman" w:hAnsi="Times New Roman"/>
                <w:szCs w:val="21"/>
                <w:u w:val="single"/>
              </w:rPr>
            </w:pPr>
            <w:r>
              <w:rPr>
                <w:rFonts w:ascii="Times New Roman" w:hAnsi="Times New Roman"/>
                <w:szCs w:val="21"/>
                <w:u w:val="single"/>
              </w:rPr>
              <w:t>精炼石油</w:t>
            </w:r>
          </w:p>
          <w:p>
            <w:pPr>
              <w:spacing w:line="312" w:lineRule="auto"/>
              <w:jc w:val="center"/>
              <w:rPr>
                <w:rFonts w:ascii="Times New Roman" w:hAnsi="Times New Roman"/>
                <w:szCs w:val="21"/>
                <w:u w:val="single"/>
              </w:rPr>
            </w:pPr>
            <w:r>
              <w:rPr>
                <w:rFonts w:ascii="Times New Roman" w:hAnsi="Times New Roman"/>
                <w:szCs w:val="21"/>
                <w:u w:val="single"/>
              </w:rPr>
              <w:t>产品制造</w:t>
            </w:r>
          </w:p>
        </w:tc>
        <w:tc>
          <w:tcPr>
            <w:tcW w:w="1245" w:type="dxa"/>
            <w:vAlign w:val="center"/>
          </w:tcPr>
          <w:p>
            <w:pPr>
              <w:spacing w:line="312" w:lineRule="auto"/>
              <w:jc w:val="center"/>
              <w:rPr>
                <w:rFonts w:ascii="Times New Roman" w:hAnsi="Times New Roman"/>
                <w:szCs w:val="21"/>
                <w:u w:val="single"/>
              </w:rPr>
            </w:pPr>
            <w:r>
              <w:rPr>
                <w:rFonts w:ascii="Times New Roman" w:hAnsi="Times New Roman"/>
                <w:szCs w:val="21"/>
                <w:u w:val="single"/>
              </w:rPr>
              <w:t>251-004-08</w:t>
            </w:r>
          </w:p>
        </w:tc>
        <w:tc>
          <w:tcPr>
            <w:tcW w:w="4110" w:type="dxa"/>
            <w:vAlign w:val="center"/>
          </w:tcPr>
          <w:p>
            <w:pPr>
              <w:spacing w:line="312" w:lineRule="auto"/>
              <w:rPr>
                <w:rFonts w:ascii="Times New Roman" w:hAnsi="Times New Roman"/>
                <w:szCs w:val="21"/>
                <w:u w:val="single"/>
              </w:rPr>
            </w:pPr>
            <w:r>
              <w:rPr>
                <w:rFonts w:ascii="Times New Roman" w:hAnsi="Times New Roman"/>
                <w:kern w:val="0"/>
                <w:szCs w:val="21"/>
                <w:u w:val="single"/>
              </w:rPr>
              <w:t>石油炼制过程中溶气浮选法产生的浮渣</w:t>
            </w:r>
          </w:p>
        </w:tc>
        <w:tc>
          <w:tcPr>
            <w:tcW w:w="1455" w:type="dxa"/>
            <w:vAlign w:val="center"/>
          </w:tcPr>
          <w:p>
            <w:pPr>
              <w:spacing w:line="312" w:lineRule="auto"/>
              <w:jc w:val="center"/>
              <w:rPr>
                <w:rFonts w:ascii="Times New Roman" w:hAnsi="Times New Roman"/>
                <w:szCs w:val="21"/>
                <w:u w:val="single"/>
              </w:rPr>
            </w:pPr>
            <w:r>
              <w:rPr>
                <w:rFonts w:ascii="Times New Roman" w:hAnsi="Times New Roman"/>
                <w:szCs w:val="21"/>
                <w:u w:val="single"/>
              </w:rPr>
              <w:t>毒性</w:t>
            </w:r>
          </w:p>
        </w:tc>
        <w:tc>
          <w:tcPr>
            <w:tcW w:w="1096" w:type="dxa"/>
            <w:vAlign w:val="center"/>
          </w:tcPr>
          <w:p>
            <w:pPr>
              <w:spacing w:line="312" w:lineRule="auto"/>
              <w:jc w:val="center"/>
              <w:rPr>
                <w:rFonts w:ascii="Times New Roman" w:hAnsi="Times New Roman"/>
                <w:szCs w:val="21"/>
                <w:u w:val="single"/>
              </w:rPr>
            </w:pPr>
            <w:r>
              <w:rPr>
                <w:rFonts w:ascii="Times New Roman" w:hAnsi="Times New Roman"/>
                <w:szCs w:val="21"/>
                <w:u w:val="single"/>
              </w:rPr>
              <w:t>7500</w:t>
            </w:r>
          </w:p>
        </w:tc>
        <w:tc>
          <w:tcPr>
            <w:tcW w:w="640" w:type="dxa"/>
          </w:tcPr>
          <w:p>
            <w:pPr>
              <w:spacing w:line="312" w:lineRule="auto"/>
              <w:jc w:val="center"/>
              <w:rPr>
                <w:rFonts w:ascii="Times New Roman" w:hAnsi="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21" w:type="dxa"/>
            <w:vMerge w:val="continue"/>
            <w:vAlign w:val="center"/>
          </w:tcPr>
          <w:p>
            <w:pPr>
              <w:spacing w:line="312" w:lineRule="auto"/>
              <w:jc w:val="center"/>
              <w:rPr>
                <w:rFonts w:ascii="Times New Roman" w:hAnsi="Times New Roman"/>
                <w:szCs w:val="21"/>
                <w:u w:val="single"/>
              </w:rPr>
            </w:pPr>
          </w:p>
        </w:tc>
        <w:tc>
          <w:tcPr>
            <w:tcW w:w="780" w:type="dxa"/>
            <w:vMerge w:val="continue"/>
            <w:vAlign w:val="center"/>
          </w:tcPr>
          <w:p>
            <w:pPr>
              <w:spacing w:line="312" w:lineRule="auto"/>
              <w:jc w:val="center"/>
              <w:rPr>
                <w:rFonts w:ascii="Times New Roman" w:hAnsi="Times New Roman"/>
                <w:szCs w:val="21"/>
                <w:u w:val="single"/>
              </w:rPr>
            </w:pPr>
          </w:p>
        </w:tc>
        <w:tc>
          <w:tcPr>
            <w:tcW w:w="1245" w:type="dxa"/>
            <w:vAlign w:val="center"/>
          </w:tcPr>
          <w:p>
            <w:pPr>
              <w:spacing w:line="312" w:lineRule="auto"/>
              <w:jc w:val="center"/>
              <w:rPr>
                <w:rFonts w:ascii="Times New Roman" w:hAnsi="Times New Roman"/>
                <w:szCs w:val="21"/>
                <w:u w:val="single"/>
              </w:rPr>
            </w:pPr>
            <w:r>
              <w:rPr>
                <w:rFonts w:ascii="Times New Roman" w:hAnsi="Times New Roman"/>
                <w:szCs w:val="21"/>
                <w:u w:val="single"/>
              </w:rPr>
              <w:t>251-003-08</w:t>
            </w:r>
          </w:p>
        </w:tc>
        <w:tc>
          <w:tcPr>
            <w:tcW w:w="4110" w:type="dxa"/>
            <w:vAlign w:val="center"/>
          </w:tcPr>
          <w:p>
            <w:pPr>
              <w:spacing w:line="312" w:lineRule="auto"/>
              <w:rPr>
                <w:rFonts w:ascii="Times New Roman" w:hAnsi="Times New Roman"/>
                <w:szCs w:val="21"/>
                <w:u w:val="single"/>
              </w:rPr>
            </w:pPr>
            <w:r>
              <w:rPr>
                <w:rFonts w:ascii="Times New Roman" w:hAnsi="Times New Roman"/>
                <w:kern w:val="0"/>
                <w:szCs w:val="21"/>
                <w:u w:val="single"/>
              </w:rPr>
              <w:t>石油炼制过程中隔油池产生的含油污泥</w:t>
            </w:r>
          </w:p>
        </w:tc>
        <w:tc>
          <w:tcPr>
            <w:tcW w:w="1455" w:type="dxa"/>
            <w:vAlign w:val="center"/>
          </w:tcPr>
          <w:p>
            <w:pPr>
              <w:spacing w:line="312" w:lineRule="auto"/>
              <w:jc w:val="center"/>
              <w:rPr>
                <w:rFonts w:ascii="Times New Roman" w:hAnsi="Times New Roman"/>
                <w:szCs w:val="21"/>
                <w:u w:val="single"/>
              </w:rPr>
            </w:pPr>
            <w:r>
              <w:rPr>
                <w:rFonts w:ascii="Times New Roman" w:hAnsi="Times New Roman"/>
                <w:szCs w:val="21"/>
                <w:u w:val="single"/>
              </w:rPr>
              <w:t>毒性</w:t>
            </w:r>
          </w:p>
        </w:tc>
        <w:tc>
          <w:tcPr>
            <w:tcW w:w="1096" w:type="dxa"/>
            <w:vAlign w:val="center"/>
          </w:tcPr>
          <w:p>
            <w:pPr>
              <w:spacing w:line="312" w:lineRule="auto"/>
              <w:jc w:val="center"/>
              <w:rPr>
                <w:rFonts w:ascii="Times New Roman" w:hAnsi="Times New Roman"/>
                <w:szCs w:val="21"/>
                <w:u w:val="single"/>
              </w:rPr>
            </w:pPr>
            <w:r>
              <w:rPr>
                <w:rFonts w:ascii="Times New Roman" w:hAnsi="Times New Roman"/>
                <w:szCs w:val="21"/>
                <w:u w:val="single"/>
              </w:rPr>
              <w:t>2000</w:t>
            </w:r>
          </w:p>
        </w:tc>
        <w:tc>
          <w:tcPr>
            <w:tcW w:w="640" w:type="dxa"/>
          </w:tcPr>
          <w:p>
            <w:pPr>
              <w:spacing w:line="312" w:lineRule="auto"/>
              <w:jc w:val="center"/>
              <w:rPr>
                <w:rFonts w:ascii="Times New Roman" w:hAnsi="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21" w:type="dxa"/>
            <w:vMerge w:val="continue"/>
            <w:vAlign w:val="center"/>
          </w:tcPr>
          <w:p>
            <w:pPr>
              <w:spacing w:line="312" w:lineRule="auto"/>
              <w:jc w:val="center"/>
              <w:rPr>
                <w:rFonts w:ascii="Times New Roman" w:hAnsi="Times New Roman"/>
                <w:szCs w:val="21"/>
                <w:u w:val="single"/>
              </w:rPr>
            </w:pPr>
          </w:p>
        </w:tc>
        <w:tc>
          <w:tcPr>
            <w:tcW w:w="780" w:type="dxa"/>
            <w:vMerge w:val="continue"/>
            <w:vAlign w:val="center"/>
          </w:tcPr>
          <w:p>
            <w:pPr>
              <w:spacing w:line="312" w:lineRule="auto"/>
              <w:jc w:val="center"/>
              <w:rPr>
                <w:rFonts w:ascii="Times New Roman" w:hAnsi="Times New Roman"/>
                <w:szCs w:val="21"/>
                <w:u w:val="single"/>
              </w:rPr>
            </w:pPr>
          </w:p>
        </w:tc>
        <w:tc>
          <w:tcPr>
            <w:tcW w:w="1245" w:type="dxa"/>
            <w:vAlign w:val="center"/>
          </w:tcPr>
          <w:p>
            <w:pPr>
              <w:spacing w:line="312" w:lineRule="auto"/>
              <w:jc w:val="center"/>
              <w:rPr>
                <w:rFonts w:ascii="Times New Roman" w:hAnsi="Times New Roman"/>
                <w:szCs w:val="21"/>
                <w:u w:val="single"/>
              </w:rPr>
            </w:pPr>
            <w:r>
              <w:rPr>
                <w:rFonts w:ascii="Times New Roman" w:hAnsi="Times New Roman"/>
                <w:szCs w:val="21"/>
                <w:u w:val="single"/>
              </w:rPr>
              <w:t>251-002-08</w:t>
            </w:r>
          </w:p>
        </w:tc>
        <w:tc>
          <w:tcPr>
            <w:tcW w:w="4110" w:type="dxa"/>
            <w:vAlign w:val="center"/>
          </w:tcPr>
          <w:p>
            <w:pPr>
              <w:spacing w:line="312" w:lineRule="auto"/>
              <w:rPr>
                <w:rFonts w:ascii="Times New Roman" w:hAnsi="Times New Roman"/>
                <w:szCs w:val="21"/>
                <w:u w:val="single"/>
              </w:rPr>
            </w:pPr>
            <w:r>
              <w:rPr>
                <w:rFonts w:ascii="Times New Roman" w:hAnsi="Times New Roman"/>
                <w:kern w:val="0"/>
                <w:szCs w:val="21"/>
                <w:u w:val="single"/>
              </w:rPr>
              <w:t>石油初炼过程中储存设施产生的含油污泥</w:t>
            </w:r>
          </w:p>
        </w:tc>
        <w:tc>
          <w:tcPr>
            <w:tcW w:w="1455" w:type="dxa"/>
            <w:vAlign w:val="center"/>
          </w:tcPr>
          <w:p>
            <w:pPr>
              <w:spacing w:line="312" w:lineRule="auto"/>
              <w:jc w:val="center"/>
              <w:rPr>
                <w:rFonts w:ascii="Times New Roman" w:hAnsi="Times New Roman"/>
                <w:szCs w:val="21"/>
                <w:u w:val="single"/>
              </w:rPr>
            </w:pPr>
            <w:r>
              <w:rPr>
                <w:rFonts w:ascii="Times New Roman" w:hAnsi="Times New Roman"/>
                <w:szCs w:val="21"/>
                <w:u w:val="single"/>
              </w:rPr>
              <w:t>毒性，易燃性</w:t>
            </w:r>
          </w:p>
        </w:tc>
        <w:tc>
          <w:tcPr>
            <w:tcW w:w="1096" w:type="dxa"/>
            <w:vAlign w:val="center"/>
          </w:tcPr>
          <w:p>
            <w:pPr>
              <w:spacing w:line="312" w:lineRule="auto"/>
              <w:jc w:val="center"/>
              <w:rPr>
                <w:rFonts w:ascii="Times New Roman" w:hAnsi="Times New Roman"/>
                <w:szCs w:val="21"/>
                <w:u w:val="single"/>
              </w:rPr>
            </w:pPr>
            <w:r>
              <w:rPr>
                <w:rFonts w:ascii="Times New Roman" w:hAnsi="Times New Roman"/>
                <w:szCs w:val="21"/>
                <w:u w:val="single"/>
              </w:rPr>
              <w:t>2500</w:t>
            </w:r>
          </w:p>
        </w:tc>
        <w:tc>
          <w:tcPr>
            <w:tcW w:w="640" w:type="dxa"/>
          </w:tcPr>
          <w:p>
            <w:pPr>
              <w:spacing w:line="312" w:lineRule="auto"/>
              <w:jc w:val="center"/>
              <w:rPr>
                <w:rFonts w:ascii="Times New Roman" w:hAnsi="Times New Roman"/>
                <w:szCs w:val="21"/>
                <w:u w:val="single"/>
              </w:rPr>
            </w:pPr>
          </w:p>
        </w:tc>
      </w:tr>
    </w:tbl>
    <w:p>
      <w:pPr>
        <w:pStyle w:val="259"/>
        <w:spacing w:line="360" w:lineRule="auto"/>
        <w:ind w:firstLine="480"/>
        <w:rPr>
          <w:rFonts w:ascii="Times New Roman" w:hAnsi="Times New Roman" w:cs="Times New Roman"/>
        </w:rPr>
      </w:pPr>
      <w:r>
        <w:rPr>
          <w:rFonts w:ascii="Times New Roman" w:hAnsi="Times New Roman" w:cs="Times New Roman"/>
          <w:u w:val="single"/>
        </w:rPr>
        <w:t>目前长岭分公司油泥浮渣处理主要方式：1）浮渣送延迟焦化装置回炼，平均每天处理量约10～20吨。焦化装置处理浮渣能力有限，无法满足浮渣量的需求，且</w:t>
      </w:r>
      <w:r>
        <w:rPr>
          <w:rFonts w:hint="eastAsia" w:ascii="Times New Roman" w:hAnsi="Times New Roman" w:cs="Times New Roman"/>
          <w:u w:val="single"/>
        </w:rPr>
        <w:t>回炼</w:t>
      </w:r>
      <w:r>
        <w:rPr>
          <w:rFonts w:ascii="Times New Roman" w:hAnsi="Times New Roman" w:cs="Times New Roman"/>
          <w:u w:val="single"/>
        </w:rPr>
        <w:t>浮渣一方面影响焦炭质量，另一方面容易导致空冷管束堵塞，影响正常生产。2）2018年8月1日以前，部分油泥浮渣送往热电作业部CFB锅炉掺烧，但为间断性掺烧。因无环评手续，2018年8月1日以后，应生态环境局要求，未取得合理合法手续前，暂停浮渣掺烧工作。3）油泥外委处理，因油泥水含量高达90%，处理量大，同时吨处理费用高达3000元/吨。由于长岭分公司油泥浮渣产生量大，含水率高，焦化回炼不足以满足需求，外委处理费用高，因此长岭分公司拟利用现有2台CFB锅炉掺烧生产过程产生的油泥和浮渣，分两部分掺烧：</w:t>
      </w:r>
      <w:r>
        <w:rPr>
          <w:rFonts w:ascii="Times New Roman" w:hAnsi="Times New Roman" w:cs="Times New Roman"/>
        </w:rPr>
        <w:t>一是在利旧现有油泥浮渣掺烧流程的基础上，增加一台备用泵及仪表控制系统，以实现连续掺烧，年处理油泥浮渣量约9000吨，</w:t>
      </w:r>
      <w:r>
        <w:rPr>
          <w:rFonts w:ascii="Times New Roman" w:hAnsi="Times New Roman" w:cs="Times New Roman"/>
          <w:kern w:val="0"/>
          <w:szCs w:val="24"/>
        </w:rPr>
        <w:t>二是将干化后的3000吨油泥浮渣，含水率30%（干化预处理部分外委给长岭设备研究所有限公司处理，已单独立项进行环评）与CFB锅</w:t>
      </w:r>
      <w:r>
        <w:rPr>
          <w:rFonts w:ascii="Times New Roman" w:hAnsi="Times New Roman" w:cs="Times New Roman"/>
        </w:rPr>
        <w:t>炉燃煤混合后</w:t>
      </w:r>
      <w:r>
        <w:rPr>
          <w:rFonts w:ascii="Times New Roman" w:hAnsi="Times New Roman" w:cs="Times New Roman"/>
          <w:kern w:val="0"/>
          <w:szCs w:val="24"/>
        </w:rPr>
        <w:t>进行掺烧，以</w:t>
      </w:r>
      <w:r>
        <w:rPr>
          <w:rFonts w:ascii="Times New Roman" w:hAnsi="Times New Roman" w:cs="Times New Roman"/>
        </w:rPr>
        <w:t>彻底解决消纳长岭分公司油泥浮渣问题。本次评价针对长岭分公司处置公司油泥的环境影响进行评价，评价重点为干泥掺混时的恶臭影响和油泥掺烧后锅炉烟气的影响，依托CFB锅炉焚烧油泥的可行性，污染防范措施有效性等。</w:t>
      </w:r>
      <w:r>
        <w:rPr>
          <w:rFonts w:ascii="Times New Roman" w:hAnsi="Times New Roman" w:cs="Times New Roman"/>
          <w:u w:val="single"/>
        </w:rPr>
        <w:t>且本项目所用油泥浮渣仅限于中石化长岭分公司自产，不接受其他企业的油泥浮渣。</w:t>
      </w:r>
    </w:p>
    <w:p>
      <w:pPr>
        <w:adjustRightInd w:val="0"/>
        <w:snapToGrid w:val="0"/>
        <w:spacing w:line="348" w:lineRule="auto"/>
        <w:ind w:firstLine="480" w:firstLineChars="200"/>
        <w:jc w:val="left"/>
        <w:rPr>
          <w:rFonts w:ascii="Times New Roman" w:hAnsi="Times New Roman"/>
          <w:sz w:val="24"/>
        </w:rPr>
      </w:pPr>
      <w:r>
        <w:rPr>
          <w:rFonts w:ascii="Times New Roman" w:hAnsi="Times New Roman"/>
          <w:sz w:val="24"/>
        </w:rPr>
        <w:t>本项目的实施可以有效处置中国石油化工股份有限公司长岭分公司的油泥浮渣，充分体现了固废处置的“减量化、资源化、无害化”原则，消除了因油泥浮渣无法有效处置对厂区污水处理厂和其他工艺的不利影响和油泥浮渣外排对外环境的不利影响，对中国石油化工股份有限公司长岭分公司厂区的稳定生产运行有着重大利好因素。</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目前，国家鼓励企业采用合法设施利用处置自身产生的固体废物，实现源头减量。因此长岭分公司决定委托湖南环腾环保工程有限公司进行1.2万吨/年油泥浮渣资源化利用项目的环境影响评价工作。根据《固体废物鉴别标准 通则》(GB 34330—2017)</w:t>
      </w:r>
      <w:r>
        <w:rPr>
          <w:rFonts w:ascii="Times New Roman" w:hAnsi="Times New Roman"/>
        </w:rPr>
        <w:t xml:space="preserve"> </w:t>
      </w:r>
      <w:r>
        <w:rPr>
          <w:rFonts w:ascii="Times New Roman" w:hAnsi="Times New Roman"/>
          <w:sz w:val="24"/>
        </w:rPr>
        <w:t>危险废物鉴别标准 通则(GB 5085.7—2019)，“利用是指从固体废物提取物质作为原材料或者燃烧的活动，因此本项目属于危险废物的利用”根据《建设项目环境影响评价分类管理名录》（2018年），本项目属于其中三十四、环境治理业、100 危险废物（含医疗废物）利用及处置，应编制环境影响报告书。</w:t>
      </w:r>
    </w:p>
    <w:p>
      <w:pPr>
        <w:pStyle w:val="6"/>
        <w:numPr>
          <w:ilvl w:val="1"/>
          <w:numId w:val="0"/>
        </w:numPr>
        <w:tabs>
          <w:tab w:val="left" w:pos="-3900"/>
        </w:tabs>
        <w:wordWrap w:val="0"/>
        <w:spacing w:before="120" w:after="120"/>
      </w:pPr>
      <w:r>
        <w:t>2、项目特点</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本项目建设在长岭分公司装置区现有装置区域，将充分依托公司现有的公辅工程，供电、供水、废水处理、风险应急等设施。根据本报告分析，项目废水主要是CFB锅炉排污水与CFB烟脱废水均进污水处理厂含盐污水处理系统。</w:t>
      </w:r>
      <w:r>
        <w:rPr>
          <w:rFonts w:ascii="Times New Roman" w:hAnsi="Times New Roman"/>
          <w:sz w:val="24"/>
          <w:szCs w:val="24"/>
        </w:rPr>
        <w:t>项目的大气污染物排放主要</w:t>
      </w:r>
      <w:r>
        <w:rPr>
          <w:rFonts w:ascii="Times New Roman" w:hAnsi="Times New Roman"/>
          <w:sz w:val="24"/>
        </w:rPr>
        <w:t>为</w:t>
      </w:r>
      <w:r>
        <w:rPr>
          <w:rFonts w:ascii="Times New Roman" w:hAnsi="Times New Roman"/>
          <w:sz w:val="24"/>
          <w:szCs w:val="24"/>
        </w:rPr>
        <w:t>掺烧油泥浮渣烟气中产生的污染物</w:t>
      </w:r>
      <w:r>
        <w:rPr>
          <w:rFonts w:ascii="Times New Roman" w:hAnsi="Times New Roman"/>
          <w:sz w:val="24"/>
        </w:rPr>
        <w:t>包括烟尘、SO</w:t>
      </w:r>
      <w:r>
        <w:rPr>
          <w:rFonts w:ascii="Times New Roman" w:hAnsi="Times New Roman"/>
          <w:sz w:val="24"/>
          <w:vertAlign w:val="subscript"/>
        </w:rPr>
        <w:t>2</w:t>
      </w:r>
      <w:r>
        <w:rPr>
          <w:rFonts w:ascii="Times New Roman" w:hAnsi="Times New Roman"/>
          <w:sz w:val="24"/>
        </w:rPr>
        <w:t>、NO</w:t>
      </w:r>
      <w:r>
        <w:rPr>
          <w:rFonts w:ascii="Times New Roman" w:hAnsi="Times New Roman"/>
          <w:sz w:val="24"/>
          <w:vertAlign w:val="subscript"/>
        </w:rPr>
        <w:t>X</w:t>
      </w:r>
      <w:r>
        <w:rPr>
          <w:rFonts w:ascii="Times New Roman" w:hAnsi="Times New Roman"/>
          <w:sz w:val="24"/>
        </w:rPr>
        <w:t>、二噁英、重金属，</w:t>
      </w:r>
      <w:r>
        <w:rPr>
          <w:rFonts w:ascii="Times New Roman" w:hAnsi="Times New Roman"/>
          <w:sz w:val="24"/>
          <w:szCs w:val="24"/>
        </w:rPr>
        <w:t>以及干泥掺混挥发的少量NH</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S恶臭气体</w:t>
      </w:r>
      <w:r>
        <w:rPr>
          <w:rFonts w:ascii="Times New Roman" w:hAnsi="Times New Roman"/>
          <w:sz w:val="24"/>
        </w:rPr>
        <w:t>。固体废物为锅炉炉渣、炉灰和石膏，属于一般固废，外售水泥厂综合利用。噪声主要为机泵、锅炉、车辆等。因此项目在运营过程中应做好环境污染防治及风险防范应急措施，确保各污染物稳定达标排放、控制项目事故风险水平。</w:t>
      </w:r>
    </w:p>
    <w:p>
      <w:pPr>
        <w:pStyle w:val="6"/>
        <w:numPr>
          <w:ilvl w:val="0"/>
          <w:numId w:val="5"/>
        </w:numPr>
        <w:tabs>
          <w:tab w:val="left" w:pos="-3900"/>
        </w:tabs>
        <w:wordWrap w:val="0"/>
        <w:spacing w:before="120" w:after="120"/>
      </w:pPr>
      <w:bookmarkStart w:id="4" w:name="_Toc19125"/>
      <w:r>
        <w:t>分析判定相关情况</w:t>
      </w:r>
    </w:p>
    <w:p>
      <w:pPr>
        <w:pStyle w:val="6"/>
        <w:numPr>
          <w:ilvl w:val="1"/>
          <w:numId w:val="0"/>
        </w:numPr>
        <w:tabs>
          <w:tab w:val="left" w:pos="-3900"/>
        </w:tabs>
        <w:wordWrap w:val="0"/>
        <w:spacing w:before="120" w:after="120"/>
      </w:pPr>
      <w:r>
        <w:t>3.1与“三线一单”的符合性分析</w:t>
      </w:r>
      <w:bookmarkEnd w:id="4"/>
    </w:p>
    <w:p>
      <w:pPr>
        <w:spacing w:line="360" w:lineRule="auto"/>
        <w:ind w:firstLine="480"/>
        <w:rPr>
          <w:rFonts w:ascii="Times New Roman" w:hAnsi="Times New Roman"/>
          <w:sz w:val="24"/>
          <w:szCs w:val="24"/>
        </w:rPr>
      </w:pPr>
      <w:r>
        <w:rPr>
          <w:rFonts w:ascii="Times New Roman" w:hAnsi="Times New Roman"/>
          <w:sz w:val="24"/>
          <w:szCs w:val="24"/>
        </w:rPr>
        <w:t>（1）生态保护红线的相符性分析</w:t>
      </w:r>
    </w:p>
    <w:p>
      <w:pPr>
        <w:spacing w:line="360" w:lineRule="auto"/>
        <w:ind w:firstLine="480"/>
        <w:rPr>
          <w:rFonts w:ascii="Times New Roman" w:hAnsi="Times New Roman"/>
          <w:sz w:val="24"/>
          <w:szCs w:val="24"/>
        </w:rPr>
      </w:pPr>
      <w:r>
        <w:rPr>
          <w:rFonts w:ascii="Times New Roman" w:hAnsi="Times New Roman"/>
          <w:sz w:val="24"/>
          <w:szCs w:val="24"/>
        </w:rPr>
        <w:t>根据湖南省政府公布关于印发《湖南省生态保护红线》的通知（湘政发〔2018〕20号），湖南省生态保护红线划定面积为4.28万km</w:t>
      </w:r>
      <w:r>
        <w:rPr>
          <w:rFonts w:ascii="Times New Roman" w:hAnsi="Times New Roman"/>
          <w:sz w:val="24"/>
          <w:szCs w:val="24"/>
          <w:vertAlign w:val="superscript"/>
        </w:rPr>
        <w:t>2</w:t>
      </w:r>
      <w:r>
        <w:rPr>
          <w:rFonts w:ascii="Times New Roman" w:hAnsi="Times New Roman"/>
          <w:sz w:val="24"/>
          <w:szCs w:val="24"/>
        </w:rPr>
        <w:t>，占全省国土面积的20.23%。全省生态保护红线空间格局为“一湖三山四水”：“一湖”为洞庭湖（要包括东洞庭湖、南洞庭湖、横岭湖、西洞庭湖等自然保护区和长江岸线主），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本工程不在生态红线一类管控区范围内，本项目仅有少量无组织废气排放。本项目的建设是符合生态保护红线要求的。</w:t>
      </w:r>
    </w:p>
    <w:p>
      <w:pPr>
        <w:spacing w:line="360" w:lineRule="auto"/>
        <w:ind w:firstLine="480"/>
        <w:rPr>
          <w:rFonts w:ascii="Times New Roman" w:hAnsi="Times New Roman"/>
          <w:sz w:val="24"/>
          <w:szCs w:val="24"/>
        </w:rPr>
      </w:pPr>
      <w:r>
        <w:rPr>
          <w:rFonts w:ascii="Times New Roman" w:hAnsi="Times New Roman"/>
          <w:sz w:val="24"/>
          <w:szCs w:val="24"/>
        </w:rPr>
        <w:t>（2）与环境质量底线的相符性分析</w:t>
      </w:r>
    </w:p>
    <w:p>
      <w:pPr>
        <w:spacing w:line="360" w:lineRule="auto"/>
        <w:ind w:firstLine="480"/>
        <w:rPr>
          <w:rFonts w:ascii="Times New Roman" w:hAnsi="Times New Roman"/>
          <w:sz w:val="24"/>
          <w:szCs w:val="24"/>
        </w:rPr>
      </w:pPr>
      <w:r>
        <w:rPr>
          <w:rFonts w:ascii="Times New Roman" w:hAnsi="Times New Roman"/>
          <w:sz w:val="24"/>
          <w:szCs w:val="24"/>
        </w:rPr>
        <w:t>1）项目与大气环境功能的相符性分析：</w:t>
      </w:r>
    </w:p>
    <w:p>
      <w:pPr>
        <w:spacing w:line="360" w:lineRule="auto"/>
        <w:ind w:firstLine="480"/>
        <w:rPr>
          <w:rFonts w:ascii="Times New Roman" w:hAnsi="Times New Roman"/>
          <w:sz w:val="24"/>
          <w:szCs w:val="24"/>
        </w:rPr>
      </w:pPr>
      <w:r>
        <w:rPr>
          <w:rFonts w:ascii="Times New Roman" w:hAnsi="Times New Roman"/>
          <w:sz w:val="24"/>
          <w:szCs w:val="24"/>
        </w:rPr>
        <w:t>项目所在区域大气环境为二类区。项目的大气污染物排放主要</w:t>
      </w:r>
      <w:r>
        <w:rPr>
          <w:rFonts w:ascii="Times New Roman" w:hAnsi="Times New Roman"/>
          <w:sz w:val="24"/>
        </w:rPr>
        <w:t>为</w:t>
      </w:r>
      <w:r>
        <w:rPr>
          <w:rFonts w:ascii="Times New Roman" w:hAnsi="Times New Roman"/>
          <w:sz w:val="24"/>
          <w:szCs w:val="24"/>
        </w:rPr>
        <w:t>掺烧油泥烟气中增加的污染物</w:t>
      </w:r>
      <w:r>
        <w:rPr>
          <w:rFonts w:ascii="Times New Roman" w:hAnsi="Times New Roman"/>
          <w:sz w:val="24"/>
        </w:rPr>
        <w:t>包括烟尘、SO</w:t>
      </w:r>
      <w:r>
        <w:rPr>
          <w:rFonts w:ascii="Times New Roman" w:hAnsi="Times New Roman"/>
          <w:sz w:val="24"/>
          <w:vertAlign w:val="subscript"/>
        </w:rPr>
        <w:t>2</w:t>
      </w:r>
      <w:r>
        <w:rPr>
          <w:rFonts w:ascii="Times New Roman" w:hAnsi="Times New Roman"/>
          <w:sz w:val="24"/>
        </w:rPr>
        <w:t>、NO</w:t>
      </w:r>
      <w:r>
        <w:rPr>
          <w:rFonts w:ascii="Times New Roman" w:hAnsi="Times New Roman"/>
          <w:sz w:val="24"/>
          <w:vertAlign w:val="subscript"/>
        </w:rPr>
        <w:t>X</w:t>
      </w:r>
      <w:r>
        <w:rPr>
          <w:rFonts w:ascii="Times New Roman" w:hAnsi="Times New Roman"/>
          <w:sz w:val="24"/>
        </w:rPr>
        <w:t>、二噁英、重金属，</w:t>
      </w:r>
      <w:r>
        <w:rPr>
          <w:rFonts w:ascii="Times New Roman" w:hAnsi="Times New Roman"/>
          <w:sz w:val="24"/>
          <w:szCs w:val="24"/>
        </w:rPr>
        <w:t>以及干泥掺混挥发的少量NH</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S恶臭气体，根据大气环境影响预测结果，本项目大气污染物对区域环境空气质量影响较小。</w:t>
      </w:r>
    </w:p>
    <w:p>
      <w:pPr>
        <w:spacing w:line="360" w:lineRule="auto"/>
        <w:ind w:firstLine="480"/>
        <w:rPr>
          <w:rFonts w:ascii="Times New Roman" w:hAnsi="Times New Roman"/>
          <w:sz w:val="24"/>
          <w:szCs w:val="24"/>
        </w:rPr>
      </w:pPr>
      <w:r>
        <w:rPr>
          <w:rFonts w:ascii="Times New Roman" w:hAnsi="Times New Roman"/>
          <w:sz w:val="24"/>
          <w:szCs w:val="24"/>
        </w:rPr>
        <w:t>2）项目与地表水环境功能的相符性分析：</w:t>
      </w:r>
    </w:p>
    <w:p>
      <w:pPr>
        <w:spacing w:line="360" w:lineRule="auto"/>
        <w:ind w:firstLine="480"/>
        <w:rPr>
          <w:rFonts w:ascii="Times New Roman" w:hAnsi="Times New Roman"/>
          <w:sz w:val="24"/>
          <w:szCs w:val="24"/>
        </w:rPr>
      </w:pPr>
      <w:r>
        <w:rPr>
          <w:rFonts w:ascii="Times New Roman" w:hAnsi="Times New Roman"/>
          <w:sz w:val="24"/>
          <w:szCs w:val="24"/>
        </w:rPr>
        <w:t>项目废水主要是CFB锅炉排污水与CFB烟脱废水均进入污水处理厂含盐污水处理系统处理达标后排放，符合《中华人民共和国水污染防治法》的有关规定。</w:t>
      </w:r>
    </w:p>
    <w:p>
      <w:pPr>
        <w:spacing w:line="360" w:lineRule="auto"/>
        <w:ind w:firstLine="480"/>
        <w:rPr>
          <w:rFonts w:ascii="Times New Roman" w:hAnsi="Times New Roman"/>
          <w:sz w:val="24"/>
          <w:szCs w:val="24"/>
        </w:rPr>
      </w:pPr>
      <w:r>
        <w:rPr>
          <w:rFonts w:ascii="Times New Roman" w:hAnsi="Times New Roman"/>
          <w:sz w:val="24"/>
          <w:szCs w:val="24"/>
        </w:rPr>
        <w:t>3）项目与声环境功能的相符性分析：</w:t>
      </w:r>
    </w:p>
    <w:p>
      <w:pPr>
        <w:spacing w:line="360" w:lineRule="auto"/>
        <w:ind w:firstLine="480"/>
        <w:rPr>
          <w:rFonts w:ascii="Times New Roman" w:hAnsi="Times New Roman"/>
          <w:sz w:val="24"/>
          <w:szCs w:val="24"/>
        </w:rPr>
      </w:pPr>
      <w:r>
        <w:rPr>
          <w:rFonts w:ascii="Times New Roman" w:hAnsi="Times New Roman"/>
          <w:sz w:val="24"/>
          <w:szCs w:val="24"/>
        </w:rPr>
        <w:t>本项目为3类声环境功能区。根据声环境预测结果，本项目建成后对周围的声环境影响较小，不会改变周围环境的功能属性，因此本项目的建设符合声环境功能区要求。</w:t>
      </w:r>
    </w:p>
    <w:p>
      <w:pPr>
        <w:spacing w:line="360" w:lineRule="auto"/>
        <w:ind w:firstLine="480"/>
        <w:rPr>
          <w:rFonts w:ascii="Times New Roman" w:hAnsi="Times New Roman"/>
          <w:sz w:val="24"/>
          <w:szCs w:val="24"/>
        </w:rPr>
      </w:pPr>
      <w:r>
        <w:rPr>
          <w:rFonts w:ascii="Times New Roman" w:hAnsi="Times New Roman"/>
          <w:sz w:val="24"/>
          <w:szCs w:val="24"/>
        </w:rPr>
        <w:t>因此本工程的建设不会破坏质量底线。</w:t>
      </w:r>
    </w:p>
    <w:p>
      <w:pPr>
        <w:spacing w:line="360" w:lineRule="auto"/>
        <w:ind w:firstLine="480"/>
        <w:rPr>
          <w:rFonts w:ascii="Times New Roman" w:hAnsi="Times New Roman"/>
          <w:sz w:val="24"/>
          <w:szCs w:val="24"/>
        </w:rPr>
      </w:pPr>
      <w:r>
        <w:rPr>
          <w:rFonts w:ascii="Times New Roman" w:hAnsi="Times New Roman"/>
          <w:sz w:val="24"/>
          <w:szCs w:val="24"/>
        </w:rPr>
        <w:t>（3）与资源利用上线的对照分析</w:t>
      </w:r>
    </w:p>
    <w:p>
      <w:pPr>
        <w:spacing w:line="360" w:lineRule="auto"/>
        <w:ind w:firstLine="480"/>
        <w:rPr>
          <w:rFonts w:ascii="Times New Roman" w:hAnsi="Times New Roman"/>
          <w:sz w:val="24"/>
          <w:szCs w:val="24"/>
        </w:rPr>
      </w:pPr>
      <w:r>
        <w:rPr>
          <w:rFonts w:ascii="Times New Roman" w:hAnsi="Times New Roman"/>
          <w:sz w:val="24"/>
          <w:szCs w:val="24"/>
        </w:rPr>
        <w:t>项目用地符合各相关部门对土地资源开发利用的管控要求，符合土地资源利用上线管控要求。本项目为环境治理项目，综合利用现有资源，项目本身营运也不会消耗大量资源，符合资源利用上线的要求。</w:t>
      </w:r>
    </w:p>
    <w:p>
      <w:pPr>
        <w:spacing w:line="360" w:lineRule="auto"/>
        <w:ind w:firstLine="480"/>
        <w:rPr>
          <w:rFonts w:ascii="Times New Roman" w:hAnsi="Times New Roman"/>
          <w:sz w:val="24"/>
          <w:szCs w:val="24"/>
        </w:rPr>
      </w:pPr>
      <w:r>
        <w:rPr>
          <w:rFonts w:ascii="Times New Roman" w:hAnsi="Times New Roman"/>
          <w:sz w:val="24"/>
          <w:szCs w:val="24"/>
        </w:rPr>
        <w:t>（4）与环境准入负面清单的符合性</w:t>
      </w:r>
    </w:p>
    <w:p>
      <w:pPr>
        <w:pStyle w:val="7"/>
        <w:numPr>
          <w:ilvl w:val="2"/>
          <w:numId w:val="0"/>
        </w:numPr>
        <w:spacing w:before="120" w:after="120"/>
        <w:textAlignment w:val="baseline"/>
        <w:rPr>
          <w:b w:val="0"/>
          <w:bCs w:val="0"/>
          <w:szCs w:val="24"/>
        </w:rPr>
      </w:pPr>
      <w:r>
        <w:rPr>
          <w:b w:val="0"/>
          <w:bCs w:val="0"/>
          <w:szCs w:val="24"/>
        </w:rPr>
        <w:t>本工程属于环境治理项目，不属于区域禁止建设项目。</w:t>
      </w:r>
      <w:bookmarkStart w:id="5" w:name="_Toc7569"/>
      <w:bookmarkStart w:id="6" w:name="_Toc13157"/>
      <w:bookmarkStart w:id="7" w:name="_Toc16540"/>
      <w:bookmarkStart w:id="8" w:name="_Toc486403323"/>
      <w:bookmarkStart w:id="9" w:name="_Toc5888"/>
    </w:p>
    <w:p>
      <w:pPr>
        <w:pStyle w:val="7"/>
        <w:numPr>
          <w:ilvl w:val="2"/>
          <w:numId w:val="0"/>
        </w:numPr>
        <w:spacing w:before="120" w:after="120"/>
        <w:textAlignment w:val="baseline"/>
        <w:rPr>
          <w:sz w:val="30"/>
        </w:rPr>
      </w:pPr>
      <w:r>
        <w:rPr>
          <w:sz w:val="30"/>
        </w:rPr>
        <w:t>3.2与规划、产业政策、法规的相符性分析</w:t>
      </w:r>
      <w:bookmarkEnd w:id="5"/>
      <w:bookmarkEnd w:id="6"/>
      <w:bookmarkEnd w:id="7"/>
      <w:bookmarkEnd w:id="8"/>
      <w:bookmarkEnd w:id="9"/>
    </w:p>
    <w:p>
      <w:pPr>
        <w:pStyle w:val="7"/>
        <w:numPr>
          <w:ilvl w:val="2"/>
          <w:numId w:val="0"/>
        </w:numPr>
        <w:spacing w:before="120" w:after="120"/>
        <w:textAlignment w:val="baseline"/>
        <w:rPr>
          <w:szCs w:val="24"/>
        </w:rPr>
      </w:pPr>
      <w:bookmarkStart w:id="10" w:name="_Toc29617"/>
      <w:bookmarkStart w:id="11" w:name="_Toc214875677"/>
      <w:bookmarkStart w:id="12" w:name="_Toc484073552"/>
      <w:r>
        <w:rPr>
          <w:szCs w:val="24"/>
        </w:rPr>
        <w:t>3.2.1 产业政策相符性分析</w:t>
      </w:r>
      <w:bookmarkEnd w:id="10"/>
      <w:bookmarkEnd w:id="11"/>
      <w:bookmarkEnd w:id="12"/>
    </w:p>
    <w:p>
      <w:pPr>
        <w:spacing w:line="360" w:lineRule="auto"/>
        <w:ind w:firstLine="510"/>
        <w:rPr>
          <w:rFonts w:ascii="Times New Roman" w:hAnsi="Times New Roman"/>
          <w:sz w:val="24"/>
          <w:szCs w:val="24"/>
        </w:rPr>
      </w:pPr>
      <w:r>
        <w:rPr>
          <w:rFonts w:ascii="Times New Roman" w:hAnsi="Times New Roman"/>
          <w:sz w:val="24"/>
          <w:szCs w:val="24"/>
        </w:rPr>
        <w:t>根据:“国家发展改革委员会《产业结构调整指导目录（2019年本）》中要求，本项目属于鼓励类“四十三、环境保护与资源节约综合利用，8、危险废物(医疗废物)及含重金属废物安全处置技术设备开发制造及处置中心建设及运营;”项目，符合国家产业政策。</w:t>
      </w:r>
    </w:p>
    <w:p>
      <w:pPr>
        <w:pStyle w:val="281"/>
        <w:tabs>
          <w:tab w:val="left" w:pos="3600"/>
        </w:tabs>
        <w:spacing w:line="360" w:lineRule="auto"/>
        <w:ind w:firstLine="0"/>
        <w:outlineLvl w:val="3"/>
        <w:rPr>
          <w:rFonts w:ascii="Times New Roman" w:hAnsi="Times New Roman" w:cs="Times New Roman"/>
          <w:sz w:val="28"/>
          <w:szCs w:val="28"/>
        </w:rPr>
      </w:pPr>
      <w:bookmarkStart w:id="13" w:name="_Toc28343"/>
      <w:bookmarkStart w:id="14" w:name="_Toc484073554"/>
      <w:r>
        <w:rPr>
          <w:rFonts w:ascii="Times New Roman" w:hAnsi="Times New Roman" w:cs="Times New Roman"/>
          <w:kern w:val="0"/>
          <w:sz w:val="24"/>
          <w:szCs w:val="24"/>
        </w:rPr>
        <w:t>3.2.2 选址规划相符性分析</w:t>
      </w:r>
      <w:bookmarkEnd w:id="13"/>
      <w:bookmarkEnd w:id="14"/>
    </w:p>
    <w:p>
      <w:pPr>
        <w:spacing w:line="360" w:lineRule="auto"/>
        <w:ind w:firstLine="510"/>
        <w:rPr>
          <w:rFonts w:ascii="Times New Roman" w:hAnsi="Times New Roman"/>
          <w:sz w:val="24"/>
          <w:szCs w:val="24"/>
        </w:rPr>
      </w:pPr>
      <w:r>
        <w:rPr>
          <w:rFonts w:ascii="Times New Roman" w:hAnsi="Times New Roman"/>
          <w:sz w:val="24"/>
          <w:szCs w:val="24"/>
        </w:rPr>
        <w:t>本项目选址位于中石化长岭分公司现有生产厂区内，不需新征用地。中石化长岭分公司生产区属于工业工地，同时根据岳阳市城市总体规划2008-2030年总体布局规划属于规划的工业用地。因此，该项目厂址符合岳阳市城市总体规划和岳阳市土地利用规划。</w:t>
      </w:r>
    </w:p>
    <w:p>
      <w:pPr>
        <w:pStyle w:val="281"/>
        <w:tabs>
          <w:tab w:val="left" w:pos="3600"/>
        </w:tabs>
        <w:spacing w:line="360" w:lineRule="auto"/>
        <w:ind w:firstLine="0"/>
        <w:outlineLvl w:val="3"/>
        <w:rPr>
          <w:rFonts w:ascii="Times New Roman" w:hAnsi="Times New Roman" w:cs="Times New Roman"/>
          <w:sz w:val="28"/>
          <w:szCs w:val="28"/>
        </w:rPr>
      </w:pPr>
      <w:bookmarkStart w:id="15" w:name="_Toc259977373"/>
      <w:bookmarkStart w:id="16" w:name="_Toc261529179"/>
      <w:bookmarkStart w:id="17" w:name="_Toc267946319"/>
      <w:bookmarkStart w:id="18" w:name="_Toc1927"/>
      <w:bookmarkStart w:id="19" w:name="_Toc484073555"/>
      <w:r>
        <w:rPr>
          <w:rFonts w:ascii="Times New Roman" w:hAnsi="Times New Roman" w:cs="Times New Roman"/>
          <w:kern w:val="0"/>
          <w:sz w:val="24"/>
          <w:szCs w:val="24"/>
        </w:rPr>
        <w:t>3.2.3 环境敏感性分析</w:t>
      </w:r>
      <w:bookmarkEnd w:id="15"/>
      <w:bookmarkEnd w:id="16"/>
      <w:bookmarkEnd w:id="17"/>
      <w:bookmarkEnd w:id="18"/>
      <w:bookmarkEnd w:id="19"/>
    </w:p>
    <w:p>
      <w:pPr>
        <w:spacing w:line="360" w:lineRule="auto"/>
        <w:ind w:firstLine="510"/>
        <w:rPr>
          <w:rFonts w:ascii="Times New Roman" w:hAnsi="Times New Roman"/>
          <w:sz w:val="24"/>
          <w:szCs w:val="24"/>
        </w:rPr>
      </w:pPr>
      <w:bookmarkStart w:id="20" w:name="_Toc214875688"/>
      <w:r>
        <w:rPr>
          <w:rFonts w:ascii="Times New Roman" w:hAnsi="Times New Roman"/>
          <w:sz w:val="24"/>
          <w:szCs w:val="24"/>
        </w:rPr>
        <w:t>从总体布局上来看，项目所在区域没有饮用水源保护区、以及县以上政府规划部门确定的特殊保护区域、也不是生态敏感脆弱区。项目不会对周围的环境敏感目标造成影响。</w:t>
      </w:r>
    </w:p>
    <w:p>
      <w:pPr>
        <w:pStyle w:val="281"/>
        <w:tabs>
          <w:tab w:val="left" w:pos="3600"/>
        </w:tabs>
        <w:spacing w:line="360" w:lineRule="auto"/>
        <w:ind w:firstLine="0"/>
        <w:outlineLvl w:val="3"/>
        <w:rPr>
          <w:rFonts w:ascii="Times New Roman" w:hAnsi="Times New Roman" w:cs="Times New Roman"/>
          <w:sz w:val="28"/>
          <w:szCs w:val="28"/>
        </w:rPr>
      </w:pPr>
      <w:bookmarkStart w:id="21" w:name="_Toc18980"/>
      <w:bookmarkStart w:id="22" w:name="_Toc267946322"/>
      <w:bookmarkStart w:id="23" w:name="_Toc484073557"/>
      <w:bookmarkStart w:id="24" w:name="_Toc261529182"/>
      <w:bookmarkStart w:id="25" w:name="_Toc259977376"/>
      <w:r>
        <w:rPr>
          <w:rFonts w:ascii="Times New Roman" w:hAnsi="Times New Roman" w:cs="Times New Roman"/>
          <w:kern w:val="0"/>
          <w:sz w:val="24"/>
          <w:szCs w:val="24"/>
        </w:rPr>
        <w:t>3.2.4环境功能区划符合性分析</w:t>
      </w:r>
      <w:bookmarkEnd w:id="21"/>
      <w:bookmarkEnd w:id="22"/>
      <w:bookmarkEnd w:id="23"/>
      <w:bookmarkEnd w:id="24"/>
      <w:bookmarkEnd w:id="25"/>
    </w:p>
    <w:p>
      <w:pPr>
        <w:spacing w:line="360" w:lineRule="auto"/>
        <w:ind w:firstLine="510"/>
        <w:rPr>
          <w:rFonts w:ascii="Times New Roman" w:hAnsi="Times New Roman"/>
          <w:sz w:val="24"/>
          <w:szCs w:val="24"/>
        </w:rPr>
      </w:pPr>
      <w:r>
        <w:rPr>
          <w:rFonts w:ascii="Times New Roman" w:hAnsi="Times New Roman"/>
          <w:sz w:val="24"/>
          <w:szCs w:val="24"/>
        </w:rPr>
        <w:t>（1）环境空气功能区划</w:t>
      </w:r>
    </w:p>
    <w:p>
      <w:pPr>
        <w:spacing w:line="360" w:lineRule="auto"/>
        <w:ind w:firstLine="510"/>
        <w:rPr>
          <w:rFonts w:ascii="Times New Roman" w:hAnsi="Times New Roman"/>
          <w:sz w:val="24"/>
          <w:szCs w:val="24"/>
        </w:rPr>
      </w:pPr>
      <w:r>
        <w:rPr>
          <w:rFonts w:ascii="Times New Roman" w:hAnsi="Times New Roman"/>
          <w:sz w:val="24"/>
          <w:szCs w:val="24"/>
        </w:rPr>
        <w:t>项目所在地环境空气功能规划为《环境空气质量标准》（GB3095-2012）规定的二类区，根据现状监测，项目所在地空气质量满足《环境空气质量标准》（GB3095-2012）中二级标准。</w:t>
      </w:r>
    </w:p>
    <w:p>
      <w:pPr>
        <w:spacing w:line="360" w:lineRule="auto"/>
        <w:ind w:firstLine="510"/>
        <w:rPr>
          <w:rFonts w:ascii="Times New Roman" w:hAnsi="Times New Roman"/>
          <w:sz w:val="24"/>
          <w:szCs w:val="24"/>
        </w:rPr>
      </w:pPr>
      <w:r>
        <w:rPr>
          <w:rFonts w:ascii="Times New Roman" w:hAnsi="Times New Roman"/>
          <w:sz w:val="24"/>
          <w:szCs w:val="24"/>
        </w:rPr>
        <w:t>（2）水体功能区划</w:t>
      </w:r>
    </w:p>
    <w:p>
      <w:pPr>
        <w:spacing w:line="360" w:lineRule="auto"/>
        <w:ind w:firstLine="480" w:firstLineChars="200"/>
        <w:rPr>
          <w:rFonts w:ascii="Times New Roman" w:hAnsi="Times New Roman"/>
          <w:sz w:val="24"/>
          <w:szCs w:val="24"/>
        </w:rPr>
      </w:pPr>
      <w:r>
        <w:rPr>
          <w:rFonts w:ascii="Times New Roman" w:hAnsi="Times New Roman"/>
          <w:sz w:val="24"/>
          <w:szCs w:val="24"/>
        </w:rPr>
        <w:t>根据项目所在地的地表水体功能规划，项目受纳水体为长江，其水体规划为Ⅲ类水体，根据引用监测数据，长江断面水质满足《地表水环境质量标准》（GB3838-2002）中Ⅲ类水质标准，但是上游断面COD监测值非常接近3类标准，说明上游来水水质一般。</w:t>
      </w:r>
    </w:p>
    <w:p>
      <w:pPr>
        <w:spacing w:line="360" w:lineRule="auto"/>
        <w:ind w:firstLine="510"/>
        <w:rPr>
          <w:rFonts w:ascii="Times New Roman" w:hAnsi="Times New Roman"/>
          <w:sz w:val="24"/>
          <w:szCs w:val="24"/>
        </w:rPr>
      </w:pPr>
      <w:r>
        <w:rPr>
          <w:rFonts w:ascii="Times New Roman" w:hAnsi="Times New Roman"/>
          <w:sz w:val="24"/>
          <w:szCs w:val="24"/>
        </w:rPr>
        <w:t>（3）声环境功能区划</w:t>
      </w:r>
    </w:p>
    <w:p>
      <w:pPr>
        <w:spacing w:line="360" w:lineRule="auto"/>
        <w:ind w:firstLine="510"/>
        <w:rPr>
          <w:rFonts w:ascii="Times New Roman" w:hAnsi="Times New Roman"/>
          <w:sz w:val="24"/>
          <w:szCs w:val="24"/>
        </w:rPr>
      </w:pPr>
      <w:r>
        <w:rPr>
          <w:rFonts w:ascii="Times New Roman" w:hAnsi="Times New Roman"/>
          <w:sz w:val="24"/>
          <w:szCs w:val="24"/>
        </w:rPr>
        <w:t>中石化长岭分公司生产区声环境功能执行《声环境质量标准》（GB3096-2008）中3类标准，项目建成后厂界噪声能够满足《工业企业厂界环境噪声排放标准》（GB12348-2008）中3类标准；经噪声环境影响预测分析，项目建成后对周围环境影响较小，满足声环境功能区划要求。</w:t>
      </w:r>
    </w:p>
    <w:p>
      <w:pPr>
        <w:spacing w:line="360" w:lineRule="auto"/>
        <w:ind w:firstLine="510"/>
        <w:rPr>
          <w:rFonts w:ascii="Times New Roman" w:hAnsi="Times New Roman"/>
        </w:rPr>
      </w:pPr>
      <w:r>
        <w:rPr>
          <w:rFonts w:ascii="Times New Roman" w:hAnsi="Times New Roman"/>
          <w:sz w:val="24"/>
          <w:szCs w:val="24"/>
        </w:rPr>
        <w:t>综上所述，本项目符合国家和地方相关产业政策要求。厂址选择符合当地的规划，项目建成后对周围的环境影响较小，项目建设方案是可行的。</w:t>
      </w:r>
      <w:bookmarkEnd w:id="20"/>
    </w:p>
    <w:p>
      <w:pPr>
        <w:spacing w:line="360" w:lineRule="auto"/>
        <w:rPr>
          <w:rFonts w:ascii="Times New Roman" w:hAnsi="Times New Roman"/>
          <w:b/>
          <w:bCs/>
          <w:sz w:val="30"/>
          <w:szCs w:val="32"/>
        </w:rPr>
      </w:pPr>
      <w:r>
        <w:rPr>
          <w:rFonts w:ascii="Times New Roman" w:hAnsi="Times New Roman"/>
          <w:b/>
          <w:bCs/>
          <w:sz w:val="30"/>
          <w:szCs w:val="32"/>
        </w:rPr>
        <w:t>4、环境影响评价的工作过程</w:t>
      </w:r>
    </w:p>
    <w:p>
      <w:pPr>
        <w:autoSpaceDE w:val="0"/>
        <w:autoSpaceDN w:val="0"/>
        <w:spacing w:line="360" w:lineRule="auto"/>
        <w:ind w:firstLine="480" w:firstLineChars="200"/>
        <w:rPr>
          <w:rFonts w:ascii="Times New Roman" w:hAnsi="Times New Roman"/>
          <w:kern w:val="0"/>
          <w:sz w:val="24"/>
          <w:szCs w:val="24"/>
        </w:rPr>
      </w:pPr>
      <w:r>
        <w:rPr>
          <w:rFonts w:ascii="Times New Roman" w:hAnsi="Times New Roman"/>
          <w:sz w:val="24"/>
        </w:rPr>
        <w:t>我公司接受委托后，组织人员对该项目的工程内容、地址及周边环境进行了现场勘察。</w:t>
      </w:r>
    </w:p>
    <w:p>
      <w:pPr>
        <w:pStyle w:val="243"/>
        <w:spacing w:before="120" w:after="120"/>
        <w:rPr>
          <w:color w:val="auto"/>
        </w:rPr>
      </w:pPr>
      <w:r>
        <w:rPr>
          <w:color w:val="auto"/>
        </w:rPr>
        <w:t>本评价通过对项目周围的自然环境、社会环境以及空气、地表水、地下水、土壤、噪声、生态环境质量现状进行调查评价，预测和分析项目在营运过程中对周围环境的影响程度和范围，分析和论证工程采取的环境保护措施以及在技术上的可行性和经济上的合理性。同时提出切实可行的整改环保措施和防治污染对策，为有关部门进行项目环境管理提供科学的依据，使工程对环境的不良影响降到最低程度，保证区域经济建设的可持续发展。</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本次环境影响评价工作分三个阶段，即前期准备、调研和制定工作方案阶段，分析论证和预测评价阶段，环境影响评价文件编制阶段。</w:t>
      </w:r>
    </w:p>
    <w:p>
      <w:pPr>
        <w:pStyle w:val="245"/>
        <w:rPr>
          <w:rFonts w:ascii="Times New Roman" w:hAnsi="Times New Roman" w:cs="Times New Roman"/>
          <w:color w:val="auto"/>
        </w:rPr>
      </w:pPr>
      <w:r>
        <w:rPr>
          <w:rFonts w:ascii="Times New Roman" w:hAnsi="Times New Roman" w:cs="Times New Roman"/>
          <w:color w:val="auto"/>
        </w:rPr>
        <w:t>评价工作程序见下图。</w:t>
      </w:r>
    </w:p>
    <w:p>
      <w:pPr>
        <w:spacing w:line="360" w:lineRule="auto"/>
        <w:rPr>
          <w:rFonts w:ascii="Times New Roman" w:hAnsi="Times New Roman"/>
          <w:sz w:val="24"/>
        </w:rPr>
      </w:pPr>
      <w:r>
        <w:rPr>
          <w:rFonts w:ascii="Times New Roman" w:hAnsi="Times New Roman"/>
          <w:sz w:val="24"/>
        </w:rPr>
        <w:drawing>
          <wp:inline distT="0" distB="0" distL="0" distR="0">
            <wp:extent cx="5819140" cy="5555615"/>
            <wp:effectExtent l="0" t="0" r="10160" b="6985"/>
            <wp:docPr id="1026" name="图片 174"/>
            <wp:cNvGraphicFramePr/>
            <a:graphic xmlns:a="http://schemas.openxmlformats.org/drawingml/2006/main">
              <a:graphicData uri="http://schemas.openxmlformats.org/drawingml/2006/picture">
                <pic:pic xmlns:pic="http://schemas.openxmlformats.org/drawingml/2006/picture">
                  <pic:nvPicPr>
                    <pic:cNvPr id="1026" name="图片 174"/>
                    <pic:cNvPicPr/>
                  </pic:nvPicPr>
                  <pic:blipFill>
                    <a:blip r:embed="rId21" cstate="print"/>
                    <a:srcRect/>
                    <a:stretch>
                      <a:fillRect/>
                    </a:stretch>
                  </pic:blipFill>
                  <pic:spPr>
                    <a:xfrm>
                      <a:off x="0" y="0"/>
                      <a:ext cx="5819140" cy="5555615"/>
                    </a:xfrm>
                    <a:prstGeom prst="rect">
                      <a:avLst/>
                    </a:prstGeom>
                  </pic:spPr>
                </pic:pic>
              </a:graphicData>
            </a:graphic>
          </wp:inline>
        </w:drawing>
      </w:r>
    </w:p>
    <w:p>
      <w:pPr>
        <w:pStyle w:val="243"/>
        <w:spacing w:before="120" w:after="120"/>
        <w:ind w:firstLine="482"/>
        <w:jc w:val="center"/>
        <w:rPr>
          <w:b/>
          <w:bCs/>
          <w:color w:val="auto"/>
          <w:sz w:val="30"/>
          <w:szCs w:val="32"/>
        </w:rPr>
      </w:pPr>
      <w:r>
        <w:rPr>
          <w:b/>
          <w:color w:val="auto"/>
        </w:rPr>
        <w:t>图1  建设项目环境影响评价工作程序图</w:t>
      </w:r>
    </w:p>
    <w:p>
      <w:pPr>
        <w:spacing w:line="360" w:lineRule="auto"/>
        <w:rPr>
          <w:rFonts w:ascii="Times New Roman" w:hAnsi="Times New Roman"/>
          <w:b/>
          <w:bCs/>
          <w:sz w:val="30"/>
          <w:szCs w:val="32"/>
        </w:rPr>
      </w:pPr>
    </w:p>
    <w:p>
      <w:pPr>
        <w:spacing w:line="360" w:lineRule="auto"/>
        <w:rPr>
          <w:rFonts w:ascii="Times New Roman" w:hAnsi="Times New Roman"/>
          <w:b/>
          <w:bCs/>
          <w:sz w:val="30"/>
          <w:szCs w:val="32"/>
        </w:rPr>
      </w:pPr>
      <w:r>
        <w:rPr>
          <w:rFonts w:ascii="Times New Roman" w:hAnsi="Times New Roman"/>
          <w:b/>
          <w:bCs/>
          <w:sz w:val="30"/>
          <w:szCs w:val="32"/>
        </w:rPr>
        <w:t>5、关注的主要环境问题</w:t>
      </w:r>
    </w:p>
    <w:p>
      <w:pPr>
        <w:pStyle w:val="164"/>
        <w:spacing w:line="360" w:lineRule="auto"/>
        <w:ind w:firstLine="480"/>
        <w:jc w:val="both"/>
        <w:rPr>
          <w:rStyle w:val="221"/>
          <w:rFonts w:ascii="Times New Roman" w:hAnsi="Times New Roman" w:cs="Times New Roman"/>
          <w:szCs w:val="24"/>
        </w:rPr>
      </w:pPr>
      <w:r>
        <w:rPr>
          <w:rStyle w:val="221"/>
          <w:rFonts w:ascii="Times New Roman" w:hAnsi="Times New Roman" w:cs="Times New Roman"/>
          <w:szCs w:val="24"/>
        </w:rPr>
        <w:t>（1）项目与长岭分公司公用工程的依托关系，包括供水、排水、供汽、供电、消防、</w:t>
      </w:r>
      <w:r>
        <w:rPr>
          <w:rFonts w:ascii="Times New Roman" w:hAnsi="Times New Roman" w:cs="Times New Roman"/>
        </w:rPr>
        <w:t>CFB锅炉掺烧油泥烟气依托锅炉现有烟气治理措施</w:t>
      </w:r>
      <w:r>
        <w:rPr>
          <w:rStyle w:val="221"/>
          <w:rFonts w:ascii="Times New Roman" w:hAnsi="Times New Roman" w:cs="Times New Roman"/>
          <w:szCs w:val="24"/>
        </w:rPr>
        <w:t>等；</w:t>
      </w:r>
    </w:p>
    <w:p>
      <w:pPr>
        <w:pStyle w:val="164"/>
        <w:spacing w:line="360" w:lineRule="auto"/>
        <w:ind w:firstLine="480"/>
        <w:rPr>
          <w:rStyle w:val="221"/>
          <w:rFonts w:ascii="Times New Roman" w:hAnsi="Times New Roman" w:cs="Times New Roman"/>
          <w:szCs w:val="24"/>
        </w:rPr>
      </w:pPr>
      <w:r>
        <w:rPr>
          <w:rStyle w:val="221"/>
          <w:rFonts w:ascii="Times New Roman" w:hAnsi="Times New Roman" w:cs="Times New Roman"/>
          <w:szCs w:val="24"/>
        </w:rPr>
        <w:t>（2）在环境方面，营运期重点关注项目的大气污染物、水污染物和噪声的达标排放情况；</w:t>
      </w:r>
    </w:p>
    <w:p>
      <w:pPr>
        <w:pStyle w:val="164"/>
        <w:spacing w:line="360" w:lineRule="auto"/>
        <w:ind w:firstLine="480"/>
        <w:rPr>
          <w:rStyle w:val="221"/>
          <w:rFonts w:ascii="Times New Roman" w:hAnsi="Times New Roman" w:cs="Times New Roman"/>
          <w:szCs w:val="24"/>
        </w:rPr>
      </w:pPr>
      <w:r>
        <w:rPr>
          <w:rStyle w:val="221"/>
          <w:rFonts w:ascii="Times New Roman" w:hAnsi="Times New Roman" w:cs="Times New Roman"/>
          <w:szCs w:val="24"/>
        </w:rPr>
        <w:t>（3）在环境污染防治措施可行性论证阶段，重点关注项目拟采取的污染防治措施是否可满足污染物的治理要求，做到达标排放，分析经济、技术方面可行性；</w:t>
      </w:r>
    </w:p>
    <w:p>
      <w:pPr>
        <w:pStyle w:val="164"/>
        <w:spacing w:line="360" w:lineRule="auto"/>
        <w:ind w:firstLine="480"/>
        <w:rPr>
          <w:rStyle w:val="221"/>
          <w:rFonts w:ascii="Times New Roman" w:hAnsi="Times New Roman" w:cs="Times New Roman"/>
        </w:rPr>
      </w:pPr>
      <w:r>
        <w:rPr>
          <w:rStyle w:val="221"/>
          <w:rFonts w:ascii="Times New Roman" w:hAnsi="Times New Roman" w:cs="Times New Roman"/>
          <w:szCs w:val="24"/>
        </w:rPr>
        <w:t>（4）环境风险方面，重点关注项目主要风险源，分析营运期</w:t>
      </w:r>
      <w:r>
        <w:rPr>
          <w:rStyle w:val="221"/>
          <w:rFonts w:ascii="Times New Roman" w:hAnsi="Times New Roman" w:cs="Times New Roman"/>
        </w:rPr>
        <w:t>项目的环境风险及风险防控措施，环境风险是否可达到可接受水平。</w:t>
      </w:r>
    </w:p>
    <w:p>
      <w:pPr>
        <w:spacing w:line="360" w:lineRule="auto"/>
        <w:rPr>
          <w:rFonts w:ascii="Times New Roman" w:hAnsi="Times New Roman"/>
          <w:b/>
          <w:bCs/>
          <w:sz w:val="30"/>
          <w:szCs w:val="32"/>
        </w:rPr>
      </w:pPr>
      <w:r>
        <w:rPr>
          <w:rFonts w:ascii="Times New Roman" w:hAnsi="Times New Roman"/>
          <w:b/>
          <w:bCs/>
          <w:sz w:val="30"/>
          <w:szCs w:val="32"/>
        </w:rPr>
        <w:t>6、环境影响报告书的主要结论</w:t>
      </w:r>
    </w:p>
    <w:p>
      <w:pPr>
        <w:pStyle w:val="164"/>
        <w:spacing w:line="360" w:lineRule="auto"/>
        <w:ind w:firstLine="480"/>
        <w:rPr>
          <w:rFonts w:ascii="Times New Roman" w:hAnsi="Times New Roman" w:cs="Times New Roman"/>
        </w:rPr>
      </w:pPr>
      <w:r>
        <w:rPr>
          <w:rStyle w:val="221"/>
          <w:rFonts w:ascii="Times New Roman" w:hAnsi="Times New Roman" w:cs="Times New Roman"/>
        </w:rPr>
        <w:t>1.2万吨/年油泥浮渣资源化利用建于长岭分公司用地范围内，周边无明显环境制约因素，</w:t>
      </w:r>
      <w:r>
        <w:rPr>
          <w:rFonts w:ascii="Times New Roman" w:hAnsi="Times New Roman" w:cs="Times New Roman"/>
        </w:rPr>
        <w:t>项目符合国家产业政策，生产过程中采用了清洁的生产工艺，所采用的污染防治措施技术经济可行，能保证各种污染物稳定达标排放，排放的污染物对周围环境影响较小。在落实各项环境保护对策措施和管理要求、加强风险防范和应急预案的前提下，从环境保护角度考虑，本建设项目可行。</w:t>
      </w:r>
    </w:p>
    <w:p>
      <w:pPr>
        <w:pStyle w:val="5"/>
        <w:ind w:firstLine="480"/>
        <w:rPr>
          <w:rFonts w:ascii="Times New Roman" w:hAnsi="Times New Roman" w:cs="Times New Roman"/>
        </w:rPr>
      </w:pPr>
    </w:p>
    <w:p>
      <w:pPr>
        <w:pStyle w:val="5"/>
        <w:ind w:firstLine="480"/>
        <w:jc w:val="left"/>
        <w:rPr>
          <w:rFonts w:ascii="Times New Roman" w:hAnsi="Times New Roman" w:cs="Times New Roman"/>
        </w:rPr>
        <w:sectPr>
          <w:headerReference r:id="rId9" w:type="default"/>
          <w:footerReference r:id="rId10" w:type="default"/>
          <w:pgSz w:w="11907" w:h="16840"/>
          <w:pgMar w:top="1474" w:right="1531" w:bottom="1418" w:left="1474" w:header="284" w:footer="851" w:gutter="0"/>
          <w:pgNumType w:start="1"/>
          <w:cols w:space="720" w:num="1"/>
          <w:docGrid w:linePitch="312" w:charSpace="0"/>
        </w:sectPr>
      </w:pPr>
    </w:p>
    <w:p>
      <w:pPr>
        <w:pStyle w:val="4"/>
      </w:pPr>
      <w:bookmarkStart w:id="26" w:name="_Toc18685"/>
      <w:bookmarkStart w:id="27" w:name="_Toc16019"/>
      <w:bookmarkStart w:id="28" w:name="_Toc306034518"/>
      <w:bookmarkStart w:id="29" w:name="_Toc304810268"/>
      <w:bookmarkStart w:id="30" w:name="_Ref237165699"/>
      <w:bookmarkStart w:id="31" w:name="_Toc280188808"/>
      <w:bookmarkStart w:id="32" w:name="_Toc2651"/>
      <w:bookmarkStart w:id="33" w:name="_Toc9003"/>
      <w:r>
        <w:t>总则</w:t>
      </w:r>
      <w:bookmarkEnd w:id="0"/>
      <w:bookmarkEnd w:id="26"/>
      <w:bookmarkEnd w:id="27"/>
      <w:bookmarkEnd w:id="28"/>
      <w:bookmarkEnd w:id="29"/>
      <w:bookmarkEnd w:id="30"/>
      <w:bookmarkEnd w:id="31"/>
      <w:bookmarkEnd w:id="32"/>
      <w:bookmarkEnd w:id="33"/>
    </w:p>
    <w:p>
      <w:pPr>
        <w:pStyle w:val="6"/>
        <w:spacing w:before="156" w:after="156"/>
      </w:pPr>
      <w:bookmarkStart w:id="34" w:name="_Toc3131"/>
      <w:bookmarkStart w:id="35" w:name="_Toc12995"/>
      <w:bookmarkStart w:id="36" w:name="_Toc3913"/>
      <w:bookmarkStart w:id="37" w:name="_Toc21817"/>
      <w:r>
        <w:t>编制依据</w:t>
      </w:r>
      <w:bookmarkEnd w:id="34"/>
      <w:bookmarkEnd w:id="35"/>
      <w:bookmarkEnd w:id="36"/>
      <w:bookmarkEnd w:id="37"/>
    </w:p>
    <w:p>
      <w:pPr>
        <w:pStyle w:val="7"/>
        <w:spacing w:before="156" w:after="156"/>
      </w:pPr>
      <w:bookmarkStart w:id="38" w:name="_Toc6337"/>
      <w:bookmarkStart w:id="39" w:name="_Toc6556"/>
      <w:bookmarkStart w:id="40" w:name="_Toc429"/>
      <w:r>
        <w:t>国家环境保护法律</w:t>
      </w:r>
      <w:bookmarkEnd w:id="38"/>
      <w:bookmarkEnd w:id="39"/>
      <w:bookmarkEnd w:id="40"/>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《中华人民共和国环境保护法》， 2014年4月24日修订，2015年1月1日起施行；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《中华人民共和国环境影响评价法》， 2018年12月修订；</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《中华人民共和国大气污染防治法》，2018年10月26日修改；</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《中华人民共和国水污染防治法》， 2017年修订，2018年1月1日起施行；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《中华人民共和国环境噪声污染防治法》， 2018年12月修订；</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《中华人民共和国固体废物污染环境防治法》， 2020年4月29日修订；</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《中华人民共和国土壤污染防治法》， 2018年8月31日修订，</w:t>
      </w:r>
      <w:r>
        <w:rPr>
          <w:rFonts w:ascii="Times New Roman" w:hAnsi="Times New Roman"/>
          <w:kern w:val="0"/>
          <w:sz w:val="24"/>
          <w:szCs w:val="24"/>
        </w:rPr>
        <w:t>2019</w:t>
      </w:r>
      <w:r>
        <w:rPr>
          <w:rFonts w:ascii="Times New Roman" w:hAnsi="Times New Roman"/>
          <w:sz w:val="24"/>
          <w:szCs w:val="24"/>
        </w:rPr>
        <w:t>年</w:t>
      </w:r>
      <w:r>
        <w:rPr>
          <w:rFonts w:ascii="Times New Roman" w:hAnsi="Times New Roman"/>
          <w:kern w:val="0"/>
          <w:sz w:val="24"/>
          <w:szCs w:val="24"/>
        </w:rPr>
        <w:t>1</w:t>
      </w:r>
      <w:r>
        <w:rPr>
          <w:rFonts w:ascii="Times New Roman" w:hAnsi="Times New Roman"/>
          <w:sz w:val="24"/>
          <w:szCs w:val="24"/>
        </w:rPr>
        <w:t>月</w:t>
      </w:r>
      <w:r>
        <w:rPr>
          <w:rFonts w:ascii="Times New Roman" w:hAnsi="Times New Roman"/>
          <w:kern w:val="0"/>
          <w:sz w:val="24"/>
          <w:szCs w:val="24"/>
        </w:rPr>
        <w:t>1</w:t>
      </w:r>
      <w:r>
        <w:rPr>
          <w:rFonts w:ascii="Times New Roman" w:hAnsi="Times New Roman"/>
          <w:sz w:val="24"/>
          <w:szCs w:val="24"/>
        </w:rPr>
        <w:t>日起施行</w:t>
      </w:r>
      <w:r>
        <w:rPr>
          <w:rFonts w:ascii="Times New Roman" w:hAnsi="Times New Roman"/>
          <w:kern w:val="0"/>
          <w:sz w:val="24"/>
          <w:szCs w:val="24"/>
        </w:rPr>
        <w:t>；</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《中华人民共和国清洁生产促进法》， 2016年5月16日</w:t>
      </w:r>
      <w:r>
        <w:rPr>
          <w:rStyle w:val="57"/>
          <w:rFonts w:ascii="Times New Roman" w:hAnsi="Times New Roman"/>
          <w:sz w:val="24"/>
          <w:szCs w:val="24"/>
        </w:rPr>
        <w:t>修订，</w:t>
      </w:r>
      <w:r>
        <w:rPr>
          <w:rFonts w:ascii="Times New Roman" w:hAnsi="Times New Roman"/>
          <w:sz w:val="24"/>
          <w:szCs w:val="24"/>
        </w:rPr>
        <w:t>2016年7月1日起施行；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《中华人民共和国循环经济促进法》，2018年10月26日起施行；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《中华人民共和国节约能源法》，2018年10月26日；</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bCs/>
          <w:sz w:val="24"/>
          <w:szCs w:val="24"/>
        </w:rPr>
        <w:t>《中华人民共和国可再生能源法》</w:t>
      </w:r>
      <w:r>
        <w:rPr>
          <w:rFonts w:ascii="Times New Roman" w:hAnsi="Times New Roman"/>
          <w:sz w:val="24"/>
          <w:szCs w:val="24"/>
        </w:rPr>
        <w:t xml:space="preserve"> 2009年12月26日；</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《中华人民共和国土地管理法》，2004年8月28日修订并施行；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《中华人民共和国城乡规划法》，2019年4月23日修订并施行；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《中华人民共和国水土保持法》 2010年12月25日修订，2011年3月1日起施行；</w:t>
      </w:r>
    </w:p>
    <w:p>
      <w:pPr>
        <w:numPr>
          <w:ilvl w:val="0"/>
          <w:numId w:val="6"/>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《中华人民共和国安全生产法》 2014年8月31日修订，</w:t>
      </w:r>
      <w:r>
        <w:rPr>
          <w:rFonts w:ascii="Times New Roman" w:hAnsi="Times New Roman"/>
          <w:kern w:val="0"/>
          <w:sz w:val="24"/>
          <w:szCs w:val="24"/>
        </w:rPr>
        <w:t>2014</w:t>
      </w:r>
      <w:r>
        <w:rPr>
          <w:rFonts w:ascii="Times New Roman" w:hAnsi="Times New Roman"/>
          <w:sz w:val="24"/>
          <w:szCs w:val="24"/>
        </w:rPr>
        <w:t>年</w:t>
      </w:r>
      <w:r>
        <w:rPr>
          <w:rFonts w:ascii="Times New Roman" w:hAnsi="Times New Roman"/>
          <w:kern w:val="0"/>
          <w:sz w:val="24"/>
          <w:szCs w:val="24"/>
        </w:rPr>
        <w:t>12</w:t>
      </w:r>
      <w:r>
        <w:rPr>
          <w:rFonts w:ascii="Times New Roman" w:hAnsi="Times New Roman"/>
          <w:sz w:val="24"/>
          <w:szCs w:val="24"/>
        </w:rPr>
        <w:t>月</w:t>
      </w:r>
      <w:r>
        <w:rPr>
          <w:rFonts w:ascii="Times New Roman" w:hAnsi="Times New Roman"/>
          <w:kern w:val="0"/>
          <w:sz w:val="24"/>
          <w:szCs w:val="24"/>
        </w:rPr>
        <w:t>1</w:t>
      </w:r>
      <w:r>
        <w:rPr>
          <w:rFonts w:ascii="Times New Roman" w:hAnsi="Times New Roman"/>
          <w:sz w:val="24"/>
          <w:szCs w:val="24"/>
        </w:rPr>
        <w:t>日起施行</w:t>
      </w:r>
      <w:r>
        <w:rPr>
          <w:rFonts w:ascii="Times New Roman" w:hAnsi="Times New Roman"/>
          <w:kern w:val="0"/>
          <w:sz w:val="24"/>
          <w:szCs w:val="24"/>
        </w:rPr>
        <w:t>；</w:t>
      </w:r>
    </w:p>
    <w:p>
      <w:pPr>
        <w:pStyle w:val="7"/>
        <w:spacing w:before="156" w:after="156"/>
      </w:pPr>
      <w:bookmarkStart w:id="41" w:name="_Toc28050"/>
      <w:bookmarkStart w:id="42" w:name="_Toc14916"/>
      <w:bookmarkStart w:id="43" w:name="_Toc665"/>
      <w:r>
        <w:t>法规、部门规章及规范性文件</w:t>
      </w:r>
      <w:bookmarkEnd w:id="41"/>
      <w:bookmarkEnd w:id="42"/>
      <w:bookmarkEnd w:id="43"/>
    </w:p>
    <w:p>
      <w:pPr>
        <w:numPr>
          <w:ilvl w:val="0"/>
          <w:numId w:val="7"/>
        </w:numPr>
        <w:tabs>
          <w:tab w:val="left" w:pos="567"/>
          <w:tab w:val="left" w:pos="1260"/>
        </w:tabs>
        <w:spacing w:line="480" w:lineRule="exact"/>
        <w:ind w:left="0" w:firstLine="480" w:firstLineChars="200"/>
        <w:jc w:val="left"/>
        <w:rPr>
          <w:rFonts w:ascii="Times New Roman" w:hAnsi="Times New Roman"/>
          <w:sz w:val="24"/>
        </w:rPr>
      </w:pPr>
      <w:r>
        <w:rPr>
          <w:rFonts w:ascii="Times New Roman" w:hAnsi="Times New Roman"/>
          <w:sz w:val="24"/>
        </w:rPr>
        <w:t>《建设项目环境保护管理条例》 2017.7.16修订，2017.10.1起施行；</w:t>
      </w:r>
    </w:p>
    <w:p>
      <w:pPr>
        <w:numPr>
          <w:ilvl w:val="0"/>
          <w:numId w:val="7"/>
        </w:numPr>
        <w:tabs>
          <w:tab w:val="left" w:pos="567"/>
          <w:tab w:val="left" w:pos="1260"/>
        </w:tabs>
        <w:spacing w:line="480" w:lineRule="exact"/>
        <w:ind w:left="0" w:firstLine="480" w:firstLineChars="200"/>
        <w:jc w:val="left"/>
        <w:rPr>
          <w:rFonts w:ascii="Times New Roman" w:hAnsi="Times New Roman"/>
          <w:sz w:val="24"/>
        </w:rPr>
      </w:pPr>
      <w:r>
        <w:rPr>
          <w:rFonts w:ascii="Times New Roman" w:hAnsi="Times New Roman"/>
          <w:sz w:val="24"/>
        </w:rPr>
        <w:t>《危险化学品安全管理条例》2013.12；</w:t>
      </w:r>
    </w:p>
    <w:p>
      <w:pPr>
        <w:numPr>
          <w:ilvl w:val="0"/>
          <w:numId w:val="7"/>
        </w:numPr>
        <w:tabs>
          <w:tab w:val="left" w:pos="567"/>
          <w:tab w:val="left" w:pos="1260"/>
        </w:tabs>
        <w:spacing w:line="480" w:lineRule="exact"/>
        <w:ind w:left="0" w:firstLine="480" w:firstLineChars="200"/>
        <w:jc w:val="left"/>
        <w:rPr>
          <w:rFonts w:ascii="Times New Roman" w:hAnsi="Times New Roman"/>
          <w:sz w:val="24"/>
        </w:rPr>
      </w:pPr>
      <w:r>
        <w:rPr>
          <w:rFonts w:ascii="Times New Roman" w:hAnsi="Times New Roman"/>
          <w:sz w:val="24"/>
        </w:rPr>
        <w:t>《危险废物经营许可证管理办法》2016.2修订；</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《产业结构调整指导目录》（2019年本）；</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《部分工业行业淘汰落后生产工艺装备和产品指导目录（2010年本）》（工产业〔2010〕第122号）；</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《国家危险废物名录》2016 版；</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《危险废物转移联单管理办法》</w:t>
      </w:r>
      <w:r>
        <w:rPr>
          <w:rFonts w:ascii="Times New Roman" w:hAnsi="Times New Roman"/>
          <w:sz w:val="24"/>
        </w:rPr>
        <w:t>（原国家环保总局第5号令）；</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《建设项目环境影响评价分类管理名录》（生态环境部2018年修订）</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《国务院关于加强环境保护重点工作的意见》国发【2011】35号文；</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《关于进一步加强环境影响评价管理防范环境风险的通知》环发【2012】77号；</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《关于切实加强风险防范严格环境影响评价管理的通知》环发【2012】98号文；</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《突发环境事件应急预案管理暂行办法》环发【2010】113号</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《关于落实大气污染防治行动计划严格环境影响评价准入的通知》环办【2014】30号文；</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《大气污染防治行动计划》（2013年09月12日）；</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《水污染防治行动计划》（2015年4月2日）；</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《土壤污染防治行动计划》（2016年5月）；</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rPr>
        <w:t>《“十三五”环境影响评价改革实施方案》（环环评[2016]95号）；</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rPr>
        <w:t>《关于以改善环境质量为核心加强环境影响评价管理的通知》（环环评[2016]150号）；</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rPr>
        <w:t>《关于做好环境影响评价制度与排污许可制衔接相关工作的通知》（环办环评[2017]84号）；</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rPr>
        <w:t>关于印发《排污许可证管理暂行规定》的通知（环水体[2016]186号，2016.12.23）；</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rPr>
        <w:t>《关于印发&lt;建设项目环境影响评价政府信息公开指南（试行）&gt;的通知》（环办[2013]103号）；</w:t>
      </w:r>
    </w:p>
    <w:p>
      <w:pPr>
        <w:numPr>
          <w:ilvl w:val="0"/>
          <w:numId w:val="7"/>
        </w:numPr>
        <w:tabs>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rPr>
        <w:t>《国务院办公厅关于印发危险化学品安全综合治理方案的通知》 （国办发〔2016〕88号）</w:t>
      </w:r>
    </w:p>
    <w:p>
      <w:pPr>
        <w:pStyle w:val="5"/>
        <w:numPr>
          <w:ilvl w:val="0"/>
          <w:numId w:val="7"/>
        </w:numPr>
        <w:tabs>
          <w:tab w:val="left" w:pos="567"/>
        </w:tabs>
        <w:spacing w:line="480" w:lineRule="exact"/>
        <w:ind w:left="0" w:firstLine="480" w:firstLineChars="0"/>
        <w:jc w:val="left"/>
        <w:rPr>
          <w:rFonts w:ascii="Times New Roman" w:hAnsi="Times New Roman" w:cs="Times New Roman"/>
          <w:szCs w:val="24"/>
        </w:rPr>
      </w:pPr>
      <w:r>
        <w:rPr>
          <w:rFonts w:ascii="Times New Roman" w:hAnsi="Times New Roman" w:cs="Times New Roman"/>
          <w:szCs w:val="24"/>
        </w:rPr>
        <w:t>《湖南省建设项目环境保护管理办法》湖南省人民政府令2007.10.1；</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《湖南省环境保护条例》（2013年修正）湖南省人大常委会。</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关于做好环境影响评价制度与排污许可制衔接相关工作的通知(环办环评[2017]84号)</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湖南印发《湖南省“蓝天保卫战”实施方案（2018—2020年）》；</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湖南省人民政府办公厅关于印发《湖南省大气污染防治专项行动方案(2016-2017年)》的通知（湘政办发[2016]33号，2016年4月28日）；</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岳阳市贯彻落实《大气污染防治行动计划》实施方案（2015.3.31）；</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湖南省环境保护厅关于印发《湖南省“十三五”环境保护规划》的通知（湘环发[2016]25号，2016年9月8日）。</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）湖南省人民政府关于印发《湖南省污染防治攻坚战三年行动计划（2018—2020年）》的通知。</w:t>
      </w:r>
    </w:p>
    <w:p>
      <w:pPr>
        <w:numPr>
          <w:ilvl w:val="0"/>
          <w:numId w:val="7"/>
        </w:numPr>
        <w:tabs>
          <w:tab w:val="left" w:pos="567"/>
          <w:tab w:val="left" w:pos="1260"/>
        </w:tabs>
        <w:spacing w:line="480" w:lineRule="exact"/>
        <w:ind w:left="0" w:firstLine="480" w:firstLineChars="200"/>
        <w:jc w:val="left"/>
        <w:rPr>
          <w:rFonts w:ascii="Times New Roman" w:hAnsi="Times New Roman"/>
          <w:sz w:val="24"/>
          <w:szCs w:val="24"/>
        </w:rPr>
      </w:pPr>
      <w:r>
        <w:rPr>
          <w:rFonts w:ascii="Times New Roman" w:hAnsi="Times New Roman"/>
          <w:sz w:val="24"/>
          <w:szCs w:val="24"/>
        </w:rPr>
        <w:t>湖南省人民政府关于印发《湖南省贯彻落实〈水污染防治行动计划〉实施方案（2016-2020年）》的通知（湖南省人民政府，2015.12.31）；</w:t>
      </w:r>
    </w:p>
    <w:p>
      <w:pPr>
        <w:pStyle w:val="2"/>
        <w:ind w:left="420" w:firstLine="420"/>
      </w:pPr>
    </w:p>
    <w:p>
      <w:pPr>
        <w:pStyle w:val="7"/>
        <w:spacing w:before="156" w:after="156"/>
      </w:pPr>
      <w:bookmarkStart w:id="44" w:name="_Toc220122760"/>
      <w:bookmarkStart w:id="45" w:name="_Toc25330"/>
      <w:bookmarkStart w:id="46" w:name="_Toc9384"/>
      <w:bookmarkStart w:id="47" w:name="_Toc219258490"/>
      <w:bookmarkStart w:id="48" w:name="_Toc15378"/>
      <w:r>
        <w:t>技术导则及规范</w:t>
      </w:r>
      <w:bookmarkEnd w:id="44"/>
      <w:bookmarkEnd w:id="45"/>
      <w:bookmarkEnd w:id="46"/>
      <w:bookmarkEnd w:id="47"/>
      <w:bookmarkEnd w:id="48"/>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snapToGrid w:val="0"/>
          <w:kern w:val="0"/>
        </w:rPr>
        <w:t>《建设项目环境影响评价技术导则  总纲》（HJ2.1-2016）；</w:t>
      </w:r>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snapToGrid w:val="0"/>
          <w:kern w:val="0"/>
        </w:rPr>
        <w:t>《环境影响评价技术导则  大气环境》（HJ2.2-2018）；</w:t>
      </w:r>
    </w:p>
    <w:p>
      <w:pPr>
        <w:pStyle w:val="5"/>
        <w:numPr>
          <w:ilvl w:val="2"/>
          <w:numId w:val="8"/>
        </w:numPr>
        <w:spacing w:line="480" w:lineRule="exact"/>
        <w:ind w:left="0" w:firstLine="480" w:firstLineChars="0"/>
        <w:rPr>
          <w:rFonts w:ascii="Times New Roman" w:hAnsi="Times New Roman" w:cs="Times New Roman"/>
          <w:snapToGrid w:val="0"/>
          <w:kern w:val="0"/>
        </w:rPr>
      </w:pPr>
      <w:bookmarkStart w:id="49" w:name="_Toc219258491"/>
      <w:r>
        <w:rPr>
          <w:rFonts w:ascii="Times New Roman" w:hAnsi="Times New Roman" w:cs="Times New Roman"/>
          <w:snapToGrid w:val="0"/>
          <w:kern w:val="0"/>
        </w:rPr>
        <w:t>《环境影响评价技术导则  地表水环境》（HJ2.3-2018）；</w:t>
      </w:r>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snapToGrid w:val="0"/>
          <w:kern w:val="0"/>
        </w:rPr>
        <w:t>《环境影响评价技术导则  地下水环境》（HJ610-2016）；</w:t>
      </w:r>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snapToGrid w:val="0"/>
          <w:kern w:val="0"/>
        </w:rPr>
        <w:t>《环境影响评价技术导则  声环境》（HJ2.4-2009）；</w:t>
      </w:r>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snapToGrid w:val="0"/>
          <w:kern w:val="0"/>
        </w:rPr>
        <w:t>《建设项目环境风险评价技术导则》（HJ169-2018）；</w:t>
      </w:r>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rPr>
        <w:t>《环境影响评价技术导则  生态影响》（HJ19-2011）；</w:t>
      </w:r>
    </w:p>
    <w:p>
      <w:pPr>
        <w:pStyle w:val="5"/>
        <w:numPr>
          <w:ilvl w:val="2"/>
          <w:numId w:val="8"/>
        </w:numPr>
        <w:spacing w:line="480" w:lineRule="exact"/>
        <w:ind w:left="0" w:firstLine="480" w:firstLineChars="0"/>
        <w:rPr>
          <w:rFonts w:ascii="Times New Roman" w:hAnsi="Times New Roman" w:cs="Times New Roman"/>
          <w:snapToGrid w:val="0"/>
          <w:kern w:val="0"/>
        </w:rPr>
      </w:pPr>
      <w:r>
        <w:rPr>
          <w:rFonts w:ascii="Times New Roman" w:hAnsi="Times New Roman" w:cs="Times New Roman"/>
          <w:snapToGrid w:val="0"/>
          <w:kern w:val="0"/>
        </w:rPr>
        <w:t>《环境影响评价技术导则  土壤环境》（HJ964-2018）</w:t>
      </w:r>
    </w:p>
    <w:p>
      <w:pPr>
        <w:pStyle w:val="5"/>
        <w:numPr>
          <w:ilvl w:val="2"/>
          <w:numId w:val="8"/>
        </w:numPr>
        <w:spacing w:line="480" w:lineRule="exact"/>
        <w:ind w:left="0" w:firstLine="480" w:firstLineChars="0"/>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rPr>
        <w:t>危险化学品</w:t>
      </w:r>
      <w:r>
        <w:rPr>
          <w:rFonts w:ascii="Times New Roman" w:hAnsi="Times New Roman" w:cs="Times New Roman"/>
          <w:kern w:val="0"/>
        </w:rPr>
        <w:t>重大危险源辨识》（GB18218-2018）；</w:t>
      </w:r>
    </w:p>
    <w:p>
      <w:pPr>
        <w:pStyle w:val="5"/>
        <w:numPr>
          <w:ilvl w:val="2"/>
          <w:numId w:val="8"/>
        </w:numPr>
        <w:spacing w:line="480" w:lineRule="exact"/>
        <w:ind w:left="0" w:firstLine="480" w:firstLineChars="0"/>
        <w:rPr>
          <w:rFonts w:ascii="Times New Roman" w:hAnsi="Times New Roman" w:cs="Times New Roman"/>
          <w:kern w:val="0"/>
        </w:rPr>
      </w:pPr>
      <w:r>
        <w:rPr>
          <w:rFonts w:ascii="Times New Roman" w:hAnsi="Times New Roman" w:cs="Times New Roman"/>
        </w:rPr>
        <w:t>《地表水和污水监测技术规范》（HJ/T91-2002）；</w:t>
      </w:r>
    </w:p>
    <w:p>
      <w:pPr>
        <w:pStyle w:val="5"/>
        <w:numPr>
          <w:ilvl w:val="2"/>
          <w:numId w:val="8"/>
        </w:numPr>
        <w:spacing w:line="480" w:lineRule="exact"/>
        <w:ind w:left="0" w:firstLine="480" w:firstLineChars="0"/>
        <w:rPr>
          <w:rFonts w:ascii="Times New Roman" w:hAnsi="Times New Roman" w:cs="Times New Roman"/>
          <w:kern w:val="0"/>
        </w:rPr>
      </w:pPr>
      <w:r>
        <w:rPr>
          <w:rFonts w:ascii="Times New Roman" w:hAnsi="Times New Roman" w:cs="Times New Roman"/>
        </w:rPr>
        <w:t>《地下水环境监测技术规范》（HJ/T164-2004）；</w:t>
      </w:r>
    </w:p>
    <w:p>
      <w:pPr>
        <w:pStyle w:val="5"/>
        <w:numPr>
          <w:ilvl w:val="2"/>
          <w:numId w:val="8"/>
        </w:numPr>
        <w:spacing w:line="480" w:lineRule="exact"/>
        <w:ind w:left="0" w:firstLine="480" w:firstLineChars="0"/>
        <w:rPr>
          <w:rFonts w:ascii="Times New Roman" w:hAnsi="Times New Roman" w:cs="Times New Roman"/>
          <w:kern w:val="0"/>
        </w:rPr>
      </w:pPr>
      <w:r>
        <w:rPr>
          <w:rFonts w:ascii="Times New Roman" w:hAnsi="Times New Roman" w:cs="Times New Roman"/>
        </w:rPr>
        <w:t>《大气污染治理工程技术导则》（HJ2000-2010）。</w:t>
      </w:r>
    </w:p>
    <w:p>
      <w:pPr>
        <w:pStyle w:val="5"/>
        <w:numPr>
          <w:ilvl w:val="2"/>
          <w:numId w:val="8"/>
        </w:numPr>
        <w:spacing w:line="480" w:lineRule="exact"/>
        <w:ind w:left="0" w:firstLine="480" w:firstLineChars="0"/>
        <w:rPr>
          <w:rFonts w:ascii="Times New Roman" w:hAnsi="Times New Roman" w:cs="Times New Roman"/>
          <w:kern w:val="0"/>
        </w:rPr>
      </w:pPr>
      <w:r>
        <w:rPr>
          <w:rFonts w:ascii="Times New Roman" w:hAnsi="Times New Roman" w:cs="Times New Roman"/>
        </w:rPr>
        <w:t>《建设项目危险废物环境影响评价指南》（环办【2017】第43号）</w:t>
      </w:r>
    </w:p>
    <w:p>
      <w:pPr>
        <w:pStyle w:val="7"/>
        <w:spacing w:before="156" w:after="156"/>
      </w:pPr>
      <w:bookmarkStart w:id="50" w:name="_Toc26872"/>
      <w:bookmarkStart w:id="51" w:name="_Toc18392"/>
      <w:bookmarkStart w:id="52" w:name="_Toc27191"/>
      <w:r>
        <w:t>其他依据</w:t>
      </w:r>
      <w:bookmarkEnd w:id="49"/>
      <w:bookmarkEnd w:id="50"/>
      <w:bookmarkEnd w:id="51"/>
      <w:bookmarkEnd w:id="52"/>
    </w:p>
    <w:p>
      <w:pPr>
        <w:pStyle w:val="5"/>
        <w:ind w:firstLine="480"/>
        <w:rPr>
          <w:rFonts w:ascii="Times New Roman" w:hAnsi="Times New Roman" w:cs="Times New Roman"/>
        </w:rPr>
      </w:pPr>
      <w:r>
        <w:rPr>
          <w:rFonts w:ascii="Times New Roman" w:hAnsi="Times New Roman" w:cs="Times New Roman"/>
        </w:rPr>
        <w:t>（1）本项目环评合同；</w:t>
      </w:r>
    </w:p>
    <w:p>
      <w:pPr>
        <w:pStyle w:val="5"/>
        <w:ind w:firstLine="480"/>
        <w:rPr>
          <w:rFonts w:ascii="Times New Roman" w:hAnsi="Times New Roman" w:cs="Times New Roman"/>
        </w:rPr>
      </w:pPr>
      <w:r>
        <w:rPr>
          <w:rFonts w:ascii="Times New Roman" w:hAnsi="Times New Roman" w:cs="Times New Roman"/>
        </w:rPr>
        <w:t>（2）项目可行性研究报告；</w:t>
      </w:r>
    </w:p>
    <w:p>
      <w:pPr>
        <w:pStyle w:val="5"/>
        <w:ind w:firstLine="480"/>
        <w:rPr>
          <w:rFonts w:ascii="Times New Roman" w:hAnsi="Times New Roman" w:cs="Times New Roman"/>
        </w:rPr>
      </w:pPr>
      <w:r>
        <w:rPr>
          <w:rFonts w:ascii="Times New Roman" w:hAnsi="Times New Roman" w:cs="Times New Roman"/>
        </w:rPr>
        <w:t>（3）项目评价执行标准函；</w:t>
      </w:r>
    </w:p>
    <w:p>
      <w:pPr>
        <w:pStyle w:val="5"/>
        <w:ind w:firstLine="480"/>
        <w:rPr>
          <w:rFonts w:ascii="Times New Roman" w:hAnsi="Times New Roman" w:cs="Times New Roman"/>
        </w:rPr>
      </w:pPr>
      <w:r>
        <w:rPr>
          <w:rFonts w:ascii="Times New Roman" w:hAnsi="Times New Roman" w:cs="Times New Roman"/>
        </w:rPr>
        <w:t>（4）建设单位提供的其它资料。</w:t>
      </w:r>
    </w:p>
    <w:p>
      <w:pPr>
        <w:pStyle w:val="6"/>
        <w:spacing w:before="156" w:after="156"/>
      </w:pPr>
      <w:bookmarkStart w:id="53" w:name="_Toc5545"/>
      <w:bookmarkStart w:id="54" w:name="_Toc32568"/>
      <w:bookmarkStart w:id="55" w:name="_Toc31584"/>
      <w:bookmarkStart w:id="56" w:name="_Toc4548"/>
      <w:bookmarkStart w:id="57" w:name="_Toc304810271"/>
      <w:bookmarkStart w:id="58" w:name="_Toc220122761"/>
      <w:bookmarkStart w:id="59" w:name="_Toc280188811"/>
      <w:bookmarkStart w:id="60" w:name="_Toc219258492"/>
      <w:bookmarkStart w:id="61" w:name="_Toc306034521"/>
      <w:r>
        <w:t>相关规划及环境功能区划</w:t>
      </w:r>
      <w:bookmarkEnd w:id="53"/>
      <w:bookmarkEnd w:id="54"/>
      <w:bookmarkEnd w:id="55"/>
      <w:bookmarkEnd w:id="56"/>
    </w:p>
    <w:p>
      <w:pPr>
        <w:pStyle w:val="7"/>
        <w:spacing w:before="156" w:after="156"/>
      </w:pPr>
      <w:bookmarkStart w:id="62" w:name="_Toc5782"/>
      <w:bookmarkStart w:id="63" w:name="_Toc16384"/>
      <w:bookmarkStart w:id="64" w:name="_Toc26156"/>
      <w:bookmarkStart w:id="65" w:name="_Toc220122763"/>
      <w:r>
        <w:t>相关规划</w:t>
      </w:r>
      <w:bookmarkEnd w:id="62"/>
      <w:bookmarkEnd w:id="63"/>
      <w:bookmarkEnd w:id="64"/>
    </w:p>
    <w:bookmarkEnd w:id="65"/>
    <w:p>
      <w:pPr>
        <w:numPr>
          <w:ilvl w:val="0"/>
          <w:numId w:val="9"/>
        </w:numPr>
        <w:tabs>
          <w:tab w:val="left" w:pos="1260"/>
        </w:tabs>
        <w:spacing w:line="480" w:lineRule="exact"/>
        <w:jc w:val="left"/>
        <w:rPr>
          <w:rFonts w:ascii="Times New Roman" w:hAnsi="Times New Roman"/>
          <w:sz w:val="24"/>
          <w:szCs w:val="24"/>
        </w:rPr>
      </w:pPr>
      <w:r>
        <w:rPr>
          <w:rFonts w:ascii="Times New Roman" w:hAnsi="Times New Roman"/>
          <w:sz w:val="24"/>
          <w:szCs w:val="24"/>
        </w:rPr>
        <w:t>《国民经济和社会发展第十三个五年规划》2016年；</w:t>
      </w:r>
    </w:p>
    <w:p>
      <w:pPr>
        <w:numPr>
          <w:ilvl w:val="0"/>
          <w:numId w:val="9"/>
        </w:numPr>
        <w:tabs>
          <w:tab w:val="left" w:pos="1260"/>
        </w:tabs>
        <w:spacing w:line="480" w:lineRule="exact"/>
        <w:jc w:val="left"/>
        <w:rPr>
          <w:rFonts w:ascii="Times New Roman" w:hAnsi="Times New Roman"/>
          <w:sz w:val="24"/>
          <w:szCs w:val="24"/>
        </w:rPr>
      </w:pPr>
      <w:r>
        <w:rPr>
          <w:rFonts w:ascii="Times New Roman" w:hAnsi="Times New Roman"/>
          <w:sz w:val="24"/>
          <w:szCs w:val="24"/>
        </w:rPr>
        <w:t>《全国主体功能区划》国发【2010】46号；</w:t>
      </w:r>
    </w:p>
    <w:p>
      <w:pPr>
        <w:numPr>
          <w:ilvl w:val="0"/>
          <w:numId w:val="9"/>
        </w:numPr>
        <w:tabs>
          <w:tab w:val="left" w:pos="1260"/>
        </w:tabs>
        <w:spacing w:line="480" w:lineRule="exact"/>
        <w:jc w:val="left"/>
        <w:rPr>
          <w:rFonts w:ascii="Times New Roman" w:hAnsi="Times New Roman"/>
          <w:sz w:val="24"/>
          <w:szCs w:val="24"/>
        </w:rPr>
      </w:pPr>
      <w:r>
        <w:rPr>
          <w:rFonts w:ascii="Times New Roman" w:hAnsi="Times New Roman"/>
          <w:sz w:val="24"/>
          <w:szCs w:val="24"/>
        </w:rPr>
        <w:t>《湖南省国民经济和社会发展第十三个五年规划纲要》2016；</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《湖南省“十三五”环境保护规划》湘环【2016】25号；</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《岳阳市城市总体规划》（2008-2030年）；</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《岳阳市国民经济和社会发展第十三个五年规划》；</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rPr>
        <w:t>《</w:t>
      </w:r>
      <w:r>
        <w:rPr>
          <w:rFonts w:ascii="Times New Roman" w:hAnsi="Times New Roman" w:cs="Times New Roman"/>
          <w:szCs w:val="24"/>
        </w:rPr>
        <w:t>岳阳市</w:t>
      </w:r>
      <w:r>
        <w:rPr>
          <w:rFonts w:ascii="Times New Roman" w:hAnsi="Times New Roman" w:cs="Times New Roman"/>
        </w:rPr>
        <w:t>环境保护和生态建设“十三五”规划》，2017年；</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《湖南省主要水系地表水环境功能区划》（DB 43/023-2005）</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《岳阳市水环境功能区划分》</w:t>
      </w:r>
    </w:p>
    <w:p>
      <w:pPr>
        <w:pStyle w:val="5"/>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《湖南省“蓝天保卫战”实施方案（2018—2020年）》</w:t>
      </w:r>
    </w:p>
    <w:p>
      <w:pPr>
        <w:pStyle w:val="7"/>
        <w:spacing w:before="156" w:after="156"/>
      </w:pPr>
      <w:bookmarkStart w:id="66" w:name="_Toc10537"/>
      <w:bookmarkStart w:id="67" w:name="_Toc14287"/>
      <w:bookmarkStart w:id="68" w:name="_Toc10662"/>
      <w:r>
        <w:t>环境功能区划</w:t>
      </w:r>
      <w:bookmarkEnd w:id="66"/>
      <w:bookmarkEnd w:id="67"/>
      <w:bookmarkEnd w:id="68"/>
    </w:p>
    <w:p>
      <w:pPr>
        <w:pStyle w:val="5"/>
        <w:ind w:firstLine="480"/>
        <w:rPr>
          <w:rFonts w:ascii="Times New Roman" w:hAnsi="Times New Roman" w:cs="Times New Roman"/>
        </w:rPr>
      </w:pPr>
      <w:r>
        <w:rPr>
          <w:rFonts w:ascii="Times New Roman" w:hAnsi="Times New Roman" w:cs="Times New Roman"/>
        </w:rPr>
        <w:t>本项目位于湖南省岳阳市云溪区中国石油化工股份有限公司长岭分公司生产装置区内，项目所在区大气环境执行《环境空气质量标准》（GB3095-2012）中的二级标准；声环境执行《声环境质量标准》（GB3096-2008）中的 3 类标准；项目废水经厂区污水处理系统处理达标后排入长江，该江段执行《地表水环境质量标准》（GB3838- 2002）中III类标准；项目区地下水执行《地下水质量标准》（GB/T14848-2017）中的III类标准。</w:t>
      </w:r>
    </w:p>
    <w:p>
      <w:pPr>
        <w:pStyle w:val="5"/>
        <w:ind w:firstLine="480"/>
        <w:rPr>
          <w:rFonts w:ascii="Times New Roman" w:hAnsi="Times New Roman" w:cs="Times New Roman"/>
        </w:rPr>
      </w:pPr>
      <w:r>
        <w:rPr>
          <w:rFonts w:ascii="Times New Roman" w:hAnsi="Times New Roman" w:cs="Times New Roman"/>
        </w:rPr>
        <w:t>项目所在区域的环境功能属性见表1.2.2-1。</w:t>
      </w:r>
    </w:p>
    <w:p>
      <w:pPr>
        <w:pStyle w:val="18"/>
      </w:pPr>
      <w:r>
        <w:t>表 1.2.2-</w:t>
      </w:r>
      <w:r>
        <w:fldChar w:fldCharType="begin"/>
      </w:r>
      <w:r>
        <w:instrText xml:space="preserve"> SEQ 表 \* ARABIC \s 1 </w:instrText>
      </w:r>
      <w:r>
        <w:fldChar w:fldCharType="separate"/>
      </w:r>
      <w:r>
        <w:t>1</w:t>
      </w:r>
      <w:r>
        <w:fldChar w:fldCharType="end"/>
      </w:r>
      <w:r>
        <w:t xml:space="preserve">  项目所在区域环境功能属性</w:t>
      </w:r>
    </w:p>
    <w:tbl>
      <w:tblPr>
        <w:tblStyle w:val="45"/>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1379"/>
        <w:gridCol w:w="1380"/>
        <w:gridCol w:w="5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blHeader/>
          <w:jc w:val="center"/>
        </w:trPr>
        <w:tc>
          <w:tcPr>
            <w:tcW w:w="750" w:type="dxa"/>
            <w:vAlign w:val="center"/>
          </w:tcPr>
          <w:p>
            <w:pPr>
              <w:pStyle w:val="168"/>
            </w:pPr>
            <w:r>
              <w:t>编号</w:t>
            </w:r>
          </w:p>
        </w:tc>
        <w:tc>
          <w:tcPr>
            <w:tcW w:w="2759" w:type="dxa"/>
            <w:gridSpan w:val="2"/>
            <w:vAlign w:val="center"/>
          </w:tcPr>
          <w:p>
            <w:pPr>
              <w:pStyle w:val="168"/>
            </w:pPr>
            <w:r>
              <w:t>项目</w:t>
            </w:r>
          </w:p>
        </w:tc>
        <w:tc>
          <w:tcPr>
            <w:tcW w:w="5013" w:type="dxa"/>
            <w:vAlign w:val="center"/>
          </w:tcPr>
          <w:p>
            <w:pPr>
              <w:pStyle w:val="168"/>
            </w:pPr>
            <w:r>
              <w:t>功能属性及执行标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blHeader/>
          <w:jc w:val="center"/>
        </w:trPr>
        <w:tc>
          <w:tcPr>
            <w:tcW w:w="750" w:type="dxa"/>
            <w:vAlign w:val="center"/>
          </w:tcPr>
          <w:p>
            <w:pPr>
              <w:pStyle w:val="168"/>
            </w:pPr>
            <w:r>
              <w:t>1</w:t>
            </w:r>
          </w:p>
        </w:tc>
        <w:tc>
          <w:tcPr>
            <w:tcW w:w="2759" w:type="dxa"/>
            <w:gridSpan w:val="2"/>
            <w:vAlign w:val="center"/>
          </w:tcPr>
          <w:p>
            <w:pPr>
              <w:pStyle w:val="168"/>
            </w:pPr>
            <w:r>
              <w:t>是否在“饮用水源保护区”内</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Merge w:val="restart"/>
            <w:vAlign w:val="center"/>
          </w:tcPr>
          <w:p>
            <w:pPr>
              <w:jc w:val="center"/>
              <w:rPr>
                <w:rFonts w:ascii="Times New Roman" w:hAnsi="Times New Roman"/>
              </w:rPr>
            </w:pPr>
            <w:r>
              <w:rPr>
                <w:rFonts w:ascii="Times New Roman" w:hAnsi="Times New Roman"/>
              </w:rPr>
              <w:t>2</w:t>
            </w:r>
          </w:p>
        </w:tc>
        <w:tc>
          <w:tcPr>
            <w:tcW w:w="1379" w:type="dxa"/>
            <w:vMerge w:val="restart"/>
            <w:vAlign w:val="center"/>
          </w:tcPr>
          <w:p>
            <w:pPr>
              <w:pStyle w:val="168"/>
            </w:pPr>
            <w:r>
              <w:t>水环境功能区</w:t>
            </w:r>
          </w:p>
        </w:tc>
        <w:tc>
          <w:tcPr>
            <w:tcW w:w="1380" w:type="dxa"/>
            <w:vAlign w:val="center"/>
          </w:tcPr>
          <w:p>
            <w:pPr>
              <w:pStyle w:val="168"/>
              <w:jc w:val="both"/>
            </w:pPr>
            <w:r>
              <w:t>地表水</w:t>
            </w:r>
          </w:p>
        </w:tc>
        <w:tc>
          <w:tcPr>
            <w:tcW w:w="5013" w:type="dxa"/>
            <w:vAlign w:val="center"/>
          </w:tcPr>
          <w:p>
            <w:pPr>
              <w:pStyle w:val="168"/>
            </w:pPr>
            <w:r>
              <w:t>项目所在的长江段执行《地表水环境质量标准》（GB3838-2002）III类标准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Merge w:val="continue"/>
            <w:vAlign w:val="center"/>
          </w:tcPr>
          <w:p>
            <w:pPr>
              <w:rPr>
                <w:rFonts w:ascii="Times New Roman" w:hAnsi="Times New Roman"/>
              </w:rPr>
            </w:pPr>
          </w:p>
        </w:tc>
        <w:tc>
          <w:tcPr>
            <w:tcW w:w="1379" w:type="dxa"/>
            <w:vMerge w:val="continue"/>
            <w:vAlign w:val="center"/>
          </w:tcPr>
          <w:p>
            <w:pPr>
              <w:rPr>
                <w:rFonts w:ascii="Times New Roman" w:hAnsi="Times New Roman"/>
              </w:rPr>
            </w:pPr>
          </w:p>
        </w:tc>
        <w:tc>
          <w:tcPr>
            <w:tcW w:w="1380" w:type="dxa"/>
            <w:vAlign w:val="center"/>
          </w:tcPr>
          <w:p>
            <w:pPr>
              <w:rPr>
                <w:rFonts w:ascii="Times New Roman" w:hAnsi="Times New Roman"/>
              </w:rPr>
            </w:pPr>
            <w:r>
              <w:rPr>
                <w:rFonts w:ascii="Times New Roman" w:hAnsi="Times New Roman"/>
              </w:rPr>
              <w:t>地下水</w:t>
            </w:r>
          </w:p>
        </w:tc>
        <w:tc>
          <w:tcPr>
            <w:tcW w:w="5013" w:type="dxa"/>
            <w:vAlign w:val="center"/>
          </w:tcPr>
          <w:p>
            <w:pPr>
              <w:pStyle w:val="168"/>
            </w:pPr>
            <w:r>
              <w:t>执行《地下水质量标准》（GB3838-2002）III类标准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3</w:t>
            </w:r>
          </w:p>
        </w:tc>
        <w:tc>
          <w:tcPr>
            <w:tcW w:w="2759" w:type="dxa"/>
            <w:gridSpan w:val="2"/>
            <w:vAlign w:val="center"/>
          </w:tcPr>
          <w:p>
            <w:pPr>
              <w:pStyle w:val="168"/>
            </w:pPr>
            <w:r>
              <w:t>环境空气质量功能区</w:t>
            </w:r>
          </w:p>
        </w:tc>
        <w:tc>
          <w:tcPr>
            <w:tcW w:w="5013" w:type="dxa"/>
            <w:vAlign w:val="center"/>
          </w:tcPr>
          <w:p>
            <w:pPr>
              <w:pStyle w:val="168"/>
            </w:pPr>
            <w:r>
              <w:t>二类区，执行《环境空气质量标准》中二级标准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4</w:t>
            </w:r>
          </w:p>
        </w:tc>
        <w:tc>
          <w:tcPr>
            <w:tcW w:w="2759" w:type="dxa"/>
            <w:gridSpan w:val="2"/>
            <w:vAlign w:val="center"/>
          </w:tcPr>
          <w:p>
            <w:pPr>
              <w:pStyle w:val="168"/>
            </w:pPr>
            <w:r>
              <w:t>声环境功能区</w:t>
            </w:r>
          </w:p>
        </w:tc>
        <w:tc>
          <w:tcPr>
            <w:tcW w:w="5013" w:type="dxa"/>
            <w:vAlign w:val="center"/>
          </w:tcPr>
          <w:p>
            <w:pPr>
              <w:pStyle w:val="168"/>
            </w:pPr>
            <w:r>
              <w:t>3类区，执行《声环境质量标准》中3类标准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5</w:t>
            </w:r>
          </w:p>
        </w:tc>
        <w:tc>
          <w:tcPr>
            <w:tcW w:w="2759" w:type="dxa"/>
            <w:gridSpan w:val="2"/>
            <w:vAlign w:val="center"/>
          </w:tcPr>
          <w:p>
            <w:pPr>
              <w:pStyle w:val="168"/>
            </w:pPr>
            <w:r>
              <w:rPr>
                <w:szCs w:val="21"/>
              </w:rPr>
              <w:t>土壤环境功能区</w:t>
            </w:r>
          </w:p>
        </w:tc>
        <w:tc>
          <w:tcPr>
            <w:tcW w:w="5013" w:type="dxa"/>
            <w:vAlign w:val="center"/>
          </w:tcPr>
          <w:p>
            <w:pPr>
              <w:pStyle w:val="168"/>
            </w:pPr>
            <w:r>
              <w:t>执行《土壤环境质量 建设用地土壤污染风险管控标准（试行）》（GB 36600-2018）第二类用地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6</w:t>
            </w:r>
          </w:p>
        </w:tc>
        <w:tc>
          <w:tcPr>
            <w:tcW w:w="2759" w:type="dxa"/>
            <w:gridSpan w:val="2"/>
            <w:vAlign w:val="center"/>
          </w:tcPr>
          <w:p>
            <w:pPr>
              <w:pStyle w:val="168"/>
            </w:pPr>
            <w:r>
              <w:t>是否基本农田保护区</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7</w:t>
            </w:r>
          </w:p>
        </w:tc>
        <w:tc>
          <w:tcPr>
            <w:tcW w:w="2759" w:type="dxa"/>
            <w:gridSpan w:val="2"/>
            <w:vAlign w:val="center"/>
          </w:tcPr>
          <w:p>
            <w:pPr>
              <w:pStyle w:val="168"/>
            </w:pPr>
            <w:r>
              <w:t>是否森林公园</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8</w:t>
            </w:r>
          </w:p>
        </w:tc>
        <w:tc>
          <w:tcPr>
            <w:tcW w:w="2759" w:type="dxa"/>
            <w:gridSpan w:val="2"/>
            <w:vAlign w:val="center"/>
          </w:tcPr>
          <w:p>
            <w:pPr>
              <w:pStyle w:val="168"/>
            </w:pPr>
            <w:r>
              <w:t>是否生态功能保护区</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9</w:t>
            </w:r>
          </w:p>
        </w:tc>
        <w:tc>
          <w:tcPr>
            <w:tcW w:w="2759" w:type="dxa"/>
            <w:gridSpan w:val="2"/>
            <w:vAlign w:val="center"/>
          </w:tcPr>
          <w:p>
            <w:pPr>
              <w:pStyle w:val="168"/>
            </w:pPr>
            <w:r>
              <w:t>是否水土流失重点防治区</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10</w:t>
            </w:r>
          </w:p>
        </w:tc>
        <w:tc>
          <w:tcPr>
            <w:tcW w:w="2759" w:type="dxa"/>
            <w:gridSpan w:val="2"/>
            <w:vAlign w:val="center"/>
          </w:tcPr>
          <w:p>
            <w:pPr>
              <w:pStyle w:val="168"/>
            </w:pPr>
            <w:r>
              <w:t>是否人口密集区</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11</w:t>
            </w:r>
          </w:p>
        </w:tc>
        <w:tc>
          <w:tcPr>
            <w:tcW w:w="2759" w:type="dxa"/>
            <w:gridSpan w:val="2"/>
            <w:vAlign w:val="center"/>
          </w:tcPr>
          <w:p>
            <w:pPr>
              <w:pStyle w:val="168"/>
            </w:pPr>
            <w:r>
              <w:t>是否重点文物保护单位</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12</w:t>
            </w:r>
          </w:p>
        </w:tc>
        <w:tc>
          <w:tcPr>
            <w:tcW w:w="2759" w:type="dxa"/>
            <w:gridSpan w:val="2"/>
            <w:vAlign w:val="center"/>
          </w:tcPr>
          <w:p>
            <w:pPr>
              <w:pStyle w:val="168"/>
            </w:pPr>
            <w:r>
              <w:t>是否水库库区</w:t>
            </w:r>
          </w:p>
        </w:tc>
        <w:tc>
          <w:tcPr>
            <w:tcW w:w="5013" w:type="dxa"/>
            <w:vAlign w:val="center"/>
          </w:tcPr>
          <w:p>
            <w:pPr>
              <w:pStyle w:val="168"/>
            </w:pPr>
            <w: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13</w:t>
            </w:r>
          </w:p>
        </w:tc>
        <w:tc>
          <w:tcPr>
            <w:tcW w:w="2759" w:type="dxa"/>
            <w:gridSpan w:val="2"/>
            <w:vAlign w:val="center"/>
          </w:tcPr>
          <w:p>
            <w:pPr>
              <w:pStyle w:val="168"/>
            </w:pPr>
            <w:r>
              <w:t>是否污水处理厂集水范围</w:t>
            </w:r>
          </w:p>
        </w:tc>
        <w:tc>
          <w:tcPr>
            <w:tcW w:w="5013" w:type="dxa"/>
            <w:vAlign w:val="center"/>
          </w:tcPr>
          <w:p>
            <w:pPr>
              <w:pStyle w:val="168"/>
            </w:pPr>
            <w:r>
              <w:t>是（中石化长岭分公司污水处理厂）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50" w:type="dxa"/>
            <w:vAlign w:val="center"/>
          </w:tcPr>
          <w:p>
            <w:pPr>
              <w:pStyle w:val="168"/>
            </w:pPr>
            <w:r>
              <w:t>14</w:t>
            </w:r>
          </w:p>
        </w:tc>
        <w:tc>
          <w:tcPr>
            <w:tcW w:w="2759" w:type="dxa"/>
            <w:gridSpan w:val="2"/>
            <w:vAlign w:val="center"/>
          </w:tcPr>
          <w:p>
            <w:pPr>
              <w:pStyle w:val="168"/>
            </w:pPr>
            <w:r>
              <w:t>是否属于生态敏感与脆弱区</w:t>
            </w:r>
          </w:p>
        </w:tc>
        <w:tc>
          <w:tcPr>
            <w:tcW w:w="5013" w:type="dxa"/>
            <w:vAlign w:val="center"/>
          </w:tcPr>
          <w:p>
            <w:pPr>
              <w:pStyle w:val="168"/>
            </w:pPr>
            <w:r>
              <w:t>否</w:t>
            </w:r>
          </w:p>
        </w:tc>
      </w:tr>
      <w:bookmarkEnd w:id="57"/>
      <w:bookmarkEnd w:id="58"/>
      <w:bookmarkEnd w:id="59"/>
      <w:bookmarkEnd w:id="60"/>
      <w:bookmarkEnd w:id="61"/>
    </w:tbl>
    <w:p>
      <w:pPr>
        <w:pStyle w:val="6"/>
        <w:spacing w:before="156" w:after="156"/>
      </w:pPr>
      <w:bookmarkStart w:id="69" w:name="_Toc26176"/>
      <w:bookmarkStart w:id="70" w:name="_Toc29256"/>
      <w:bookmarkStart w:id="71" w:name="_Toc9887"/>
      <w:bookmarkStart w:id="72" w:name="_Toc2451"/>
      <w:bookmarkStart w:id="73" w:name="_Toc220122767"/>
      <w:bookmarkStart w:id="74" w:name="_Toc219258493"/>
      <w:bookmarkStart w:id="75" w:name="_Toc306034523"/>
      <w:bookmarkStart w:id="76" w:name="_Toc304810273"/>
      <w:bookmarkStart w:id="77" w:name="_Toc280188813"/>
      <w:r>
        <w:t>评价因子识别与筛选</w:t>
      </w:r>
      <w:bookmarkEnd w:id="69"/>
      <w:bookmarkEnd w:id="70"/>
      <w:bookmarkEnd w:id="71"/>
      <w:bookmarkEnd w:id="72"/>
    </w:p>
    <w:p>
      <w:pPr>
        <w:pStyle w:val="7"/>
        <w:spacing w:before="156" w:after="156"/>
      </w:pPr>
      <w:bookmarkStart w:id="78" w:name="_Toc26146"/>
      <w:bookmarkStart w:id="79" w:name="_Toc9362"/>
      <w:bookmarkStart w:id="80" w:name="_Toc10390"/>
      <w:r>
        <w:t>评价因子识别</w:t>
      </w:r>
      <w:bookmarkEnd w:id="78"/>
      <w:bookmarkEnd w:id="79"/>
      <w:bookmarkEnd w:id="80"/>
    </w:p>
    <w:p>
      <w:pPr>
        <w:spacing w:line="360" w:lineRule="auto"/>
        <w:ind w:firstLine="480" w:firstLineChars="200"/>
        <w:rPr>
          <w:rFonts w:ascii="Times New Roman" w:hAnsi="Times New Roman"/>
        </w:rPr>
      </w:pPr>
      <w:r>
        <w:rPr>
          <w:rFonts w:ascii="Times New Roman" w:hAnsi="Times New Roman"/>
          <w:sz w:val="24"/>
          <w:szCs w:val="24"/>
        </w:rPr>
        <w:t>为正确分析该项目建设可能对自然环境、生态环境产生的影响，结合项目生产工艺、排污特征以及地区的环境状况，采用矩阵法对可能受项目影响的环境要素进行识别，其结果见表1.3.1-1。</w:t>
      </w:r>
    </w:p>
    <w:p>
      <w:pPr>
        <w:pStyle w:val="18"/>
      </w:pPr>
      <w:r>
        <w:t xml:space="preserve">表 </w:t>
      </w:r>
      <w:r>
        <w:fldChar w:fldCharType="begin"/>
      </w:r>
      <w:r>
        <w:instrText xml:space="preserve"> STYLEREF 1 \s </w:instrText>
      </w:r>
      <w:r>
        <w:fldChar w:fldCharType="separate"/>
      </w:r>
      <w:r>
        <w:t>1</w:t>
      </w:r>
      <w:r>
        <w:fldChar w:fldCharType="end"/>
      </w:r>
      <w:r>
        <w:t>.3.1-1    环境影响因素识别结果</w:t>
      </w:r>
    </w:p>
    <w:tbl>
      <w:tblPr>
        <w:tblStyle w:val="45"/>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9"/>
        <w:gridCol w:w="1588"/>
        <w:gridCol w:w="960"/>
        <w:gridCol w:w="846"/>
        <w:gridCol w:w="846"/>
        <w:gridCol w:w="846"/>
        <w:gridCol w:w="846"/>
        <w:gridCol w:w="966"/>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tblHeader/>
          <w:jc w:val="center"/>
        </w:trPr>
        <w:tc>
          <w:tcPr>
            <w:tcW w:w="2327" w:type="dxa"/>
            <w:gridSpan w:val="2"/>
            <w:vMerge w:val="restart"/>
            <w:tcBorders>
              <w:tl2br w:val="nil"/>
              <w:tr2bl w:val="nil"/>
            </w:tcBorders>
            <w:vAlign w:val="center"/>
          </w:tcPr>
          <w:p>
            <w:pPr>
              <w:pStyle w:val="168"/>
            </w:pPr>
            <w:r>
              <w:t>类别</w:t>
            </w:r>
          </w:p>
        </w:tc>
        <w:tc>
          <w:tcPr>
            <w:tcW w:w="3498" w:type="dxa"/>
            <w:gridSpan w:val="4"/>
            <w:tcBorders>
              <w:tl2br w:val="nil"/>
              <w:tr2bl w:val="nil"/>
            </w:tcBorders>
            <w:vAlign w:val="center"/>
          </w:tcPr>
          <w:p>
            <w:pPr>
              <w:pStyle w:val="168"/>
            </w:pPr>
            <w:r>
              <w:t>自然环境</w:t>
            </w:r>
          </w:p>
        </w:tc>
        <w:tc>
          <w:tcPr>
            <w:tcW w:w="2734" w:type="dxa"/>
            <w:gridSpan w:val="3"/>
            <w:tcBorders>
              <w:tl2br w:val="nil"/>
              <w:tr2bl w:val="nil"/>
            </w:tcBorders>
            <w:vAlign w:val="center"/>
          </w:tcPr>
          <w:p>
            <w:pPr>
              <w:pStyle w:val="168"/>
            </w:pPr>
            <w: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tblHeader/>
          <w:jc w:val="center"/>
        </w:trPr>
        <w:tc>
          <w:tcPr>
            <w:tcW w:w="2327" w:type="dxa"/>
            <w:gridSpan w:val="2"/>
            <w:vMerge w:val="continue"/>
            <w:tcBorders>
              <w:tl2br w:val="nil"/>
              <w:tr2bl w:val="nil"/>
            </w:tcBorders>
            <w:vAlign w:val="center"/>
          </w:tcPr>
          <w:p>
            <w:pPr>
              <w:rPr>
                <w:rFonts w:ascii="Times New Roman" w:hAnsi="Times New Roman"/>
              </w:rPr>
            </w:pPr>
          </w:p>
        </w:tc>
        <w:tc>
          <w:tcPr>
            <w:tcW w:w="960" w:type="dxa"/>
            <w:tcBorders>
              <w:tl2br w:val="nil"/>
              <w:tr2bl w:val="nil"/>
            </w:tcBorders>
            <w:vAlign w:val="center"/>
          </w:tcPr>
          <w:p>
            <w:pPr>
              <w:pStyle w:val="168"/>
            </w:pPr>
            <w:r>
              <w:t>环境空气</w:t>
            </w:r>
          </w:p>
        </w:tc>
        <w:tc>
          <w:tcPr>
            <w:tcW w:w="846" w:type="dxa"/>
            <w:tcBorders>
              <w:tl2br w:val="nil"/>
              <w:tr2bl w:val="nil"/>
            </w:tcBorders>
            <w:vAlign w:val="center"/>
          </w:tcPr>
          <w:p>
            <w:pPr>
              <w:pStyle w:val="168"/>
            </w:pPr>
            <w:r>
              <w:t>地表水</w:t>
            </w:r>
          </w:p>
        </w:tc>
        <w:tc>
          <w:tcPr>
            <w:tcW w:w="846" w:type="dxa"/>
            <w:tcBorders>
              <w:tl2br w:val="nil"/>
              <w:tr2bl w:val="nil"/>
            </w:tcBorders>
            <w:vAlign w:val="center"/>
          </w:tcPr>
          <w:p>
            <w:pPr>
              <w:pStyle w:val="168"/>
            </w:pPr>
            <w:r>
              <w:t>地下水</w:t>
            </w:r>
          </w:p>
        </w:tc>
        <w:tc>
          <w:tcPr>
            <w:tcW w:w="846" w:type="dxa"/>
            <w:tcBorders>
              <w:tl2br w:val="nil"/>
              <w:tr2bl w:val="nil"/>
            </w:tcBorders>
            <w:vAlign w:val="center"/>
          </w:tcPr>
          <w:p>
            <w:pPr>
              <w:pStyle w:val="168"/>
            </w:pPr>
            <w:r>
              <w:t>声环境</w:t>
            </w:r>
          </w:p>
        </w:tc>
        <w:tc>
          <w:tcPr>
            <w:tcW w:w="846" w:type="dxa"/>
            <w:tcBorders>
              <w:tl2br w:val="nil"/>
              <w:tr2bl w:val="nil"/>
            </w:tcBorders>
            <w:vAlign w:val="center"/>
          </w:tcPr>
          <w:p>
            <w:pPr>
              <w:pStyle w:val="168"/>
            </w:pPr>
            <w:r>
              <w:t>植被</w:t>
            </w:r>
          </w:p>
        </w:tc>
        <w:tc>
          <w:tcPr>
            <w:tcW w:w="966" w:type="dxa"/>
            <w:tcBorders>
              <w:tl2br w:val="nil"/>
              <w:tr2bl w:val="nil"/>
            </w:tcBorders>
            <w:vAlign w:val="center"/>
          </w:tcPr>
          <w:p>
            <w:pPr>
              <w:pStyle w:val="168"/>
            </w:pPr>
            <w:r>
              <w:t>野生生物</w:t>
            </w:r>
          </w:p>
        </w:tc>
        <w:tc>
          <w:tcPr>
            <w:tcW w:w="922" w:type="dxa"/>
            <w:tcBorders>
              <w:tl2br w:val="nil"/>
              <w:tr2bl w:val="nil"/>
            </w:tcBorders>
            <w:vAlign w:val="center"/>
          </w:tcPr>
          <w:p>
            <w:pPr>
              <w:pStyle w:val="168"/>
            </w:pPr>
            <w: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restart"/>
            <w:tcBorders>
              <w:tl2br w:val="nil"/>
              <w:tr2bl w:val="nil"/>
            </w:tcBorders>
            <w:vAlign w:val="center"/>
          </w:tcPr>
          <w:p>
            <w:pPr>
              <w:pStyle w:val="168"/>
            </w:pPr>
            <w:r>
              <w:t>施工期</w:t>
            </w:r>
          </w:p>
        </w:tc>
        <w:tc>
          <w:tcPr>
            <w:tcW w:w="1588" w:type="dxa"/>
            <w:tcBorders>
              <w:tl2br w:val="nil"/>
              <w:tr2bl w:val="nil"/>
            </w:tcBorders>
            <w:vAlign w:val="center"/>
          </w:tcPr>
          <w:p>
            <w:pPr>
              <w:pStyle w:val="168"/>
            </w:pPr>
            <w:r>
              <w:t>土石方工程</w:t>
            </w:r>
          </w:p>
        </w:tc>
        <w:tc>
          <w:tcPr>
            <w:tcW w:w="960" w:type="dxa"/>
            <w:tcBorders>
              <w:tl2br w:val="nil"/>
              <w:tr2bl w:val="nil"/>
            </w:tcBorders>
            <w:vAlign w:val="center"/>
          </w:tcPr>
          <w:p>
            <w:pPr>
              <w:pStyle w:val="168"/>
            </w:pPr>
            <w:r>
              <w:t>-1D</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-1D</w:t>
            </w:r>
          </w:p>
        </w:tc>
        <w:tc>
          <w:tcPr>
            <w:tcW w:w="922" w:type="dxa"/>
            <w:tcBorders>
              <w:tl2br w:val="nil"/>
              <w:tr2bl w:val="nil"/>
            </w:tcBorders>
            <w:vAlign w:val="center"/>
          </w:tcPr>
          <w:p>
            <w:pPr>
              <w:pStyle w:val="168"/>
            </w:pPr>
            <w: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continue"/>
            <w:tcBorders>
              <w:tl2br w:val="nil"/>
              <w:tr2bl w:val="nil"/>
            </w:tcBorders>
            <w:vAlign w:val="center"/>
          </w:tcPr>
          <w:p>
            <w:pPr>
              <w:rPr>
                <w:rFonts w:ascii="Times New Roman" w:hAnsi="Times New Roman"/>
              </w:rPr>
            </w:pPr>
          </w:p>
        </w:tc>
        <w:tc>
          <w:tcPr>
            <w:tcW w:w="1588" w:type="dxa"/>
            <w:tcBorders>
              <w:tl2br w:val="nil"/>
              <w:tr2bl w:val="nil"/>
            </w:tcBorders>
            <w:vAlign w:val="center"/>
          </w:tcPr>
          <w:p>
            <w:pPr>
              <w:pStyle w:val="168"/>
            </w:pPr>
            <w:r>
              <w:t>建筑施工</w:t>
            </w:r>
          </w:p>
        </w:tc>
        <w:tc>
          <w:tcPr>
            <w:tcW w:w="960"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continue"/>
            <w:tcBorders>
              <w:tl2br w:val="nil"/>
              <w:tr2bl w:val="nil"/>
            </w:tcBorders>
            <w:vAlign w:val="center"/>
          </w:tcPr>
          <w:p>
            <w:pPr>
              <w:rPr>
                <w:rFonts w:ascii="Times New Roman" w:hAnsi="Times New Roman"/>
              </w:rPr>
            </w:pPr>
          </w:p>
        </w:tc>
        <w:tc>
          <w:tcPr>
            <w:tcW w:w="1588" w:type="dxa"/>
            <w:tcBorders>
              <w:tl2br w:val="nil"/>
              <w:tr2bl w:val="nil"/>
            </w:tcBorders>
            <w:vAlign w:val="center"/>
          </w:tcPr>
          <w:p>
            <w:pPr>
              <w:pStyle w:val="168"/>
            </w:pPr>
            <w:r>
              <w:t>设备安装</w:t>
            </w:r>
          </w:p>
        </w:tc>
        <w:tc>
          <w:tcPr>
            <w:tcW w:w="960"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restart"/>
            <w:tcBorders>
              <w:tl2br w:val="nil"/>
              <w:tr2bl w:val="nil"/>
            </w:tcBorders>
            <w:vAlign w:val="center"/>
          </w:tcPr>
          <w:p>
            <w:pPr>
              <w:pStyle w:val="168"/>
            </w:pPr>
            <w:r>
              <w:t>营运期</w:t>
            </w:r>
          </w:p>
        </w:tc>
        <w:tc>
          <w:tcPr>
            <w:tcW w:w="1588" w:type="dxa"/>
            <w:tcBorders>
              <w:tl2br w:val="nil"/>
              <w:tr2bl w:val="nil"/>
            </w:tcBorders>
            <w:vAlign w:val="center"/>
          </w:tcPr>
          <w:p>
            <w:pPr>
              <w:pStyle w:val="168"/>
            </w:pPr>
            <w:r>
              <w:t>废气</w:t>
            </w:r>
          </w:p>
        </w:tc>
        <w:tc>
          <w:tcPr>
            <w:tcW w:w="960"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continue"/>
            <w:tcBorders>
              <w:tl2br w:val="nil"/>
              <w:tr2bl w:val="nil"/>
            </w:tcBorders>
            <w:vAlign w:val="center"/>
          </w:tcPr>
          <w:p>
            <w:pPr>
              <w:rPr>
                <w:rFonts w:ascii="Times New Roman" w:hAnsi="Times New Roman"/>
              </w:rPr>
            </w:pPr>
          </w:p>
        </w:tc>
        <w:tc>
          <w:tcPr>
            <w:tcW w:w="1588" w:type="dxa"/>
            <w:tcBorders>
              <w:tl2br w:val="nil"/>
              <w:tr2bl w:val="nil"/>
            </w:tcBorders>
            <w:vAlign w:val="center"/>
          </w:tcPr>
          <w:p>
            <w:pPr>
              <w:pStyle w:val="168"/>
            </w:pPr>
            <w:r>
              <w:t>废水</w:t>
            </w:r>
          </w:p>
        </w:tc>
        <w:tc>
          <w:tcPr>
            <w:tcW w:w="960" w:type="dxa"/>
            <w:tcBorders>
              <w:tl2br w:val="nil"/>
              <w:tr2bl w:val="nil"/>
            </w:tcBorders>
            <w:vAlign w:val="center"/>
          </w:tcPr>
          <w:p>
            <w:pPr>
              <w:pStyle w:val="168"/>
            </w:pPr>
            <w:r>
              <w:t>--</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continue"/>
            <w:tcBorders>
              <w:tl2br w:val="nil"/>
              <w:tr2bl w:val="nil"/>
            </w:tcBorders>
            <w:vAlign w:val="center"/>
          </w:tcPr>
          <w:p>
            <w:pPr>
              <w:rPr>
                <w:rFonts w:ascii="Times New Roman" w:hAnsi="Times New Roman"/>
              </w:rPr>
            </w:pPr>
          </w:p>
        </w:tc>
        <w:tc>
          <w:tcPr>
            <w:tcW w:w="1588" w:type="dxa"/>
            <w:tcBorders>
              <w:tl2br w:val="nil"/>
              <w:tr2bl w:val="nil"/>
            </w:tcBorders>
            <w:vAlign w:val="center"/>
          </w:tcPr>
          <w:p>
            <w:pPr>
              <w:pStyle w:val="168"/>
            </w:pPr>
            <w:r>
              <w:t>噪声</w:t>
            </w:r>
          </w:p>
        </w:tc>
        <w:tc>
          <w:tcPr>
            <w:tcW w:w="960"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continue"/>
            <w:tcBorders>
              <w:tl2br w:val="nil"/>
              <w:tr2bl w:val="nil"/>
            </w:tcBorders>
            <w:vAlign w:val="center"/>
          </w:tcPr>
          <w:p>
            <w:pPr>
              <w:rPr>
                <w:rFonts w:ascii="Times New Roman" w:hAnsi="Times New Roman"/>
              </w:rPr>
            </w:pPr>
          </w:p>
        </w:tc>
        <w:tc>
          <w:tcPr>
            <w:tcW w:w="1588" w:type="dxa"/>
            <w:tcBorders>
              <w:tl2br w:val="nil"/>
              <w:tr2bl w:val="nil"/>
            </w:tcBorders>
            <w:vAlign w:val="center"/>
          </w:tcPr>
          <w:p>
            <w:pPr>
              <w:pStyle w:val="168"/>
            </w:pPr>
            <w:r>
              <w:t>固废</w:t>
            </w:r>
          </w:p>
        </w:tc>
        <w:tc>
          <w:tcPr>
            <w:tcW w:w="960"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7" w:hRule="atLeast"/>
          <w:jc w:val="center"/>
        </w:trPr>
        <w:tc>
          <w:tcPr>
            <w:tcW w:w="739" w:type="dxa"/>
            <w:vMerge w:val="continue"/>
            <w:tcBorders>
              <w:tl2br w:val="nil"/>
              <w:tr2bl w:val="nil"/>
            </w:tcBorders>
            <w:vAlign w:val="center"/>
          </w:tcPr>
          <w:p>
            <w:pPr>
              <w:rPr>
                <w:rFonts w:ascii="Times New Roman" w:hAnsi="Times New Roman"/>
              </w:rPr>
            </w:pPr>
          </w:p>
        </w:tc>
        <w:tc>
          <w:tcPr>
            <w:tcW w:w="1588" w:type="dxa"/>
            <w:tcBorders>
              <w:tl2br w:val="nil"/>
              <w:tr2bl w:val="nil"/>
            </w:tcBorders>
            <w:vAlign w:val="center"/>
          </w:tcPr>
          <w:p>
            <w:pPr>
              <w:pStyle w:val="168"/>
            </w:pPr>
            <w:r>
              <w:t>项目正常运营</w:t>
            </w:r>
          </w:p>
        </w:tc>
        <w:tc>
          <w:tcPr>
            <w:tcW w:w="960"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966" w:type="dxa"/>
            <w:tcBorders>
              <w:tl2br w:val="nil"/>
              <w:tr2bl w:val="nil"/>
            </w:tcBorders>
            <w:vAlign w:val="center"/>
          </w:tcPr>
          <w:p>
            <w:pPr>
              <w:pStyle w:val="168"/>
            </w:pPr>
            <w:r>
              <w:t>--</w:t>
            </w:r>
          </w:p>
        </w:tc>
        <w:tc>
          <w:tcPr>
            <w:tcW w:w="922" w:type="dxa"/>
            <w:tcBorders>
              <w:tl2br w:val="nil"/>
              <w:tr2bl w:val="nil"/>
            </w:tcBorders>
            <w:vAlign w:val="center"/>
          </w:tcPr>
          <w:p>
            <w:pPr>
              <w:pStyle w:val="168"/>
            </w:pPr>
            <w:r>
              <w:t>+1C</w:t>
            </w:r>
          </w:p>
        </w:tc>
      </w:tr>
    </w:tbl>
    <w:p>
      <w:pPr>
        <w:spacing w:line="360" w:lineRule="exact"/>
        <w:rPr>
          <w:rFonts w:ascii="Times New Roman" w:hAnsi="Times New Roman"/>
          <w:szCs w:val="24"/>
        </w:rPr>
      </w:pPr>
      <w:r>
        <w:rPr>
          <w:rFonts w:ascii="Times New Roman" w:hAnsi="Times New Roman"/>
          <w:szCs w:val="24"/>
        </w:rPr>
        <w:t>备注：(1)表中“+”表示正效益，“-”表示负效益；</w:t>
      </w:r>
    </w:p>
    <w:p>
      <w:pPr>
        <w:spacing w:line="360" w:lineRule="exact"/>
        <w:ind w:firstLine="630" w:firstLineChars="300"/>
        <w:rPr>
          <w:rFonts w:ascii="Times New Roman" w:hAnsi="Times New Roman"/>
          <w:szCs w:val="24"/>
        </w:rPr>
      </w:pPr>
      <w:r>
        <w:rPr>
          <w:rFonts w:ascii="Times New Roman" w:hAnsi="Times New Roman"/>
          <w:szCs w:val="24"/>
        </w:rPr>
        <w:t>(2)表中数字表示影响的相对程度，“1”表示影响较小，“2”表示影响中等，“3”表示影响较大；</w:t>
      </w:r>
    </w:p>
    <w:p>
      <w:pPr>
        <w:spacing w:line="360" w:lineRule="exact"/>
        <w:ind w:firstLine="630" w:firstLineChars="300"/>
        <w:rPr>
          <w:rFonts w:ascii="Times New Roman" w:hAnsi="Times New Roman"/>
          <w:szCs w:val="24"/>
        </w:rPr>
      </w:pPr>
      <w:r>
        <w:rPr>
          <w:rFonts w:ascii="Times New Roman" w:hAnsi="Times New Roman"/>
          <w:szCs w:val="24"/>
        </w:rPr>
        <w:t>(3)表中“D”表示短期影响，“C”表示长期影响</w:t>
      </w:r>
    </w:p>
    <w:p>
      <w:pPr>
        <w:spacing w:line="480" w:lineRule="exact"/>
        <w:ind w:firstLine="480" w:firstLineChars="200"/>
        <w:rPr>
          <w:rFonts w:ascii="Times New Roman" w:hAnsi="Times New Roman"/>
          <w:sz w:val="24"/>
          <w:szCs w:val="24"/>
        </w:rPr>
      </w:pPr>
      <w:bookmarkStart w:id="81" w:name="_Toc21534"/>
      <w:bookmarkStart w:id="82" w:name="_Toc12702"/>
      <w:bookmarkStart w:id="83" w:name="_Toc6080"/>
      <w:r>
        <w:rPr>
          <w:rFonts w:ascii="Times New Roman" w:hAnsi="Times New Roman"/>
          <w:sz w:val="24"/>
          <w:szCs w:val="24"/>
        </w:rPr>
        <w:t>由表1.3.1-1可以看出，本工程的建设对环境的影响是多方面的，既存在短期、局部及可恢复的正、负影响，也存在长期的或正或负的影响。施工期主要表现在对自然环境要素产生一定程度的负面影响，主要环境影响因素为环境空气、声环境、水土流失，均随着施工期的结束而消失；营运期对环境的不利影响是长期存在的，在生产过程中，主要影响因素表现在环境空气、水环境和声环境等方面。</w:t>
      </w:r>
    </w:p>
    <w:bookmarkEnd w:id="73"/>
    <w:bookmarkEnd w:id="74"/>
    <w:bookmarkEnd w:id="75"/>
    <w:bookmarkEnd w:id="76"/>
    <w:bookmarkEnd w:id="77"/>
    <w:bookmarkEnd w:id="81"/>
    <w:bookmarkEnd w:id="82"/>
    <w:bookmarkEnd w:id="83"/>
    <w:p>
      <w:pPr>
        <w:pStyle w:val="7"/>
        <w:spacing w:before="156" w:after="156"/>
      </w:pPr>
      <w:bookmarkStart w:id="84" w:name="_Toc220122768"/>
      <w:bookmarkStart w:id="85" w:name="_Toc26153"/>
      <w:bookmarkStart w:id="86" w:name="_Toc1146"/>
      <w:bookmarkStart w:id="87" w:name="_Toc28301"/>
      <w:bookmarkStart w:id="88" w:name="_Toc219258494"/>
      <w:r>
        <w:t>评价因子筛选</w:t>
      </w:r>
    </w:p>
    <w:p>
      <w:pPr>
        <w:pStyle w:val="5"/>
        <w:spacing w:line="480" w:lineRule="exact"/>
        <w:ind w:firstLine="480"/>
        <w:rPr>
          <w:rFonts w:ascii="Times New Roman" w:hAnsi="Times New Roman" w:cs="Times New Roman"/>
        </w:rPr>
      </w:pPr>
      <w:r>
        <w:rPr>
          <w:rFonts w:ascii="Times New Roman" w:hAnsi="Times New Roman" w:cs="Times New Roman"/>
        </w:rPr>
        <w:t>根据项目工程性质、生产工艺与污染物排放特点，确定本项目评价因子，详见表1.3.2-1。</w:t>
      </w:r>
    </w:p>
    <w:p>
      <w:pPr>
        <w:pStyle w:val="5"/>
        <w:spacing w:line="480" w:lineRule="exact"/>
        <w:ind w:firstLine="482"/>
        <w:jc w:val="center"/>
        <w:rPr>
          <w:rFonts w:ascii="Times New Roman" w:hAnsi="Times New Roman" w:cs="Times New Roman"/>
          <w:b/>
        </w:rPr>
      </w:pPr>
      <w:r>
        <w:rPr>
          <w:rFonts w:ascii="Times New Roman" w:hAnsi="Times New Roman" w:cs="Times New Roman"/>
          <w:b/>
        </w:rPr>
        <w:t>表 1.3.2-1 评价因子一览表</w:t>
      </w:r>
    </w:p>
    <w:tbl>
      <w:tblPr>
        <w:tblStyle w:val="45"/>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1139"/>
        <w:gridCol w:w="1416"/>
        <w:gridCol w:w="5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blHeader/>
          <w:jc w:val="center"/>
        </w:trPr>
        <w:tc>
          <w:tcPr>
            <w:tcW w:w="671" w:type="dxa"/>
            <w:tcBorders>
              <w:tl2br w:val="nil"/>
              <w:tr2bl w:val="nil"/>
            </w:tcBorders>
            <w:vAlign w:val="center"/>
          </w:tcPr>
          <w:p>
            <w:pPr>
              <w:spacing w:line="360" w:lineRule="exact"/>
              <w:jc w:val="center"/>
              <w:rPr>
                <w:rFonts w:ascii="Times New Roman" w:hAnsi="Times New Roman"/>
                <w:b/>
                <w:szCs w:val="21"/>
              </w:rPr>
            </w:pPr>
            <w:r>
              <w:rPr>
                <w:rFonts w:ascii="Times New Roman" w:hAnsi="Times New Roman"/>
                <w:b/>
                <w:szCs w:val="21"/>
              </w:rPr>
              <w:t>序号</w:t>
            </w:r>
          </w:p>
        </w:tc>
        <w:tc>
          <w:tcPr>
            <w:tcW w:w="1139" w:type="dxa"/>
            <w:tcBorders>
              <w:tl2br w:val="nil"/>
              <w:tr2bl w:val="nil"/>
            </w:tcBorders>
            <w:vAlign w:val="center"/>
          </w:tcPr>
          <w:p>
            <w:pPr>
              <w:spacing w:line="360" w:lineRule="exact"/>
              <w:jc w:val="center"/>
              <w:rPr>
                <w:rFonts w:ascii="Times New Roman" w:hAnsi="Times New Roman"/>
                <w:b/>
                <w:szCs w:val="21"/>
              </w:rPr>
            </w:pPr>
            <w:r>
              <w:rPr>
                <w:rFonts w:ascii="Times New Roman" w:hAnsi="Times New Roman"/>
                <w:b/>
                <w:szCs w:val="21"/>
              </w:rPr>
              <w:t>环境要素</w:t>
            </w:r>
          </w:p>
        </w:tc>
        <w:tc>
          <w:tcPr>
            <w:tcW w:w="1416" w:type="dxa"/>
            <w:tcBorders>
              <w:tl2br w:val="nil"/>
              <w:tr2bl w:val="nil"/>
            </w:tcBorders>
            <w:vAlign w:val="center"/>
          </w:tcPr>
          <w:p>
            <w:pPr>
              <w:spacing w:line="360" w:lineRule="exact"/>
              <w:jc w:val="center"/>
              <w:rPr>
                <w:rFonts w:ascii="Times New Roman" w:hAnsi="Times New Roman"/>
                <w:b/>
                <w:szCs w:val="21"/>
              </w:rPr>
            </w:pPr>
            <w:r>
              <w:rPr>
                <w:rFonts w:ascii="Times New Roman" w:hAnsi="Times New Roman"/>
                <w:b/>
                <w:szCs w:val="21"/>
              </w:rPr>
              <w:t>评价类别</w:t>
            </w:r>
          </w:p>
        </w:tc>
        <w:tc>
          <w:tcPr>
            <w:tcW w:w="5296" w:type="dxa"/>
            <w:tcBorders>
              <w:tl2br w:val="nil"/>
              <w:tr2bl w:val="nil"/>
            </w:tcBorders>
            <w:vAlign w:val="center"/>
          </w:tcPr>
          <w:p>
            <w:pPr>
              <w:spacing w:line="360" w:lineRule="exact"/>
              <w:jc w:val="center"/>
              <w:rPr>
                <w:rFonts w:ascii="Times New Roman" w:hAnsi="Times New Roman"/>
                <w:b/>
                <w:szCs w:val="21"/>
              </w:rPr>
            </w:pPr>
            <w:r>
              <w:rPr>
                <w:rFonts w:ascii="Times New Roman" w:hAnsi="Times New Roman"/>
                <w:b/>
                <w:szCs w:val="21"/>
              </w:rPr>
              <w:t>评价因子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1</w:t>
            </w:r>
          </w:p>
        </w:tc>
        <w:tc>
          <w:tcPr>
            <w:tcW w:w="1139"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大气环境</w:t>
            </w: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现状评价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4"/>
              </w:rPr>
              <w:t>PM</w:t>
            </w:r>
            <w:r>
              <w:rPr>
                <w:rFonts w:ascii="Times New Roman" w:hAnsi="Times New Roman"/>
                <w:szCs w:val="24"/>
                <w:vertAlign w:val="subscript"/>
              </w:rPr>
              <w:t>10</w:t>
            </w:r>
            <w:r>
              <w:rPr>
                <w:rFonts w:ascii="Times New Roman" w:hAnsi="Times New Roman"/>
                <w:szCs w:val="24"/>
              </w:rPr>
              <w:t>、PM</w:t>
            </w:r>
            <w:r>
              <w:rPr>
                <w:rFonts w:ascii="Times New Roman" w:hAnsi="Times New Roman"/>
                <w:szCs w:val="24"/>
                <w:vertAlign w:val="subscript"/>
              </w:rPr>
              <w:t>2.5</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、CO、H</w:t>
            </w:r>
            <w:r>
              <w:rPr>
                <w:rFonts w:ascii="Times New Roman" w:hAnsi="Times New Roman"/>
                <w:szCs w:val="21"/>
                <w:vertAlign w:val="subscript"/>
              </w:rPr>
              <w:t>2</w:t>
            </w:r>
            <w:r>
              <w:rPr>
                <w:rFonts w:ascii="Times New Roman" w:hAnsi="Times New Roman"/>
                <w:szCs w:val="21"/>
              </w:rPr>
              <w:t>S、NH</w:t>
            </w:r>
            <w:r>
              <w:rPr>
                <w:rFonts w:ascii="Times New Roman" w:hAnsi="Times New Roman"/>
                <w:szCs w:val="21"/>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spacing w:line="360" w:lineRule="exact"/>
              <w:jc w:val="center"/>
              <w:rPr>
                <w:rFonts w:ascii="Times New Roman" w:hAnsi="Times New Roman"/>
                <w:szCs w:val="21"/>
              </w:rPr>
            </w:pPr>
          </w:p>
        </w:tc>
        <w:tc>
          <w:tcPr>
            <w:tcW w:w="1139" w:type="dxa"/>
            <w:vMerge w:val="continue"/>
            <w:tcBorders>
              <w:tl2br w:val="nil"/>
              <w:tr2bl w:val="nil"/>
            </w:tcBorders>
            <w:vAlign w:val="center"/>
          </w:tcPr>
          <w:p>
            <w:pPr>
              <w:spacing w:line="360" w:lineRule="exact"/>
              <w:jc w:val="center"/>
              <w:rPr>
                <w:rFonts w:ascii="Times New Roman" w:hAnsi="Times New Roman"/>
                <w:szCs w:val="21"/>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污染源评价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烟尘、SO</w:t>
            </w:r>
            <w:r>
              <w:rPr>
                <w:rFonts w:ascii="Times New Roman" w:hAnsi="Times New Roman"/>
                <w:szCs w:val="21"/>
                <w:vertAlign w:val="subscript"/>
              </w:rPr>
              <w:t>2</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、镍二噁英、H</w:t>
            </w:r>
            <w:r>
              <w:rPr>
                <w:rFonts w:ascii="Times New Roman" w:hAnsi="Times New Roman"/>
                <w:szCs w:val="21"/>
                <w:vertAlign w:val="subscript"/>
              </w:rPr>
              <w:t>2</w:t>
            </w:r>
            <w:r>
              <w:rPr>
                <w:rFonts w:ascii="Times New Roman" w:hAnsi="Times New Roman"/>
                <w:szCs w:val="21"/>
              </w:rPr>
              <w:t>S、NH</w:t>
            </w:r>
            <w:r>
              <w:rPr>
                <w:rFonts w:ascii="Times New Roman" w:hAnsi="Times New Roman"/>
                <w:szCs w:val="21"/>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影响评价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烟尘、SO</w:t>
            </w:r>
            <w:r>
              <w:rPr>
                <w:rFonts w:ascii="Times New Roman" w:hAnsi="Times New Roman"/>
                <w:szCs w:val="21"/>
                <w:vertAlign w:val="subscript"/>
              </w:rPr>
              <w:t>2</w:t>
            </w: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、镍、二噁英、H</w:t>
            </w:r>
            <w:r>
              <w:rPr>
                <w:rFonts w:ascii="Times New Roman" w:hAnsi="Times New Roman"/>
                <w:szCs w:val="21"/>
                <w:vertAlign w:val="subscript"/>
              </w:rPr>
              <w:t>2</w:t>
            </w:r>
            <w:r>
              <w:rPr>
                <w:rFonts w:ascii="Times New Roman" w:hAnsi="Times New Roman"/>
                <w:szCs w:val="21"/>
              </w:rPr>
              <w:t>S、NH</w:t>
            </w:r>
            <w:r>
              <w:rPr>
                <w:rFonts w:ascii="Times New Roman" w:hAnsi="Times New Roman"/>
                <w:szCs w:val="21"/>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2</w:t>
            </w:r>
          </w:p>
        </w:tc>
        <w:tc>
          <w:tcPr>
            <w:tcW w:w="1139"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地表水</w:t>
            </w: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现状评价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pH、DO、COD、BOD</w:t>
            </w:r>
            <w:r>
              <w:rPr>
                <w:rFonts w:ascii="Times New Roman" w:hAnsi="Times New Roman"/>
                <w:szCs w:val="21"/>
                <w:vertAlign w:val="subscript"/>
              </w:rPr>
              <w:t>5</w:t>
            </w:r>
            <w:r>
              <w:rPr>
                <w:rFonts w:ascii="Times New Roman" w:hAnsi="Times New Roman"/>
                <w:szCs w:val="21"/>
              </w:rPr>
              <w:t>、石油类、NH</w:t>
            </w:r>
            <w:r>
              <w:rPr>
                <w:rFonts w:ascii="Times New Roman" w:hAnsi="Times New Roman"/>
                <w:szCs w:val="21"/>
                <w:vertAlign w:val="subscript"/>
              </w:rPr>
              <w:t>3</w:t>
            </w:r>
            <w:r>
              <w:rPr>
                <w:rFonts w:ascii="Times New Roman" w:hAnsi="Times New Roman"/>
                <w:szCs w:val="21"/>
              </w:rPr>
              <w:t>-N、SS、TN、TP、氯化物、硫化物、硫酸盐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rPr>
              <w:t>污染源评价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COD、NH</w:t>
            </w:r>
            <w:r>
              <w:rPr>
                <w:rFonts w:ascii="Times New Roman" w:hAnsi="Times New Roman"/>
                <w:szCs w:val="21"/>
                <w:vertAlign w:val="subscript"/>
              </w:rPr>
              <w:t>3</w:t>
            </w:r>
            <w:r>
              <w:rPr>
                <w:rFonts w:ascii="Times New Roman" w:hAnsi="Times New Roman"/>
                <w:szCs w:val="21"/>
              </w:rPr>
              <w:t>-N、SS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影响评价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COD、NH</w:t>
            </w:r>
            <w:r>
              <w:rPr>
                <w:rFonts w:ascii="Times New Roman" w:hAnsi="Times New Roman"/>
                <w:szCs w:val="21"/>
                <w:vertAlign w:val="subscript"/>
              </w:rPr>
              <w:t>3</w:t>
            </w:r>
            <w:r>
              <w:rPr>
                <w:rFonts w:ascii="Times New Roman" w:hAnsi="Times New Roman"/>
                <w:szCs w:val="21"/>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3</w:t>
            </w:r>
          </w:p>
        </w:tc>
        <w:tc>
          <w:tcPr>
            <w:tcW w:w="1139"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地下水</w:t>
            </w: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现状评价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u w:val="single"/>
              </w:rPr>
              <w:t>pH、COD、总硬度、硫酸盐、氯化物、NH</w:t>
            </w:r>
            <w:r>
              <w:rPr>
                <w:rFonts w:ascii="Times New Roman" w:hAnsi="Times New Roman"/>
                <w:szCs w:val="21"/>
                <w:u w:val="single"/>
                <w:vertAlign w:val="subscript"/>
              </w:rPr>
              <w:t>3</w:t>
            </w:r>
            <w:r>
              <w:rPr>
                <w:rFonts w:ascii="Times New Roman" w:hAnsi="Times New Roman"/>
                <w:szCs w:val="21"/>
                <w:u w:val="single"/>
              </w:rPr>
              <w:t>-N、-挥发性酚类、苯、甲苯、二甲苯、乙苯、总镍、总汞、总砷、总铅、TOC、苯并芘、烷基汞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影响评价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COD、NH</w:t>
            </w:r>
            <w:r>
              <w:rPr>
                <w:rFonts w:ascii="Times New Roman" w:hAnsi="Times New Roman"/>
                <w:szCs w:val="21"/>
                <w:vertAlign w:val="subscript"/>
              </w:rPr>
              <w:t>3</w:t>
            </w:r>
            <w:r>
              <w:rPr>
                <w:rFonts w:ascii="Times New Roman" w:hAnsi="Times New Roman"/>
                <w:szCs w:val="21"/>
              </w:rPr>
              <w:t>-N、石油类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4</w:t>
            </w:r>
          </w:p>
        </w:tc>
        <w:tc>
          <w:tcPr>
            <w:tcW w:w="1139" w:type="dxa"/>
            <w:vMerge w:val="restart"/>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声环境</w:t>
            </w: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现状评价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昼、夜Leq（A）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rPr>
              <w:t>污染源评价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rPr>
              <w:t>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影响评价</w:t>
            </w:r>
          </w:p>
        </w:tc>
        <w:tc>
          <w:tcPr>
            <w:tcW w:w="529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restart"/>
            <w:tcBorders>
              <w:tl2br w:val="nil"/>
              <w:tr2bl w:val="nil"/>
            </w:tcBorders>
            <w:vAlign w:val="center"/>
          </w:tcPr>
          <w:p>
            <w:pPr>
              <w:spacing w:line="360" w:lineRule="exact"/>
              <w:jc w:val="center"/>
              <w:rPr>
                <w:rFonts w:ascii="Times New Roman" w:hAnsi="Times New Roman"/>
              </w:rPr>
            </w:pPr>
            <w:r>
              <w:rPr>
                <w:rFonts w:ascii="Times New Roman" w:hAnsi="Times New Roman"/>
                <w:szCs w:val="21"/>
              </w:rPr>
              <w:t>5</w:t>
            </w:r>
          </w:p>
        </w:tc>
        <w:tc>
          <w:tcPr>
            <w:tcW w:w="1139" w:type="dxa"/>
            <w:vMerge w:val="restart"/>
            <w:tcBorders>
              <w:tl2br w:val="nil"/>
              <w:tr2bl w:val="nil"/>
            </w:tcBorders>
            <w:vAlign w:val="center"/>
          </w:tcPr>
          <w:p>
            <w:pPr>
              <w:rPr>
                <w:rFonts w:ascii="Times New Roman" w:hAnsi="Times New Roman"/>
              </w:rPr>
            </w:pPr>
            <w:r>
              <w:rPr>
                <w:rFonts w:ascii="Times New Roman" w:hAnsi="Times New Roman"/>
              </w:rPr>
              <w:t>土壤环境</w:t>
            </w: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现状评价</w:t>
            </w:r>
          </w:p>
        </w:tc>
        <w:tc>
          <w:tcPr>
            <w:tcW w:w="5296" w:type="dxa"/>
            <w:tcBorders>
              <w:tl2br w:val="nil"/>
              <w:tr2bl w:val="nil"/>
            </w:tcBorders>
            <w:vAlign w:val="center"/>
          </w:tcPr>
          <w:p>
            <w:pPr>
              <w:jc w:val="center"/>
              <w:rPr>
                <w:rFonts w:ascii="Times New Roman" w:hAnsi="Times New Roman"/>
                <w:szCs w:val="21"/>
              </w:rPr>
            </w:pPr>
            <w:r>
              <w:rPr>
                <w:rFonts w:ascii="Times New Roman" w:hAnsi="Times New Roman"/>
                <w:szCs w:val="21"/>
              </w:rPr>
              <w:t>pH、镍、铜、铅、砷、镉、铬（六价铬）、汞、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和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vMerge w:val="continue"/>
            <w:tcBorders>
              <w:tl2br w:val="nil"/>
              <w:tr2bl w:val="nil"/>
            </w:tcBorders>
            <w:vAlign w:val="center"/>
          </w:tcPr>
          <w:p>
            <w:pPr>
              <w:rPr>
                <w:rFonts w:ascii="Times New Roman" w:hAnsi="Times New Roman"/>
              </w:rPr>
            </w:pPr>
          </w:p>
        </w:tc>
        <w:tc>
          <w:tcPr>
            <w:tcW w:w="1139" w:type="dxa"/>
            <w:vMerge w:val="continue"/>
            <w:tcBorders>
              <w:tl2br w:val="nil"/>
              <w:tr2bl w:val="nil"/>
            </w:tcBorders>
            <w:vAlign w:val="center"/>
          </w:tcPr>
          <w:p>
            <w:pPr>
              <w:rPr>
                <w:rFonts w:ascii="Times New Roman" w:hAnsi="Times New Roman"/>
              </w:rPr>
            </w:pPr>
          </w:p>
        </w:tc>
        <w:tc>
          <w:tcPr>
            <w:tcW w:w="1416"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影响评价</w:t>
            </w:r>
          </w:p>
        </w:tc>
        <w:tc>
          <w:tcPr>
            <w:tcW w:w="5296" w:type="dxa"/>
            <w:tcBorders>
              <w:tl2br w:val="nil"/>
              <w:tr2bl w:val="nil"/>
            </w:tcBorders>
            <w:vAlign w:val="center"/>
          </w:tcPr>
          <w:p>
            <w:pPr>
              <w:jc w:val="center"/>
              <w:rPr>
                <w:rFonts w:ascii="Times New Roman" w:hAnsi="Times New Roman"/>
                <w:szCs w:val="21"/>
              </w:rPr>
            </w:pPr>
            <w:r>
              <w:rPr>
                <w:rFonts w:ascii="Times New Roman" w:hAnsi="Times New Roman"/>
                <w:szCs w:val="21"/>
              </w:rPr>
              <w:t>pH、镉、铬、汞、砷、铅、锌、镍、石油烃、挥发酚等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1"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6</w:t>
            </w:r>
          </w:p>
        </w:tc>
        <w:tc>
          <w:tcPr>
            <w:tcW w:w="1139" w:type="dxa"/>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固体废物</w:t>
            </w:r>
          </w:p>
        </w:tc>
        <w:tc>
          <w:tcPr>
            <w:tcW w:w="6712" w:type="dxa"/>
            <w:gridSpan w:val="2"/>
            <w:tcBorders>
              <w:tl2br w:val="nil"/>
              <w:tr2bl w:val="nil"/>
            </w:tcBorders>
            <w:vAlign w:val="center"/>
          </w:tcPr>
          <w:p>
            <w:pPr>
              <w:spacing w:line="360" w:lineRule="exact"/>
              <w:jc w:val="center"/>
              <w:rPr>
                <w:rFonts w:ascii="Times New Roman" w:hAnsi="Times New Roman"/>
                <w:szCs w:val="21"/>
              </w:rPr>
            </w:pPr>
            <w:r>
              <w:rPr>
                <w:rFonts w:ascii="Times New Roman" w:hAnsi="Times New Roman"/>
                <w:szCs w:val="21"/>
              </w:rPr>
              <w:t>锅炉炉渣、炉灰、石膏</w:t>
            </w:r>
          </w:p>
        </w:tc>
      </w:tr>
    </w:tbl>
    <w:p>
      <w:pPr>
        <w:pStyle w:val="6"/>
        <w:spacing w:before="156" w:after="156"/>
      </w:pPr>
      <w:bookmarkStart w:id="89" w:name="_Toc930"/>
      <w:bookmarkStart w:id="90" w:name="_Toc6903"/>
      <w:bookmarkStart w:id="91" w:name="_Toc14373"/>
      <w:bookmarkStart w:id="92" w:name="_Toc7136"/>
      <w:r>
        <w:t>评价标准</w:t>
      </w:r>
      <w:bookmarkEnd w:id="89"/>
      <w:bookmarkEnd w:id="90"/>
      <w:bookmarkEnd w:id="91"/>
      <w:bookmarkEnd w:id="92"/>
    </w:p>
    <w:p>
      <w:pPr>
        <w:pStyle w:val="5"/>
        <w:ind w:firstLine="480"/>
        <w:rPr>
          <w:rFonts w:ascii="Times New Roman" w:hAnsi="Times New Roman" w:cs="Times New Roman"/>
        </w:rPr>
      </w:pPr>
      <w:r>
        <w:rPr>
          <w:rFonts w:ascii="Times New Roman" w:hAnsi="Times New Roman" w:cs="Times New Roman"/>
        </w:rPr>
        <w:t>根据岳阳市生态环境局云溪分局标准执行函，本项目执行标准如下：</w:t>
      </w:r>
    </w:p>
    <w:p>
      <w:pPr>
        <w:pStyle w:val="7"/>
        <w:spacing w:before="156" w:after="156"/>
      </w:pPr>
      <w:r>
        <w:t>环境质量标准</w:t>
      </w:r>
      <w:bookmarkEnd w:id="84"/>
      <w:bookmarkEnd w:id="85"/>
      <w:bookmarkEnd w:id="86"/>
      <w:bookmarkEnd w:id="87"/>
      <w:bookmarkEnd w:id="88"/>
    </w:p>
    <w:p>
      <w:pPr>
        <w:pStyle w:val="8"/>
        <w:numPr>
          <w:ilvl w:val="3"/>
          <w:numId w:val="0"/>
        </w:numPr>
        <w:spacing w:line="480" w:lineRule="exact"/>
        <w:ind w:left="420" w:leftChars="200"/>
        <w:rPr>
          <w:bCs w:val="0"/>
          <w:szCs w:val="20"/>
        </w:rPr>
      </w:pPr>
      <w:r>
        <w:rPr>
          <w:bCs w:val="0"/>
          <w:szCs w:val="20"/>
        </w:rPr>
        <w:t>（1）环境空气质量标准</w:t>
      </w:r>
    </w:p>
    <w:p>
      <w:pPr>
        <w:pStyle w:val="5"/>
        <w:spacing w:line="480" w:lineRule="exact"/>
        <w:ind w:firstLine="480"/>
        <w:rPr>
          <w:rFonts w:ascii="Times New Roman" w:hAnsi="Times New Roman" w:cs="Times New Roman"/>
        </w:rPr>
      </w:pPr>
      <w:r>
        <w:rPr>
          <w:rFonts w:ascii="Times New Roman" w:hAnsi="Times New Roman" w:cs="Times New Roman"/>
          <w:kern w:val="0"/>
          <w:szCs w:val="24"/>
        </w:rPr>
        <w:t>项目区环境空气基本污染物SO</w:t>
      </w:r>
      <w:r>
        <w:rPr>
          <w:rFonts w:ascii="Times New Roman" w:hAnsi="Times New Roman" w:cs="Times New Roman"/>
          <w:kern w:val="0"/>
          <w:szCs w:val="24"/>
          <w:vertAlign w:val="subscript"/>
        </w:rPr>
        <w:t>2</w:t>
      </w:r>
      <w:r>
        <w:rPr>
          <w:rFonts w:ascii="Times New Roman" w:hAnsi="Times New Roman" w:cs="Times New Roman"/>
          <w:kern w:val="0"/>
          <w:szCs w:val="24"/>
        </w:rPr>
        <w:t>、NO</w:t>
      </w:r>
      <w:r>
        <w:rPr>
          <w:rFonts w:ascii="Times New Roman" w:hAnsi="Times New Roman" w:cs="Times New Roman"/>
          <w:kern w:val="0"/>
          <w:szCs w:val="24"/>
          <w:vertAlign w:val="subscript"/>
        </w:rPr>
        <w:t>2</w:t>
      </w:r>
      <w:r>
        <w:rPr>
          <w:rFonts w:ascii="Times New Roman" w:hAnsi="Times New Roman" w:cs="Times New Roman"/>
          <w:kern w:val="0"/>
          <w:szCs w:val="24"/>
        </w:rPr>
        <w:t>、PM</w:t>
      </w:r>
      <w:r>
        <w:rPr>
          <w:rFonts w:ascii="Times New Roman" w:hAnsi="Times New Roman" w:cs="Times New Roman"/>
          <w:kern w:val="0"/>
          <w:szCs w:val="24"/>
          <w:vertAlign w:val="subscript"/>
        </w:rPr>
        <w:t>10</w:t>
      </w:r>
      <w:r>
        <w:rPr>
          <w:rFonts w:ascii="Times New Roman" w:hAnsi="Times New Roman" w:cs="Times New Roman"/>
          <w:kern w:val="0"/>
          <w:szCs w:val="24"/>
        </w:rPr>
        <w:t>、PM</w:t>
      </w:r>
      <w:r>
        <w:rPr>
          <w:rFonts w:ascii="Times New Roman" w:hAnsi="Times New Roman" w:cs="Times New Roman"/>
          <w:kern w:val="0"/>
          <w:szCs w:val="24"/>
          <w:vertAlign w:val="subscript"/>
        </w:rPr>
        <w:t>2.5</w:t>
      </w:r>
      <w:r>
        <w:rPr>
          <w:rFonts w:ascii="Times New Roman" w:hAnsi="Times New Roman" w:cs="Times New Roman"/>
          <w:kern w:val="0"/>
          <w:szCs w:val="24"/>
        </w:rPr>
        <w:t>、CO和O</w:t>
      </w:r>
      <w:r>
        <w:rPr>
          <w:rFonts w:ascii="Times New Roman" w:hAnsi="Times New Roman" w:cs="Times New Roman"/>
          <w:kern w:val="0"/>
          <w:szCs w:val="24"/>
          <w:vertAlign w:val="subscript"/>
        </w:rPr>
        <w:t>3</w:t>
      </w:r>
      <w:r>
        <w:rPr>
          <w:rFonts w:ascii="Times New Roman" w:hAnsi="Times New Roman" w:cs="Times New Roman"/>
          <w:kern w:val="0"/>
          <w:szCs w:val="24"/>
        </w:rPr>
        <w:t>执行《环境空气质量标准》（GB3095-2012）及其修改单中的二级标准；硫化氢和氨执行</w:t>
      </w:r>
      <w:r>
        <w:rPr>
          <w:rFonts w:ascii="Times New Roman" w:hAnsi="Times New Roman" w:cs="Times New Roman"/>
          <w:spacing w:val="6"/>
          <w:kern w:val="0"/>
          <w:szCs w:val="24"/>
        </w:rPr>
        <w:t>《环境影响评价技术导则  大气环境》（HJ2.2-2018）附录D的浓度限值；二噁英参照日本年均浓度标准0.6pgTEQ/m</w:t>
      </w:r>
      <w:r>
        <w:rPr>
          <w:rFonts w:ascii="Times New Roman" w:hAnsi="Times New Roman" w:cs="Times New Roman"/>
          <w:spacing w:val="6"/>
          <w:kern w:val="0"/>
          <w:szCs w:val="24"/>
          <w:vertAlign w:val="superscript"/>
        </w:rPr>
        <w:t>3</w:t>
      </w:r>
      <w:r>
        <w:rPr>
          <w:rFonts w:ascii="Times New Roman" w:hAnsi="Times New Roman" w:cs="Times New Roman"/>
          <w:spacing w:val="6"/>
          <w:kern w:val="0"/>
          <w:szCs w:val="24"/>
        </w:rPr>
        <w:t>进行评价，镍参照欧盟年均浓度标准0.02μg/m</w:t>
      </w:r>
      <w:r>
        <w:rPr>
          <w:rFonts w:ascii="Times New Roman" w:hAnsi="Times New Roman" w:cs="Times New Roman"/>
          <w:spacing w:val="6"/>
          <w:kern w:val="0"/>
          <w:szCs w:val="24"/>
          <w:vertAlign w:val="superscript"/>
        </w:rPr>
        <w:t>3</w:t>
      </w:r>
      <w:r>
        <w:rPr>
          <w:rFonts w:ascii="Times New Roman" w:hAnsi="Times New Roman" w:cs="Times New Roman"/>
          <w:spacing w:val="6"/>
          <w:kern w:val="0"/>
          <w:szCs w:val="24"/>
        </w:rPr>
        <w:t>，</w:t>
      </w:r>
      <w:r>
        <w:rPr>
          <w:rFonts w:ascii="Times New Roman" w:hAnsi="Times New Roman" w:cs="Times New Roman"/>
          <w:kern w:val="0"/>
          <w:szCs w:val="24"/>
        </w:rPr>
        <w:t>具体标准限值见下表</w:t>
      </w:r>
      <w:r>
        <w:rPr>
          <w:rFonts w:ascii="Times New Roman" w:hAnsi="Times New Roman" w:cs="Times New Roman"/>
          <w:szCs w:val="24"/>
        </w:rPr>
        <w:t>1.4.1-1。</w:t>
      </w:r>
    </w:p>
    <w:p>
      <w:pPr>
        <w:pStyle w:val="5"/>
        <w:spacing w:line="480" w:lineRule="exact"/>
        <w:ind w:firstLine="2409" w:firstLineChars="1000"/>
        <w:rPr>
          <w:rFonts w:ascii="Times New Roman" w:hAnsi="Times New Roman" w:cs="Times New Roman"/>
          <w:b/>
        </w:rPr>
      </w:pPr>
      <w:r>
        <w:rPr>
          <w:rFonts w:ascii="Times New Roman" w:hAnsi="Times New Roman" w:cs="Times New Roman"/>
          <w:b/>
        </w:rPr>
        <w:t>表 1.4.1-1  环境空气质量标准值</w:t>
      </w:r>
    </w:p>
    <w:tbl>
      <w:tblPr>
        <w:tblStyle w:val="4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trPr>
        <w:tc>
          <w:tcPr>
            <w:tcW w:w="1986" w:type="dxa"/>
            <w:vAlign w:val="center"/>
          </w:tcPr>
          <w:p>
            <w:pPr>
              <w:adjustRightInd w:val="0"/>
              <w:snapToGrid w:val="0"/>
              <w:spacing w:before="78" w:beforeLines="25" w:after="78" w:afterLines="25"/>
              <w:jc w:val="center"/>
              <w:textAlignment w:val="center"/>
              <w:rPr>
                <w:rFonts w:ascii="Times New Roman" w:hAnsi="Times New Roman"/>
                <w:b/>
                <w:kern w:val="0"/>
                <w:szCs w:val="21"/>
              </w:rPr>
            </w:pPr>
            <w:r>
              <w:rPr>
                <w:rFonts w:ascii="Times New Roman" w:hAnsi="Times New Roman"/>
                <w:b/>
                <w:kern w:val="0"/>
                <w:szCs w:val="21"/>
              </w:rPr>
              <w:t>污染物项目</w:t>
            </w:r>
          </w:p>
        </w:tc>
        <w:tc>
          <w:tcPr>
            <w:tcW w:w="2268" w:type="dxa"/>
            <w:vAlign w:val="center"/>
          </w:tcPr>
          <w:p>
            <w:pPr>
              <w:adjustRightInd w:val="0"/>
              <w:snapToGrid w:val="0"/>
              <w:spacing w:before="78" w:beforeLines="25" w:after="78" w:afterLines="25"/>
              <w:jc w:val="center"/>
              <w:textAlignment w:val="center"/>
              <w:rPr>
                <w:rFonts w:ascii="Times New Roman" w:hAnsi="Times New Roman"/>
                <w:b/>
                <w:kern w:val="0"/>
                <w:szCs w:val="21"/>
              </w:rPr>
            </w:pPr>
            <w:r>
              <w:rPr>
                <w:rFonts w:ascii="Times New Roman" w:hAnsi="Times New Roman"/>
                <w:b/>
                <w:kern w:val="0"/>
                <w:szCs w:val="21"/>
              </w:rPr>
              <w:t>平均时间</w:t>
            </w:r>
          </w:p>
        </w:tc>
        <w:tc>
          <w:tcPr>
            <w:tcW w:w="2268" w:type="dxa"/>
            <w:vAlign w:val="center"/>
          </w:tcPr>
          <w:p>
            <w:pPr>
              <w:adjustRightInd w:val="0"/>
              <w:snapToGrid w:val="0"/>
              <w:spacing w:before="78" w:beforeLines="25" w:after="78" w:afterLines="25"/>
              <w:jc w:val="center"/>
              <w:textAlignment w:val="center"/>
              <w:rPr>
                <w:rFonts w:ascii="Times New Roman" w:hAnsi="Times New Roman"/>
                <w:b/>
                <w:kern w:val="0"/>
                <w:szCs w:val="21"/>
              </w:rPr>
            </w:pPr>
            <w:r>
              <w:rPr>
                <w:rFonts w:ascii="Times New Roman" w:hAnsi="Times New Roman"/>
                <w:b/>
                <w:kern w:val="0"/>
                <w:szCs w:val="21"/>
              </w:rPr>
              <w:t>浓度限值</w:t>
            </w:r>
          </w:p>
        </w:tc>
        <w:tc>
          <w:tcPr>
            <w:tcW w:w="2268" w:type="dxa"/>
          </w:tcPr>
          <w:p>
            <w:pPr>
              <w:adjustRightInd w:val="0"/>
              <w:snapToGrid w:val="0"/>
              <w:spacing w:before="78" w:beforeLines="25" w:after="78" w:afterLines="25"/>
              <w:jc w:val="center"/>
              <w:textAlignment w:val="center"/>
              <w:rPr>
                <w:rFonts w:ascii="Times New Roman" w:hAnsi="Times New Roman"/>
                <w:b/>
                <w:kern w:val="0"/>
                <w:szCs w:val="21"/>
              </w:rPr>
            </w:pPr>
            <w:r>
              <w:rPr>
                <w:rFonts w:ascii="Times New Roman" w:hAnsi="Times New Roman"/>
                <w:b/>
                <w:kern w:val="0"/>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年平均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24小时平均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60μg/m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150μg/m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500μg/m</w:t>
            </w:r>
            <w:r>
              <w:rPr>
                <w:rFonts w:ascii="Times New Roman" w:hAnsi="Times New Roman"/>
                <w:kern w:val="0"/>
                <w:szCs w:val="21"/>
                <w:vertAlign w:val="superscript"/>
              </w:rPr>
              <w:t>3</w:t>
            </w:r>
          </w:p>
        </w:tc>
        <w:tc>
          <w:tcPr>
            <w:tcW w:w="2268" w:type="dxa"/>
            <w:vMerge w:val="restart"/>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《环境空气质量标准》（GB3095-2012）及其修改单中的二级标准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2</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年平均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24小时平均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40μg/m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80μg/m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200μg/m</w:t>
            </w:r>
            <w:r>
              <w:rPr>
                <w:rFonts w:ascii="Times New Roman" w:hAnsi="Times New Roman"/>
                <w:kern w:val="0"/>
                <w:szCs w:val="21"/>
                <w:vertAlign w:val="superscript"/>
              </w:rPr>
              <w:t>3</w:t>
            </w:r>
          </w:p>
        </w:tc>
        <w:tc>
          <w:tcPr>
            <w:tcW w:w="2268" w:type="dxa"/>
            <w:vMerge w:val="continue"/>
          </w:tcPr>
          <w:p>
            <w:pPr>
              <w:adjustRightInd w:val="0"/>
              <w:snapToGrid w:val="0"/>
              <w:spacing w:before="78" w:beforeLines="25" w:after="78" w:afterLines="25"/>
              <w:jc w:val="center"/>
              <w:textAlignment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年平均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24小时平均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70μg/m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150μg/m</w:t>
            </w:r>
            <w:r>
              <w:rPr>
                <w:rFonts w:ascii="Times New Roman" w:hAnsi="Times New Roman"/>
                <w:kern w:val="0"/>
                <w:szCs w:val="21"/>
                <w:vertAlign w:val="superscript"/>
              </w:rPr>
              <w:t>3</w:t>
            </w:r>
          </w:p>
        </w:tc>
        <w:tc>
          <w:tcPr>
            <w:tcW w:w="2268" w:type="dxa"/>
            <w:vMerge w:val="continue"/>
          </w:tcPr>
          <w:p>
            <w:pPr>
              <w:adjustRightInd w:val="0"/>
              <w:snapToGrid w:val="0"/>
              <w:spacing w:before="78" w:beforeLines="25" w:after="78" w:afterLines="25"/>
              <w:jc w:val="center"/>
              <w:textAlignment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2.5</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年平均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24小时平均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35μg/m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75μg/m</w:t>
            </w:r>
            <w:r>
              <w:rPr>
                <w:rFonts w:ascii="Times New Roman" w:hAnsi="Times New Roman"/>
                <w:kern w:val="0"/>
                <w:szCs w:val="21"/>
                <w:vertAlign w:val="superscript"/>
              </w:rPr>
              <w:t>3</w:t>
            </w:r>
          </w:p>
        </w:tc>
        <w:tc>
          <w:tcPr>
            <w:tcW w:w="2268" w:type="dxa"/>
            <w:vMerge w:val="continue"/>
          </w:tcPr>
          <w:p>
            <w:pPr>
              <w:adjustRightInd w:val="0"/>
              <w:snapToGrid w:val="0"/>
              <w:spacing w:before="78" w:beforeLines="25" w:after="78" w:afterLines="25"/>
              <w:jc w:val="center"/>
              <w:textAlignment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一氧化碳（CO）</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24小时平均</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4mg/m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10mg/m</w:t>
            </w:r>
            <w:r>
              <w:rPr>
                <w:rFonts w:ascii="Times New Roman" w:hAnsi="Times New Roman"/>
                <w:kern w:val="0"/>
                <w:szCs w:val="21"/>
                <w:vertAlign w:val="superscript"/>
              </w:rPr>
              <w:t>3</w:t>
            </w:r>
          </w:p>
        </w:tc>
        <w:tc>
          <w:tcPr>
            <w:tcW w:w="2268" w:type="dxa"/>
            <w:vMerge w:val="continue"/>
          </w:tcPr>
          <w:p>
            <w:pPr>
              <w:adjustRightInd w:val="0"/>
              <w:snapToGrid w:val="0"/>
              <w:spacing w:before="78" w:beforeLines="25" w:after="78" w:afterLines="25"/>
              <w:jc w:val="center"/>
              <w:textAlignment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臭氧（O</w:t>
            </w:r>
            <w:r>
              <w:rPr>
                <w:rFonts w:ascii="Times New Roman" w:hAnsi="Times New Roman"/>
                <w:kern w:val="0"/>
                <w:szCs w:val="21"/>
                <w:vertAlign w:val="subscript"/>
              </w:rPr>
              <w:t>3</w:t>
            </w:r>
            <w:r>
              <w:rPr>
                <w:rFonts w:ascii="Times New Roman" w:hAnsi="Times New Roman"/>
                <w:kern w:val="0"/>
                <w:szCs w:val="21"/>
              </w:rPr>
              <w:t>）</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 xml:space="preserve">日最大8小时平均 </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160μg/m</w:t>
            </w:r>
            <w:r>
              <w:rPr>
                <w:rFonts w:ascii="Times New Roman" w:hAnsi="Times New Roman"/>
                <w:kern w:val="0"/>
                <w:szCs w:val="21"/>
                <w:vertAlign w:val="superscript"/>
              </w:rPr>
              <w:t>3</w:t>
            </w:r>
          </w:p>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200μg/m</w:t>
            </w:r>
            <w:r>
              <w:rPr>
                <w:rFonts w:ascii="Times New Roman" w:hAnsi="Times New Roman"/>
                <w:kern w:val="0"/>
                <w:szCs w:val="21"/>
                <w:vertAlign w:val="superscript"/>
              </w:rPr>
              <w:t>3</w:t>
            </w:r>
          </w:p>
        </w:tc>
        <w:tc>
          <w:tcPr>
            <w:tcW w:w="2268" w:type="dxa"/>
            <w:vMerge w:val="continue"/>
          </w:tcPr>
          <w:p>
            <w:pPr>
              <w:adjustRightInd w:val="0"/>
              <w:snapToGrid w:val="0"/>
              <w:spacing w:before="78" w:beforeLines="25" w:after="78" w:afterLines="25"/>
              <w:jc w:val="center"/>
              <w:textAlignment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硫化氢</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10μg/m</w:t>
            </w:r>
            <w:r>
              <w:rPr>
                <w:rFonts w:ascii="Times New Roman" w:hAnsi="Times New Roman"/>
                <w:kern w:val="0"/>
                <w:szCs w:val="21"/>
                <w:vertAlign w:val="superscript"/>
              </w:rPr>
              <w:t>3</w:t>
            </w:r>
          </w:p>
        </w:tc>
        <w:tc>
          <w:tcPr>
            <w:tcW w:w="2268" w:type="dxa"/>
            <w:vMerge w:val="restart"/>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氨</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1小时平均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200μg/m</w:t>
            </w:r>
            <w:r>
              <w:rPr>
                <w:rFonts w:ascii="Times New Roman" w:hAnsi="Times New Roman"/>
                <w:kern w:val="0"/>
                <w:szCs w:val="21"/>
                <w:vertAlign w:val="superscript"/>
              </w:rPr>
              <w:t>3</w:t>
            </w:r>
          </w:p>
        </w:tc>
        <w:tc>
          <w:tcPr>
            <w:tcW w:w="2268" w:type="dxa"/>
            <w:vMerge w:val="continue"/>
          </w:tcPr>
          <w:p>
            <w:pPr>
              <w:adjustRightInd w:val="0"/>
              <w:snapToGrid w:val="0"/>
              <w:spacing w:before="78" w:beforeLines="25" w:after="78" w:afterLines="25"/>
              <w:jc w:val="center"/>
              <w:textAlignment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二噁英</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年平均</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0.6pgTEQ/m3</w:t>
            </w:r>
          </w:p>
        </w:tc>
        <w:tc>
          <w:tcPr>
            <w:tcW w:w="2268" w:type="dxa"/>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日本年均值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986"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镍</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年均浓度</w:t>
            </w:r>
          </w:p>
        </w:tc>
        <w:tc>
          <w:tcPr>
            <w:tcW w:w="2268" w:type="dxa"/>
            <w:vAlign w:val="center"/>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0.02μg/m</w:t>
            </w:r>
            <w:r>
              <w:rPr>
                <w:rFonts w:ascii="Times New Roman" w:hAnsi="Times New Roman"/>
                <w:kern w:val="0"/>
                <w:szCs w:val="21"/>
                <w:vertAlign w:val="superscript"/>
              </w:rPr>
              <w:t>3</w:t>
            </w:r>
          </w:p>
        </w:tc>
        <w:tc>
          <w:tcPr>
            <w:tcW w:w="2268" w:type="dxa"/>
          </w:tcPr>
          <w:p>
            <w:pPr>
              <w:adjustRightInd w:val="0"/>
              <w:snapToGrid w:val="0"/>
              <w:spacing w:before="78" w:beforeLines="25" w:after="78" w:afterLines="25"/>
              <w:jc w:val="center"/>
              <w:textAlignment w:val="center"/>
              <w:rPr>
                <w:rFonts w:ascii="Times New Roman" w:hAnsi="Times New Roman"/>
                <w:kern w:val="0"/>
                <w:szCs w:val="21"/>
              </w:rPr>
            </w:pPr>
            <w:r>
              <w:rPr>
                <w:rFonts w:ascii="Times New Roman" w:hAnsi="Times New Roman"/>
                <w:kern w:val="0"/>
                <w:szCs w:val="21"/>
              </w:rPr>
              <w:t>欧盟年均值</w:t>
            </w:r>
          </w:p>
        </w:tc>
      </w:tr>
    </w:tbl>
    <w:p>
      <w:pPr>
        <w:pStyle w:val="8"/>
        <w:numPr>
          <w:ilvl w:val="3"/>
          <w:numId w:val="0"/>
        </w:numPr>
        <w:spacing w:line="480" w:lineRule="exact"/>
        <w:ind w:left="420" w:leftChars="200"/>
        <w:rPr>
          <w:bCs w:val="0"/>
          <w:szCs w:val="20"/>
        </w:rPr>
      </w:pPr>
      <w:r>
        <w:rPr>
          <w:bCs w:val="0"/>
          <w:szCs w:val="20"/>
        </w:rPr>
        <w:t>（2）地表水环境质量标准</w:t>
      </w:r>
    </w:p>
    <w:p>
      <w:pPr>
        <w:pStyle w:val="5"/>
        <w:spacing w:line="480" w:lineRule="exact"/>
        <w:ind w:firstLine="480"/>
        <w:rPr>
          <w:rFonts w:ascii="Times New Roman" w:hAnsi="Times New Roman" w:cs="Times New Roman"/>
        </w:rPr>
      </w:pPr>
      <w:r>
        <w:rPr>
          <w:rFonts w:ascii="Times New Roman" w:hAnsi="Times New Roman" w:cs="Times New Roman"/>
        </w:rPr>
        <w:t>受纳水体长江执行《地表水环境质量标准》（GB3838-2002）Ⅲ类标准。具体标准见表1.4.1-2。</w:t>
      </w:r>
    </w:p>
    <w:p>
      <w:pPr>
        <w:pStyle w:val="18"/>
        <w:tabs>
          <w:tab w:val="left" w:pos="2042"/>
          <w:tab w:val="center" w:pos="4518"/>
        </w:tabs>
      </w:pPr>
      <w:r>
        <w:t>表 1.4.1-2 地表水环境质量标准    单位：mg/L</w:t>
      </w:r>
    </w:p>
    <w:tbl>
      <w:tblPr>
        <w:tblStyle w:val="45"/>
        <w:tblW w:w="79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3"/>
        <w:gridCol w:w="1520"/>
        <w:gridCol w:w="2661"/>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rPr>
                <w:b/>
                <w:bCs/>
              </w:rPr>
            </w:pPr>
            <w:r>
              <w:rPr>
                <w:b/>
                <w:bCs/>
              </w:rPr>
              <w:t>项目</w:t>
            </w:r>
          </w:p>
        </w:tc>
        <w:tc>
          <w:tcPr>
            <w:tcW w:w="1520" w:type="dxa"/>
            <w:tcBorders>
              <w:tl2br w:val="nil"/>
              <w:tr2bl w:val="nil"/>
            </w:tcBorders>
            <w:vAlign w:val="center"/>
          </w:tcPr>
          <w:p>
            <w:pPr>
              <w:pStyle w:val="168"/>
              <w:rPr>
                <w:b/>
                <w:bCs/>
              </w:rPr>
            </w:pPr>
            <w:r>
              <w:rPr>
                <w:b/>
                <w:bCs/>
              </w:rPr>
              <w:t>Ⅲ类</w:t>
            </w:r>
          </w:p>
        </w:tc>
        <w:tc>
          <w:tcPr>
            <w:tcW w:w="2661" w:type="dxa"/>
            <w:tcBorders>
              <w:tl2br w:val="nil"/>
              <w:tr2bl w:val="nil"/>
            </w:tcBorders>
            <w:vAlign w:val="center"/>
          </w:tcPr>
          <w:p>
            <w:pPr>
              <w:pStyle w:val="168"/>
              <w:rPr>
                <w:b/>
                <w:bCs/>
              </w:rPr>
            </w:pPr>
            <w:r>
              <w:rPr>
                <w:b/>
                <w:bCs/>
              </w:rPr>
              <w:t>项目</w:t>
            </w:r>
          </w:p>
        </w:tc>
        <w:tc>
          <w:tcPr>
            <w:tcW w:w="1271" w:type="dxa"/>
            <w:tcBorders>
              <w:tl2br w:val="nil"/>
              <w:tr2bl w:val="nil"/>
            </w:tcBorders>
            <w:vAlign w:val="center"/>
          </w:tcPr>
          <w:p>
            <w:pPr>
              <w:pStyle w:val="168"/>
              <w:rPr>
                <w:b/>
                <w:bCs/>
              </w:rPr>
            </w:pPr>
            <w:r>
              <w:rPr>
                <w:b/>
                <w:bCs/>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pH（无量纲）</w:t>
            </w:r>
          </w:p>
        </w:tc>
        <w:tc>
          <w:tcPr>
            <w:tcW w:w="1520" w:type="dxa"/>
            <w:tcBorders>
              <w:tl2br w:val="nil"/>
              <w:tr2bl w:val="nil"/>
            </w:tcBorders>
            <w:vAlign w:val="center"/>
          </w:tcPr>
          <w:p>
            <w:pPr>
              <w:pStyle w:val="168"/>
            </w:pPr>
            <w:r>
              <w:t>6-9</w:t>
            </w:r>
          </w:p>
        </w:tc>
        <w:tc>
          <w:tcPr>
            <w:tcW w:w="2661" w:type="dxa"/>
            <w:tcBorders>
              <w:tl2br w:val="nil"/>
              <w:tr2bl w:val="nil"/>
            </w:tcBorders>
            <w:vAlign w:val="center"/>
          </w:tcPr>
          <w:p>
            <w:pPr>
              <w:pStyle w:val="168"/>
            </w:pPr>
            <w:r>
              <w:t>COD</w:t>
            </w:r>
          </w:p>
        </w:tc>
        <w:tc>
          <w:tcPr>
            <w:tcW w:w="1271" w:type="dxa"/>
            <w:tcBorders>
              <w:tl2br w:val="nil"/>
              <w:tr2bl w:val="nil"/>
            </w:tcBorders>
            <w:vAlign w:val="center"/>
          </w:tcPr>
          <w:p>
            <w:pPr>
              <w:pStyle w:val="168"/>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DO</w:t>
            </w:r>
          </w:p>
        </w:tc>
        <w:tc>
          <w:tcPr>
            <w:tcW w:w="1520" w:type="dxa"/>
            <w:tcBorders>
              <w:tl2br w:val="nil"/>
              <w:tr2bl w:val="nil"/>
            </w:tcBorders>
            <w:vAlign w:val="center"/>
          </w:tcPr>
          <w:p>
            <w:pPr>
              <w:pStyle w:val="168"/>
            </w:pPr>
            <w:r>
              <w:t>≥5</w:t>
            </w:r>
          </w:p>
        </w:tc>
        <w:tc>
          <w:tcPr>
            <w:tcW w:w="2661" w:type="dxa"/>
            <w:tcBorders>
              <w:tl2br w:val="nil"/>
              <w:tr2bl w:val="nil"/>
            </w:tcBorders>
            <w:vAlign w:val="center"/>
          </w:tcPr>
          <w:p>
            <w:pPr>
              <w:pStyle w:val="168"/>
            </w:pPr>
            <w:r>
              <w:t>NH3-N</w:t>
            </w:r>
          </w:p>
        </w:tc>
        <w:tc>
          <w:tcPr>
            <w:tcW w:w="1271" w:type="dxa"/>
            <w:tcBorders>
              <w:tl2br w:val="nil"/>
              <w:tr2bl w:val="nil"/>
            </w:tcBorders>
            <w:vAlign w:val="center"/>
          </w:tcPr>
          <w:p>
            <w:pPr>
              <w:pStyle w:val="168"/>
            </w:pPr>
            <w: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BOD</w:t>
            </w:r>
            <w:r>
              <w:rPr>
                <w:vertAlign w:val="subscript"/>
              </w:rPr>
              <w:t>5</w:t>
            </w:r>
          </w:p>
        </w:tc>
        <w:tc>
          <w:tcPr>
            <w:tcW w:w="1520" w:type="dxa"/>
            <w:tcBorders>
              <w:tl2br w:val="nil"/>
              <w:tr2bl w:val="nil"/>
            </w:tcBorders>
            <w:vAlign w:val="center"/>
          </w:tcPr>
          <w:p>
            <w:pPr>
              <w:pStyle w:val="168"/>
            </w:pPr>
            <w:r>
              <w:t>≤4</w:t>
            </w:r>
          </w:p>
        </w:tc>
        <w:tc>
          <w:tcPr>
            <w:tcW w:w="2661" w:type="dxa"/>
            <w:tcBorders>
              <w:tl2br w:val="nil"/>
              <w:tr2bl w:val="nil"/>
            </w:tcBorders>
            <w:vAlign w:val="center"/>
          </w:tcPr>
          <w:p>
            <w:pPr>
              <w:pStyle w:val="168"/>
            </w:pPr>
            <w:r>
              <w:t>TN（湖、库，以N计）</w:t>
            </w:r>
          </w:p>
        </w:tc>
        <w:tc>
          <w:tcPr>
            <w:tcW w:w="1271" w:type="dxa"/>
            <w:tcBorders>
              <w:tl2br w:val="nil"/>
              <w:tr2bl w:val="nil"/>
            </w:tcBorders>
            <w:vAlign w:val="center"/>
          </w:tcPr>
          <w:p>
            <w:pPr>
              <w:pStyle w:val="168"/>
            </w:pPr>
            <w: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TP</w:t>
            </w:r>
          </w:p>
        </w:tc>
        <w:tc>
          <w:tcPr>
            <w:tcW w:w="1520" w:type="dxa"/>
            <w:tcBorders>
              <w:tl2br w:val="nil"/>
              <w:tr2bl w:val="nil"/>
            </w:tcBorders>
            <w:vAlign w:val="center"/>
          </w:tcPr>
          <w:p>
            <w:pPr>
              <w:pStyle w:val="168"/>
            </w:pPr>
            <w:r>
              <w:t>≤0.2</w:t>
            </w:r>
          </w:p>
        </w:tc>
        <w:tc>
          <w:tcPr>
            <w:tcW w:w="2661" w:type="dxa"/>
            <w:tcBorders>
              <w:tl2br w:val="nil"/>
              <w:tr2bl w:val="nil"/>
            </w:tcBorders>
            <w:vAlign w:val="center"/>
          </w:tcPr>
          <w:p>
            <w:pPr>
              <w:pStyle w:val="168"/>
            </w:pPr>
            <w:r>
              <w:t>挥发酚</w:t>
            </w:r>
          </w:p>
        </w:tc>
        <w:tc>
          <w:tcPr>
            <w:tcW w:w="1271" w:type="dxa"/>
            <w:tcBorders>
              <w:tl2br w:val="nil"/>
              <w:tr2bl w:val="nil"/>
            </w:tcBorders>
            <w:vAlign w:val="center"/>
          </w:tcPr>
          <w:p>
            <w:pPr>
              <w:pStyle w:val="168"/>
            </w:pPr>
            <w: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粪大肠菌群(个/L)</w:t>
            </w:r>
          </w:p>
        </w:tc>
        <w:tc>
          <w:tcPr>
            <w:tcW w:w="1520" w:type="dxa"/>
            <w:tcBorders>
              <w:tl2br w:val="nil"/>
              <w:tr2bl w:val="nil"/>
            </w:tcBorders>
            <w:vAlign w:val="center"/>
          </w:tcPr>
          <w:p>
            <w:pPr>
              <w:pStyle w:val="168"/>
            </w:pPr>
            <w:r>
              <w:t>≤10000</w:t>
            </w:r>
          </w:p>
        </w:tc>
        <w:tc>
          <w:tcPr>
            <w:tcW w:w="2661" w:type="dxa"/>
            <w:tcBorders>
              <w:tl2br w:val="nil"/>
              <w:tr2bl w:val="nil"/>
            </w:tcBorders>
            <w:vAlign w:val="center"/>
          </w:tcPr>
          <w:p>
            <w:pPr>
              <w:pStyle w:val="168"/>
            </w:pPr>
            <w:r>
              <w:t>石油类</w:t>
            </w:r>
          </w:p>
        </w:tc>
        <w:tc>
          <w:tcPr>
            <w:tcW w:w="1271" w:type="dxa"/>
            <w:tcBorders>
              <w:tl2br w:val="nil"/>
              <w:tr2bl w:val="nil"/>
            </w:tcBorders>
            <w:vAlign w:val="center"/>
          </w:tcPr>
          <w:p>
            <w:pPr>
              <w:pStyle w:val="168"/>
            </w:pPr>
            <w: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2483" w:type="dxa"/>
            <w:tcBorders>
              <w:tl2br w:val="nil"/>
              <w:tr2bl w:val="nil"/>
            </w:tcBorders>
            <w:vAlign w:val="center"/>
          </w:tcPr>
          <w:p>
            <w:pPr>
              <w:pStyle w:val="168"/>
            </w:pPr>
            <w:r>
              <w:t>硫化物</w:t>
            </w:r>
          </w:p>
        </w:tc>
        <w:tc>
          <w:tcPr>
            <w:tcW w:w="1520" w:type="dxa"/>
            <w:tcBorders>
              <w:tl2br w:val="nil"/>
              <w:tr2bl w:val="nil"/>
            </w:tcBorders>
            <w:vAlign w:val="center"/>
          </w:tcPr>
          <w:p>
            <w:pPr>
              <w:pStyle w:val="168"/>
            </w:pPr>
            <w:r>
              <w:t>≤0.2</w:t>
            </w:r>
          </w:p>
        </w:tc>
        <w:tc>
          <w:tcPr>
            <w:tcW w:w="2661" w:type="dxa"/>
            <w:tcBorders>
              <w:tl2br w:val="nil"/>
              <w:tr2bl w:val="nil"/>
            </w:tcBorders>
            <w:vAlign w:val="center"/>
          </w:tcPr>
          <w:p>
            <w:pPr>
              <w:pStyle w:val="168"/>
            </w:pPr>
            <w:r>
              <w:t>氯化物</w:t>
            </w:r>
          </w:p>
        </w:tc>
        <w:tc>
          <w:tcPr>
            <w:tcW w:w="1271" w:type="dxa"/>
            <w:tcBorders>
              <w:tl2br w:val="nil"/>
              <w:tr2bl w:val="nil"/>
            </w:tcBorders>
            <w:vAlign w:val="center"/>
          </w:tcPr>
          <w:p>
            <w:pPr>
              <w:pStyle w:val="168"/>
            </w:pPr>
            <w: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硫酸盐</w:t>
            </w:r>
          </w:p>
        </w:tc>
        <w:tc>
          <w:tcPr>
            <w:tcW w:w="1520" w:type="dxa"/>
            <w:tcBorders>
              <w:tl2br w:val="nil"/>
              <w:tr2bl w:val="nil"/>
            </w:tcBorders>
            <w:vAlign w:val="center"/>
          </w:tcPr>
          <w:p>
            <w:pPr>
              <w:pStyle w:val="168"/>
            </w:pPr>
            <w:r>
              <w:t>250</w:t>
            </w:r>
          </w:p>
        </w:tc>
        <w:tc>
          <w:tcPr>
            <w:tcW w:w="2661" w:type="dxa"/>
            <w:tcBorders>
              <w:tl2br w:val="nil"/>
              <w:tr2bl w:val="nil"/>
            </w:tcBorders>
            <w:vAlign w:val="center"/>
          </w:tcPr>
          <w:p>
            <w:pPr>
              <w:pStyle w:val="168"/>
            </w:pPr>
            <w:r>
              <w:t>/</w:t>
            </w:r>
          </w:p>
        </w:tc>
        <w:tc>
          <w:tcPr>
            <w:tcW w:w="1271" w:type="dxa"/>
            <w:tcBorders>
              <w:tl2br w:val="nil"/>
              <w:tr2bl w:val="nil"/>
            </w:tcBorders>
            <w:vAlign w:val="center"/>
          </w:tcPr>
          <w:p>
            <w:pPr>
              <w:pStyle w:val="168"/>
            </w:pPr>
            <w:r>
              <w:t>/</w:t>
            </w:r>
          </w:p>
        </w:tc>
      </w:tr>
    </w:tbl>
    <w:p>
      <w:pPr>
        <w:pStyle w:val="8"/>
        <w:numPr>
          <w:ilvl w:val="3"/>
          <w:numId w:val="0"/>
        </w:numPr>
        <w:spacing w:line="480" w:lineRule="exact"/>
        <w:ind w:left="420" w:leftChars="200"/>
        <w:rPr>
          <w:bCs w:val="0"/>
          <w:szCs w:val="20"/>
        </w:rPr>
      </w:pPr>
      <w:r>
        <w:rPr>
          <w:bCs w:val="0"/>
          <w:szCs w:val="20"/>
        </w:rPr>
        <w:t>（3）地下水环境质量标准</w:t>
      </w:r>
    </w:p>
    <w:p>
      <w:pPr>
        <w:pStyle w:val="5"/>
        <w:spacing w:line="480" w:lineRule="exact"/>
        <w:ind w:firstLine="480"/>
        <w:rPr>
          <w:rFonts w:ascii="Times New Roman" w:hAnsi="Times New Roman" w:cs="Times New Roman"/>
        </w:rPr>
      </w:pPr>
      <w:r>
        <w:rPr>
          <w:rFonts w:ascii="Times New Roman" w:hAnsi="Times New Roman" w:cs="Times New Roman"/>
          <w:szCs w:val="24"/>
        </w:rPr>
        <w:t>地下水执行《地下水质量标准》（GB/T14848-2017）Ⅲ类标准，具体见表1.4.1-3。</w:t>
      </w:r>
    </w:p>
    <w:p>
      <w:pPr>
        <w:pStyle w:val="18"/>
        <w:tabs>
          <w:tab w:val="left" w:pos="2042"/>
          <w:tab w:val="center" w:pos="4518"/>
        </w:tabs>
      </w:pPr>
    </w:p>
    <w:p>
      <w:pPr>
        <w:pStyle w:val="18"/>
        <w:tabs>
          <w:tab w:val="left" w:pos="2042"/>
          <w:tab w:val="center" w:pos="4518"/>
        </w:tabs>
      </w:pPr>
      <w:r>
        <w:t>表 1.4.1-3  地下水质量标准   单位：mg/L</w:t>
      </w:r>
    </w:p>
    <w:tbl>
      <w:tblPr>
        <w:tblStyle w:val="45"/>
        <w:tblW w:w="8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1350"/>
        <w:gridCol w:w="1175"/>
        <w:gridCol w:w="949"/>
        <w:gridCol w:w="1158"/>
        <w:gridCol w:w="1418"/>
        <w:gridCol w:w="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b/>
                <w:u w:val="single"/>
              </w:rPr>
            </w:pPr>
            <w:r>
              <w:rPr>
                <w:b/>
                <w:u w:val="single"/>
              </w:rPr>
              <w:t>项目</w:t>
            </w:r>
          </w:p>
        </w:tc>
        <w:tc>
          <w:tcPr>
            <w:tcW w:w="1350"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pH</w:t>
            </w:r>
          </w:p>
        </w:tc>
        <w:tc>
          <w:tcPr>
            <w:tcW w:w="1175"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石油类</w:t>
            </w:r>
          </w:p>
        </w:tc>
        <w:tc>
          <w:tcPr>
            <w:tcW w:w="949"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耗氧量</w:t>
            </w:r>
          </w:p>
        </w:tc>
        <w:tc>
          <w:tcPr>
            <w:tcW w:w="115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氯化物</w:t>
            </w:r>
          </w:p>
        </w:tc>
        <w:tc>
          <w:tcPr>
            <w:tcW w:w="141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挥发性酚类</w:t>
            </w:r>
          </w:p>
        </w:tc>
        <w:tc>
          <w:tcPr>
            <w:tcW w:w="89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u w:val="single"/>
              </w:rPr>
            </w:pPr>
            <w:r>
              <w:rPr>
                <w:u w:val="single"/>
              </w:rPr>
              <w:t>Ⅲ 类标准值</w:t>
            </w:r>
          </w:p>
        </w:tc>
        <w:tc>
          <w:tcPr>
            <w:tcW w:w="1350" w:type="dxa"/>
            <w:vAlign w:val="center"/>
          </w:tcPr>
          <w:p>
            <w:pPr>
              <w:pStyle w:val="168"/>
              <w:rPr>
                <w:u w:val="single"/>
              </w:rPr>
            </w:pPr>
            <w:r>
              <w:rPr>
                <w:u w:val="single"/>
              </w:rPr>
              <w:t>6.5～8.5</w:t>
            </w:r>
          </w:p>
        </w:tc>
        <w:tc>
          <w:tcPr>
            <w:tcW w:w="1175" w:type="dxa"/>
            <w:vAlign w:val="center"/>
          </w:tcPr>
          <w:p>
            <w:pPr>
              <w:pStyle w:val="168"/>
              <w:rPr>
                <w:u w:val="single"/>
              </w:rPr>
            </w:pPr>
            <w:r>
              <w:rPr>
                <w:u w:val="single"/>
              </w:rPr>
              <w:t>/</w:t>
            </w:r>
          </w:p>
        </w:tc>
        <w:tc>
          <w:tcPr>
            <w:tcW w:w="949" w:type="dxa"/>
            <w:vAlign w:val="center"/>
          </w:tcPr>
          <w:p>
            <w:pPr>
              <w:pStyle w:val="168"/>
              <w:rPr>
                <w:u w:val="single"/>
              </w:rPr>
            </w:pPr>
            <w:r>
              <w:rPr>
                <w:u w:val="single"/>
              </w:rPr>
              <w:t>≤3</w:t>
            </w:r>
          </w:p>
        </w:tc>
        <w:tc>
          <w:tcPr>
            <w:tcW w:w="1158" w:type="dxa"/>
            <w:vAlign w:val="center"/>
          </w:tcPr>
          <w:p>
            <w:pPr>
              <w:pStyle w:val="168"/>
              <w:rPr>
                <w:u w:val="single"/>
              </w:rPr>
            </w:pPr>
            <w:r>
              <w:rPr>
                <w:u w:val="single"/>
              </w:rPr>
              <w:t>≤250</w:t>
            </w:r>
          </w:p>
        </w:tc>
        <w:tc>
          <w:tcPr>
            <w:tcW w:w="1418" w:type="dxa"/>
            <w:vAlign w:val="center"/>
          </w:tcPr>
          <w:p>
            <w:pPr>
              <w:pStyle w:val="168"/>
              <w:rPr>
                <w:u w:val="single"/>
              </w:rPr>
            </w:pPr>
            <w:r>
              <w:rPr>
                <w:u w:val="single"/>
              </w:rPr>
              <w:t>≤0.002</w:t>
            </w:r>
          </w:p>
        </w:tc>
        <w:tc>
          <w:tcPr>
            <w:tcW w:w="898" w:type="dxa"/>
            <w:vAlign w:val="center"/>
          </w:tcPr>
          <w:p>
            <w:pPr>
              <w:pStyle w:val="168"/>
              <w:rPr>
                <w:u w:val="single"/>
              </w:rPr>
            </w:pPr>
            <w:r>
              <w:rPr>
                <w:u w:val="singl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b/>
                <w:u w:val="single"/>
              </w:rPr>
            </w:pPr>
            <w:r>
              <w:rPr>
                <w:b/>
                <w:u w:val="single"/>
              </w:rPr>
              <w:t>项目</w:t>
            </w:r>
          </w:p>
        </w:tc>
        <w:tc>
          <w:tcPr>
            <w:tcW w:w="1350"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氰化物</w:t>
            </w:r>
          </w:p>
        </w:tc>
        <w:tc>
          <w:tcPr>
            <w:tcW w:w="1175"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总氮</w:t>
            </w:r>
          </w:p>
        </w:tc>
        <w:tc>
          <w:tcPr>
            <w:tcW w:w="949"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总磷</w:t>
            </w:r>
          </w:p>
        </w:tc>
        <w:tc>
          <w:tcPr>
            <w:tcW w:w="115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硫化物</w:t>
            </w:r>
          </w:p>
        </w:tc>
        <w:tc>
          <w:tcPr>
            <w:tcW w:w="141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BOD</w:t>
            </w:r>
            <w:r>
              <w:rPr>
                <w:rFonts w:ascii="Times New Roman" w:hAnsi="Times New Roman"/>
                <w:b/>
                <w:kern w:val="0"/>
                <w:szCs w:val="24"/>
                <w:u w:val="single"/>
                <w:vertAlign w:val="subscript"/>
              </w:rPr>
              <w:t>5</w:t>
            </w:r>
          </w:p>
        </w:tc>
        <w:tc>
          <w:tcPr>
            <w:tcW w:w="89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u w:val="single"/>
              </w:rPr>
            </w:pPr>
            <w:r>
              <w:rPr>
                <w:u w:val="single"/>
              </w:rPr>
              <w:t>Ⅲ 类标准值</w:t>
            </w:r>
          </w:p>
        </w:tc>
        <w:tc>
          <w:tcPr>
            <w:tcW w:w="1350" w:type="dxa"/>
            <w:vAlign w:val="center"/>
          </w:tcPr>
          <w:p>
            <w:pPr>
              <w:pStyle w:val="168"/>
              <w:rPr>
                <w:u w:val="single"/>
              </w:rPr>
            </w:pPr>
            <w:r>
              <w:rPr>
                <w:u w:val="single"/>
              </w:rPr>
              <w:t>≤0.05</w:t>
            </w:r>
          </w:p>
        </w:tc>
        <w:tc>
          <w:tcPr>
            <w:tcW w:w="1175" w:type="dxa"/>
            <w:vAlign w:val="center"/>
          </w:tcPr>
          <w:p>
            <w:pPr>
              <w:pStyle w:val="168"/>
              <w:rPr>
                <w:u w:val="single"/>
              </w:rPr>
            </w:pPr>
            <w:r>
              <w:rPr>
                <w:u w:val="single"/>
              </w:rPr>
              <w:t>/</w:t>
            </w:r>
          </w:p>
        </w:tc>
        <w:tc>
          <w:tcPr>
            <w:tcW w:w="949" w:type="dxa"/>
            <w:vAlign w:val="center"/>
          </w:tcPr>
          <w:p>
            <w:pPr>
              <w:pStyle w:val="168"/>
              <w:rPr>
                <w:u w:val="single"/>
              </w:rPr>
            </w:pPr>
            <w:r>
              <w:rPr>
                <w:u w:val="single"/>
              </w:rPr>
              <w:t>/</w:t>
            </w:r>
          </w:p>
        </w:tc>
        <w:tc>
          <w:tcPr>
            <w:tcW w:w="1158" w:type="dxa"/>
            <w:vAlign w:val="center"/>
          </w:tcPr>
          <w:p>
            <w:pPr>
              <w:pStyle w:val="168"/>
              <w:rPr>
                <w:u w:val="single"/>
              </w:rPr>
            </w:pPr>
            <w:r>
              <w:rPr>
                <w:u w:val="single"/>
              </w:rPr>
              <w:t>≤0.02</w:t>
            </w:r>
          </w:p>
        </w:tc>
        <w:tc>
          <w:tcPr>
            <w:tcW w:w="141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w:t>
            </w:r>
          </w:p>
        </w:tc>
        <w:tc>
          <w:tcPr>
            <w:tcW w:w="89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b/>
                <w:u w:val="single"/>
              </w:rPr>
            </w:pPr>
            <w:r>
              <w:rPr>
                <w:b/>
                <w:u w:val="single"/>
              </w:rPr>
              <w:t>项目</w:t>
            </w:r>
          </w:p>
        </w:tc>
        <w:tc>
          <w:tcPr>
            <w:tcW w:w="1350"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甲苯</w:t>
            </w:r>
          </w:p>
        </w:tc>
        <w:tc>
          <w:tcPr>
            <w:tcW w:w="1175"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二甲苯</w:t>
            </w:r>
          </w:p>
        </w:tc>
        <w:tc>
          <w:tcPr>
            <w:tcW w:w="949"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乙苯</w:t>
            </w:r>
          </w:p>
        </w:tc>
        <w:tc>
          <w:tcPr>
            <w:tcW w:w="115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总镍</w:t>
            </w:r>
          </w:p>
        </w:tc>
        <w:tc>
          <w:tcPr>
            <w:tcW w:w="141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总汞</w:t>
            </w:r>
          </w:p>
        </w:tc>
        <w:tc>
          <w:tcPr>
            <w:tcW w:w="89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总铅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u w:val="single"/>
              </w:rPr>
            </w:pPr>
            <w:r>
              <w:rPr>
                <w:u w:val="single"/>
              </w:rPr>
              <w:t>Ⅲ 类标准值</w:t>
            </w:r>
          </w:p>
        </w:tc>
        <w:tc>
          <w:tcPr>
            <w:tcW w:w="1350" w:type="dxa"/>
            <w:vAlign w:val="center"/>
          </w:tcPr>
          <w:p>
            <w:pPr>
              <w:pStyle w:val="168"/>
              <w:rPr>
                <w:u w:val="single"/>
              </w:rPr>
            </w:pPr>
            <w:r>
              <w:rPr>
                <w:u w:val="single"/>
              </w:rPr>
              <w:t>≤0.7</w:t>
            </w:r>
          </w:p>
        </w:tc>
        <w:tc>
          <w:tcPr>
            <w:tcW w:w="1175" w:type="dxa"/>
            <w:vAlign w:val="center"/>
          </w:tcPr>
          <w:p>
            <w:pPr>
              <w:pStyle w:val="168"/>
              <w:rPr>
                <w:u w:val="single"/>
              </w:rPr>
            </w:pPr>
            <w:r>
              <w:rPr>
                <w:u w:val="single"/>
              </w:rPr>
              <w:t>≤0.5</w:t>
            </w:r>
          </w:p>
        </w:tc>
        <w:tc>
          <w:tcPr>
            <w:tcW w:w="949" w:type="dxa"/>
            <w:vAlign w:val="center"/>
          </w:tcPr>
          <w:p>
            <w:pPr>
              <w:pStyle w:val="168"/>
              <w:rPr>
                <w:u w:val="single"/>
              </w:rPr>
            </w:pPr>
            <w:r>
              <w:rPr>
                <w:u w:val="single"/>
              </w:rPr>
              <w:t>≤0.3</w:t>
            </w:r>
          </w:p>
        </w:tc>
        <w:tc>
          <w:tcPr>
            <w:tcW w:w="1158" w:type="dxa"/>
            <w:vAlign w:val="center"/>
          </w:tcPr>
          <w:p>
            <w:pPr>
              <w:pStyle w:val="168"/>
              <w:rPr>
                <w:u w:val="single"/>
              </w:rPr>
            </w:pPr>
            <w:r>
              <w:rPr>
                <w:u w:val="single"/>
              </w:rPr>
              <w:t>≤0.02</w:t>
            </w:r>
          </w:p>
        </w:tc>
        <w:tc>
          <w:tcPr>
            <w:tcW w:w="1418" w:type="dxa"/>
            <w:vAlign w:val="center"/>
          </w:tcPr>
          <w:p>
            <w:pPr>
              <w:pStyle w:val="168"/>
              <w:rPr>
                <w:u w:val="single"/>
              </w:rPr>
            </w:pPr>
            <w:r>
              <w:rPr>
                <w:u w:val="single"/>
              </w:rPr>
              <w:t>≤0.001</w:t>
            </w:r>
          </w:p>
        </w:tc>
        <w:tc>
          <w:tcPr>
            <w:tcW w:w="898" w:type="dxa"/>
            <w:vAlign w:val="center"/>
          </w:tcPr>
          <w:p>
            <w:pPr>
              <w:pStyle w:val="168"/>
              <w:rPr>
                <w:u w:val="single"/>
              </w:rPr>
            </w:pPr>
            <w:r>
              <w:rPr>
                <w:u w:val="single"/>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u w:val="single"/>
              </w:rPr>
            </w:pPr>
            <w:r>
              <w:rPr>
                <w:b/>
                <w:u w:val="single"/>
              </w:rPr>
              <w:t>项目</w:t>
            </w:r>
          </w:p>
        </w:tc>
        <w:tc>
          <w:tcPr>
            <w:tcW w:w="1350"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TOC</w:t>
            </w:r>
          </w:p>
        </w:tc>
        <w:tc>
          <w:tcPr>
            <w:tcW w:w="1175"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苯并芘</w:t>
            </w:r>
          </w:p>
        </w:tc>
        <w:tc>
          <w:tcPr>
            <w:tcW w:w="949"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烷基汞</w:t>
            </w:r>
          </w:p>
        </w:tc>
        <w:tc>
          <w:tcPr>
            <w:tcW w:w="115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氟化物</w:t>
            </w:r>
          </w:p>
        </w:tc>
        <w:tc>
          <w:tcPr>
            <w:tcW w:w="141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总砷</w:t>
            </w:r>
          </w:p>
        </w:tc>
        <w:tc>
          <w:tcPr>
            <w:tcW w:w="898"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硫酸盐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u w:val="single"/>
              </w:rPr>
            </w:pPr>
            <w:r>
              <w:rPr>
                <w:u w:val="single"/>
              </w:rPr>
              <w:t>Ⅲ 类标准值</w:t>
            </w:r>
          </w:p>
        </w:tc>
        <w:tc>
          <w:tcPr>
            <w:tcW w:w="1350" w:type="dxa"/>
            <w:vAlign w:val="center"/>
          </w:tcPr>
          <w:p>
            <w:pPr>
              <w:spacing w:line="360" w:lineRule="exact"/>
              <w:jc w:val="center"/>
              <w:rPr>
                <w:rFonts w:ascii="Times New Roman" w:hAnsi="Times New Roman"/>
                <w:b/>
                <w:kern w:val="0"/>
                <w:szCs w:val="24"/>
                <w:u w:val="single"/>
              </w:rPr>
            </w:pPr>
            <w:r>
              <w:rPr>
                <w:rFonts w:ascii="Times New Roman" w:hAnsi="Times New Roman"/>
                <w:b/>
                <w:kern w:val="0"/>
                <w:szCs w:val="24"/>
                <w:u w:val="single"/>
              </w:rPr>
              <w:t>/</w:t>
            </w:r>
          </w:p>
        </w:tc>
        <w:tc>
          <w:tcPr>
            <w:tcW w:w="1175" w:type="dxa"/>
            <w:vAlign w:val="center"/>
          </w:tcPr>
          <w:p>
            <w:pPr>
              <w:spacing w:line="360" w:lineRule="exact"/>
              <w:jc w:val="center"/>
              <w:rPr>
                <w:rFonts w:ascii="Times New Roman" w:hAnsi="Times New Roman"/>
                <w:kern w:val="0"/>
                <w:szCs w:val="24"/>
                <w:u w:val="single"/>
              </w:rPr>
            </w:pPr>
            <w:r>
              <w:rPr>
                <w:rFonts w:ascii="Times New Roman" w:hAnsi="Times New Roman"/>
                <w:kern w:val="0"/>
                <w:szCs w:val="24"/>
                <w:u w:val="single"/>
              </w:rPr>
              <w:t>≤0.00001</w:t>
            </w:r>
          </w:p>
        </w:tc>
        <w:tc>
          <w:tcPr>
            <w:tcW w:w="949" w:type="dxa"/>
            <w:vAlign w:val="center"/>
          </w:tcPr>
          <w:p>
            <w:pPr>
              <w:spacing w:line="360" w:lineRule="exact"/>
              <w:jc w:val="center"/>
              <w:rPr>
                <w:rFonts w:ascii="Times New Roman" w:hAnsi="Times New Roman"/>
                <w:kern w:val="0"/>
                <w:szCs w:val="24"/>
                <w:u w:val="single"/>
              </w:rPr>
            </w:pPr>
            <w:r>
              <w:rPr>
                <w:rFonts w:ascii="Times New Roman" w:hAnsi="Times New Roman"/>
                <w:kern w:val="0"/>
                <w:szCs w:val="24"/>
                <w:u w:val="single"/>
              </w:rPr>
              <w:t>/</w:t>
            </w:r>
          </w:p>
        </w:tc>
        <w:tc>
          <w:tcPr>
            <w:tcW w:w="1158" w:type="dxa"/>
            <w:vAlign w:val="center"/>
          </w:tcPr>
          <w:p>
            <w:pPr>
              <w:pStyle w:val="168"/>
              <w:rPr>
                <w:u w:val="single"/>
              </w:rPr>
            </w:pPr>
            <w:r>
              <w:rPr>
                <w:u w:val="single"/>
              </w:rPr>
              <w:t>≤1.0</w:t>
            </w:r>
          </w:p>
        </w:tc>
        <w:tc>
          <w:tcPr>
            <w:tcW w:w="1418" w:type="dxa"/>
            <w:vAlign w:val="center"/>
          </w:tcPr>
          <w:p>
            <w:pPr>
              <w:pStyle w:val="168"/>
              <w:rPr>
                <w:u w:val="single"/>
              </w:rPr>
            </w:pPr>
            <w:r>
              <w:rPr>
                <w:u w:val="single"/>
              </w:rPr>
              <w:t>≤0.01</w:t>
            </w:r>
          </w:p>
        </w:tc>
        <w:tc>
          <w:tcPr>
            <w:tcW w:w="898" w:type="dxa"/>
            <w:vAlign w:val="center"/>
          </w:tcPr>
          <w:p>
            <w:pPr>
              <w:pStyle w:val="168"/>
              <w:rPr>
                <w:u w:val="single"/>
              </w:rPr>
            </w:pPr>
            <w:r>
              <w:rPr>
                <w:u w:val="single"/>
              </w:rPr>
              <w:t>≤250</w:t>
            </w:r>
          </w:p>
        </w:tc>
      </w:tr>
    </w:tbl>
    <w:p>
      <w:pPr>
        <w:pStyle w:val="8"/>
        <w:numPr>
          <w:ilvl w:val="3"/>
          <w:numId w:val="0"/>
        </w:numPr>
        <w:spacing w:line="480" w:lineRule="exact"/>
        <w:ind w:left="420" w:leftChars="200"/>
        <w:rPr>
          <w:bCs w:val="0"/>
          <w:szCs w:val="20"/>
        </w:rPr>
      </w:pPr>
      <w:r>
        <w:rPr>
          <w:bCs w:val="0"/>
          <w:szCs w:val="20"/>
        </w:rPr>
        <w:t>（4）声环境质量标准</w:t>
      </w:r>
    </w:p>
    <w:p>
      <w:pPr>
        <w:pStyle w:val="5"/>
        <w:spacing w:line="480" w:lineRule="exact"/>
        <w:ind w:firstLine="480"/>
        <w:rPr>
          <w:rFonts w:ascii="Times New Roman" w:hAnsi="Times New Roman" w:cs="Times New Roman"/>
        </w:rPr>
      </w:pPr>
      <w:r>
        <w:rPr>
          <w:rFonts w:ascii="Times New Roman" w:hAnsi="Times New Roman" w:cs="Times New Roman"/>
        </w:rPr>
        <w:t>区域声环境执行《声环境质量标准》（GB3096-2008）中的3类标准。具体标准值见表1.4.1-4。</w:t>
      </w:r>
    </w:p>
    <w:p>
      <w:pPr>
        <w:pStyle w:val="18"/>
        <w:tabs>
          <w:tab w:val="left" w:pos="2042"/>
          <w:tab w:val="center" w:pos="4518"/>
        </w:tabs>
      </w:pPr>
      <w:r>
        <w:t>表1.4.1-4  声环境质量标准   单位：dB（A）</w:t>
      </w:r>
    </w:p>
    <w:tbl>
      <w:tblPr>
        <w:tblStyle w:val="45"/>
        <w:tblW w:w="79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07"/>
        <w:gridCol w:w="2841"/>
        <w:gridCol w:w="2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07" w:type="dxa"/>
            <w:vAlign w:val="center"/>
          </w:tcPr>
          <w:p>
            <w:pPr>
              <w:spacing w:line="360" w:lineRule="exact"/>
              <w:jc w:val="center"/>
              <w:rPr>
                <w:rFonts w:ascii="Times New Roman" w:hAnsi="Times New Roman"/>
                <w:b/>
                <w:szCs w:val="21"/>
              </w:rPr>
            </w:pPr>
            <w:r>
              <w:rPr>
                <w:rFonts w:ascii="Times New Roman" w:hAnsi="Times New Roman"/>
                <w:b/>
                <w:szCs w:val="21"/>
              </w:rPr>
              <w:t>类别</w:t>
            </w:r>
          </w:p>
        </w:tc>
        <w:tc>
          <w:tcPr>
            <w:tcW w:w="2841" w:type="dxa"/>
            <w:vAlign w:val="center"/>
          </w:tcPr>
          <w:p>
            <w:pPr>
              <w:spacing w:line="360" w:lineRule="exact"/>
              <w:jc w:val="center"/>
              <w:rPr>
                <w:rFonts w:ascii="Times New Roman" w:hAnsi="Times New Roman"/>
                <w:b/>
                <w:szCs w:val="21"/>
              </w:rPr>
            </w:pPr>
            <w:r>
              <w:rPr>
                <w:rFonts w:ascii="Times New Roman" w:hAnsi="Times New Roman"/>
                <w:b/>
                <w:szCs w:val="21"/>
              </w:rPr>
              <w:t>昼间</w:t>
            </w:r>
          </w:p>
        </w:tc>
        <w:tc>
          <w:tcPr>
            <w:tcW w:w="2840" w:type="dxa"/>
            <w:vAlign w:val="center"/>
          </w:tcPr>
          <w:p>
            <w:pPr>
              <w:spacing w:line="360" w:lineRule="exact"/>
              <w:jc w:val="center"/>
              <w:rPr>
                <w:rFonts w:ascii="Times New Roman" w:hAnsi="Times New Roman"/>
                <w:b/>
                <w:szCs w:val="21"/>
              </w:rPr>
            </w:pPr>
            <w:r>
              <w:rPr>
                <w:rFonts w:ascii="Times New Roman" w:hAnsi="Times New Roman"/>
                <w:b/>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07" w:type="dxa"/>
            <w:vAlign w:val="center"/>
          </w:tcPr>
          <w:p>
            <w:pPr>
              <w:spacing w:line="360" w:lineRule="exact"/>
              <w:jc w:val="center"/>
              <w:rPr>
                <w:rFonts w:ascii="Times New Roman" w:hAnsi="Times New Roman"/>
                <w:szCs w:val="21"/>
              </w:rPr>
            </w:pPr>
            <w:r>
              <w:rPr>
                <w:rFonts w:ascii="Times New Roman" w:hAnsi="Times New Roman"/>
                <w:szCs w:val="21"/>
              </w:rPr>
              <w:t>3类</w:t>
            </w:r>
          </w:p>
        </w:tc>
        <w:tc>
          <w:tcPr>
            <w:tcW w:w="2841" w:type="dxa"/>
            <w:vAlign w:val="center"/>
          </w:tcPr>
          <w:p>
            <w:pPr>
              <w:spacing w:line="360" w:lineRule="exact"/>
              <w:jc w:val="center"/>
              <w:rPr>
                <w:rFonts w:ascii="Times New Roman" w:hAnsi="Times New Roman"/>
                <w:szCs w:val="21"/>
              </w:rPr>
            </w:pPr>
            <w:r>
              <w:rPr>
                <w:rFonts w:ascii="Times New Roman" w:hAnsi="Times New Roman"/>
                <w:szCs w:val="21"/>
              </w:rPr>
              <w:t>65</w:t>
            </w:r>
          </w:p>
        </w:tc>
        <w:tc>
          <w:tcPr>
            <w:tcW w:w="2840" w:type="dxa"/>
            <w:vAlign w:val="center"/>
          </w:tcPr>
          <w:p>
            <w:pPr>
              <w:spacing w:line="360" w:lineRule="exact"/>
              <w:jc w:val="center"/>
              <w:rPr>
                <w:rFonts w:ascii="Times New Roman" w:hAnsi="Times New Roman"/>
                <w:szCs w:val="21"/>
              </w:rPr>
            </w:pPr>
            <w:r>
              <w:rPr>
                <w:rFonts w:ascii="Times New Roman" w:hAnsi="Times New Roman"/>
                <w:szCs w:val="21"/>
              </w:rPr>
              <w:t>55</w:t>
            </w:r>
          </w:p>
        </w:tc>
      </w:tr>
    </w:tbl>
    <w:p>
      <w:pPr>
        <w:pStyle w:val="8"/>
        <w:numPr>
          <w:ilvl w:val="3"/>
          <w:numId w:val="0"/>
        </w:numPr>
        <w:spacing w:line="480" w:lineRule="exact"/>
        <w:ind w:left="420" w:leftChars="200"/>
        <w:rPr>
          <w:bCs w:val="0"/>
          <w:szCs w:val="20"/>
        </w:rPr>
      </w:pPr>
      <w:r>
        <w:rPr>
          <w:bCs w:val="0"/>
          <w:szCs w:val="20"/>
        </w:rPr>
        <w:t>（5）土壤环境质量标准</w:t>
      </w:r>
    </w:p>
    <w:p>
      <w:pPr>
        <w:pStyle w:val="8"/>
        <w:numPr>
          <w:ilvl w:val="3"/>
          <w:numId w:val="0"/>
        </w:numPr>
        <w:spacing w:line="480" w:lineRule="exact"/>
        <w:ind w:firstLine="480" w:firstLineChars="200"/>
        <w:rPr>
          <w:bCs w:val="0"/>
          <w:szCs w:val="20"/>
        </w:rPr>
      </w:pPr>
      <w:r>
        <w:rPr>
          <w:bCs w:val="0"/>
          <w:szCs w:val="20"/>
        </w:rPr>
        <w:t>本项目所在区域执行《土壤环境质量建设用地土壤污染风险管控标准（试行）》（GB36600-2018）</w:t>
      </w:r>
      <w:r>
        <w:rPr>
          <w:rFonts w:hint="eastAsia"/>
          <w:bCs w:val="0"/>
          <w:szCs w:val="20"/>
        </w:rPr>
        <w:t>中第二类用地筛选值</w:t>
      </w:r>
      <w:r>
        <w:rPr>
          <w:bCs w:val="0"/>
          <w:szCs w:val="20"/>
        </w:rPr>
        <w:t>。具体划分与标准见表 1.4.1-5。</w:t>
      </w:r>
    </w:p>
    <w:p>
      <w:pPr>
        <w:pStyle w:val="18"/>
        <w:tabs>
          <w:tab w:val="left" w:pos="2042"/>
          <w:tab w:val="center" w:pos="4518"/>
        </w:tabs>
      </w:pPr>
    </w:p>
    <w:p>
      <w:pPr>
        <w:pStyle w:val="18"/>
        <w:tabs>
          <w:tab w:val="left" w:pos="2042"/>
          <w:tab w:val="center" w:pos="4518"/>
        </w:tabs>
      </w:pPr>
    </w:p>
    <w:p>
      <w:pPr>
        <w:pStyle w:val="18"/>
        <w:tabs>
          <w:tab w:val="left" w:pos="2042"/>
          <w:tab w:val="center" w:pos="4518"/>
        </w:tabs>
      </w:pPr>
      <w:r>
        <w:t>表1.4.1-5  建设用地土壤污染风险筛选值和管制值   单位：mg/kg</w:t>
      </w:r>
    </w:p>
    <w:p>
      <w:pPr>
        <w:jc w:val="center"/>
        <w:rPr>
          <w:rFonts w:ascii="Times New Roman" w:hAnsi="Times New Roman"/>
        </w:rPr>
      </w:pPr>
    </w:p>
    <w:tbl>
      <w:tblPr>
        <w:tblStyle w:val="46"/>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223"/>
        <w:gridCol w:w="1371"/>
        <w:gridCol w:w="1311"/>
        <w:gridCol w:w="1322"/>
        <w:gridCol w:w="1312"/>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restart"/>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序号</w:t>
            </w:r>
          </w:p>
        </w:tc>
        <w:tc>
          <w:tcPr>
            <w:tcW w:w="2331" w:type="dxa"/>
            <w:vMerge w:val="restart"/>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污染物项目</w:t>
            </w:r>
          </w:p>
        </w:tc>
        <w:tc>
          <w:tcPr>
            <w:tcW w:w="1392" w:type="dxa"/>
            <w:vMerge w:val="restart"/>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CAS编号</w:t>
            </w:r>
          </w:p>
        </w:tc>
        <w:tc>
          <w:tcPr>
            <w:tcW w:w="2784" w:type="dxa"/>
            <w:gridSpan w:val="2"/>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筛选值</w:t>
            </w:r>
          </w:p>
        </w:tc>
        <w:tc>
          <w:tcPr>
            <w:tcW w:w="2786" w:type="dxa"/>
            <w:gridSpan w:val="2"/>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tcPr>
          <w:p>
            <w:pPr>
              <w:tabs>
                <w:tab w:val="left" w:pos="2042"/>
                <w:tab w:val="center" w:pos="4518"/>
              </w:tabs>
              <w:adjustRightInd w:val="0"/>
              <w:snapToGrid w:val="0"/>
              <w:jc w:val="center"/>
              <w:rPr>
                <w:rFonts w:ascii="Times New Roman" w:hAnsi="Times New Roman"/>
                <w:b/>
                <w:sz w:val="24"/>
                <w:szCs w:val="20"/>
              </w:rPr>
            </w:pPr>
          </w:p>
        </w:tc>
        <w:tc>
          <w:tcPr>
            <w:tcW w:w="2331" w:type="dxa"/>
            <w:vMerge w:val="continue"/>
          </w:tcPr>
          <w:p>
            <w:pPr>
              <w:tabs>
                <w:tab w:val="left" w:pos="2042"/>
                <w:tab w:val="center" w:pos="4518"/>
              </w:tabs>
              <w:adjustRightInd w:val="0"/>
              <w:snapToGrid w:val="0"/>
              <w:jc w:val="center"/>
              <w:rPr>
                <w:rFonts w:ascii="Times New Roman" w:hAnsi="Times New Roman"/>
                <w:b/>
                <w:sz w:val="24"/>
                <w:szCs w:val="20"/>
              </w:rPr>
            </w:pPr>
          </w:p>
        </w:tc>
        <w:tc>
          <w:tcPr>
            <w:tcW w:w="1392" w:type="dxa"/>
            <w:vMerge w:val="continue"/>
          </w:tcPr>
          <w:p>
            <w:pPr>
              <w:tabs>
                <w:tab w:val="left" w:pos="2042"/>
                <w:tab w:val="center" w:pos="4518"/>
              </w:tabs>
              <w:adjustRightInd w:val="0"/>
              <w:snapToGrid w:val="0"/>
              <w:jc w:val="center"/>
              <w:rPr>
                <w:rFonts w:ascii="Times New Roman" w:hAnsi="Times New Roman"/>
                <w:b/>
                <w:szCs w:val="21"/>
              </w:rPr>
            </w:pPr>
          </w:p>
        </w:tc>
        <w:tc>
          <w:tcPr>
            <w:tcW w:w="1392"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第一类用地</w:t>
            </w:r>
          </w:p>
        </w:tc>
        <w:tc>
          <w:tcPr>
            <w:tcW w:w="1392"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第二类用地</w:t>
            </w:r>
          </w:p>
        </w:tc>
        <w:tc>
          <w:tcPr>
            <w:tcW w:w="1393"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第一类用地</w:t>
            </w:r>
          </w:p>
        </w:tc>
        <w:tc>
          <w:tcPr>
            <w:tcW w:w="1393"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8" w:type="dxa"/>
            <w:gridSpan w:val="7"/>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7440-38-2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镉</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7440-43-9</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47</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铬（六价）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18540-29-9</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5.7</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铜</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7440-50-8</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18000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8000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5</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铅</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7439-92-1</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400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6</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汞</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7439-97-6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38</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33</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7</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镍</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7440-02-0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8" w:type="dxa"/>
            <w:gridSpan w:val="7"/>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8</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四氯化碳</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56-23-5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0.9</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2.8</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9</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氯仿</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67-66-3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0.9</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10</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氯甲烷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74-87-3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37</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21</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11</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1，1-二氯乙烷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75-34-3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12</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1，2-二氯乙烷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107-06-2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0.52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13</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1，1-二氯乙烯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75-35-4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14</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顺-1,2-二氯乙烯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156-59-2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596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15</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反-1,2-二氯乙烯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156-60-5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54</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31</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16</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二氯甲烷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75-09-2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616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17</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1，2-二氯丙烷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78-87-5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18</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1,1,1,2-四氯乙烷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630-20-6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19</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1,1,2,2-四氯乙烷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79-34-5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6.8</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14</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20</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四氯乙烯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127-18-4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53</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34</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21</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1,1,1-三氯乙烷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71-55-6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701</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840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840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22</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1,1,2-三氯乙烷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79-00-5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2.8</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23</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三氯乙烯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79-01-6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0.7</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2.8</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24</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1,2,3-三氯丙烷</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96-18-4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0.05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25</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75-01-4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0.12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0.43</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26</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71-43-2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27</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氯苯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108-90-7</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68</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270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28</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1,2-二氯苯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95-50-1</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29</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1,4-二氯苯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106-46-7</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30</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乙苯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100-41-4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28</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72</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31</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苯乙烯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100-42-5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1290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1290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1290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32</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甲苯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108-88-3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1200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33</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间-二甲苯+对-二甲苯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108-38-3,</w:t>
            </w:r>
          </w:p>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106-42-3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163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570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34</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邻-二甲苯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95-47-6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222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640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640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8" w:type="dxa"/>
            <w:gridSpan w:val="7"/>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35</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硝基苯</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98-95-3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34</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190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36</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苯胺</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62-53-3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260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211</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37</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2-氯酚</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95-57-8</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250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2256</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38</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苯并（a）蒽</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56-55-3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39</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苯并（a）芘</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50-32-8</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0.55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40</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苯并（b）荧蒽</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205-99-2</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41</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苯并（k）荧蒽</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207-08-9</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151</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42</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䓛</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218-01-9</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490</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1293</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4900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43</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二苯并（a,h）蒽</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53-70-3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0.55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44</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茚并（1,2,3-cd）芘</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193-39-5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45</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萘</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91-20-3</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25</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255</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8" w:type="dxa"/>
            <w:gridSpan w:val="7"/>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石油烃类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tabs>
                <w:tab w:val="left" w:pos="2042"/>
                <w:tab w:val="center" w:pos="4518"/>
              </w:tabs>
              <w:adjustRightInd w:val="0"/>
              <w:snapToGrid w:val="0"/>
              <w:jc w:val="center"/>
              <w:rPr>
                <w:rFonts w:ascii="Times New Roman" w:hAnsi="Times New Roman"/>
                <w:b/>
                <w:szCs w:val="21"/>
              </w:rPr>
            </w:pPr>
            <w:r>
              <w:rPr>
                <w:rFonts w:ascii="Times New Roman" w:hAnsi="Times New Roman"/>
                <w:b/>
                <w:szCs w:val="21"/>
              </w:rPr>
              <w:t>40</w:t>
            </w:r>
          </w:p>
        </w:tc>
        <w:tc>
          <w:tcPr>
            <w:tcW w:w="2331"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石油烃（C</w:t>
            </w:r>
            <w:r>
              <w:rPr>
                <w:rFonts w:ascii="Times New Roman" w:hAnsi="Times New Roman"/>
                <w:bCs/>
                <w:szCs w:val="21"/>
                <w:vertAlign w:val="subscript"/>
              </w:rPr>
              <w:t>10</w:t>
            </w:r>
            <w:r>
              <w:rPr>
                <w:rFonts w:ascii="Times New Roman" w:hAnsi="Times New Roman"/>
                <w:bCs/>
                <w:szCs w:val="21"/>
              </w:rPr>
              <w:t>~C</w:t>
            </w:r>
            <w:r>
              <w:rPr>
                <w:rFonts w:ascii="Times New Roman" w:hAnsi="Times New Roman"/>
                <w:bCs/>
                <w:szCs w:val="21"/>
                <w:vertAlign w:val="subscript"/>
              </w:rPr>
              <w:t>40</w:t>
            </w:r>
            <w:r>
              <w:rPr>
                <w:rFonts w:ascii="Times New Roman" w:hAnsi="Times New Roman"/>
                <w:bCs/>
                <w:szCs w:val="21"/>
              </w:rPr>
              <w:t>）</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826</w:t>
            </w:r>
          </w:p>
        </w:tc>
        <w:tc>
          <w:tcPr>
            <w:tcW w:w="1392"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4500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5000</w:t>
            </w:r>
          </w:p>
        </w:tc>
        <w:tc>
          <w:tcPr>
            <w:tcW w:w="1393" w:type="dxa"/>
          </w:tcPr>
          <w:p>
            <w:pPr>
              <w:tabs>
                <w:tab w:val="left" w:pos="2042"/>
                <w:tab w:val="center" w:pos="4518"/>
              </w:tabs>
              <w:adjustRightInd w:val="0"/>
              <w:snapToGrid w:val="0"/>
              <w:jc w:val="center"/>
              <w:rPr>
                <w:rFonts w:ascii="Times New Roman" w:hAnsi="Times New Roman"/>
                <w:bCs/>
                <w:szCs w:val="21"/>
              </w:rPr>
            </w:pPr>
            <w:r>
              <w:rPr>
                <w:rFonts w:ascii="Times New Roman" w:hAnsi="Times New Roman"/>
                <w:bCs/>
                <w:szCs w:val="21"/>
              </w:rPr>
              <w:t>9000</w:t>
            </w:r>
          </w:p>
        </w:tc>
      </w:tr>
    </w:tbl>
    <w:p>
      <w:pPr>
        <w:pStyle w:val="5"/>
        <w:ind w:firstLine="480"/>
        <w:rPr>
          <w:rFonts w:ascii="Times New Roman" w:hAnsi="Times New Roman" w:cs="Times New Roman"/>
        </w:rPr>
      </w:pPr>
    </w:p>
    <w:p>
      <w:pPr>
        <w:pStyle w:val="7"/>
        <w:numPr>
          <w:ilvl w:val="2"/>
          <w:numId w:val="0"/>
        </w:numPr>
        <w:spacing w:before="156" w:after="156"/>
      </w:pPr>
      <w:bookmarkStart w:id="93" w:name="_Toc143430038"/>
      <w:bookmarkStart w:id="94" w:name="_Toc145729967"/>
      <w:bookmarkStart w:id="95" w:name="_Toc26008"/>
      <w:bookmarkStart w:id="96" w:name="_Toc28221"/>
      <w:bookmarkStart w:id="97" w:name="_Toc143963763"/>
      <w:bookmarkStart w:id="98" w:name="_Toc220122769"/>
      <w:bookmarkStart w:id="99" w:name="_Toc25013"/>
      <w:bookmarkStart w:id="100" w:name="_Toc143430296"/>
      <w:bookmarkStart w:id="101" w:name="_Toc219258495"/>
      <w:r>
        <w:t>1.4.2 污染物排放标准</w:t>
      </w:r>
      <w:bookmarkEnd w:id="93"/>
      <w:bookmarkEnd w:id="94"/>
      <w:bookmarkEnd w:id="95"/>
      <w:bookmarkEnd w:id="96"/>
      <w:bookmarkEnd w:id="97"/>
      <w:bookmarkEnd w:id="98"/>
      <w:bookmarkEnd w:id="99"/>
      <w:bookmarkEnd w:id="100"/>
      <w:bookmarkEnd w:id="101"/>
    </w:p>
    <w:p>
      <w:pPr>
        <w:pStyle w:val="8"/>
        <w:numPr>
          <w:ilvl w:val="3"/>
          <w:numId w:val="0"/>
        </w:numPr>
        <w:ind w:left="420" w:leftChars="200"/>
        <w:rPr>
          <w:bCs w:val="0"/>
          <w:szCs w:val="20"/>
        </w:rPr>
      </w:pPr>
      <w:r>
        <w:rPr>
          <w:bCs w:val="0"/>
          <w:szCs w:val="20"/>
        </w:rPr>
        <w:t>（1）废气排放标准</w:t>
      </w:r>
    </w:p>
    <w:p>
      <w:pPr>
        <w:pStyle w:val="18"/>
        <w:spacing w:line="480" w:lineRule="exact"/>
        <w:ind w:firstLine="480" w:firstLineChars="200"/>
        <w:jc w:val="left"/>
        <w:rPr>
          <w:b w:val="0"/>
          <w:szCs w:val="22"/>
        </w:rPr>
      </w:pPr>
      <w:r>
        <w:rPr>
          <w:b w:val="0"/>
          <w:szCs w:val="22"/>
        </w:rPr>
        <w:t>根据岳阳市生态环境局云溪分局出具的本项目环评执行标准函，项目林格曼黑度执行《火电厂大气污染物排放标准》（GB13223-2011）表1 排放限值、有组织烟尘、SO</w:t>
      </w:r>
      <w:r>
        <w:rPr>
          <w:b w:val="0"/>
          <w:szCs w:val="22"/>
          <w:vertAlign w:val="subscript"/>
        </w:rPr>
        <w:t>2</w:t>
      </w:r>
      <w:r>
        <w:rPr>
          <w:b w:val="0"/>
          <w:szCs w:val="22"/>
        </w:rPr>
        <w:t>、NO</w:t>
      </w:r>
      <w:r>
        <w:rPr>
          <w:b w:val="0"/>
          <w:szCs w:val="22"/>
          <w:vertAlign w:val="subscript"/>
        </w:rPr>
        <w:t>2</w:t>
      </w:r>
      <w:r>
        <w:rPr>
          <w:b w:val="0"/>
          <w:szCs w:val="22"/>
        </w:rPr>
        <w:t>、汞及其化合物，执行《全面实施燃煤电厂超低排放和节能改造工作方案》要求，有组织镍及其化合物、铅及其化合物、铜及其化合物、二噁英执行GB18484-2001《危险废物焚烧污染控制标准》表3标准。详见表1.4.2-1。无组织硫化氢、氨参照《恶臭污染物排放标准》（GB14554-93）表1恶臭污染物厂界标准值（二级新扩改建），详见表1.4.2-2。</w:t>
      </w:r>
    </w:p>
    <w:p>
      <w:pPr>
        <w:pStyle w:val="18"/>
        <w:tabs>
          <w:tab w:val="left" w:pos="2042"/>
          <w:tab w:val="center" w:pos="4518"/>
        </w:tabs>
      </w:pPr>
      <w:r>
        <w:t>表 1.4.2-1项目有组织污染物排放标准值</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27"/>
        <w:gridCol w:w="1761"/>
        <w:gridCol w:w="1541"/>
        <w:gridCol w:w="1863"/>
        <w:gridCol w:w="11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21" w:hRule="atLeast"/>
          <w:jc w:val="center"/>
        </w:trPr>
        <w:tc>
          <w:tcPr>
            <w:tcW w:w="1527" w:type="dxa"/>
            <w:vMerge w:val="restart"/>
            <w:vAlign w:val="center"/>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标准号</w:t>
            </w:r>
          </w:p>
        </w:tc>
        <w:tc>
          <w:tcPr>
            <w:tcW w:w="1761" w:type="dxa"/>
            <w:vMerge w:val="restart"/>
            <w:vAlign w:val="center"/>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排放标准</w:t>
            </w:r>
          </w:p>
        </w:tc>
        <w:tc>
          <w:tcPr>
            <w:tcW w:w="1541" w:type="dxa"/>
            <w:vMerge w:val="restart"/>
            <w:vAlign w:val="center"/>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污染因子</w:t>
            </w:r>
          </w:p>
        </w:tc>
        <w:tc>
          <w:tcPr>
            <w:tcW w:w="1863" w:type="dxa"/>
            <w:vMerge w:val="restart"/>
            <w:vAlign w:val="center"/>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最高允许排放浓度（mg/m</w:t>
            </w:r>
            <w:r>
              <w:rPr>
                <w:rFonts w:ascii="Times New Roman" w:hAnsi="Times New Roman" w:cs="Times New Roman"/>
                <w:b/>
                <w:bCs/>
                <w:szCs w:val="24"/>
                <w:vertAlign w:val="superscript"/>
              </w:rPr>
              <w:t>3</w:t>
            </w:r>
            <w:r>
              <w:rPr>
                <w:rFonts w:ascii="Times New Roman" w:hAnsi="Times New Roman" w:cs="Times New Roman"/>
                <w:b/>
                <w:bCs/>
                <w:szCs w:val="24"/>
              </w:rPr>
              <w:t>）</w:t>
            </w:r>
          </w:p>
        </w:tc>
        <w:tc>
          <w:tcPr>
            <w:tcW w:w="1186" w:type="dxa"/>
            <w:vMerge w:val="restart"/>
            <w:vAlign w:val="center"/>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污染源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527" w:type="dxa"/>
            <w:vMerge w:val="continue"/>
            <w:vAlign w:val="center"/>
          </w:tcPr>
          <w:p>
            <w:pPr>
              <w:jc w:val="center"/>
              <w:rPr>
                <w:rFonts w:ascii="Times New Roman" w:hAnsi="Times New Roman"/>
                <w:b/>
                <w:szCs w:val="21"/>
              </w:rPr>
            </w:pPr>
          </w:p>
        </w:tc>
        <w:tc>
          <w:tcPr>
            <w:tcW w:w="1761" w:type="dxa"/>
            <w:vMerge w:val="continue"/>
            <w:vAlign w:val="center"/>
          </w:tcPr>
          <w:p>
            <w:pPr>
              <w:jc w:val="center"/>
              <w:rPr>
                <w:rFonts w:ascii="Times New Roman" w:hAnsi="Times New Roman"/>
                <w:b/>
                <w:szCs w:val="21"/>
              </w:rPr>
            </w:pPr>
          </w:p>
        </w:tc>
        <w:tc>
          <w:tcPr>
            <w:tcW w:w="1541" w:type="dxa"/>
            <w:vMerge w:val="continue"/>
            <w:vAlign w:val="center"/>
          </w:tcPr>
          <w:p>
            <w:pPr>
              <w:jc w:val="center"/>
              <w:rPr>
                <w:rFonts w:ascii="Times New Roman" w:hAnsi="Times New Roman"/>
                <w:b/>
                <w:szCs w:val="21"/>
              </w:rPr>
            </w:pPr>
          </w:p>
        </w:tc>
        <w:tc>
          <w:tcPr>
            <w:tcW w:w="1863" w:type="dxa"/>
            <w:vMerge w:val="continue"/>
            <w:vAlign w:val="center"/>
          </w:tcPr>
          <w:p>
            <w:pPr>
              <w:jc w:val="center"/>
              <w:rPr>
                <w:rFonts w:ascii="Times New Roman" w:hAnsi="Times New Roman"/>
                <w:b/>
                <w:szCs w:val="21"/>
              </w:rPr>
            </w:pPr>
          </w:p>
        </w:tc>
        <w:tc>
          <w:tcPr>
            <w:tcW w:w="118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1527" w:type="dxa"/>
            <w:vMerge w:val="restart"/>
            <w:vAlign w:val="center"/>
          </w:tcPr>
          <w:p>
            <w:pPr>
              <w:jc w:val="center"/>
              <w:rPr>
                <w:rFonts w:ascii="Times New Roman" w:hAnsi="Times New Roman"/>
                <w:szCs w:val="21"/>
              </w:rPr>
            </w:pPr>
            <w:r>
              <w:rPr>
                <w:rFonts w:ascii="Times New Roman" w:hAnsi="Times New Roman"/>
                <w:szCs w:val="21"/>
              </w:rPr>
              <w:t>GB13223-2011</w:t>
            </w:r>
          </w:p>
        </w:tc>
        <w:tc>
          <w:tcPr>
            <w:tcW w:w="1761" w:type="dxa"/>
            <w:vMerge w:val="restart"/>
            <w:vAlign w:val="center"/>
          </w:tcPr>
          <w:p>
            <w:pPr>
              <w:jc w:val="center"/>
              <w:rPr>
                <w:rFonts w:ascii="Times New Roman" w:hAnsi="Times New Roman"/>
                <w:szCs w:val="21"/>
              </w:rPr>
            </w:pPr>
            <w:r>
              <w:rPr>
                <w:rFonts w:ascii="Times New Roman" w:hAnsi="Times New Roman"/>
                <w:szCs w:val="21"/>
              </w:rPr>
              <w:t>火电厂大气污染物排放标准、《全面实施燃煤电厂超低排放和节能改造工作方案》要求</w:t>
            </w:r>
          </w:p>
        </w:tc>
        <w:tc>
          <w:tcPr>
            <w:tcW w:w="1541" w:type="dxa"/>
            <w:vAlign w:val="center"/>
          </w:tcPr>
          <w:p>
            <w:pPr>
              <w:jc w:val="center"/>
              <w:rPr>
                <w:rFonts w:ascii="Times New Roman" w:hAnsi="Times New Roman"/>
                <w:szCs w:val="21"/>
              </w:rPr>
            </w:pPr>
            <w:r>
              <w:rPr>
                <w:rFonts w:ascii="Times New Roman" w:hAnsi="Times New Roman"/>
                <w:szCs w:val="21"/>
              </w:rPr>
              <w:t>烟尘</w:t>
            </w:r>
          </w:p>
        </w:tc>
        <w:tc>
          <w:tcPr>
            <w:tcW w:w="1863" w:type="dxa"/>
            <w:vAlign w:val="center"/>
          </w:tcPr>
          <w:p>
            <w:pPr>
              <w:jc w:val="center"/>
              <w:rPr>
                <w:rFonts w:ascii="Times New Roman" w:hAnsi="Times New Roman"/>
                <w:szCs w:val="21"/>
              </w:rPr>
            </w:pPr>
            <w:r>
              <w:rPr>
                <w:rFonts w:ascii="Times New Roman" w:hAnsi="Times New Roman"/>
                <w:szCs w:val="21"/>
              </w:rPr>
              <w:t>10</w:t>
            </w:r>
          </w:p>
        </w:tc>
        <w:tc>
          <w:tcPr>
            <w:tcW w:w="1186" w:type="dxa"/>
            <w:vMerge w:val="restart"/>
            <w:vAlign w:val="center"/>
          </w:tcPr>
          <w:p>
            <w:pPr>
              <w:jc w:val="center"/>
              <w:rPr>
                <w:rFonts w:ascii="Times New Roman" w:hAnsi="Times New Roman"/>
                <w:szCs w:val="21"/>
              </w:rPr>
            </w:pPr>
            <w:r>
              <w:rPr>
                <w:rFonts w:ascii="Times New Roman" w:hAnsi="Times New Roman"/>
                <w:szCs w:val="21"/>
              </w:rPr>
              <w:t>CFB锅炉</w:t>
            </w:r>
          </w:p>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1527" w:type="dxa"/>
            <w:vMerge w:val="continue"/>
            <w:vAlign w:val="center"/>
          </w:tcPr>
          <w:p>
            <w:pPr>
              <w:jc w:val="center"/>
              <w:rPr>
                <w:rFonts w:ascii="Times New Roman" w:hAnsi="Times New Roman"/>
                <w:szCs w:val="21"/>
              </w:rPr>
            </w:pPr>
          </w:p>
        </w:tc>
        <w:tc>
          <w:tcPr>
            <w:tcW w:w="1761" w:type="dxa"/>
            <w:vMerge w:val="continue"/>
            <w:vAlign w:val="center"/>
          </w:tcPr>
          <w:p>
            <w:pPr>
              <w:jc w:val="center"/>
              <w:rPr>
                <w:rFonts w:ascii="Times New Roman" w:hAnsi="Times New Roman"/>
                <w:szCs w:val="21"/>
              </w:rPr>
            </w:pPr>
          </w:p>
        </w:tc>
        <w:tc>
          <w:tcPr>
            <w:tcW w:w="1541" w:type="dxa"/>
            <w:vAlign w:val="center"/>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863" w:type="dxa"/>
            <w:vAlign w:val="center"/>
          </w:tcPr>
          <w:p>
            <w:pPr>
              <w:jc w:val="center"/>
              <w:rPr>
                <w:rFonts w:ascii="Times New Roman" w:hAnsi="Times New Roman"/>
                <w:szCs w:val="21"/>
              </w:rPr>
            </w:pPr>
            <w:r>
              <w:rPr>
                <w:rFonts w:ascii="Times New Roman" w:hAnsi="Times New Roman"/>
                <w:szCs w:val="21"/>
              </w:rPr>
              <w:t>35</w:t>
            </w:r>
          </w:p>
        </w:tc>
        <w:tc>
          <w:tcPr>
            <w:tcW w:w="118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1527" w:type="dxa"/>
            <w:vMerge w:val="continue"/>
            <w:vAlign w:val="center"/>
          </w:tcPr>
          <w:p>
            <w:pPr>
              <w:jc w:val="center"/>
              <w:rPr>
                <w:rFonts w:ascii="Times New Roman" w:hAnsi="Times New Roman"/>
                <w:szCs w:val="21"/>
              </w:rPr>
            </w:pPr>
          </w:p>
        </w:tc>
        <w:tc>
          <w:tcPr>
            <w:tcW w:w="1761" w:type="dxa"/>
            <w:vMerge w:val="continue"/>
            <w:vAlign w:val="center"/>
          </w:tcPr>
          <w:p>
            <w:pPr>
              <w:jc w:val="center"/>
              <w:rPr>
                <w:rFonts w:ascii="Times New Roman" w:hAnsi="Times New Roman"/>
                <w:szCs w:val="21"/>
              </w:rPr>
            </w:pPr>
          </w:p>
        </w:tc>
        <w:tc>
          <w:tcPr>
            <w:tcW w:w="1541" w:type="dxa"/>
            <w:vAlign w:val="center"/>
          </w:tcPr>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863" w:type="dxa"/>
            <w:vAlign w:val="center"/>
          </w:tcPr>
          <w:p>
            <w:pPr>
              <w:jc w:val="center"/>
              <w:rPr>
                <w:rFonts w:ascii="Times New Roman" w:hAnsi="Times New Roman"/>
                <w:szCs w:val="21"/>
              </w:rPr>
            </w:pPr>
            <w:r>
              <w:rPr>
                <w:rFonts w:ascii="Times New Roman" w:hAnsi="Times New Roman"/>
                <w:szCs w:val="21"/>
              </w:rPr>
              <w:t>50</w:t>
            </w:r>
          </w:p>
        </w:tc>
        <w:tc>
          <w:tcPr>
            <w:tcW w:w="118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1527" w:type="dxa"/>
            <w:vMerge w:val="continue"/>
            <w:vAlign w:val="center"/>
          </w:tcPr>
          <w:p>
            <w:pPr>
              <w:jc w:val="center"/>
              <w:rPr>
                <w:rFonts w:ascii="Times New Roman" w:hAnsi="Times New Roman"/>
                <w:szCs w:val="21"/>
              </w:rPr>
            </w:pPr>
          </w:p>
        </w:tc>
        <w:tc>
          <w:tcPr>
            <w:tcW w:w="1761" w:type="dxa"/>
            <w:vMerge w:val="continue"/>
            <w:vAlign w:val="center"/>
          </w:tcPr>
          <w:p>
            <w:pPr>
              <w:jc w:val="center"/>
              <w:rPr>
                <w:rFonts w:ascii="Times New Roman" w:hAnsi="Times New Roman"/>
                <w:szCs w:val="21"/>
              </w:rPr>
            </w:pPr>
          </w:p>
        </w:tc>
        <w:tc>
          <w:tcPr>
            <w:tcW w:w="1541" w:type="dxa"/>
            <w:vAlign w:val="center"/>
          </w:tcPr>
          <w:p>
            <w:pPr>
              <w:jc w:val="center"/>
              <w:rPr>
                <w:rFonts w:ascii="Times New Roman" w:hAnsi="Times New Roman"/>
                <w:szCs w:val="21"/>
              </w:rPr>
            </w:pPr>
            <w:r>
              <w:rPr>
                <w:rFonts w:ascii="Times New Roman" w:hAnsi="Times New Roman"/>
                <w:szCs w:val="21"/>
              </w:rPr>
              <w:t>汞及其化合物</w:t>
            </w:r>
          </w:p>
        </w:tc>
        <w:tc>
          <w:tcPr>
            <w:tcW w:w="1863" w:type="dxa"/>
            <w:vAlign w:val="center"/>
          </w:tcPr>
          <w:p>
            <w:pPr>
              <w:jc w:val="center"/>
              <w:rPr>
                <w:rFonts w:ascii="Times New Roman" w:hAnsi="Times New Roman"/>
                <w:szCs w:val="21"/>
              </w:rPr>
            </w:pPr>
            <w:r>
              <w:rPr>
                <w:rFonts w:ascii="Times New Roman" w:hAnsi="Times New Roman"/>
                <w:szCs w:val="21"/>
              </w:rPr>
              <w:t>0.03</w:t>
            </w:r>
          </w:p>
        </w:tc>
        <w:tc>
          <w:tcPr>
            <w:tcW w:w="118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1" w:hRule="atLeast"/>
          <w:jc w:val="center"/>
        </w:trPr>
        <w:tc>
          <w:tcPr>
            <w:tcW w:w="1527" w:type="dxa"/>
            <w:vMerge w:val="continue"/>
            <w:vAlign w:val="center"/>
          </w:tcPr>
          <w:p>
            <w:pPr>
              <w:jc w:val="center"/>
              <w:rPr>
                <w:rFonts w:ascii="Times New Roman" w:hAnsi="Times New Roman"/>
                <w:szCs w:val="21"/>
              </w:rPr>
            </w:pPr>
          </w:p>
        </w:tc>
        <w:tc>
          <w:tcPr>
            <w:tcW w:w="1761" w:type="dxa"/>
            <w:vMerge w:val="continue"/>
            <w:vAlign w:val="center"/>
          </w:tcPr>
          <w:p>
            <w:pPr>
              <w:jc w:val="center"/>
              <w:rPr>
                <w:rFonts w:ascii="Times New Roman" w:hAnsi="Times New Roman"/>
                <w:szCs w:val="21"/>
              </w:rPr>
            </w:pPr>
          </w:p>
        </w:tc>
        <w:tc>
          <w:tcPr>
            <w:tcW w:w="1541" w:type="dxa"/>
            <w:vAlign w:val="center"/>
          </w:tcPr>
          <w:p>
            <w:pPr>
              <w:jc w:val="center"/>
              <w:rPr>
                <w:rFonts w:ascii="Times New Roman" w:hAnsi="Times New Roman"/>
                <w:szCs w:val="21"/>
              </w:rPr>
            </w:pPr>
            <w:r>
              <w:rPr>
                <w:rFonts w:ascii="Times New Roman" w:hAnsi="Times New Roman"/>
                <w:szCs w:val="21"/>
              </w:rPr>
              <w:t>烟气黑度（林格曼黑度，级）</w:t>
            </w:r>
          </w:p>
        </w:tc>
        <w:tc>
          <w:tcPr>
            <w:tcW w:w="1863" w:type="dxa"/>
            <w:vAlign w:val="center"/>
          </w:tcPr>
          <w:p>
            <w:pPr>
              <w:jc w:val="center"/>
              <w:rPr>
                <w:rFonts w:ascii="Times New Roman" w:hAnsi="Times New Roman"/>
                <w:szCs w:val="21"/>
              </w:rPr>
            </w:pPr>
            <w:r>
              <w:rPr>
                <w:rFonts w:ascii="Times New Roman" w:hAnsi="Times New Roman"/>
                <w:szCs w:val="21"/>
              </w:rPr>
              <w:t>1</w:t>
            </w:r>
          </w:p>
        </w:tc>
        <w:tc>
          <w:tcPr>
            <w:tcW w:w="118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86" w:hRule="atLeast"/>
          <w:jc w:val="center"/>
        </w:trPr>
        <w:tc>
          <w:tcPr>
            <w:tcW w:w="1527" w:type="dxa"/>
            <w:vMerge w:val="restart"/>
            <w:vAlign w:val="center"/>
          </w:tcPr>
          <w:p>
            <w:pPr>
              <w:jc w:val="center"/>
              <w:rPr>
                <w:rFonts w:ascii="Times New Roman" w:hAnsi="Times New Roman"/>
                <w:szCs w:val="21"/>
              </w:rPr>
            </w:pPr>
            <w:r>
              <w:rPr>
                <w:rFonts w:ascii="Times New Roman" w:hAnsi="Times New Roman"/>
                <w:szCs w:val="21"/>
              </w:rPr>
              <w:t>GB18484-2001</w:t>
            </w:r>
          </w:p>
        </w:tc>
        <w:tc>
          <w:tcPr>
            <w:tcW w:w="1761" w:type="dxa"/>
            <w:vMerge w:val="restart"/>
            <w:vAlign w:val="center"/>
          </w:tcPr>
          <w:p>
            <w:pPr>
              <w:jc w:val="center"/>
              <w:rPr>
                <w:rFonts w:ascii="Times New Roman" w:hAnsi="Times New Roman"/>
                <w:szCs w:val="21"/>
              </w:rPr>
            </w:pPr>
            <w:r>
              <w:rPr>
                <w:rFonts w:ascii="Times New Roman" w:hAnsi="Times New Roman"/>
                <w:szCs w:val="21"/>
              </w:rPr>
              <w:t>危险废物焚烧污染控制标准</w:t>
            </w:r>
          </w:p>
        </w:tc>
        <w:tc>
          <w:tcPr>
            <w:tcW w:w="1541" w:type="dxa"/>
            <w:vAlign w:val="center"/>
          </w:tcPr>
          <w:p>
            <w:pPr>
              <w:jc w:val="center"/>
              <w:rPr>
                <w:rFonts w:ascii="Times New Roman" w:hAnsi="Times New Roman"/>
                <w:szCs w:val="21"/>
              </w:rPr>
            </w:pPr>
            <w:r>
              <w:rPr>
                <w:rFonts w:ascii="Times New Roman" w:hAnsi="Times New Roman"/>
              </w:rPr>
              <w:t>镍</w:t>
            </w:r>
            <w:r>
              <w:rPr>
                <w:rFonts w:ascii="Times New Roman" w:hAnsi="Times New Roman"/>
                <w:szCs w:val="21"/>
              </w:rPr>
              <w:t>及其化合物</w:t>
            </w:r>
          </w:p>
        </w:tc>
        <w:tc>
          <w:tcPr>
            <w:tcW w:w="1863" w:type="dxa"/>
            <w:vAlign w:val="center"/>
          </w:tcPr>
          <w:p>
            <w:pPr>
              <w:jc w:val="center"/>
              <w:rPr>
                <w:rFonts w:ascii="Times New Roman" w:hAnsi="Times New Roman"/>
                <w:szCs w:val="21"/>
              </w:rPr>
            </w:pPr>
            <w:r>
              <w:rPr>
                <w:rFonts w:ascii="Times New Roman" w:hAnsi="Times New Roman"/>
                <w:szCs w:val="21"/>
              </w:rPr>
              <w:t>1.0</w:t>
            </w:r>
          </w:p>
        </w:tc>
        <w:tc>
          <w:tcPr>
            <w:tcW w:w="118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527" w:type="dxa"/>
            <w:vMerge w:val="continue"/>
            <w:vAlign w:val="center"/>
          </w:tcPr>
          <w:p>
            <w:pPr>
              <w:jc w:val="center"/>
              <w:rPr>
                <w:rFonts w:ascii="Times New Roman" w:hAnsi="Times New Roman"/>
                <w:szCs w:val="21"/>
              </w:rPr>
            </w:pPr>
            <w:r>
              <w:rPr>
                <w:rFonts w:ascii="Times New Roman" w:hAnsi="Times New Roman"/>
                <w:szCs w:val="21"/>
              </w:rPr>
              <w:t>·</w:t>
            </w:r>
          </w:p>
        </w:tc>
        <w:tc>
          <w:tcPr>
            <w:tcW w:w="1761" w:type="dxa"/>
            <w:vMerge w:val="continue"/>
            <w:vAlign w:val="center"/>
          </w:tcPr>
          <w:p>
            <w:pPr>
              <w:jc w:val="center"/>
              <w:rPr>
                <w:rFonts w:ascii="Times New Roman" w:hAnsi="Times New Roman"/>
                <w:szCs w:val="21"/>
              </w:rPr>
            </w:pPr>
          </w:p>
        </w:tc>
        <w:tc>
          <w:tcPr>
            <w:tcW w:w="1541" w:type="dxa"/>
            <w:vAlign w:val="center"/>
          </w:tcPr>
          <w:p>
            <w:pPr>
              <w:jc w:val="center"/>
              <w:rPr>
                <w:rFonts w:ascii="Times New Roman" w:hAnsi="Times New Roman"/>
                <w:szCs w:val="21"/>
              </w:rPr>
            </w:pPr>
            <w:r>
              <w:rPr>
                <w:rFonts w:ascii="Times New Roman" w:hAnsi="Times New Roman"/>
                <w:szCs w:val="21"/>
              </w:rPr>
              <w:t>二噁英</w:t>
            </w:r>
          </w:p>
        </w:tc>
        <w:tc>
          <w:tcPr>
            <w:tcW w:w="1863" w:type="dxa"/>
            <w:vAlign w:val="center"/>
          </w:tcPr>
          <w:p>
            <w:pPr>
              <w:jc w:val="center"/>
              <w:rPr>
                <w:rFonts w:ascii="Times New Roman" w:hAnsi="Times New Roman"/>
                <w:szCs w:val="21"/>
              </w:rPr>
            </w:pPr>
            <w:r>
              <w:rPr>
                <w:rFonts w:ascii="Times New Roman" w:hAnsi="Times New Roman"/>
                <w:szCs w:val="21"/>
              </w:rPr>
              <w:t>0.5 TEQng/m</w:t>
            </w:r>
            <w:r>
              <w:rPr>
                <w:rFonts w:ascii="Times New Roman" w:hAnsi="Times New Roman"/>
                <w:szCs w:val="21"/>
                <w:vertAlign w:val="superscript"/>
              </w:rPr>
              <w:t>3</w:t>
            </w:r>
          </w:p>
        </w:tc>
        <w:tc>
          <w:tcPr>
            <w:tcW w:w="1186" w:type="dxa"/>
            <w:vMerge w:val="continue"/>
            <w:vAlign w:val="center"/>
          </w:tcPr>
          <w:p>
            <w:pPr>
              <w:jc w:val="center"/>
              <w:rPr>
                <w:rFonts w:ascii="Times New Roman" w:hAnsi="Times New Roman"/>
                <w:szCs w:val="21"/>
              </w:rPr>
            </w:pPr>
          </w:p>
        </w:tc>
      </w:tr>
    </w:tbl>
    <w:p>
      <w:pPr>
        <w:pStyle w:val="18"/>
        <w:tabs>
          <w:tab w:val="left" w:pos="2042"/>
          <w:tab w:val="center" w:pos="4518"/>
        </w:tabs>
        <w:jc w:val="both"/>
      </w:pPr>
    </w:p>
    <w:p>
      <w:pPr>
        <w:pStyle w:val="18"/>
        <w:tabs>
          <w:tab w:val="left" w:pos="2042"/>
          <w:tab w:val="center" w:pos="4518"/>
        </w:tabs>
      </w:pPr>
    </w:p>
    <w:p>
      <w:pPr>
        <w:pStyle w:val="18"/>
        <w:tabs>
          <w:tab w:val="left" w:pos="2042"/>
          <w:tab w:val="center" w:pos="4518"/>
        </w:tabs>
      </w:pPr>
    </w:p>
    <w:p>
      <w:pPr>
        <w:pStyle w:val="18"/>
        <w:tabs>
          <w:tab w:val="left" w:pos="2042"/>
          <w:tab w:val="center" w:pos="4518"/>
        </w:tabs>
      </w:pPr>
      <w:r>
        <w:t>表 1.4.2-2项目恶臭污染物厂界标准值</w:t>
      </w:r>
    </w:p>
    <w:tbl>
      <w:tblPr>
        <w:tblStyle w:val="46"/>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3"/>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3" w:type="dxa"/>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污染物</w:t>
            </w:r>
          </w:p>
        </w:tc>
        <w:tc>
          <w:tcPr>
            <w:tcW w:w="4119" w:type="dxa"/>
          </w:tcPr>
          <w:p>
            <w:pPr>
              <w:pStyle w:val="5"/>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浓度限值(mg/m</w:t>
            </w:r>
            <w:r>
              <w:rPr>
                <w:rFonts w:ascii="Times New Roman" w:hAnsi="Times New Roman" w:cs="Times New Roman"/>
                <w:b/>
                <w:bCs/>
                <w:szCs w:val="24"/>
                <w:vertAlign w:val="superscript"/>
              </w:rPr>
              <w:t>3</w:t>
            </w:r>
            <w:r>
              <w:rPr>
                <w:rFonts w:ascii="Times New Roman" w:hAnsi="Times New Roman" w:cs="Times New Roman"/>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3" w:type="dxa"/>
          </w:tcPr>
          <w:p>
            <w:pPr>
              <w:snapToGrid w:val="0"/>
              <w:spacing w:line="360" w:lineRule="exact"/>
              <w:jc w:val="center"/>
              <w:rPr>
                <w:rFonts w:ascii="Times New Roman" w:hAnsi="Times New Roman"/>
                <w:szCs w:val="21"/>
              </w:rPr>
            </w:pPr>
            <w:r>
              <w:rPr>
                <w:rFonts w:ascii="Times New Roman" w:hAnsi="Times New Roman"/>
                <w:szCs w:val="21"/>
              </w:rPr>
              <w:t>氨</w:t>
            </w:r>
          </w:p>
        </w:tc>
        <w:tc>
          <w:tcPr>
            <w:tcW w:w="4119" w:type="dxa"/>
          </w:tcPr>
          <w:p>
            <w:pPr>
              <w:snapToGrid w:val="0"/>
              <w:spacing w:line="360" w:lineRule="exact"/>
              <w:jc w:val="center"/>
              <w:rPr>
                <w:rFonts w:ascii="Times New Roman" w:hAnsi="Times New Roman"/>
                <w:szCs w:val="21"/>
              </w:rPr>
            </w:pPr>
            <w:r>
              <w:rPr>
                <w:rFonts w:ascii="Times New Roman" w:hAnsi="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3" w:type="dxa"/>
          </w:tcPr>
          <w:p>
            <w:pPr>
              <w:snapToGrid w:val="0"/>
              <w:spacing w:line="360" w:lineRule="exact"/>
              <w:jc w:val="center"/>
              <w:rPr>
                <w:rFonts w:ascii="Times New Roman" w:hAnsi="Times New Roman"/>
                <w:szCs w:val="21"/>
              </w:rPr>
            </w:pPr>
            <w:r>
              <w:rPr>
                <w:rFonts w:ascii="Times New Roman" w:hAnsi="Times New Roman"/>
                <w:szCs w:val="21"/>
              </w:rPr>
              <w:t>硫化氢</w:t>
            </w:r>
          </w:p>
        </w:tc>
        <w:tc>
          <w:tcPr>
            <w:tcW w:w="4119" w:type="dxa"/>
          </w:tcPr>
          <w:p>
            <w:pPr>
              <w:snapToGrid w:val="0"/>
              <w:spacing w:line="360" w:lineRule="exact"/>
              <w:jc w:val="center"/>
              <w:rPr>
                <w:rFonts w:ascii="Times New Roman" w:hAnsi="Times New Roman"/>
                <w:szCs w:val="21"/>
              </w:rPr>
            </w:pPr>
            <w:r>
              <w:rPr>
                <w:rFonts w:ascii="Times New Roman" w:hAnsi="Times New Roman"/>
                <w:szCs w:val="21"/>
              </w:rPr>
              <w:t>0.06</w:t>
            </w:r>
          </w:p>
        </w:tc>
      </w:tr>
    </w:tbl>
    <w:p>
      <w:pPr>
        <w:pStyle w:val="8"/>
        <w:numPr>
          <w:ilvl w:val="3"/>
          <w:numId w:val="0"/>
        </w:numPr>
        <w:ind w:left="420" w:leftChars="200"/>
        <w:rPr>
          <w:bCs w:val="0"/>
          <w:szCs w:val="20"/>
        </w:rPr>
      </w:pPr>
    </w:p>
    <w:p>
      <w:pPr>
        <w:pStyle w:val="8"/>
        <w:numPr>
          <w:ilvl w:val="3"/>
          <w:numId w:val="0"/>
        </w:numPr>
        <w:ind w:left="420" w:leftChars="200"/>
        <w:rPr>
          <w:bCs w:val="0"/>
          <w:szCs w:val="20"/>
        </w:rPr>
      </w:pPr>
      <w:r>
        <w:rPr>
          <w:bCs w:val="0"/>
          <w:szCs w:val="20"/>
        </w:rPr>
        <w:t>（2）废水排放标准</w:t>
      </w:r>
    </w:p>
    <w:p>
      <w:pPr>
        <w:pStyle w:val="20"/>
        <w:spacing w:line="360" w:lineRule="auto"/>
        <w:ind w:firstLine="480" w:firstLineChars="200"/>
        <w:rPr>
          <w:rFonts w:ascii="Times New Roman" w:hAnsi="Times New Roman"/>
          <w:sz w:val="24"/>
          <w:szCs w:val="22"/>
        </w:rPr>
      </w:pPr>
      <w:bookmarkStart w:id="102" w:name="_Toc219258496"/>
      <w:bookmarkStart w:id="103" w:name="_Toc220122770"/>
      <w:bookmarkStart w:id="104" w:name="_Toc145729969"/>
      <w:bookmarkStart w:id="105" w:name="_Toc143430040"/>
      <w:bookmarkStart w:id="106" w:name="_Toc143430298"/>
      <w:bookmarkStart w:id="107" w:name="_Toc143963765"/>
      <w:r>
        <w:rPr>
          <w:rFonts w:ascii="Times New Roman" w:hAnsi="Times New Roman"/>
          <w:sz w:val="24"/>
          <w:szCs w:val="22"/>
        </w:rPr>
        <w:t>项目污水经长岭分公司污水处理场处理后排入长江，根据岳阳市生态环境局发文《关于长岭炼化公司暂不执行特别排放限值的回复》，2020年10月1日前，基准排水量、化学需氧量、</w:t>
      </w:r>
      <w:r>
        <w:rPr>
          <w:rFonts w:hint="eastAsia" w:ascii="Times New Roman" w:hAnsi="Times New Roman"/>
          <w:sz w:val="24"/>
          <w:szCs w:val="22"/>
        </w:rPr>
        <w:t>氨氮、</w:t>
      </w:r>
      <w:r>
        <w:rPr>
          <w:rFonts w:ascii="Times New Roman" w:hAnsi="Times New Roman"/>
          <w:sz w:val="24"/>
          <w:szCs w:val="22"/>
        </w:rPr>
        <w:t>总磷、总氮执行《石油炼制工业污染物排放标准》（GB31570-2015）表1限值，之后基准排水量、化学需氧量、</w:t>
      </w:r>
      <w:r>
        <w:rPr>
          <w:rFonts w:hint="eastAsia" w:ascii="Times New Roman" w:hAnsi="Times New Roman"/>
          <w:sz w:val="24"/>
          <w:szCs w:val="22"/>
        </w:rPr>
        <w:t>氨氮</w:t>
      </w:r>
      <w:r>
        <w:rPr>
          <w:rFonts w:ascii="Times New Roman" w:hAnsi="Times New Roman"/>
          <w:sz w:val="24"/>
          <w:szCs w:val="22"/>
        </w:rPr>
        <w:t>总磷、总氮执行表2特别排放限值，其他因子执行表1 限值。项目污水排放标准详见下表1.4.2-3。</w:t>
      </w:r>
      <w:bookmarkEnd w:id="102"/>
      <w:bookmarkEnd w:id="103"/>
    </w:p>
    <w:p>
      <w:pPr>
        <w:pStyle w:val="18"/>
        <w:spacing w:line="480" w:lineRule="exact"/>
        <w:ind w:firstLine="482" w:firstLineChars="200"/>
      </w:pPr>
      <w:r>
        <w:t>表1.4.2-3</w:t>
      </w:r>
      <w:r>
        <w:rPr>
          <w:sz w:val="21"/>
          <w:szCs w:val="21"/>
        </w:rPr>
        <w:t xml:space="preserve"> </w:t>
      </w:r>
      <w:r>
        <w:t>水污染物排放限值 单位：mg/L（pH 除外）</w:t>
      </w:r>
    </w:p>
    <w:tbl>
      <w:tblPr>
        <w:tblStyle w:val="45"/>
        <w:tblpPr w:leftFromText="180" w:rightFromText="180" w:vertAnchor="text" w:horzAnchor="page" w:tblpX="1833" w:tblpY="263"/>
        <w:tblOverlap w:val="never"/>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2305"/>
        <w:gridCol w:w="256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b/>
                <w:bCs/>
                <w:szCs w:val="21"/>
              </w:rPr>
            </w:pPr>
            <w:r>
              <w:rPr>
                <w:rFonts w:ascii="Times New Roman" w:hAnsi="Times New Roman"/>
                <w:b/>
                <w:bCs/>
                <w:szCs w:val="21"/>
              </w:rPr>
              <w:t>项目</w:t>
            </w:r>
          </w:p>
        </w:tc>
        <w:tc>
          <w:tcPr>
            <w:tcW w:w="5928" w:type="dxa"/>
            <w:gridSpan w:val="3"/>
            <w:vAlign w:val="center"/>
          </w:tcPr>
          <w:p>
            <w:pPr>
              <w:jc w:val="center"/>
              <w:rPr>
                <w:rFonts w:ascii="Times New Roman" w:hAnsi="Times New Roman"/>
                <w:b/>
                <w:bCs/>
                <w:szCs w:val="21"/>
              </w:rPr>
            </w:pPr>
            <w:r>
              <w:rPr>
                <w:rFonts w:ascii="Times New Roman" w:hAnsi="Times New Roman"/>
                <w:b/>
                <w:bCs/>
                <w:szCs w:val="21"/>
              </w:rPr>
              <w:t>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pH</w:t>
            </w:r>
          </w:p>
        </w:tc>
        <w:tc>
          <w:tcPr>
            <w:tcW w:w="2305" w:type="dxa"/>
            <w:vAlign w:val="center"/>
          </w:tcPr>
          <w:p>
            <w:pPr>
              <w:jc w:val="center"/>
              <w:rPr>
                <w:rFonts w:ascii="Times New Roman" w:hAnsi="Times New Roman"/>
                <w:szCs w:val="21"/>
              </w:rPr>
            </w:pPr>
            <w:r>
              <w:rPr>
                <w:rFonts w:ascii="Times New Roman" w:hAnsi="Times New Roman"/>
                <w:szCs w:val="21"/>
              </w:rPr>
              <w:t>6~9（无量纲）</w:t>
            </w:r>
          </w:p>
        </w:tc>
        <w:tc>
          <w:tcPr>
            <w:tcW w:w="2567" w:type="dxa"/>
            <w:vAlign w:val="center"/>
          </w:tcPr>
          <w:p>
            <w:pPr>
              <w:jc w:val="center"/>
              <w:rPr>
                <w:rFonts w:ascii="Times New Roman" w:hAnsi="Times New Roman"/>
              </w:rPr>
            </w:pPr>
            <w:r>
              <w:rPr>
                <w:rFonts w:ascii="Times New Roman" w:hAnsi="Times New Roman"/>
                <w:szCs w:val="21"/>
              </w:rPr>
              <w:t>——</w:t>
            </w:r>
          </w:p>
        </w:tc>
        <w:tc>
          <w:tcPr>
            <w:tcW w:w="1056" w:type="dxa"/>
            <w:vMerge w:val="restart"/>
            <w:vAlign w:val="center"/>
          </w:tcPr>
          <w:p>
            <w:pPr>
              <w:jc w:val="center"/>
              <w:rPr>
                <w:rFonts w:ascii="Times New Roman" w:hAnsi="Times New Roman"/>
                <w:szCs w:val="21"/>
              </w:rPr>
            </w:pPr>
            <w:r>
              <w:rPr>
                <w:rFonts w:ascii="Times New Roman" w:hAnsi="Times New Roman"/>
                <w:szCs w:val="21"/>
              </w:rPr>
              <w:t>排入长岭污水处理厂执行标准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2305" w:type="dxa"/>
            <w:vAlign w:val="center"/>
          </w:tcPr>
          <w:p>
            <w:pPr>
              <w:jc w:val="center"/>
              <w:rPr>
                <w:rFonts w:ascii="Times New Roman" w:hAnsi="Times New Roman"/>
                <w:szCs w:val="21"/>
              </w:rPr>
            </w:pPr>
            <w:r>
              <w:rPr>
                <w:rFonts w:ascii="Times New Roman" w:hAnsi="Times New Roman"/>
                <w:szCs w:val="21"/>
              </w:rPr>
              <w:t>800</w:t>
            </w:r>
          </w:p>
        </w:tc>
        <w:tc>
          <w:tcPr>
            <w:tcW w:w="2567" w:type="dxa"/>
            <w:vAlign w:val="center"/>
          </w:tcPr>
          <w:p>
            <w:pPr>
              <w:jc w:val="center"/>
              <w:rPr>
                <w:rFonts w:ascii="Times New Roman" w:hAnsi="Times New Roman"/>
                <w:szCs w:val="21"/>
              </w:rPr>
            </w:pPr>
            <w:r>
              <w:rPr>
                <w:rFonts w:ascii="Times New Roman" w:hAnsi="Times New Roman"/>
                <w:szCs w:val="21"/>
              </w:rPr>
              <w:t>——</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氨氮</w:t>
            </w:r>
          </w:p>
        </w:tc>
        <w:tc>
          <w:tcPr>
            <w:tcW w:w="2305" w:type="dxa"/>
            <w:vAlign w:val="center"/>
          </w:tcPr>
          <w:p>
            <w:pPr>
              <w:jc w:val="center"/>
              <w:rPr>
                <w:rFonts w:ascii="Times New Roman" w:hAnsi="Times New Roman"/>
                <w:szCs w:val="21"/>
              </w:rPr>
            </w:pPr>
            <w:r>
              <w:rPr>
                <w:rFonts w:ascii="Times New Roman" w:hAnsi="Times New Roman"/>
                <w:szCs w:val="21"/>
              </w:rPr>
              <w:t>50</w:t>
            </w:r>
          </w:p>
        </w:tc>
        <w:tc>
          <w:tcPr>
            <w:tcW w:w="2567" w:type="dxa"/>
            <w:vAlign w:val="center"/>
          </w:tcPr>
          <w:p>
            <w:pPr>
              <w:jc w:val="center"/>
              <w:rPr>
                <w:rFonts w:ascii="Times New Roman" w:hAnsi="Times New Roman"/>
                <w:szCs w:val="21"/>
              </w:rPr>
            </w:pPr>
            <w:r>
              <w:rPr>
                <w:rFonts w:ascii="Times New Roman" w:hAnsi="Times New Roman"/>
                <w:szCs w:val="21"/>
              </w:rPr>
              <w:t>——</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石油类</w:t>
            </w:r>
          </w:p>
        </w:tc>
        <w:tc>
          <w:tcPr>
            <w:tcW w:w="2305" w:type="dxa"/>
            <w:vAlign w:val="center"/>
          </w:tcPr>
          <w:p>
            <w:pPr>
              <w:jc w:val="center"/>
              <w:rPr>
                <w:rFonts w:ascii="Times New Roman" w:hAnsi="Times New Roman"/>
                <w:szCs w:val="21"/>
              </w:rPr>
            </w:pPr>
            <w:r>
              <w:rPr>
                <w:rFonts w:ascii="Times New Roman" w:hAnsi="Times New Roman"/>
                <w:szCs w:val="21"/>
              </w:rPr>
              <w:t>1000</w:t>
            </w:r>
          </w:p>
        </w:tc>
        <w:tc>
          <w:tcPr>
            <w:tcW w:w="2567" w:type="dxa"/>
            <w:vAlign w:val="center"/>
          </w:tcPr>
          <w:p>
            <w:pPr>
              <w:jc w:val="center"/>
              <w:rPr>
                <w:rFonts w:ascii="Times New Roman" w:hAnsi="Times New Roman"/>
                <w:szCs w:val="21"/>
              </w:rPr>
            </w:pPr>
            <w:r>
              <w:rPr>
                <w:rFonts w:ascii="Times New Roman" w:hAnsi="Times New Roman"/>
                <w:szCs w:val="21"/>
              </w:rPr>
              <w:t>20</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7" w:type="dxa"/>
            <w:vAlign w:val="center"/>
          </w:tcPr>
          <w:p>
            <w:pPr>
              <w:jc w:val="center"/>
              <w:rPr>
                <w:rFonts w:ascii="Times New Roman" w:hAnsi="Times New Roman"/>
                <w:szCs w:val="21"/>
              </w:rPr>
            </w:pPr>
            <w:r>
              <w:rPr>
                <w:rFonts w:ascii="Times New Roman" w:hAnsi="Times New Roman"/>
                <w:szCs w:val="21"/>
              </w:rPr>
              <w:t>硫化物</w:t>
            </w:r>
          </w:p>
        </w:tc>
        <w:tc>
          <w:tcPr>
            <w:tcW w:w="2305" w:type="dxa"/>
            <w:vAlign w:val="center"/>
          </w:tcPr>
          <w:p>
            <w:pPr>
              <w:jc w:val="center"/>
              <w:rPr>
                <w:rFonts w:ascii="Times New Roman" w:hAnsi="Times New Roman"/>
                <w:szCs w:val="21"/>
              </w:rPr>
            </w:pPr>
            <w:r>
              <w:rPr>
                <w:rFonts w:ascii="Times New Roman" w:hAnsi="Times New Roman"/>
                <w:szCs w:val="21"/>
              </w:rPr>
              <w:t>25</w:t>
            </w:r>
          </w:p>
        </w:tc>
        <w:tc>
          <w:tcPr>
            <w:tcW w:w="2567" w:type="dxa"/>
            <w:vAlign w:val="center"/>
          </w:tcPr>
          <w:p>
            <w:pPr>
              <w:jc w:val="center"/>
              <w:rPr>
                <w:rFonts w:ascii="Times New Roman" w:hAnsi="Times New Roman"/>
                <w:szCs w:val="21"/>
              </w:rPr>
            </w:pPr>
            <w:r>
              <w:rPr>
                <w:rFonts w:ascii="Times New Roman" w:hAnsi="Times New Roman"/>
                <w:szCs w:val="21"/>
              </w:rPr>
              <w:t>1.0</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7" w:type="dxa"/>
            <w:vAlign w:val="center"/>
          </w:tcPr>
          <w:p>
            <w:pPr>
              <w:jc w:val="center"/>
              <w:rPr>
                <w:rFonts w:ascii="Times New Roman" w:hAnsi="Times New Roman"/>
                <w:szCs w:val="21"/>
              </w:rPr>
            </w:pPr>
            <w:r>
              <w:rPr>
                <w:rFonts w:ascii="Times New Roman" w:hAnsi="Times New Roman"/>
                <w:szCs w:val="21"/>
              </w:rPr>
              <w:t>挥发酚</w:t>
            </w:r>
          </w:p>
        </w:tc>
        <w:tc>
          <w:tcPr>
            <w:tcW w:w="2305" w:type="dxa"/>
            <w:vAlign w:val="center"/>
          </w:tcPr>
          <w:p>
            <w:pPr>
              <w:jc w:val="center"/>
              <w:rPr>
                <w:rFonts w:ascii="Times New Roman" w:hAnsi="Times New Roman"/>
                <w:szCs w:val="21"/>
              </w:rPr>
            </w:pPr>
            <w:r>
              <w:rPr>
                <w:rFonts w:ascii="Times New Roman" w:hAnsi="Times New Roman"/>
                <w:szCs w:val="21"/>
              </w:rPr>
              <w:t>80</w:t>
            </w:r>
          </w:p>
        </w:tc>
        <w:tc>
          <w:tcPr>
            <w:tcW w:w="2567" w:type="dxa"/>
            <w:vAlign w:val="center"/>
          </w:tcPr>
          <w:p>
            <w:pPr>
              <w:jc w:val="center"/>
              <w:rPr>
                <w:rFonts w:ascii="Times New Roman" w:hAnsi="Times New Roman"/>
                <w:szCs w:val="21"/>
              </w:rPr>
            </w:pPr>
            <w:r>
              <w:rPr>
                <w:rFonts w:ascii="Times New Roman" w:hAnsi="Times New Roman"/>
                <w:szCs w:val="21"/>
              </w:rPr>
              <w:t>0.5</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悬浮物</w:t>
            </w:r>
          </w:p>
        </w:tc>
        <w:tc>
          <w:tcPr>
            <w:tcW w:w="2305" w:type="dxa"/>
            <w:vAlign w:val="center"/>
          </w:tcPr>
          <w:p>
            <w:pPr>
              <w:jc w:val="center"/>
              <w:rPr>
                <w:rFonts w:ascii="Times New Roman" w:hAnsi="Times New Roman"/>
                <w:szCs w:val="21"/>
              </w:rPr>
            </w:pPr>
            <w:r>
              <w:rPr>
                <w:rFonts w:ascii="Times New Roman" w:hAnsi="Times New Roman"/>
                <w:szCs w:val="21"/>
              </w:rPr>
              <w:t>——</w:t>
            </w:r>
          </w:p>
        </w:tc>
        <w:tc>
          <w:tcPr>
            <w:tcW w:w="2567" w:type="dxa"/>
            <w:vAlign w:val="center"/>
          </w:tcPr>
          <w:p>
            <w:pPr>
              <w:jc w:val="center"/>
              <w:rPr>
                <w:rFonts w:ascii="Times New Roman" w:hAnsi="Times New Roman"/>
                <w:szCs w:val="21"/>
              </w:rPr>
            </w:pPr>
            <w:r>
              <w:rPr>
                <w:rFonts w:ascii="Times New Roman" w:hAnsi="Times New Roman"/>
                <w:szCs w:val="21"/>
              </w:rPr>
              <w:t>——</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b/>
                <w:bCs/>
                <w:szCs w:val="21"/>
              </w:rPr>
              <w:t>执行标准</w:t>
            </w:r>
          </w:p>
        </w:tc>
        <w:tc>
          <w:tcPr>
            <w:tcW w:w="2305" w:type="dxa"/>
            <w:vAlign w:val="center"/>
          </w:tcPr>
          <w:p>
            <w:pPr>
              <w:jc w:val="center"/>
              <w:rPr>
                <w:rFonts w:ascii="Times New Roman" w:hAnsi="Times New Roman"/>
              </w:rPr>
            </w:pPr>
            <w:r>
              <w:rPr>
                <w:rFonts w:ascii="Times New Roman" w:hAnsi="Times New Roman"/>
              </w:rPr>
              <w:t>长岭分公司第一污水场进水水质标准要求</w:t>
            </w:r>
          </w:p>
          <w:p>
            <w:pPr>
              <w:rPr>
                <w:rFonts w:ascii="Times New Roman" w:hAnsi="Times New Roman"/>
                <w:szCs w:val="21"/>
              </w:rPr>
            </w:pPr>
          </w:p>
        </w:tc>
        <w:tc>
          <w:tcPr>
            <w:tcW w:w="2567" w:type="dxa"/>
            <w:vAlign w:val="center"/>
          </w:tcPr>
          <w:p>
            <w:pPr>
              <w:jc w:val="center"/>
              <w:rPr>
                <w:rFonts w:ascii="Times New Roman" w:hAnsi="Times New Roman"/>
                <w:szCs w:val="21"/>
              </w:rPr>
            </w:pPr>
            <w:r>
              <w:rPr>
                <w:rFonts w:ascii="Times New Roman" w:hAnsi="Times New Roman"/>
              </w:rPr>
              <w:t>《石油炼制工业污染物排放标准》（GB31570-2015）表1间接排放标准</w:t>
            </w:r>
          </w:p>
        </w:tc>
        <w:tc>
          <w:tcPr>
            <w:tcW w:w="1056"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pH</w:t>
            </w:r>
          </w:p>
        </w:tc>
        <w:tc>
          <w:tcPr>
            <w:tcW w:w="4872" w:type="dxa"/>
            <w:gridSpan w:val="2"/>
            <w:vAlign w:val="center"/>
          </w:tcPr>
          <w:p>
            <w:pPr>
              <w:jc w:val="center"/>
              <w:rPr>
                <w:rFonts w:ascii="Times New Roman" w:hAnsi="Times New Roman"/>
                <w:szCs w:val="21"/>
              </w:rPr>
            </w:pPr>
            <w:r>
              <w:rPr>
                <w:rFonts w:ascii="Times New Roman" w:hAnsi="Times New Roman"/>
                <w:szCs w:val="21"/>
              </w:rPr>
              <w:t>6~9（无量纲）</w:t>
            </w:r>
          </w:p>
        </w:tc>
        <w:tc>
          <w:tcPr>
            <w:tcW w:w="1056" w:type="dxa"/>
            <w:vMerge w:val="restart"/>
            <w:vAlign w:val="center"/>
          </w:tcPr>
          <w:p>
            <w:pPr>
              <w:jc w:val="center"/>
              <w:rPr>
                <w:rFonts w:ascii="Times New Roman" w:hAnsi="Times New Roman"/>
                <w:szCs w:val="21"/>
              </w:rPr>
            </w:pPr>
            <w:r>
              <w:rPr>
                <w:rFonts w:ascii="Times New Roman" w:hAnsi="Times New Roman"/>
                <w:szCs w:val="21"/>
              </w:rPr>
              <w:t>长岭污水处理厂总排口执行标准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4872" w:type="dxa"/>
            <w:gridSpan w:val="2"/>
            <w:vAlign w:val="center"/>
          </w:tcPr>
          <w:p>
            <w:pPr>
              <w:jc w:val="center"/>
              <w:rPr>
                <w:rFonts w:ascii="Times New Roman" w:hAnsi="Times New Roman"/>
                <w:szCs w:val="21"/>
              </w:rPr>
            </w:pPr>
            <w:r>
              <w:rPr>
                <w:rFonts w:ascii="Times New Roman" w:hAnsi="Times New Roman"/>
                <w:szCs w:val="21"/>
              </w:rPr>
              <w:t>60</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szCs w:val="21"/>
              </w:rPr>
            </w:pPr>
            <w:r>
              <w:rPr>
                <w:rFonts w:ascii="Times New Roman" w:hAnsi="Times New Roman"/>
                <w:szCs w:val="21"/>
              </w:rPr>
              <w:t>氨氮</w:t>
            </w:r>
          </w:p>
        </w:tc>
        <w:tc>
          <w:tcPr>
            <w:tcW w:w="4872" w:type="dxa"/>
            <w:gridSpan w:val="2"/>
            <w:vAlign w:val="center"/>
          </w:tcPr>
          <w:p>
            <w:pPr>
              <w:jc w:val="center"/>
              <w:rPr>
                <w:rFonts w:ascii="Times New Roman" w:hAnsi="Times New Roman"/>
                <w:szCs w:val="21"/>
              </w:rPr>
            </w:pPr>
            <w:r>
              <w:rPr>
                <w:rFonts w:hint="eastAsia" w:ascii="Times New Roman" w:hAnsi="Times New Roman"/>
                <w:szCs w:val="21"/>
                <w:lang w:val="en-US" w:eastAsia="zh-CN"/>
              </w:rPr>
              <w:t>8.0</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rPr>
            </w:pPr>
            <w:r>
              <w:rPr>
                <w:rFonts w:ascii="Times New Roman" w:hAnsi="Times New Roman"/>
                <w:szCs w:val="21"/>
              </w:rPr>
              <w:t>石油类</w:t>
            </w:r>
          </w:p>
        </w:tc>
        <w:tc>
          <w:tcPr>
            <w:tcW w:w="4872" w:type="dxa"/>
            <w:gridSpan w:val="2"/>
            <w:vAlign w:val="center"/>
          </w:tcPr>
          <w:p>
            <w:pPr>
              <w:jc w:val="center"/>
              <w:rPr>
                <w:rFonts w:ascii="Times New Roman" w:hAnsi="Times New Roman"/>
                <w:szCs w:val="21"/>
              </w:rPr>
            </w:pPr>
            <w:r>
              <w:rPr>
                <w:rFonts w:ascii="Times New Roman" w:hAnsi="Times New Roman"/>
                <w:szCs w:val="21"/>
              </w:rPr>
              <w:t>5.0</w:t>
            </w:r>
          </w:p>
        </w:tc>
        <w:tc>
          <w:tcPr>
            <w:tcW w:w="1056" w:type="dxa"/>
            <w:vMerge w:val="continue"/>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rPr>
            </w:pPr>
            <w:r>
              <w:rPr>
                <w:rFonts w:ascii="Times New Roman" w:hAnsi="Times New Roman"/>
                <w:szCs w:val="21"/>
              </w:rPr>
              <w:t>硫化物</w:t>
            </w:r>
          </w:p>
        </w:tc>
        <w:tc>
          <w:tcPr>
            <w:tcW w:w="4872" w:type="dxa"/>
            <w:gridSpan w:val="2"/>
            <w:vAlign w:val="center"/>
          </w:tcPr>
          <w:p>
            <w:pPr>
              <w:jc w:val="center"/>
              <w:rPr>
                <w:rFonts w:ascii="Times New Roman" w:hAnsi="Times New Roman"/>
              </w:rPr>
            </w:pPr>
            <w:r>
              <w:rPr>
                <w:rFonts w:ascii="Times New Roman" w:hAnsi="Times New Roman"/>
              </w:rPr>
              <w:t>1.0</w:t>
            </w:r>
          </w:p>
        </w:tc>
        <w:tc>
          <w:tcPr>
            <w:tcW w:w="1056"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rPr>
            </w:pPr>
            <w:r>
              <w:rPr>
                <w:rFonts w:ascii="Times New Roman" w:hAnsi="Times New Roman"/>
                <w:szCs w:val="21"/>
              </w:rPr>
              <w:t>挥发酚</w:t>
            </w:r>
          </w:p>
        </w:tc>
        <w:tc>
          <w:tcPr>
            <w:tcW w:w="4872" w:type="dxa"/>
            <w:gridSpan w:val="2"/>
            <w:vAlign w:val="center"/>
          </w:tcPr>
          <w:p>
            <w:pPr>
              <w:jc w:val="center"/>
              <w:rPr>
                <w:rFonts w:ascii="Times New Roman" w:hAnsi="Times New Roman"/>
              </w:rPr>
            </w:pPr>
            <w:r>
              <w:rPr>
                <w:rFonts w:ascii="Times New Roman" w:hAnsi="Times New Roman"/>
              </w:rPr>
              <w:t>0.5</w:t>
            </w:r>
          </w:p>
        </w:tc>
        <w:tc>
          <w:tcPr>
            <w:tcW w:w="1056"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rPr>
            </w:pPr>
            <w:r>
              <w:rPr>
                <w:rFonts w:ascii="Times New Roman" w:hAnsi="Times New Roman"/>
              </w:rPr>
              <w:t>悬浮物</w:t>
            </w:r>
          </w:p>
        </w:tc>
        <w:tc>
          <w:tcPr>
            <w:tcW w:w="4872" w:type="dxa"/>
            <w:gridSpan w:val="2"/>
            <w:vAlign w:val="center"/>
          </w:tcPr>
          <w:p>
            <w:pPr>
              <w:jc w:val="center"/>
              <w:rPr>
                <w:rFonts w:ascii="Times New Roman" w:hAnsi="Times New Roman"/>
              </w:rPr>
            </w:pPr>
            <w:r>
              <w:rPr>
                <w:rFonts w:ascii="Times New Roman" w:hAnsi="Times New Roman"/>
              </w:rPr>
              <w:t>70</w:t>
            </w:r>
          </w:p>
        </w:tc>
        <w:tc>
          <w:tcPr>
            <w:tcW w:w="1056" w:type="dxa"/>
            <w:vMerge w:val="continue"/>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47" w:type="dxa"/>
            <w:vAlign w:val="center"/>
          </w:tcPr>
          <w:p>
            <w:pPr>
              <w:jc w:val="center"/>
              <w:rPr>
                <w:rFonts w:ascii="Times New Roman" w:hAnsi="Times New Roman"/>
              </w:rPr>
            </w:pPr>
            <w:r>
              <w:rPr>
                <w:rFonts w:ascii="Times New Roman" w:hAnsi="Times New Roman"/>
                <w:b/>
                <w:bCs/>
                <w:szCs w:val="21"/>
              </w:rPr>
              <w:t>执行标准</w:t>
            </w:r>
          </w:p>
        </w:tc>
        <w:tc>
          <w:tcPr>
            <w:tcW w:w="4872" w:type="dxa"/>
            <w:gridSpan w:val="2"/>
            <w:vAlign w:val="center"/>
          </w:tcPr>
          <w:p>
            <w:pPr>
              <w:jc w:val="center"/>
              <w:rPr>
                <w:rFonts w:hint="eastAsia" w:ascii="Times New Roman" w:hAnsi="Times New Roman" w:eastAsia="宋体"/>
                <w:szCs w:val="21"/>
                <w:lang w:val="en-US" w:eastAsia="zh-CN"/>
              </w:rPr>
            </w:pPr>
            <w:r>
              <w:rPr>
                <w:rFonts w:ascii="Times New Roman" w:hAnsi="Times New Roman"/>
                <w:szCs w:val="21"/>
              </w:rPr>
              <w:t>《石油炼制工业污染物排放标准》（GB31570-2015）表1</w:t>
            </w:r>
          </w:p>
        </w:tc>
        <w:tc>
          <w:tcPr>
            <w:tcW w:w="1056" w:type="dxa"/>
            <w:vMerge w:val="continue"/>
            <w:vAlign w:val="center"/>
          </w:tcPr>
          <w:p>
            <w:pPr>
              <w:jc w:val="center"/>
              <w:rPr>
                <w:rFonts w:ascii="Times New Roman" w:hAnsi="Times New Roman"/>
                <w:szCs w:val="21"/>
              </w:rPr>
            </w:pPr>
          </w:p>
        </w:tc>
      </w:tr>
    </w:tbl>
    <w:p>
      <w:pPr>
        <w:pStyle w:val="39"/>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0" w:firstLineChars="0"/>
        <w:rPr>
          <w:rFonts w:ascii="Times New Roman" w:hAnsi="Times New Roman" w:cs="Times New Roman"/>
        </w:rPr>
      </w:pPr>
    </w:p>
    <w:p>
      <w:pPr>
        <w:pStyle w:val="5"/>
        <w:spacing w:line="480" w:lineRule="exact"/>
        <w:ind w:firstLine="480"/>
        <w:rPr>
          <w:rFonts w:ascii="Times New Roman" w:hAnsi="Times New Roman" w:cs="Times New Roman"/>
        </w:rPr>
      </w:pPr>
      <w:r>
        <w:rPr>
          <w:rFonts w:ascii="Times New Roman" w:hAnsi="Times New Roman" w:cs="Times New Roman"/>
        </w:rPr>
        <w:t>（3）噪声排放标准</w:t>
      </w:r>
    </w:p>
    <w:p>
      <w:pPr>
        <w:pStyle w:val="5"/>
        <w:spacing w:line="480" w:lineRule="exact"/>
        <w:ind w:firstLine="480"/>
        <w:rPr>
          <w:rFonts w:ascii="Times New Roman" w:hAnsi="Times New Roman" w:cs="Times New Roman"/>
        </w:rPr>
      </w:pPr>
      <w:r>
        <w:rPr>
          <w:rFonts w:ascii="Times New Roman" w:hAnsi="Times New Roman" w:cs="Times New Roman"/>
        </w:rPr>
        <w:t>项目施工期噪声执行《建筑施工场界环境噪声排放标准》（GB12523-2011）；运营期噪声执行《工业企业厂界环境噪声排放标准》（GB12348-2008）中的3类标准</w:t>
      </w:r>
      <w:bookmarkEnd w:id="104"/>
      <w:bookmarkEnd w:id="105"/>
      <w:bookmarkEnd w:id="106"/>
      <w:bookmarkEnd w:id="107"/>
      <w:r>
        <w:rPr>
          <w:rFonts w:ascii="Times New Roman" w:hAnsi="Times New Roman" w:cs="Times New Roman"/>
        </w:rPr>
        <w:t>。</w:t>
      </w:r>
    </w:p>
    <w:p>
      <w:pPr>
        <w:pStyle w:val="18"/>
        <w:spacing w:line="480" w:lineRule="exact"/>
        <w:ind w:firstLine="482" w:firstLineChars="200"/>
      </w:pPr>
    </w:p>
    <w:p>
      <w:pPr>
        <w:pStyle w:val="18"/>
        <w:spacing w:line="480" w:lineRule="exact"/>
        <w:ind w:firstLine="482" w:firstLineChars="200"/>
        <w:rPr>
          <w:sz w:val="21"/>
          <w:szCs w:val="21"/>
        </w:rPr>
      </w:pPr>
      <w:r>
        <w:t>表 1.4.2-4</w:t>
      </w:r>
      <w:r>
        <w:rPr>
          <w:sz w:val="21"/>
          <w:szCs w:val="21"/>
        </w:rPr>
        <w:t xml:space="preserve">  </w:t>
      </w:r>
      <w:r>
        <w:t>噪声排放标准一览表（单位：dB（A））</w:t>
      </w:r>
    </w:p>
    <w:tbl>
      <w:tblPr>
        <w:tblStyle w:val="45"/>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991"/>
        <w:gridCol w:w="709"/>
        <w:gridCol w:w="756"/>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5" w:type="dxa"/>
            <w:vAlign w:val="center"/>
          </w:tcPr>
          <w:p>
            <w:pPr>
              <w:spacing w:line="360" w:lineRule="exact"/>
              <w:jc w:val="center"/>
              <w:rPr>
                <w:rFonts w:ascii="Times New Roman" w:hAnsi="Times New Roman"/>
                <w:b/>
                <w:szCs w:val="21"/>
              </w:rPr>
            </w:pPr>
            <w:r>
              <w:rPr>
                <w:rFonts w:ascii="Times New Roman" w:hAnsi="Times New Roman"/>
                <w:b/>
                <w:szCs w:val="21"/>
              </w:rPr>
              <w:t>噪声</w:t>
            </w:r>
          </w:p>
        </w:tc>
        <w:tc>
          <w:tcPr>
            <w:tcW w:w="991" w:type="dxa"/>
            <w:vAlign w:val="center"/>
          </w:tcPr>
          <w:p>
            <w:pPr>
              <w:spacing w:line="360" w:lineRule="exact"/>
              <w:jc w:val="center"/>
              <w:rPr>
                <w:rFonts w:ascii="Times New Roman" w:hAnsi="Times New Roman"/>
                <w:b/>
                <w:szCs w:val="21"/>
              </w:rPr>
            </w:pPr>
            <w:r>
              <w:rPr>
                <w:rFonts w:ascii="Times New Roman" w:hAnsi="Times New Roman"/>
                <w:b/>
                <w:szCs w:val="21"/>
              </w:rPr>
              <w:t>阶段</w:t>
            </w:r>
          </w:p>
        </w:tc>
        <w:tc>
          <w:tcPr>
            <w:tcW w:w="709" w:type="dxa"/>
            <w:vAlign w:val="center"/>
          </w:tcPr>
          <w:p>
            <w:pPr>
              <w:spacing w:line="360" w:lineRule="exact"/>
              <w:jc w:val="center"/>
              <w:rPr>
                <w:rFonts w:ascii="Times New Roman" w:hAnsi="Times New Roman"/>
                <w:b/>
                <w:szCs w:val="21"/>
              </w:rPr>
            </w:pPr>
            <w:r>
              <w:rPr>
                <w:rFonts w:ascii="Times New Roman" w:hAnsi="Times New Roman"/>
                <w:b/>
                <w:szCs w:val="21"/>
              </w:rPr>
              <w:t>昼间</w:t>
            </w:r>
          </w:p>
        </w:tc>
        <w:tc>
          <w:tcPr>
            <w:tcW w:w="756" w:type="dxa"/>
            <w:vAlign w:val="center"/>
          </w:tcPr>
          <w:p>
            <w:pPr>
              <w:spacing w:line="360" w:lineRule="exact"/>
              <w:jc w:val="center"/>
              <w:rPr>
                <w:rFonts w:ascii="Times New Roman" w:hAnsi="Times New Roman"/>
                <w:b/>
                <w:szCs w:val="21"/>
              </w:rPr>
            </w:pPr>
            <w:r>
              <w:rPr>
                <w:rFonts w:ascii="Times New Roman" w:hAnsi="Times New Roman"/>
                <w:b/>
                <w:szCs w:val="21"/>
              </w:rPr>
              <w:t>夜间</w:t>
            </w:r>
          </w:p>
        </w:tc>
        <w:tc>
          <w:tcPr>
            <w:tcW w:w="4994" w:type="dxa"/>
            <w:vAlign w:val="center"/>
          </w:tcPr>
          <w:p>
            <w:pPr>
              <w:spacing w:line="360" w:lineRule="exact"/>
              <w:jc w:val="center"/>
              <w:rPr>
                <w:rFonts w:ascii="Times New Roman" w:hAnsi="Times New Roman"/>
                <w:b/>
                <w:spacing w:val="-10"/>
                <w:szCs w:val="21"/>
              </w:rPr>
            </w:pPr>
            <w:r>
              <w:rPr>
                <w:rFonts w:ascii="Times New Roman" w:hAnsi="Times New Roman"/>
                <w:b/>
                <w:spacing w:val="-1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5" w:type="dxa"/>
            <w:vMerge w:val="restart"/>
            <w:vAlign w:val="center"/>
          </w:tcPr>
          <w:p>
            <w:pPr>
              <w:spacing w:line="360" w:lineRule="exact"/>
              <w:jc w:val="center"/>
              <w:rPr>
                <w:rFonts w:ascii="Times New Roman" w:hAnsi="Times New Roman"/>
                <w:szCs w:val="21"/>
              </w:rPr>
            </w:pPr>
            <w:r>
              <w:rPr>
                <w:rFonts w:ascii="Times New Roman" w:hAnsi="Times New Roman"/>
                <w:szCs w:val="21"/>
              </w:rPr>
              <w:t>等效连续A声级</w:t>
            </w:r>
          </w:p>
        </w:tc>
        <w:tc>
          <w:tcPr>
            <w:tcW w:w="991" w:type="dxa"/>
            <w:vAlign w:val="center"/>
          </w:tcPr>
          <w:p>
            <w:pPr>
              <w:spacing w:line="360" w:lineRule="exact"/>
              <w:jc w:val="center"/>
              <w:rPr>
                <w:rFonts w:ascii="Times New Roman" w:hAnsi="Times New Roman"/>
                <w:szCs w:val="21"/>
              </w:rPr>
            </w:pPr>
            <w:r>
              <w:rPr>
                <w:rFonts w:ascii="Times New Roman" w:hAnsi="Times New Roman"/>
                <w:szCs w:val="21"/>
              </w:rPr>
              <w:t>施工期</w:t>
            </w:r>
          </w:p>
        </w:tc>
        <w:tc>
          <w:tcPr>
            <w:tcW w:w="709" w:type="dxa"/>
            <w:vAlign w:val="center"/>
          </w:tcPr>
          <w:p>
            <w:pPr>
              <w:spacing w:line="360" w:lineRule="exact"/>
              <w:jc w:val="center"/>
              <w:rPr>
                <w:rFonts w:ascii="Times New Roman" w:hAnsi="Times New Roman"/>
                <w:szCs w:val="21"/>
              </w:rPr>
            </w:pPr>
            <w:r>
              <w:rPr>
                <w:rFonts w:ascii="Times New Roman" w:hAnsi="Times New Roman"/>
                <w:szCs w:val="21"/>
                <w:lang w:val="zh-CN"/>
              </w:rPr>
              <w:t>70</w:t>
            </w:r>
          </w:p>
        </w:tc>
        <w:tc>
          <w:tcPr>
            <w:tcW w:w="756" w:type="dxa"/>
            <w:vAlign w:val="center"/>
          </w:tcPr>
          <w:p>
            <w:pPr>
              <w:spacing w:line="360" w:lineRule="exact"/>
              <w:jc w:val="center"/>
              <w:rPr>
                <w:rFonts w:ascii="Times New Roman" w:hAnsi="Times New Roman"/>
                <w:szCs w:val="21"/>
              </w:rPr>
            </w:pPr>
            <w:r>
              <w:rPr>
                <w:rFonts w:ascii="Times New Roman" w:hAnsi="Times New Roman"/>
                <w:szCs w:val="21"/>
                <w:lang w:val="zh-CN"/>
              </w:rPr>
              <w:t>55</w:t>
            </w:r>
          </w:p>
        </w:tc>
        <w:tc>
          <w:tcPr>
            <w:tcW w:w="4994" w:type="dxa"/>
            <w:vAlign w:val="center"/>
          </w:tcPr>
          <w:p>
            <w:pPr>
              <w:spacing w:line="360" w:lineRule="exact"/>
              <w:jc w:val="center"/>
              <w:rPr>
                <w:rFonts w:ascii="Times New Roman" w:hAnsi="Times New Roman"/>
                <w:spacing w:val="-10"/>
                <w:szCs w:val="21"/>
              </w:rPr>
            </w:pPr>
            <w:r>
              <w:rPr>
                <w:rFonts w:ascii="Times New Roman" w:hAnsi="Times New Roman"/>
                <w:bCs/>
                <w:spacing w:val="-10"/>
                <w:szCs w:val="21"/>
              </w:rPr>
              <w:t>《建筑施工场界环境噪声排放标准》</w:t>
            </w:r>
            <w:r>
              <w:rPr>
                <w:rFonts w:ascii="Times New Roman" w:hAnsi="Times New Roman"/>
                <w:spacing w:val="-10"/>
                <w:szCs w:val="21"/>
              </w:rPr>
              <w:t>（GB12523-2011）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5" w:type="dxa"/>
            <w:vMerge w:val="continue"/>
            <w:vAlign w:val="center"/>
          </w:tcPr>
          <w:p>
            <w:pPr>
              <w:rPr>
                <w:rFonts w:ascii="Times New Roman" w:hAnsi="Times New Roman"/>
              </w:rPr>
            </w:pPr>
          </w:p>
        </w:tc>
        <w:tc>
          <w:tcPr>
            <w:tcW w:w="991" w:type="dxa"/>
            <w:vAlign w:val="center"/>
          </w:tcPr>
          <w:p>
            <w:pPr>
              <w:spacing w:line="360" w:lineRule="exact"/>
              <w:jc w:val="center"/>
              <w:rPr>
                <w:rFonts w:ascii="Times New Roman" w:hAnsi="Times New Roman"/>
                <w:szCs w:val="21"/>
              </w:rPr>
            </w:pPr>
            <w:r>
              <w:rPr>
                <w:rFonts w:ascii="Times New Roman" w:hAnsi="Times New Roman"/>
                <w:szCs w:val="21"/>
              </w:rPr>
              <w:t>运营期</w:t>
            </w:r>
          </w:p>
        </w:tc>
        <w:tc>
          <w:tcPr>
            <w:tcW w:w="709" w:type="dxa"/>
            <w:vAlign w:val="center"/>
          </w:tcPr>
          <w:p>
            <w:pPr>
              <w:spacing w:line="360" w:lineRule="exact"/>
              <w:jc w:val="center"/>
              <w:rPr>
                <w:rFonts w:ascii="Times New Roman" w:hAnsi="Times New Roman"/>
                <w:szCs w:val="21"/>
              </w:rPr>
            </w:pPr>
            <w:r>
              <w:rPr>
                <w:rFonts w:ascii="Times New Roman" w:hAnsi="Times New Roman"/>
                <w:szCs w:val="21"/>
              </w:rPr>
              <w:t>65</w:t>
            </w:r>
          </w:p>
        </w:tc>
        <w:tc>
          <w:tcPr>
            <w:tcW w:w="756" w:type="dxa"/>
            <w:vAlign w:val="center"/>
          </w:tcPr>
          <w:p>
            <w:pPr>
              <w:spacing w:line="360" w:lineRule="exact"/>
              <w:jc w:val="center"/>
              <w:rPr>
                <w:rFonts w:ascii="Times New Roman" w:hAnsi="Times New Roman"/>
                <w:szCs w:val="21"/>
              </w:rPr>
            </w:pPr>
            <w:r>
              <w:rPr>
                <w:rFonts w:ascii="Times New Roman" w:hAnsi="Times New Roman"/>
                <w:szCs w:val="21"/>
              </w:rPr>
              <w:t>55</w:t>
            </w:r>
          </w:p>
        </w:tc>
        <w:tc>
          <w:tcPr>
            <w:tcW w:w="4994" w:type="dxa"/>
            <w:vAlign w:val="center"/>
          </w:tcPr>
          <w:p>
            <w:pPr>
              <w:spacing w:line="360" w:lineRule="exact"/>
              <w:jc w:val="center"/>
              <w:rPr>
                <w:rFonts w:ascii="Times New Roman" w:hAnsi="Times New Roman"/>
                <w:spacing w:val="-10"/>
                <w:szCs w:val="21"/>
              </w:rPr>
            </w:pPr>
            <w:r>
              <w:rPr>
                <w:rFonts w:ascii="Times New Roman" w:hAnsi="Times New Roman"/>
                <w:spacing w:val="-10"/>
                <w:szCs w:val="21"/>
              </w:rPr>
              <w:t>《工业企业厂界环境噪声排放标准》(GB12348-2008)3类</w:t>
            </w:r>
          </w:p>
        </w:tc>
      </w:tr>
    </w:tbl>
    <w:p>
      <w:pPr>
        <w:pStyle w:val="8"/>
        <w:numPr>
          <w:ilvl w:val="3"/>
          <w:numId w:val="0"/>
        </w:numPr>
        <w:spacing w:line="480" w:lineRule="exact"/>
        <w:ind w:left="420" w:leftChars="200"/>
        <w:rPr>
          <w:bCs w:val="0"/>
          <w:szCs w:val="20"/>
        </w:rPr>
      </w:pPr>
      <w:r>
        <w:rPr>
          <w:bCs w:val="0"/>
          <w:szCs w:val="20"/>
        </w:rPr>
        <w:t>（4）固体废物污染控制标准</w:t>
      </w:r>
    </w:p>
    <w:p>
      <w:pPr>
        <w:pStyle w:val="5"/>
        <w:spacing w:line="480" w:lineRule="exact"/>
        <w:ind w:firstLine="480"/>
        <w:rPr>
          <w:rFonts w:ascii="Times New Roman" w:hAnsi="Times New Roman" w:cs="Times New Roman"/>
          <w:szCs w:val="24"/>
        </w:rPr>
      </w:pPr>
      <w:r>
        <w:rPr>
          <w:rFonts w:ascii="Times New Roman" w:hAnsi="Times New Roman" w:cs="Times New Roman"/>
        </w:rPr>
        <w:t>一般固废执行《一般工业固体废物贮存、处置场污染控制</w:t>
      </w:r>
      <w:r>
        <w:rPr>
          <w:rFonts w:ascii="Times New Roman" w:hAnsi="Times New Roman" w:cs="Times New Roman"/>
          <w:szCs w:val="24"/>
        </w:rPr>
        <w:t>标准》（GB18599-2001）及2013年修改单</w:t>
      </w:r>
      <w:r>
        <w:rPr>
          <w:rFonts w:hint="eastAsia" w:ascii="Times New Roman" w:hAnsi="Times New Roman" w:cs="Times New Roman"/>
          <w:szCs w:val="24"/>
        </w:rPr>
        <w:t>，危险废物贮存执行《危险废物贮存污染控制标准》（GB18597-2001）及其2013年修改单要求和《危险废物收集 贮存 运输技术规范》（HJ2025-2012）相关标准</w:t>
      </w:r>
      <w:r>
        <w:rPr>
          <w:rFonts w:ascii="Times New Roman" w:hAnsi="Times New Roman" w:cs="Times New Roman"/>
        </w:rPr>
        <w:t>。</w:t>
      </w:r>
    </w:p>
    <w:p>
      <w:pPr>
        <w:pStyle w:val="6"/>
        <w:spacing w:before="156" w:after="156"/>
      </w:pPr>
      <w:bookmarkStart w:id="108" w:name="_Toc219258499"/>
      <w:bookmarkStart w:id="109" w:name="_Toc304810275"/>
      <w:bookmarkStart w:id="110" w:name="_Toc280188815"/>
      <w:bookmarkStart w:id="111" w:name="_Toc2308"/>
      <w:bookmarkStart w:id="112" w:name="_Toc306034525"/>
      <w:bookmarkStart w:id="113" w:name="_Toc1566"/>
      <w:bookmarkStart w:id="114" w:name="_Toc220122773"/>
      <w:bookmarkStart w:id="115" w:name="_Toc23724"/>
      <w:bookmarkStart w:id="116" w:name="_Toc1211"/>
      <w:r>
        <w:t>评价工作等级</w:t>
      </w:r>
      <w:bookmarkEnd w:id="108"/>
      <w:r>
        <w:t>及评价范围</w:t>
      </w:r>
      <w:bookmarkEnd w:id="109"/>
      <w:bookmarkEnd w:id="110"/>
      <w:bookmarkEnd w:id="111"/>
      <w:bookmarkEnd w:id="112"/>
      <w:bookmarkEnd w:id="113"/>
      <w:bookmarkEnd w:id="114"/>
      <w:bookmarkEnd w:id="115"/>
      <w:bookmarkEnd w:id="116"/>
    </w:p>
    <w:p>
      <w:pPr>
        <w:pStyle w:val="7"/>
        <w:spacing w:before="156" w:after="156"/>
        <w:rPr>
          <w:u w:val="single"/>
        </w:rPr>
      </w:pPr>
      <w:bookmarkStart w:id="117" w:name="_Toc13637"/>
      <w:bookmarkStart w:id="118" w:name="_Toc2793"/>
      <w:bookmarkStart w:id="119" w:name="_Toc10073"/>
      <w:r>
        <w:rPr>
          <w:u w:val="single"/>
        </w:rPr>
        <w:t>大气环境影响评价等级及范围</w:t>
      </w:r>
      <w:bookmarkEnd w:id="117"/>
      <w:bookmarkEnd w:id="118"/>
      <w:bookmarkEnd w:id="119"/>
    </w:p>
    <w:p>
      <w:pPr>
        <w:spacing w:line="360" w:lineRule="auto"/>
        <w:ind w:firstLine="510"/>
        <w:rPr>
          <w:rFonts w:ascii="Times New Roman" w:hAnsi="Times New Roman"/>
          <w:sz w:val="24"/>
          <w:u w:val="single"/>
        </w:rPr>
      </w:pPr>
      <w:r>
        <w:rPr>
          <w:rFonts w:ascii="Times New Roman" w:hAnsi="Times New Roman"/>
          <w:sz w:val="24"/>
          <w:u w:val="single"/>
        </w:rPr>
        <w:t>2018年8月1日以前，部分油泥浮渣送往热电作业部CFB锅炉掺烧，此方式消化浮渣量相对较大，为间断性掺炼。因无环评手续，2018年8月1日以后，生态环境局要求，未取得合理合法手续前，暂停浮渣回炼工作。为了取得环境影响评价数据，经向生态环境主管部门申请，长岭分公司于2020年3月起恢复“油泥浮渣”掺烧。运行后CFB锅炉烟气污染物包括烟尘、SO</w:t>
      </w:r>
      <w:r>
        <w:rPr>
          <w:rFonts w:ascii="Times New Roman" w:hAnsi="Times New Roman"/>
          <w:sz w:val="24"/>
          <w:u w:val="single"/>
          <w:vertAlign w:val="subscript"/>
        </w:rPr>
        <w:t>2</w:t>
      </w:r>
      <w:r>
        <w:rPr>
          <w:rFonts w:ascii="Times New Roman" w:hAnsi="Times New Roman"/>
          <w:sz w:val="24"/>
          <w:u w:val="single"/>
        </w:rPr>
        <w:t>、NO</w:t>
      </w:r>
      <w:r>
        <w:rPr>
          <w:rFonts w:ascii="Times New Roman" w:hAnsi="Times New Roman"/>
          <w:sz w:val="24"/>
          <w:u w:val="single"/>
          <w:vertAlign w:val="subscript"/>
        </w:rPr>
        <w:t>X</w:t>
      </w:r>
      <w:r>
        <w:rPr>
          <w:rFonts w:ascii="Times New Roman" w:hAnsi="Times New Roman"/>
          <w:sz w:val="24"/>
          <w:u w:val="single"/>
        </w:rPr>
        <w:t>、二噁英、重金属，经燃烧炉炉内脱硫，SCR烟气脱硝+布袋除尘 +石灰石—石膏法湿法脱硫后达标排放</w:t>
      </w:r>
      <w:r>
        <w:rPr>
          <w:rFonts w:ascii="Times New Roman" w:hAnsi="Times New Roman"/>
          <w:sz w:val="24"/>
          <w:szCs w:val="24"/>
          <w:u w:val="single"/>
        </w:rPr>
        <w:t>。因油泥浮渣占比少，约为1：55.7【30%含水率干泥4286吨（其中含水率90%的污泥换算成30%的干泥为1286吨）与煤焦（2019年用煤量158120.1吨，用焦量80792.66吨）比值】，同时具有较高热值（据相关文献记载，30%含水率的炼厂油泥热值与乙醇热值相当，为2.18×10</w:t>
      </w:r>
      <w:r>
        <w:rPr>
          <w:rFonts w:ascii="Times New Roman" w:hAnsi="Times New Roman"/>
          <w:sz w:val="24"/>
          <w:szCs w:val="24"/>
          <w:u w:val="single"/>
          <w:vertAlign w:val="superscript"/>
        </w:rPr>
        <w:t>7</w:t>
      </w:r>
      <w:r>
        <w:rPr>
          <w:rFonts w:ascii="Times New Roman" w:hAnsi="Times New Roman"/>
          <w:sz w:val="24"/>
          <w:szCs w:val="24"/>
          <w:u w:val="single"/>
        </w:rPr>
        <w:t>J/kg，煤的热值为2.9×10</w:t>
      </w:r>
      <w:r>
        <w:rPr>
          <w:rFonts w:ascii="Times New Roman" w:hAnsi="Times New Roman"/>
          <w:sz w:val="24"/>
          <w:szCs w:val="24"/>
          <w:u w:val="single"/>
          <w:vertAlign w:val="superscript"/>
        </w:rPr>
        <w:t>7</w:t>
      </w:r>
      <w:r>
        <w:rPr>
          <w:rFonts w:ascii="Times New Roman" w:hAnsi="Times New Roman"/>
          <w:sz w:val="24"/>
          <w:szCs w:val="24"/>
          <w:u w:val="single"/>
        </w:rPr>
        <w:t>J/kg），因此掺烧时能相应减少煤的使用量。</w:t>
      </w:r>
      <w:r>
        <w:rPr>
          <w:rFonts w:ascii="Times New Roman" w:hAnsi="Times New Roman"/>
          <w:sz w:val="24"/>
          <w:u w:val="single"/>
        </w:rPr>
        <w:t>经对比CFB锅炉2019年烟气排放统计数据及</w:t>
      </w:r>
      <w:r>
        <w:rPr>
          <w:rFonts w:ascii="Times New Roman" w:hAnsi="Times New Roman"/>
          <w:kern w:val="0"/>
          <w:sz w:val="24"/>
          <w:szCs w:val="24"/>
          <w:u w:val="single"/>
        </w:rPr>
        <w:t>湖南昌旭环保科技有限公司于2020年4月对CFB锅炉烟气监测数据</w:t>
      </w:r>
      <w:r>
        <w:rPr>
          <w:rFonts w:ascii="Times New Roman" w:hAnsi="Times New Roman"/>
          <w:sz w:val="24"/>
          <w:u w:val="single"/>
        </w:rPr>
        <w:t>，主要增加SO</w:t>
      </w:r>
      <w:r>
        <w:rPr>
          <w:rFonts w:ascii="Times New Roman" w:hAnsi="Times New Roman"/>
          <w:sz w:val="24"/>
          <w:u w:val="single"/>
          <w:vertAlign w:val="subscript"/>
        </w:rPr>
        <w:t>2</w:t>
      </w:r>
      <w:r>
        <w:rPr>
          <w:rFonts w:hint="default" w:ascii="Times New Roman" w:hAnsi="Times New Roman"/>
          <w:sz w:val="24"/>
          <w:u w:val="single"/>
          <w:vertAlign w:val="baseline"/>
          <w:lang w:val="en-US" w:eastAsia="zh-CN"/>
        </w:rPr>
        <w:t>及</w:t>
      </w:r>
      <w:r>
        <w:rPr>
          <w:rFonts w:ascii="Times New Roman" w:hAnsi="Times New Roman"/>
          <w:sz w:val="24"/>
          <w:u w:val="single"/>
        </w:rPr>
        <w:t>少量</w:t>
      </w:r>
      <w:r>
        <w:rPr>
          <w:rFonts w:hint="eastAsia" w:ascii="Times New Roman" w:hAnsi="Times New Roman"/>
          <w:sz w:val="24"/>
          <w:u w:val="single"/>
          <w:lang w:val="en-US" w:eastAsia="zh-CN"/>
        </w:rPr>
        <w:t>烟尘</w:t>
      </w:r>
      <w:r>
        <w:rPr>
          <w:rFonts w:ascii="Times New Roman" w:hAnsi="Times New Roman"/>
          <w:sz w:val="24"/>
          <w:u w:val="single"/>
        </w:rPr>
        <w:t>污染物排</w:t>
      </w:r>
      <w:r>
        <w:rPr>
          <w:rFonts w:hint="eastAsia" w:ascii="Times New Roman" w:hAnsi="Times New Roman"/>
          <w:sz w:val="24"/>
          <w:u w:val="single"/>
          <w:lang w:val="en-US" w:eastAsia="zh-CN"/>
        </w:rPr>
        <w:t>的</w:t>
      </w:r>
      <w:r>
        <w:rPr>
          <w:rFonts w:ascii="Times New Roman" w:hAnsi="Times New Roman"/>
          <w:sz w:val="24"/>
          <w:u w:val="single"/>
        </w:rPr>
        <w:t>放量。</w:t>
      </w:r>
      <w:r>
        <w:rPr>
          <w:rFonts w:ascii="Times New Roman" w:hAnsi="Times New Roman"/>
          <w:sz w:val="24"/>
          <w:szCs w:val="24"/>
          <w:u w:val="single"/>
        </w:rPr>
        <w:t>本项目投运后产生的无组织污染物主要为干泥掺混时挥发的少量</w:t>
      </w:r>
      <w:r>
        <w:rPr>
          <w:rFonts w:ascii="Times New Roman" w:hAnsi="Times New Roman"/>
          <w:sz w:val="24"/>
          <w:u w:val="single"/>
        </w:rPr>
        <w:t>H</w:t>
      </w:r>
      <w:r>
        <w:rPr>
          <w:rFonts w:ascii="Times New Roman" w:hAnsi="Times New Roman"/>
          <w:sz w:val="24"/>
          <w:u w:val="single"/>
          <w:vertAlign w:val="subscript"/>
        </w:rPr>
        <w:t>2</w:t>
      </w:r>
      <w:r>
        <w:rPr>
          <w:rFonts w:ascii="Times New Roman" w:hAnsi="Times New Roman"/>
          <w:sz w:val="24"/>
          <w:u w:val="single"/>
        </w:rPr>
        <w:t>S、NH</w:t>
      </w:r>
      <w:r>
        <w:rPr>
          <w:rFonts w:ascii="Times New Roman" w:hAnsi="Times New Roman"/>
          <w:sz w:val="24"/>
          <w:u w:val="single"/>
          <w:vertAlign w:val="subscript"/>
        </w:rPr>
        <w:t>3</w:t>
      </w:r>
      <w:r>
        <w:rPr>
          <w:rFonts w:ascii="Times New Roman" w:hAnsi="Times New Roman"/>
          <w:sz w:val="24"/>
          <w:u w:val="single"/>
        </w:rPr>
        <w:t>。</w:t>
      </w:r>
    </w:p>
    <w:p>
      <w:pPr>
        <w:spacing w:line="360" w:lineRule="auto"/>
        <w:ind w:firstLine="480" w:firstLineChars="200"/>
        <w:rPr>
          <w:rFonts w:ascii="Times New Roman" w:hAnsi="Times New Roman"/>
          <w:sz w:val="24"/>
          <w:u w:val="single"/>
        </w:rPr>
      </w:pPr>
      <w:r>
        <w:rPr>
          <w:rFonts w:ascii="Times New Roman" w:hAnsi="Times New Roman"/>
          <w:sz w:val="24"/>
          <w:u w:val="single"/>
        </w:rPr>
        <w:t>（1）评价等级</w:t>
      </w:r>
    </w:p>
    <w:p>
      <w:pPr>
        <w:spacing w:line="360" w:lineRule="auto"/>
        <w:ind w:firstLine="480" w:firstLineChars="200"/>
        <w:jc w:val="left"/>
        <w:rPr>
          <w:rFonts w:ascii="Times New Roman" w:hAnsi="Times New Roman"/>
          <w:sz w:val="24"/>
          <w:u w:val="single"/>
        </w:rPr>
      </w:pPr>
      <w:r>
        <w:rPr>
          <w:rFonts w:ascii="Times New Roman" w:hAnsi="Times New Roman"/>
          <w:sz w:val="24"/>
          <w:u w:val="single"/>
        </w:rPr>
        <w:t>本工程面源排放的主要环境空气污染物为H</w:t>
      </w:r>
      <w:r>
        <w:rPr>
          <w:rFonts w:ascii="Times New Roman" w:hAnsi="Times New Roman"/>
          <w:sz w:val="24"/>
          <w:u w:val="single"/>
          <w:vertAlign w:val="subscript"/>
        </w:rPr>
        <w:t>2</w:t>
      </w:r>
      <w:r>
        <w:rPr>
          <w:rFonts w:ascii="Times New Roman" w:hAnsi="Times New Roman"/>
          <w:sz w:val="24"/>
          <w:u w:val="single"/>
        </w:rPr>
        <w:t>S、NH</w:t>
      </w:r>
      <w:r>
        <w:rPr>
          <w:rFonts w:ascii="Times New Roman" w:hAnsi="Times New Roman"/>
          <w:sz w:val="24"/>
          <w:u w:val="single"/>
          <w:vertAlign w:val="subscript"/>
        </w:rPr>
        <w:t>3</w:t>
      </w:r>
      <w:r>
        <w:rPr>
          <w:rFonts w:ascii="Times New Roman" w:hAnsi="Times New Roman"/>
          <w:sz w:val="24"/>
          <w:u w:val="single"/>
        </w:rPr>
        <w:t>，点源排放的主要环境空气污染物为SO</w:t>
      </w:r>
      <w:r>
        <w:rPr>
          <w:rFonts w:ascii="Times New Roman" w:hAnsi="Times New Roman"/>
          <w:sz w:val="24"/>
          <w:u w:val="single"/>
          <w:vertAlign w:val="subscript"/>
        </w:rPr>
        <w:t>2</w:t>
      </w:r>
      <w:r>
        <w:rPr>
          <w:rFonts w:ascii="Times New Roman" w:hAnsi="Times New Roman"/>
          <w:sz w:val="24"/>
          <w:u w:val="single"/>
        </w:rPr>
        <w:t>、TSP、NOx、镍、二噁英。根据《环境影响评价技术导则—大气环境》（HJ2.2-2018）的规定，采用导则推荐的AERSCREEN模型分别计算它们的最大地面浓度占标率Pi及不同距离分布，其中 Pi 定义为：</w:t>
      </w:r>
    </w:p>
    <w:p>
      <w:pPr>
        <w:jc w:val="center"/>
        <w:rPr>
          <w:rFonts w:ascii="Times New Roman" w:hAnsi="Times New Roman"/>
          <w:position w:val="-30"/>
          <w:u w:val="single"/>
        </w:rPr>
      </w:pPr>
      <w:r>
        <w:rPr>
          <w:rFonts w:ascii="Times New Roman" w:hAnsi="Times New Roman"/>
          <w:position w:val="-30"/>
          <w:u w:val="single"/>
        </w:rPr>
        <w:drawing>
          <wp:inline distT="0" distB="0" distL="0" distR="0">
            <wp:extent cx="1284605" cy="448310"/>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22" cstate="print"/>
                    <a:srcRect/>
                    <a:stretch>
                      <a:fillRect/>
                    </a:stretch>
                  </pic:blipFill>
                  <pic:spPr>
                    <a:xfrm>
                      <a:off x="0" y="0"/>
                      <a:ext cx="1285239" cy="448310"/>
                    </a:xfrm>
                    <a:prstGeom prst="rect">
                      <a:avLst/>
                    </a:prstGeom>
                    <a:ln>
                      <a:noFill/>
                    </a:ln>
                  </pic:spPr>
                </pic:pic>
              </a:graphicData>
            </a:graphic>
          </wp:inline>
        </w:drawing>
      </w:r>
    </w:p>
    <w:p>
      <w:pPr>
        <w:spacing w:line="360" w:lineRule="auto"/>
        <w:ind w:firstLine="480" w:firstLineChars="200"/>
        <w:jc w:val="left"/>
        <w:rPr>
          <w:rFonts w:ascii="Times New Roman" w:hAnsi="Times New Roman"/>
          <w:sz w:val="24"/>
          <w:u w:val="single"/>
        </w:rPr>
      </w:pPr>
      <w:r>
        <w:rPr>
          <w:rFonts w:ascii="Times New Roman" w:hAnsi="Times New Roman"/>
          <w:sz w:val="24"/>
          <w:u w:val="single"/>
        </w:rPr>
        <w:t>式中：</w:t>
      </w:r>
    </w:p>
    <w:p>
      <w:pPr>
        <w:spacing w:line="360" w:lineRule="auto"/>
        <w:ind w:firstLine="480" w:firstLineChars="200"/>
        <w:jc w:val="left"/>
        <w:rPr>
          <w:rFonts w:ascii="Times New Roman" w:hAnsi="Times New Roman"/>
          <w:sz w:val="24"/>
          <w:u w:val="single"/>
        </w:rPr>
      </w:pPr>
      <w:r>
        <w:rPr>
          <w:rFonts w:ascii="Times New Roman" w:hAnsi="Times New Roman"/>
          <w:sz w:val="24"/>
          <w:u w:val="single"/>
        </w:rPr>
        <w:t>Pi—第 i 个污染物的最大地面浓度占标率，%；</w:t>
      </w:r>
    </w:p>
    <w:p>
      <w:pPr>
        <w:spacing w:line="360" w:lineRule="auto"/>
        <w:ind w:firstLine="480" w:firstLineChars="200"/>
        <w:jc w:val="left"/>
        <w:rPr>
          <w:rFonts w:ascii="Times New Roman" w:hAnsi="Times New Roman"/>
          <w:sz w:val="24"/>
          <w:u w:val="single"/>
        </w:rPr>
      </w:pPr>
      <w:r>
        <w:rPr>
          <w:rFonts w:ascii="Times New Roman" w:hAnsi="Times New Roman"/>
          <w:sz w:val="24"/>
          <w:u w:val="single"/>
        </w:rPr>
        <w:t>Ci—采用估算模式计算出的第 i 个污染物的最大地面浓度，mg/Nm</w:t>
      </w:r>
      <w:r>
        <w:rPr>
          <w:rFonts w:ascii="Times New Roman" w:hAnsi="Times New Roman"/>
          <w:sz w:val="24"/>
          <w:u w:val="single"/>
          <w:vertAlign w:val="superscript"/>
        </w:rPr>
        <w:t>3</w:t>
      </w:r>
      <w:r>
        <w:rPr>
          <w:rFonts w:ascii="Times New Roman" w:hAnsi="Times New Roman"/>
          <w:sz w:val="24"/>
          <w:u w:val="single"/>
        </w:rPr>
        <w:t>；</w:t>
      </w:r>
    </w:p>
    <w:p>
      <w:pPr>
        <w:spacing w:line="360" w:lineRule="auto"/>
        <w:ind w:firstLine="480" w:firstLineChars="200"/>
        <w:jc w:val="left"/>
        <w:rPr>
          <w:rFonts w:ascii="Times New Roman" w:hAnsi="Times New Roman"/>
          <w:sz w:val="24"/>
          <w:u w:val="single"/>
        </w:rPr>
      </w:pPr>
      <w:r>
        <w:rPr>
          <w:rFonts w:ascii="Times New Roman" w:hAnsi="Times New Roman"/>
          <w:sz w:val="24"/>
          <w:u w:val="single"/>
        </w:rPr>
        <w:t>C oi—污染物评价标准，mg/Nm</w:t>
      </w:r>
      <w:r>
        <w:rPr>
          <w:rFonts w:ascii="Times New Roman" w:hAnsi="Times New Roman"/>
          <w:sz w:val="24"/>
          <w:u w:val="single"/>
          <w:vertAlign w:val="superscript"/>
        </w:rPr>
        <w:t>3</w:t>
      </w:r>
      <w:r>
        <w:rPr>
          <w:rFonts w:ascii="Times New Roman" w:hAnsi="Times New Roman"/>
          <w:sz w:val="24"/>
          <w:u w:val="single"/>
        </w:rPr>
        <w:t>。</w:t>
      </w:r>
    </w:p>
    <w:p>
      <w:pPr>
        <w:spacing w:line="360" w:lineRule="auto"/>
        <w:ind w:firstLine="480" w:firstLineChars="200"/>
        <w:jc w:val="left"/>
        <w:rPr>
          <w:rFonts w:ascii="Times New Roman" w:hAnsi="Times New Roman"/>
          <w:sz w:val="24"/>
          <w:u w:val="single"/>
        </w:rPr>
      </w:pPr>
      <w:r>
        <w:rPr>
          <w:rFonts w:ascii="Times New Roman" w:hAnsi="Times New Roman"/>
          <w:sz w:val="24"/>
          <w:u w:val="single"/>
        </w:rPr>
        <w:t>大气评价等级判别见表1.5.1-1，，估算模型参数见表 1.5.1-2，项目主要污染源估算模型计算结果统计表 1.5.1-3。</w:t>
      </w:r>
    </w:p>
    <w:p>
      <w:pPr>
        <w:pStyle w:val="18"/>
        <w:wordWrap w:val="0"/>
        <w:rPr>
          <w:u w:val="single"/>
        </w:rPr>
      </w:pPr>
    </w:p>
    <w:p>
      <w:pPr>
        <w:widowControl/>
        <w:adjustRightInd w:val="0"/>
        <w:snapToGrid w:val="0"/>
        <w:spacing w:line="360" w:lineRule="auto"/>
        <w:ind w:left="993"/>
        <w:jc w:val="center"/>
        <w:rPr>
          <w:rFonts w:ascii="Times New Roman" w:hAnsi="Times New Roman"/>
          <w:b/>
          <w:sz w:val="24"/>
          <w:szCs w:val="20"/>
          <w:u w:val="single"/>
        </w:rPr>
      </w:pPr>
      <w:r>
        <w:rPr>
          <w:rFonts w:ascii="Times New Roman" w:hAnsi="Times New Roman"/>
          <w:b/>
          <w:sz w:val="24"/>
          <w:szCs w:val="20"/>
          <w:u w:val="single"/>
        </w:rPr>
        <w:t>表1.5.1-1 大气评价等级判别表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4"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评价工作等级</w:t>
            </w:r>
          </w:p>
        </w:tc>
        <w:tc>
          <w:tcPr>
            <w:tcW w:w="5245"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4"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一级评价</w:t>
            </w:r>
          </w:p>
        </w:tc>
        <w:tc>
          <w:tcPr>
            <w:tcW w:w="5245"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Pmax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4"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二级评价</w:t>
            </w:r>
          </w:p>
        </w:tc>
        <w:tc>
          <w:tcPr>
            <w:tcW w:w="5245"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1% ≤ Pmax &lt;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4"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三级评价</w:t>
            </w:r>
          </w:p>
        </w:tc>
        <w:tc>
          <w:tcPr>
            <w:tcW w:w="5245" w:type="dxa"/>
            <w:vAlign w:val="center"/>
          </w:tcPr>
          <w:p>
            <w:pPr>
              <w:ind w:firstLine="482"/>
              <w:jc w:val="center"/>
              <w:rPr>
                <w:rFonts w:ascii="Times New Roman" w:hAnsi="Times New Roman"/>
                <w:kern w:val="0"/>
                <w:szCs w:val="21"/>
                <w:u w:val="single"/>
              </w:rPr>
            </w:pPr>
            <w:r>
              <w:rPr>
                <w:rFonts w:ascii="Times New Roman" w:hAnsi="Times New Roman"/>
                <w:kern w:val="0"/>
                <w:szCs w:val="21"/>
                <w:u w:val="single"/>
              </w:rPr>
              <w:t>Pmax &lt; 1%</w:t>
            </w:r>
          </w:p>
        </w:tc>
      </w:tr>
    </w:tbl>
    <w:p>
      <w:pPr>
        <w:spacing w:line="120" w:lineRule="exact"/>
        <w:ind w:right="-113" w:firstLine="480" w:firstLineChars="200"/>
        <w:jc w:val="left"/>
        <w:rPr>
          <w:rFonts w:ascii="Times New Roman" w:hAnsi="Times New Roman"/>
          <w:kern w:val="0"/>
          <w:sz w:val="24"/>
          <w:szCs w:val="24"/>
          <w:u w:val="single"/>
        </w:rPr>
      </w:pPr>
    </w:p>
    <w:p>
      <w:pPr>
        <w:widowControl/>
        <w:spacing w:line="360" w:lineRule="auto"/>
        <w:ind w:firstLine="600" w:firstLineChars="250"/>
        <w:jc w:val="left"/>
        <w:rPr>
          <w:rFonts w:ascii="Times New Roman" w:hAnsi="Times New Roman"/>
          <w:kern w:val="0"/>
          <w:sz w:val="24"/>
          <w:szCs w:val="24"/>
          <w:u w:val="single"/>
        </w:rPr>
      </w:pPr>
      <w:r>
        <w:rPr>
          <w:rFonts w:ascii="Times New Roman" w:hAnsi="Times New Roman"/>
          <w:kern w:val="0"/>
          <w:sz w:val="24"/>
          <w:szCs w:val="24"/>
          <w:u w:val="single"/>
        </w:rPr>
        <w:t>本项目估算模型参数见下表。</w:t>
      </w:r>
    </w:p>
    <w:p>
      <w:pPr>
        <w:widowControl/>
        <w:adjustRightInd w:val="0"/>
        <w:snapToGrid w:val="0"/>
        <w:spacing w:line="360" w:lineRule="auto"/>
        <w:ind w:left="993"/>
        <w:jc w:val="center"/>
        <w:rPr>
          <w:rFonts w:ascii="Times New Roman" w:hAnsi="Times New Roman"/>
          <w:b/>
          <w:sz w:val="24"/>
          <w:szCs w:val="20"/>
          <w:u w:val="single"/>
        </w:rPr>
      </w:pPr>
      <w:r>
        <w:rPr>
          <w:rFonts w:ascii="Times New Roman" w:hAnsi="Times New Roman"/>
          <w:b/>
          <w:sz w:val="24"/>
          <w:szCs w:val="20"/>
          <w:u w:val="single"/>
        </w:rPr>
        <w:t>表1.5.1-2 项目估算模型参数表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9"/>
        <w:gridCol w:w="3213"/>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212" w:type="dxa"/>
            <w:gridSpan w:val="2"/>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参数</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restart"/>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城市/农村选项</w:t>
            </w: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城市/农村</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continue"/>
            <w:vAlign w:val="center"/>
          </w:tcPr>
          <w:p>
            <w:pPr>
              <w:widowControl/>
              <w:jc w:val="center"/>
              <w:rPr>
                <w:rFonts w:ascii="Times New Roman" w:hAnsi="Times New Roman"/>
                <w:kern w:val="0"/>
                <w:szCs w:val="21"/>
                <w:u w:val="single"/>
              </w:rPr>
            </w:pP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人口数（城市选项时）</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12" w:type="dxa"/>
            <w:gridSpan w:val="2"/>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最高环境温度/℃</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12" w:type="dxa"/>
            <w:gridSpan w:val="2"/>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最低环境温度/℃</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12" w:type="dxa"/>
            <w:gridSpan w:val="2"/>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地表类型</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落叶林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12" w:type="dxa"/>
            <w:gridSpan w:val="2"/>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区域湿度条件</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restart"/>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是否考虑地形</w:t>
            </w: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考虑地形</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continue"/>
            <w:vAlign w:val="center"/>
          </w:tcPr>
          <w:p>
            <w:pPr>
              <w:widowControl/>
              <w:jc w:val="center"/>
              <w:rPr>
                <w:rFonts w:ascii="Times New Roman" w:hAnsi="Times New Roman"/>
                <w:kern w:val="0"/>
                <w:szCs w:val="21"/>
                <w:u w:val="single"/>
              </w:rPr>
            </w:pP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地形数据分辨率/m</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restart"/>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是否考虑岸线熏烟</w:t>
            </w: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考虑岸线熏烟</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 xml:space="preserve">□是  </w:t>
            </w:r>
            <w:r>
              <w:rPr>
                <w:rFonts w:ascii="Times New Roman" w:hAnsi="Times New Roman"/>
                <w:kern w:val="0"/>
                <w:szCs w:val="21"/>
                <w:u w:val="single"/>
              </w:rPr>
              <w:sym w:font="Wingdings 2" w:char="00A3"/>
            </w:r>
            <w:r>
              <w:rPr>
                <w:rFonts w:ascii="Times New Roman" w:hAnsi="Times New Roman"/>
                <w:kern w:val="0"/>
                <w:szCs w:val="21"/>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continue"/>
            <w:vAlign w:val="center"/>
          </w:tcPr>
          <w:p>
            <w:pPr>
              <w:widowControl/>
              <w:jc w:val="center"/>
              <w:rPr>
                <w:rFonts w:ascii="Times New Roman" w:hAnsi="Times New Roman"/>
                <w:kern w:val="0"/>
                <w:szCs w:val="21"/>
                <w:u w:val="single"/>
              </w:rPr>
            </w:pP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岸线距离/km</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9" w:type="dxa"/>
            <w:vMerge w:val="continue"/>
            <w:vAlign w:val="center"/>
          </w:tcPr>
          <w:p>
            <w:pPr>
              <w:widowControl/>
              <w:jc w:val="center"/>
              <w:rPr>
                <w:rFonts w:ascii="Times New Roman" w:hAnsi="Times New Roman"/>
                <w:kern w:val="0"/>
                <w:szCs w:val="21"/>
                <w:u w:val="single"/>
              </w:rPr>
            </w:pPr>
          </w:p>
        </w:tc>
        <w:tc>
          <w:tcPr>
            <w:tcW w:w="3213"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岸线方向/°</w:t>
            </w:r>
          </w:p>
        </w:tc>
        <w:tc>
          <w:tcPr>
            <w:tcW w:w="2605" w:type="dxa"/>
            <w:vAlign w:val="center"/>
          </w:tcPr>
          <w:p>
            <w:pPr>
              <w:widowControl/>
              <w:adjustRightInd w:val="0"/>
              <w:jc w:val="center"/>
              <w:rPr>
                <w:rFonts w:ascii="Times New Roman" w:hAnsi="Times New Roman"/>
                <w:kern w:val="0"/>
                <w:szCs w:val="21"/>
                <w:u w:val="single"/>
              </w:rPr>
            </w:pPr>
            <w:r>
              <w:rPr>
                <w:rFonts w:ascii="Times New Roman" w:hAnsi="Times New Roman"/>
                <w:kern w:val="0"/>
                <w:szCs w:val="21"/>
                <w:u w:val="single"/>
              </w:rPr>
              <w:t>/</w:t>
            </w:r>
          </w:p>
        </w:tc>
      </w:tr>
    </w:tbl>
    <w:p>
      <w:pPr>
        <w:widowControl/>
        <w:spacing w:line="360" w:lineRule="auto"/>
        <w:ind w:firstLine="504" w:firstLineChars="200"/>
        <w:jc w:val="left"/>
        <w:rPr>
          <w:rFonts w:ascii="Times New Roman" w:hAnsi="Times New Roman"/>
          <w:spacing w:val="6"/>
          <w:kern w:val="0"/>
          <w:sz w:val="24"/>
          <w:szCs w:val="24"/>
          <w:u w:val="single"/>
        </w:rPr>
      </w:pPr>
      <w:r>
        <w:rPr>
          <w:rFonts w:ascii="Times New Roman" w:hAnsi="Times New Roman"/>
          <w:spacing w:val="6"/>
          <w:kern w:val="0"/>
          <w:sz w:val="24"/>
          <w:szCs w:val="24"/>
          <w:u w:val="single"/>
        </w:rPr>
        <w:t>本项目掺烧的物质主要为含水率30%的干化油泥浮渣和含水率90%的油泥浮渣两种，根据前文对油泥浮渣的成分分析，掺烧原料全部是长岭分公司自身生产过程中产生的油泥浮渣，仅含水率不同，根据油泥浮渣的年掺烧量以及两台锅炉年运行时间，预测将涉及的排放方式考虑为以下两种：①全部采取1台循环流化床锅炉掺烧，通过脱硫塔烟囱排放，②采取2台循环流化床锅炉同时掺烧，通过脱硫塔烟囱排放。因此本项目燃烧废气主要有两种预测情景，不同预测情景下的废气污染源强见后文表6.1.5.4-1和表6.1.5.4-2。</w:t>
      </w:r>
    </w:p>
    <w:p>
      <w:pPr>
        <w:widowControl/>
        <w:spacing w:line="360" w:lineRule="auto"/>
        <w:ind w:firstLine="504" w:firstLineChars="200"/>
        <w:jc w:val="left"/>
        <w:rPr>
          <w:rFonts w:ascii="Times New Roman" w:hAnsi="Times New Roman"/>
          <w:spacing w:val="6"/>
          <w:kern w:val="0"/>
          <w:sz w:val="24"/>
          <w:szCs w:val="24"/>
          <w:u w:val="single"/>
        </w:rPr>
        <w:sectPr>
          <w:footerReference r:id="rId11" w:type="default"/>
          <w:pgSz w:w="11906" w:h="16838"/>
          <w:pgMar w:top="1418" w:right="1418" w:bottom="1418" w:left="1418" w:header="851" w:footer="992" w:gutter="0"/>
          <w:cols w:space="720" w:num="1"/>
          <w:docGrid w:type="lines" w:linePitch="312" w:charSpace="0"/>
        </w:sectPr>
      </w:pPr>
    </w:p>
    <w:p>
      <w:pPr>
        <w:widowControl/>
        <w:spacing w:line="360" w:lineRule="auto"/>
        <w:ind w:firstLine="504" w:firstLineChars="200"/>
        <w:jc w:val="left"/>
        <w:rPr>
          <w:rFonts w:ascii="Times New Roman" w:hAnsi="Times New Roman"/>
          <w:spacing w:val="6"/>
          <w:kern w:val="0"/>
          <w:sz w:val="24"/>
          <w:szCs w:val="24"/>
          <w:u w:val="single"/>
        </w:rPr>
      </w:pPr>
      <w:r>
        <w:rPr>
          <w:rFonts w:ascii="Times New Roman" w:hAnsi="Times New Roman"/>
          <w:spacing w:val="6"/>
          <w:kern w:val="0"/>
          <w:sz w:val="24"/>
          <w:szCs w:val="24"/>
          <w:u w:val="single"/>
        </w:rPr>
        <w:t>项目主要污染源估算模型计算结果见下表。</w:t>
      </w:r>
    </w:p>
    <w:p>
      <w:pPr>
        <w:widowControl/>
        <w:adjustRightInd w:val="0"/>
        <w:snapToGrid w:val="0"/>
        <w:spacing w:line="360" w:lineRule="auto"/>
        <w:ind w:left="993"/>
        <w:jc w:val="center"/>
        <w:rPr>
          <w:rFonts w:ascii="Times New Roman" w:hAnsi="Times New Roman"/>
          <w:b/>
          <w:sz w:val="24"/>
          <w:szCs w:val="20"/>
          <w:u w:val="single"/>
        </w:rPr>
      </w:pPr>
      <w:r>
        <w:rPr>
          <w:rFonts w:ascii="Times New Roman" w:hAnsi="Times New Roman"/>
          <w:b/>
          <w:sz w:val="24"/>
          <w:szCs w:val="20"/>
          <w:u w:val="single"/>
        </w:rPr>
        <w:t>表1.5.1-3 项目主要污染源估算模型计算结果统计表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897"/>
        <w:gridCol w:w="456"/>
        <w:gridCol w:w="576"/>
        <w:gridCol w:w="897"/>
        <w:gridCol w:w="456"/>
        <w:gridCol w:w="576"/>
        <w:gridCol w:w="897"/>
        <w:gridCol w:w="456"/>
        <w:gridCol w:w="576"/>
        <w:gridCol w:w="897"/>
        <w:gridCol w:w="525"/>
        <w:gridCol w:w="610"/>
        <w:gridCol w:w="897"/>
        <w:gridCol w:w="531"/>
        <w:gridCol w:w="576"/>
        <w:gridCol w:w="897"/>
        <w:gridCol w:w="356"/>
        <w:gridCol w:w="579"/>
        <w:gridCol w:w="897"/>
        <w:gridCol w:w="323"/>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trPr>
        <w:tc>
          <w:tcPr>
            <w:tcW w:w="267"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污染物</w:t>
            </w:r>
          </w:p>
        </w:tc>
        <w:tc>
          <w:tcPr>
            <w:tcW w:w="678"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SO</w:t>
            </w:r>
            <w:r>
              <w:rPr>
                <w:rFonts w:ascii="Times New Roman" w:hAnsi="Times New Roman"/>
                <w:b/>
                <w:kern w:val="0"/>
                <w:sz w:val="20"/>
                <w:szCs w:val="20"/>
                <w:u w:val="single"/>
                <w:vertAlign w:val="subscript"/>
              </w:rPr>
              <w:t>2</w:t>
            </w:r>
          </w:p>
        </w:tc>
        <w:tc>
          <w:tcPr>
            <w:tcW w:w="678"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NO</w:t>
            </w:r>
            <w:r>
              <w:rPr>
                <w:rFonts w:ascii="Times New Roman" w:hAnsi="Times New Roman"/>
                <w:b/>
                <w:kern w:val="0"/>
                <w:sz w:val="20"/>
                <w:szCs w:val="20"/>
                <w:u w:val="single"/>
                <w:vertAlign w:val="subscript"/>
              </w:rPr>
              <w:t>2</w:t>
            </w:r>
          </w:p>
        </w:tc>
        <w:tc>
          <w:tcPr>
            <w:tcW w:w="678"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PM</w:t>
            </w:r>
            <w:r>
              <w:rPr>
                <w:rFonts w:ascii="Times New Roman" w:hAnsi="Times New Roman"/>
                <w:b/>
                <w:kern w:val="0"/>
                <w:sz w:val="20"/>
                <w:szCs w:val="20"/>
                <w:u w:val="single"/>
                <w:vertAlign w:val="subscript"/>
              </w:rPr>
              <w:t>10</w:t>
            </w:r>
          </w:p>
        </w:tc>
        <w:tc>
          <w:tcPr>
            <w:tcW w:w="715"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镍</w:t>
            </w:r>
          </w:p>
        </w:tc>
        <w:tc>
          <w:tcPr>
            <w:tcW w:w="705"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二噁英</w:t>
            </w:r>
          </w:p>
        </w:tc>
        <w:tc>
          <w:tcPr>
            <w:tcW w:w="644"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氨</w:t>
            </w:r>
          </w:p>
        </w:tc>
        <w:tc>
          <w:tcPr>
            <w:tcW w:w="635" w:type="pct"/>
            <w:gridSpan w:val="3"/>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trPr>
        <w:tc>
          <w:tcPr>
            <w:tcW w:w="267"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污染源名称</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60"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03"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60"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03"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60"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03"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8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87"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03"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04"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c>
          <w:tcPr>
            <w:tcW w:w="315"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预测浓度/（</w:t>
            </w:r>
            <w:r>
              <w:rPr>
                <w:rFonts w:ascii="Times New Roman" w:hAnsi="Times New Roman"/>
                <w:b/>
                <w:kern w:val="0"/>
                <w:sz w:val="18"/>
                <w:szCs w:val="18"/>
                <w:u w:val="single"/>
              </w:rPr>
              <w:t>μ</w:t>
            </w:r>
            <w:r>
              <w:rPr>
                <w:rFonts w:ascii="Times New Roman" w:hAnsi="Times New Roman"/>
                <w:b/>
                <w:kern w:val="0"/>
                <w:sz w:val="20"/>
                <w:szCs w:val="20"/>
                <w:u w:val="single"/>
              </w:rPr>
              <w:t>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14"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tc>
        <w:tc>
          <w:tcPr>
            <w:tcW w:w="206" w:type="pct"/>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D</w:t>
            </w:r>
            <w:r>
              <w:rPr>
                <w:rFonts w:ascii="Times New Roman" w:hAnsi="Times New Roman"/>
                <w:b/>
                <w:kern w:val="0"/>
                <w:sz w:val="20"/>
                <w:szCs w:val="20"/>
                <w:u w:val="single"/>
                <w:vertAlign w:val="subscript"/>
              </w:rPr>
              <w:t>10%</w:t>
            </w:r>
            <w:r>
              <w:rPr>
                <w:rFonts w:ascii="Times New Roman" w:hAnsi="Times New Roman"/>
                <w:b/>
                <w:kern w:val="0"/>
                <w:sz w:val="20"/>
                <w:szCs w:val="20"/>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掺烧-单独运行</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50.062</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10.01</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1170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53.5357</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26.77</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3875</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46.23073|</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10.27</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1200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0.012771</w:t>
            </w:r>
          </w:p>
        </w:tc>
        <w:tc>
          <w:tcPr>
            <w:tcW w:w="18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10.64</w:t>
            </w:r>
          </w:p>
        </w:tc>
        <w:tc>
          <w:tcPr>
            <w:tcW w:w="2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1250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2.26E-07</w:t>
            </w:r>
          </w:p>
        </w:tc>
        <w:tc>
          <w:tcPr>
            <w:tcW w:w="18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2.55</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2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4"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14"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6"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掺烧-两台锅炉同时运行</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88.706</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17.74</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2425</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94.86106</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47.43</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6400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81.9173|</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18.20</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2575</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0.022629</w:t>
            </w:r>
          </w:p>
        </w:tc>
        <w:tc>
          <w:tcPr>
            <w:tcW w:w="18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18.86</w:t>
            </w:r>
          </w:p>
        </w:tc>
        <w:tc>
          <w:tcPr>
            <w:tcW w:w="2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2700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1.28E-07</w:t>
            </w:r>
          </w:p>
        </w:tc>
        <w:tc>
          <w:tcPr>
            <w:tcW w:w="18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4.53</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2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4"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14"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6"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干化油泥浮渣存储区</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60"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3"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60"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3"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60"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3"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8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187"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203" w:type="pct"/>
            <w:vAlign w:val="center"/>
          </w:tcPr>
          <w:p>
            <w:pPr>
              <w:widowControl/>
              <w:ind w:left="-105" w:leftChars="-50" w:right="-105" w:rightChars="-50"/>
              <w:jc w:val="center"/>
              <w:rPr>
                <w:rFonts w:ascii="Times New Roman" w:hAnsi="Times New Roman"/>
                <w:u w:val="single"/>
              </w:rPr>
            </w:pPr>
            <w:r>
              <w:rPr>
                <w:rFonts w:ascii="Times New Roman" w:hAnsi="Times New Roman"/>
                <w:u w:val="single"/>
              </w:rPr>
              <w:t>/</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1.60E-04</w:t>
            </w:r>
          </w:p>
        </w:tc>
        <w:tc>
          <w:tcPr>
            <w:tcW w:w="12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0.08</w:t>
            </w:r>
          </w:p>
        </w:tc>
        <w:tc>
          <w:tcPr>
            <w:tcW w:w="204"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3.20E-04</w:t>
            </w:r>
          </w:p>
        </w:tc>
        <w:tc>
          <w:tcPr>
            <w:tcW w:w="114"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3.2</w:t>
            </w:r>
          </w:p>
        </w:tc>
        <w:tc>
          <w:tcPr>
            <w:tcW w:w="206"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各源最大值</w:t>
            </w:r>
            <w:r>
              <w:rPr>
                <w:rFonts w:ascii="Times New Roman" w:hAnsi="Times New Roman"/>
                <w:b/>
                <w:kern w:val="0"/>
                <w:sz w:val="20"/>
                <w:szCs w:val="20"/>
                <w:u w:val="single"/>
                <w:vertAlign w:val="superscript"/>
              </w:rPr>
              <w:t>注</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88.706</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17.74</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2425</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94.86106</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47.43</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6400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81.9173|</w:t>
            </w:r>
          </w:p>
        </w:tc>
        <w:tc>
          <w:tcPr>
            <w:tcW w:w="160"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18.20</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2575</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0.022629</w:t>
            </w:r>
          </w:p>
        </w:tc>
        <w:tc>
          <w:tcPr>
            <w:tcW w:w="18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18.86</w:t>
            </w:r>
          </w:p>
        </w:tc>
        <w:tc>
          <w:tcPr>
            <w:tcW w:w="2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2700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1.28E-07</w:t>
            </w:r>
          </w:p>
        </w:tc>
        <w:tc>
          <w:tcPr>
            <w:tcW w:w="18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4.53</w:t>
            </w:r>
          </w:p>
        </w:tc>
        <w:tc>
          <w:tcPr>
            <w:tcW w:w="203"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1.60E-04</w:t>
            </w:r>
          </w:p>
        </w:tc>
        <w:tc>
          <w:tcPr>
            <w:tcW w:w="12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0.08</w:t>
            </w:r>
          </w:p>
        </w:tc>
        <w:tc>
          <w:tcPr>
            <w:tcW w:w="204"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c>
          <w:tcPr>
            <w:tcW w:w="315"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3.20E-04</w:t>
            </w:r>
          </w:p>
        </w:tc>
        <w:tc>
          <w:tcPr>
            <w:tcW w:w="114"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3.2</w:t>
            </w:r>
          </w:p>
        </w:tc>
        <w:tc>
          <w:tcPr>
            <w:tcW w:w="206"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7" w:type="pct"/>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D10%最远距离/m</w:t>
            </w:r>
          </w:p>
        </w:tc>
        <w:tc>
          <w:tcPr>
            <w:tcW w:w="4733" w:type="pct"/>
            <w:gridSpan w:val="21"/>
            <w:vAlign w:val="center"/>
          </w:tcPr>
          <w:p>
            <w:pPr>
              <w:widowControl/>
              <w:ind w:left="-105" w:leftChars="-50" w:right="-105" w:rightChars="-50"/>
              <w:jc w:val="center"/>
              <w:rPr>
                <w:rFonts w:ascii="Times New Roman" w:hAnsi="Times New Roman"/>
                <w:kern w:val="0"/>
                <w:sz w:val="20"/>
                <w:szCs w:val="20"/>
                <w:u w:val="single"/>
              </w:rPr>
            </w:pPr>
            <w:r>
              <w:rPr>
                <w:rFonts w:ascii="Times New Roman" w:hAnsi="Times New Roman"/>
                <w:kern w:val="0"/>
                <w:sz w:val="20"/>
                <w:szCs w:val="20"/>
                <w:u w:val="single"/>
              </w:rPr>
              <w:t>6400m</w:t>
            </w:r>
          </w:p>
        </w:tc>
      </w:tr>
    </w:tbl>
    <w:p>
      <w:pPr>
        <w:spacing w:line="360" w:lineRule="auto"/>
        <w:ind w:right="-113" w:firstLine="444" w:firstLineChars="200"/>
        <w:jc w:val="left"/>
        <w:rPr>
          <w:rFonts w:ascii="Times New Roman" w:hAnsi="Times New Roman"/>
          <w:spacing w:val="6"/>
          <w:kern w:val="0"/>
          <w:szCs w:val="21"/>
          <w:u w:val="single"/>
        </w:rPr>
        <w:sectPr>
          <w:pgSz w:w="16838" w:h="11906" w:orient="landscape"/>
          <w:pgMar w:top="1418" w:right="1418" w:bottom="1418" w:left="1418" w:header="851" w:footer="992" w:gutter="0"/>
          <w:cols w:space="720" w:num="1"/>
          <w:docGrid w:type="linesAndChars" w:linePitch="312" w:charSpace="0"/>
        </w:sectPr>
      </w:pPr>
    </w:p>
    <w:p>
      <w:pPr>
        <w:spacing w:line="360" w:lineRule="auto"/>
        <w:ind w:right="-113" w:firstLine="504" w:firstLineChars="200"/>
        <w:jc w:val="left"/>
        <w:rPr>
          <w:rFonts w:ascii="Times New Roman" w:hAnsi="Times New Roman"/>
          <w:spacing w:val="6"/>
          <w:kern w:val="0"/>
          <w:sz w:val="24"/>
          <w:szCs w:val="24"/>
          <w:u w:val="single"/>
        </w:rPr>
      </w:pPr>
      <w:r>
        <w:rPr>
          <w:rFonts w:ascii="Times New Roman" w:hAnsi="Times New Roman"/>
          <w:spacing w:val="6"/>
          <w:kern w:val="0"/>
          <w:sz w:val="24"/>
          <w:szCs w:val="24"/>
          <w:u w:val="single"/>
        </w:rPr>
        <w:t>由上表的估算模式的计算结果可知，项目废气排放的污染因子中地面浓度占标率最大的是两台锅炉同时掺烧时排放的NO</w:t>
      </w:r>
      <w:r>
        <w:rPr>
          <w:rFonts w:ascii="Times New Roman" w:hAnsi="Times New Roman"/>
          <w:spacing w:val="6"/>
          <w:kern w:val="0"/>
          <w:sz w:val="24"/>
          <w:szCs w:val="24"/>
          <w:u w:val="single"/>
          <w:vertAlign w:val="subscript"/>
        </w:rPr>
        <w:t>2</w:t>
      </w:r>
      <w:r>
        <w:rPr>
          <w:rFonts w:ascii="Times New Roman" w:hAnsi="Times New Roman"/>
          <w:spacing w:val="6"/>
          <w:kern w:val="0"/>
          <w:sz w:val="24"/>
          <w:szCs w:val="24"/>
          <w:u w:val="single"/>
        </w:rPr>
        <w:t>，最大落地浓度为94.86106</w:t>
      </w:r>
      <w:r>
        <w:rPr>
          <w:rFonts w:ascii="Times New Roman" w:hAnsi="Times New Roman"/>
          <w:kern w:val="0"/>
          <w:sz w:val="24"/>
          <w:szCs w:val="24"/>
          <w:u w:val="single"/>
        </w:rPr>
        <w:t>u</w:t>
      </w:r>
      <w:r>
        <w:rPr>
          <w:rFonts w:ascii="Times New Roman" w:hAnsi="Times New Roman"/>
          <w:spacing w:val="6"/>
          <w:kern w:val="0"/>
          <w:sz w:val="24"/>
          <w:szCs w:val="24"/>
          <w:u w:val="single"/>
        </w:rPr>
        <w:t>g/m</w:t>
      </w:r>
      <w:r>
        <w:rPr>
          <w:rFonts w:ascii="Times New Roman" w:hAnsi="Times New Roman"/>
          <w:spacing w:val="6"/>
          <w:kern w:val="0"/>
          <w:sz w:val="24"/>
          <w:szCs w:val="24"/>
          <w:u w:val="single"/>
          <w:vertAlign w:val="superscript"/>
        </w:rPr>
        <w:t>3</w:t>
      </w:r>
      <w:r>
        <w:rPr>
          <w:rFonts w:ascii="Times New Roman" w:hAnsi="Times New Roman"/>
          <w:spacing w:val="6"/>
          <w:kern w:val="0"/>
          <w:sz w:val="24"/>
          <w:szCs w:val="24"/>
          <w:u w:val="single"/>
        </w:rPr>
        <w:t>，Pmax=47.43%，对应的D10%为6400m，项目Pmax＞10%，因此本项目大气评价等级为一级。</w:t>
      </w:r>
    </w:p>
    <w:p>
      <w:pPr>
        <w:spacing w:line="360" w:lineRule="auto"/>
        <w:ind w:right="-113" w:firstLine="480" w:firstLineChars="200"/>
        <w:jc w:val="left"/>
        <w:rPr>
          <w:rFonts w:ascii="Times New Roman" w:hAnsi="Times New Roman"/>
          <w:spacing w:val="6"/>
          <w:kern w:val="0"/>
          <w:sz w:val="24"/>
          <w:szCs w:val="24"/>
          <w:u w:val="single"/>
        </w:rPr>
      </w:pPr>
      <w:r>
        <w:rPr>
          <w:rFonts w:ascii="Times New Roman" w:hAnsi="Times New Roman"/>
          <w:sz w:val="24"/>
          <w:szCs w:val="24"/>
          <w:u w:val="single"/>
        </w:rPr>
        <w:t>（2）评价范围：</w:t>
      </w:r>
      <w:r>
        <w:rPr>
          <w:rFonts w:ascii="Times New Roman" w:hAnsi="Times New Roman"/>
          <w:spacing w:val="6"/>
          <w:kern w:val="0"/>
          <w:sz w:val="24"/>
          <w:szCs w:val="24"/>
          <w:u w:val="single"/>
        </w:rPr>
        <w:t>本项目大气评价工作等级为一级，项目排放污染源的最远影响距离D</w:t>
      </w:r>
      <w:r>
        <w:rPr>
          <w:rFonts w:ascii="Times New Roman" w:hAnsi="Times New Roman"/>
          <w:spacing w:val="6"/>
          <w:kern w:val="0"/>
          <w:sz w:val="24"/>
          <w:szCs w:val="24"/>
          <w:u w:val="single"/>
          <w:vertAlign w:val="subscript"/>
        </w:rPr>
        <w:t>10%</w:t>
      </w:r>
      <w:r>
        <w:rPr>
          <w:rFonts w:ascii="Times New Roman" w:hAnsi="Times New Roman"/>
          <w:spacing w:val="6"/>
          <w:kern w:val="0"/>
          <w:sz w:val="24"/>
          <w:szCs w:val="24"/>
          <w:u w:val="single"/>
        </w:rPr>
        <w:t>为6400m。根据HJ2.3-2018第5.4.1条，要求自厂界外延D10%的矩形区域作为大气环境影响评价范围，因此本项目大气评价范围为以项目排气筒为中心，边长17.0km的矩形区域。</w:t>
      </w:r>
    </w:p>
    <w:p>
      <w:pPr>
        <w:pStyle w:val="7"/>
        <w:spacing w:before="120" w:after="120"/>
      </w:pPr>
      <w:bookmarkStart w:id="120" w:name="_Toc7268"/>
      <w:bookmarkStart w:id="121" w:name="_Toc23941"/>
      <w:bookmarkStart w:id="122" w:name="_Toc30309"/>
      <w:r>
        <w:t>地表水环境影响评价等级及范围</w:t>
      </w:r>
      <w:bookmarkEnd w:id="120"/>
      <w:bookmarkEnd w:id="121"/>
      <w:bookmarkEnd w:id="122"/>
    </w:p>
    <w:p>
      <w:pPr>
        <w:tabs>
          <w:tab w:val="left" w:pos="9000"/>
        </w:tabs>
        <w:snapToGrid w:val="0"/>
        <w:spacing w:line="360" w:lineRule="auto"/>
        <w:ind w:firstLine="480" w:firstLineChars="200"/>
        <w:rPr>
          <w:rFonts w:ascii="Times New Roman" w:hAnsi="Times New Roman"/>
        </w:rPr>
      </w:pPr>
      <w:r>
        <w:rPr>
          <w:rFonts w:ascii="Times New Roman" w:hAnsi="Times New Roman"/>
          <w:sz w:val="24"/>
        </w:rPr>
        <w:t>根据《环境影响评价技术导则—地表水环境》（HJ2.3-2018），地表水环境影响评价分级判据如下：</w:t>
      </w:r>
    </w:p>
    <w:p>
      <w:pPr>
        <w:pStyle w:val="18"/>
      </w:pPr>
      <w:r>
        <w:t>表1.5.2-1 水污染型建设项目评价等级判定</w:t>
      </w:r>
    </w:p>
    <w:tbl>
      <w:tblPr>
        <w:tblStyle w:val="45"/>
        <w:tblW w:w="77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2486"/>
        <w:gridCol w:w="4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1192" w:type="dxa"/>
            <w:vMerge w:val="restart"/>
            <w:vAlign w:val="center"/>
          </w:tcPr>
          <w:p>
            <w:pPr>
              <w:tabs>
                <w:tab w:val="left" w:pos="9000"/>
              </w:tabs>
              <w:snapToGrid w:val="0"/>
              <w:jc w:val="center"/>
              <w:rPr>
                <w:rFonts w:ascii="Times New Roman" w:hAnsi="Times New Roman"/>
                <w:b/>
                <w:szCs w:val="21"/>
              </w:rPr>
            </w:pPr>
            <w:r>
              <w:rPr>
                <w:rFonts w:ascii="Times New Roman" w:hAnsi="Times New Roman"/>
                <w:b/>
                <w:szCs w:val="21"/>
              </w:rPr>
              <w:t>评价等级</w:t>
            </w:r>
          </w:p>
        </w:tc>
        <w:tc>
          <w:tcPr>
            <w:tcW w:w="6597" w:type="dxa"/>
            <w:gridSpan w:val="2"/>
            <w:vAlign w:val="center"/>
          </w:tcPr>
          <w:p>
            <w:pPr>
              <w:tabs>
                <w:tab w:val="left" w:pos="9000"/>
              </w:tabs>
              <w:snapToGrid w:val="0"/>
              <w:jc w:val="center"/>
              <w:rPr>
                <w:rFonts w:ascii="Times New Roman" w:hAnsi="Times New Roman"/>
                <w:b/>
                <w:szCs w:val="21"/>
              </w:rPr>
            </w:pPr>
            <w:r>
              <w:rPr>
                <w:rFonts w:ascii="Times New Roman" w:hAnsi="Times New Roman"/>
                <w:b/>
                <w:szCs w:val="21"/>
              </w:rPr>
              <w:t>判定依据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92" w:type="dxa"/>
            <w:vMerge w:val="continue"/>
            <w:vAlign w:val="center"/>
          </w:tcPr>
          <w:p>
            <w:pPr>
              <w:rPr>
                <w:rFonts w:ascii="Times New Roman" w:hAnsi="Times New Roman"/>
              </w:rPr>
            </w:pPr>
          </w:p>
        </w:tc>
        <w:tc>
          <w:tcPr>
            <w:tcW w:w="2486" w:type="dxa"/>
            <w:vAlign w:val="center"/>
          </w:tcPr>
          <w:p>
            <w:pPr>
              <w:tabs>
                <w:tab w:val="left" w:pos="9000"/>
              </w:tabs>
              <w:snapToGrid w:val="0"/>
              <w:jc w:val="center"/>
              <w:rPr>
                <w:rFonts w:ascii="Times New Roman" w:hAnsi="Times New Roman"/>
                <w:b/>
                <w:szCs w:val="21"/>
              </w:rPr>
            </w:pPr>
            <w:r>
              <w:rPr>
                <w:rFonts w:ascii="Times New Roman" w:hAnsi="Times New Roman"/>
                <w:b/>
                <w:szCs w:val="21"/>
              </w:rPr>
              <w:t>排放方式</w:t>
            </w:r>
          </w:p>
        </w:tc>
        <w:tc>
          <w:tcPr>
            <w:tcW w:w="4111" w:type="dxa"/>
            <w:vAlign w:val="center"/>
          </w:tcPr>
          <w:p>
            <w:pPr>
              <w:tabs>
                <w:tab w:val="left" w:pos="9000"/>
              </w:tabs>
              <w:snapToGrid w:val="0"/>
              <w:jc w:val="center"/>
              <w:rPr>
                <w:rFonts w:ascii="Times New Roman" w:hAnsi="Times New Roman"/>
                <w:b/>
                <w:szCs w:val="21"/>
              </w:rPr>
            </w:pPr>
            <w:r>
              <w:rPr>
                <w:rFonts w:ascii="Times New Roman" w:hAnsi="Times New Roman"/>
                <w:b/>
                <w:szCs w:val="21"/>
              </w:rPr>
              <w:t>废水排放量Q/</w:t>
            </w:r>
            <w:r>
              <w:rPr>
                <w:rFonts w:ascii="Times New Roman" w:hAnsi="Times New Roman"/>
                <w:sz w:val="24"/>
                <w:szCs w:val="24"/>
              </w:rPr>
              <w:t xml:space="preserve"> (m</w:t>
            </w:r>
            <w:r>
              <w:rPr>
                <w:rFonts w:ascii="Times New Roman" w:hAnsi="Times New Roman"/>
                <w:sz w:val="24"/>
                <w:szCs w:val="24"/>
                <w:vertAlign w:val="superscript"/>
              </w:rPr>
              <w:t>3</w:t>
            </w:r>
            <w:r>
              <w:rPr>
                <w:rFonts w:ascii="Times New Roman" w:hAnsi="Times New Roman"/>
                <w:sz w:val="24"/>
                <w:szCs w:val="24"/>
              </w:rPr>
              <w:t>/d)</w:t>
            </w:r>
          </w:p>
          <w:p>
            <w:pPr>
              <w:tabs>
                <w:tab w:val="left" w:pos="9000"/>
              </w:tabs>
              <w:snapToGrid w:val="0"/>
              <w:jc w:val="center"/>
              <w:rPr>
                <w:rFonts w:ascii="Times New Roman" w:hAnsi="Times New Roman"/>
                <w:b/>
                <w:szCs w:val="21"/>
              </w:rPr>
            </w:pPr>
            <w:r>
              <w:rPr>
                <w:rFonts w:ascii="Times New Roman" w:hAnsi="Times New Roman"/>
                <w:b/>
                <w:szCs w:val="21"/>
              </w:rPr>
              <w:t>水污染物当量数W/</w:t>
            </w:r>
            <w:r>
              <w:rPr>
                <w:rFonts w:ascii="Times New Roman" w:hAnsi="Times New Roman"/>
                <w:sz w:val="24"/>
                <w:szCs w:val="24"/>
              </w:rPr>
              <w:t xml:space="preserve"> (无量纲)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tabs>
                <w:tab w:val="left" w:pos="9000"/>
              </w:tabs>
              <w:snapToGrid w:val="0"/>
              <w:jc w:val="center"/>
              <w:rPr>
                <w:rFonts w:ascii="Times New Roman" w:hAnsi="Times New Roman"/>
                <w:szCs w:val="21"/>
              </w:rPr>
            </w:pPr>
            <w:r>
              <w:rPr>
                <w:rFonts w:ascii="Times New Roman" w:hAnsi="Times New Roman"/>
                <w:szCs w:val="21"/>
              </w:rPr>
              <w:t>一级</w:t>
            </w:r>
          </w:p>
        </w:tc>
        <w:tc>
          <w:tcPr>
            <w:tcW w:w="2486" w:type="dxa"/>
            <w:vAlign w:val="center"/>
          </w:tcPr>
          <w:p>
            <w:pPr>
              <w:tabs>
                <w:tab w:val="left" w:pos="9000"/>
              </w:tabs>
              <w:snapToGrid w:val="0"/>
              <w:jc w:val="center"/>
              <w:rPr>
                <w:rFonts w:ascii="Times New Roman" w:hAnsi="Times New Roman"/>
                <w:szCs w:val="21"/>
              </w:rPr>
            </w:pPr>
            <w:r>
              <w:rPr>
                <w:rFonts w:ascii="Times New Roman" w:hAnsi="Times New Roman"/>
                <w:szCs w:val="21"/>
              </w:rPr>
              <w:t>直排</w:t>
            </w:r>
          </w:p>
        </w:tc>
        <w:tc>
          <w:tcPr>
            <w:tcW w:w="4111" w:type="dxa"/>
            <w:vAlign w:val="center"/>
          </w:tcPr>
          <w:p>
            <w:pPr>
              <w:tabs>
                <w:tab w:val="left" w:pos="9000"/>
              </w:tabs>
              <w:snapToGrid w:val="0"/>
              <w:jc w:val="center"/>
              <w:rPr>
                <w:rFonts w:ascii="Times New Roman" w:hAnsi="Times New Roman"/>
                <w:szCs w:val="21"/>
              </w:rPr>
            </w:pPr>
            <w:r>
              <w:rPr>
                <w:rFonts w:ascii="Times New Roman" w:hAnsi="Times New Roman"/>
                <w:szCs w:val="21"/>
              </w:rPr>
              <w:t>Q≥20000或W≥600000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192" w:type="dxa"/>
            <w:vAlign w:val="center"/>
          </w:tcPr>
          <w:p>
            <w:pPr>
              <w:jc w:val="center"/>
              <w:rPr>
                <w:rFonts w:ascii="Times New Roman" w:hAnsi="Times New Roman"/>
              </w:rPr>
            </w:pPr>
            <w:r>
              <w:rPr>
                <w:rFonts w:ascii="Times New Roman" w:hAnsi="Times New Roman"/>
              </w:rPr>
              <w:t>二级</w:t>
            </w:r>
          </w:p>
        </w:tc>
        <w:tc>
          <w:tcPr>
            <w:tcW w:w="2486" w:type="dxa"/>
          </w:tcPr>
          <w:p>
            <w:pPr>
              <w:jc w:val="center"/>
              <w:rPr>
                <w:rFonts w:ascii="Times New Roman" w:hAnsi="Times New Roman"/>
              </w:rPr>
            </w:pPr>
            <w:r>
              <w:rPr>
                <w:rFonts w:ascii="Times New Roman" w:hAnsi="Times New Roman"/>
                <w:szCs w:val="21"/>
              </w:rPr>
              <w:t>直排</w:t>
            </w:r>
          </w:p>
        </w:tc>
        <w:tc>
          <w:tcPr>
            <w:tcW w:w="4111" w:type="dxa"/>
            <w:vAlign w:val="center"/>
          </w:tcPr>
          <w:p>
            <w:pPr>
              <w:tabs>
                <w:tab w:val="left" w:pos="9000"/>
              </w:tabs>
              <w:snapToGrid w:val="0"/>
              <w:jc w:val="center"/>
              <w:rPr>
                <w:rFonts w:ascii="Times New Roman" w:hAnsi="Times New Roman"/>
                <w:szCs w:val="21"/>
              </w:rPr>
            </w:pPr>
            <w:r>
              <w:rPr>
                <w:rFonts w:ascii="Times New Roman" w:hAnsi="Times New Roman"/>
                <w:szCs w:val="21"/>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jc w:val="center"/>
              <w:rPr>
                <w:rFonts w:ascii="Times New Roman" w:hAnsi="Times New Roman"/>
              </w:rPr>
            </w:pPr>
            <w:r>
              <w:rPr>
                <w:rFonts w:ascii="Times New Roman" w:hAnsi="Times New Roman"/>
              </w:rPr>
              <w:t>三级A</w:t>
            </w:r>
          </w:p>
        </w:tc>
        <w:tc>
          <w:tcPr>
            <w:tcW w:w="2486" w:type="dxa"/>
          </w:tcPr>
          <w:p>
            <w:pPr>
              <w:jc w:val="center"/>
              <w:rPr>
                <w:rFonts w:ascii="Times New Roman" w:hAnsi="Times New Roman"/>
              </w:rPr>
            </w:pPr>
            <w:r>
              <w:rPr>
                <w:rFonts w:ascii="Times New Roman" w:hAnsi="Times New Roman"/>
                <w:szCs w:val="21"/>
              </w:rPr>
              <w:t>直排</w:t>
            </w:r>
          </w:p>
        </w:tc>
        <w:tc>
          <w:tcPr>
            <w:tcW w:w="4111" w:type="dxa"/>
            <w:vAlign w:val="center"/>
          </w:tcPr>
          <w:p>
            <w:pPr>
              <w:tabs>
                <w:tab w:val="left" w:pos="9000"/>
              </w:tabs>
              <w:snapToGrid w:val="0"/>
              <w:jc w:val="center"/>
              <w:rPr>
                <w:rFonts w:ascii="Times New Roman" w:hAnsi="Times New Roman"/>
                <w:szCs w:val="21"/>
              </w:rPr>
            </w:pPr>
            <w:r>
              <w:rPr>
                <w:rFonts w:ascii="Times New Roman" w:hAnsi="Times New Roman"/>
                <w:szCs w:val="21"/>
              </w:rPr>
              <w:t>Q</w:t>
            </w:r>
            <w:r>
              <w:rPr>
                <w:rFonts w:ascii="Times New Roman" w:hAnsi="Times New Roman"/>
                <w:sz w:val="24"/>
                <w:szCs w:val="24"/>
              </w:rPr>
              <w:t>&lt;</w:t>
            </w:r>
            <w:r>
              <w:rPr>
                <w:rFonts w:ascii="Times New Roman" w:hAnsi="Times New Roman"/>
                <w:szCs w:val="21"/>
              </w:rPr>
              <w:t>200或W</w:t>
            </w:r>
            <w:r>
              <w:rPr>
                <w:rFonts w:ascii="Times New Roman" w:hAnsi="Times New Roman"/>
                <w:sz w:val="24"/>
                <w:szCs w:val="24"/>
              </w:rPr>
              <w:t>&lt;</w:t>
            </w:r>
            <w:r>
              <w:rPr>
                <w:rFonts w:ascii="Times New Roman" w:hAnsi="Times New Roman"/>
                <w:szCs w:val="21"/>
              </w:rPr>
              <w:t>6000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jc w:val="center"/>
              <w:rPr>
                <w:rFonts w:ascii="Times New Roman" w:hAnsi="Times New Roman"/>
              </w:rPr>
            </w:pPr>
            <w:r>
              <w:rPr>
                <w:rFonts w:ascii="Times New Roman" w:hAnsi="Times New Roman"/>
              </w:rPr>
              <w:t>三级B</w:t>
            </w:r>
          </w:p>
        </w:tc>
        <w:tc>
          <w:tcPr>
            <w:tcW w:w="2486" w:type="dxa"/>
            <w:vAlign w:val="center"/>
          </w:tcPr>
          <w:p>
            <w:pPr>
              <w:tabs>
                <w:tab w:val="left" w:pos="9000"/>
              </w:tabs>
              <w:snapToGrid w:val="0"/>
              <w:jc w:val="center"/>
              <w:rPr>
                <w:rFonts w:ascii="Times New Roman" w:hAnsi="Times New Roman"/>
                <w:szCs w:val="21"/>
              </w:rPr>
            </w:pPr>
            <w:r>
              <w:rPr>
                <w:rFonts w:ascii="Times New Roman" w:hAnsi="Times New Roman"/>
                <w:szCs w:val="21"/>
              </w:rPr>
              <w:t>间排</w:t>
            </w:r>
          </w:p>
        </w:tc>
        <w:tc>
          <w:tcPr>
            <w:tcW w:w="4111" w:type="dxa"/>
            <w:vAlign w:val="center"/>
          </w:tcPr>
          <w:p>
            <w:pPr>
              <w:tabs>
                <w:tab w:val="left" w:pos="9000"/>
              </w:tabs>
              <w:snapToGrid w:val="0"/>
              <w:jc w:val="center"/>
              <w:rPr>
                <w:rFonts w:ascii="Times New Roman" w:hAnsi="Times New Roman"/>
                <w:szCs w:val="21"/>
              </w:rPr>
            </w:pPr>
            <w:r>
              <w:rPr>
                <w:rFonts w:ascii="Times New Roman" w:hAnsi="Times New Roman"/>
                <w:szCs w:val="21"/>
              </w:rPr>
              <w:t>－</w:t>
            </w:r>
          </w:p>
        </w:tc>
      </w:tr>
    </w:tbl>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ascii="Times New Roman" w:hAnsi="Times New Roman"/>
          <w:sz w:val="24"/>
          <w:szCs w:val="24"/>
        </w:rPr>
        <w:t>本项目废水为CFB锅炉排污水与CFB烟脱废水，均进污水处理厂含盐污水处理系统。根据分级判据，地表水环境影响评价等级为三级B。</w:t>
      </w:r>
    </w:p>
    <w:p>
      <w:pPr>
        <w:spacing w:line="360" w:lineRule="auto"/>
        <w:ind w:firstLine="480" w:firstLineChars="200"/>
        <w:rPr>
          <w:rFonts w:ascii="Times New Roman" w:hAnsi="Times New Roman"/>
          <w:sz w:val="24"/>
          <w:szCs w:val="24"/>
        </w:rPr>
      </w:pPr>
      <w:r>
        <w:rPr>
          <w:rFonts w:ascii="Times New Roman" w:hAnsi="Times New Roman"/>
          <w:sz w:val="24"/>
          <w:szCs w:val="24"/>
        </w:rPr>
        <w:t>根据该导则5.3.2.2：“三级B，其评价范围应符合以下要求：a）应满足其依托污水处理设施环境可行性分析的要求；b）涉及地表水环境风险的，应履盖环境风险影响范围所及的水环境保护目标。”因此，本次评价主要对污水排入长岭分公司污水处理厂处理的可行性进行论证，并进行水环境风险分析，提出保护措施。</w:t>
      </w:r>
    </w:p>
    <w:p>
      <w:pPr>
        <w:pStyle w:val="7"/>
        <w:spacing w:before="120" w:after="120"/>
      </w:pPr>
      <w:bookmarkStart w:id="123" w:name="_Toc5819"/>
      <w:bookmarkStart w:id="124" w:name="_Toc12263"/>
      <w:bookmarkStart w:id="125" w:name="_Toc21779"/>
      <w:r>
        <w:t>地下水环境影响评价等级及范围</w:t>
      </w:r>
      <w:bookmarkEnd w:id="123"/>
      <w:bookmarkEnd w:id="124"/>
      <w:bookmarkEnd w:id="125"/>
    </w:p>
    <w:p>
      <w:pPr>
        <w:pStyle w:val="162"/>
        <w:ind w:firstLine="480"/>
        <w:rPr>
          <w:rFonts w:cs="Times New Roman"/>
        </w:rPr>
      </w:pPr>
      <w:r>
        <w:rPr>
          <w:rFonts w:cs="Times New Roman"/>
        </w:rPr>
        <w:t>（1）项目类别</w:t>
      </w:r>
    </w:p>
    <w:p>
      <w:pPr>
        <w:pStyle w:val="162"/>
        <w:ind w:firstLine="480"/>
        <w:rPr>
          <w:rFonts w:cs="Times New Roman"/>
        </w:rPr>
      </w:pPr>
      <w:r>
        <w:rPr>
          <w:rFonts w:cs="Times New Roman"/>
        </w:rPr>
        <w:t>根据《环境影响评价技术导则  地下水环境》（HJ610-2016）附录A，本项目地下水环境影响评价项目类别属于</w:t>
      </w:r>
      <w:r>
        <w:rPr>
          <w:rFonts w:cs="Times New Roman"/>
        </w:rPr>
        <w:fldChar w:fldCharType="begin"/>
      </w:r>
      <w:r>
        <w:rPr>
          <w:rFonts w:cs="Times New Roman"/>
        </w:rPr>
        <w:instrText xml:space="preserve"> = 1 \* ROMAN \* MERGEFORMAT </w:instrText>
      </w:r>
      <w:r>
        <w:rPr>
          <w:rFonts w:cs="Times New Roman"/>
        </w:rPr>
        <w:fldChar w:fldCharType="separate"/>
      </w:r>
      <w:r>
        <w:rPr>
          <w:rFonts w:cs="Times New Roman"/>
        </w:rPr>
        <w:t>I</w:t>
      </w:r>
      <w:r>
        <w:rPr>
          <w:rFonts w:cs="Times New Roman"/>
        </w:rPr>
        <w:fldChar w:fldCharType="end"/>
      </w:r>
      <w:r>
        <w:rPr>
          <w:rFonts w:cs="Times New Roman"/>
        </w:rPr>
        <w:t>类项目。</w:t>
      </w:r>
    </w:p>
    <w:p>
      <w:pPr>
        <w:pStyle w:val="162"/>
        <w:numPr>
          <w:ilvl w:val="0"/>
          <w:numId w:val="10"/>
        </w:numPr>
        <w:ind w:left="0" w:firstLine="480" w:firstLineChars="0"/>
        <w:rPr>
          <w:rFonts w:cs="Times New Roman"/>
        </w:rPr>
      </w:pPr>
      <w:r>
        <w:rPr>
          <w:rFonts w:cs="Times New Roman"/>
        </w:rPr>
        <w:t>地下水敏感程度</w:t>
      </w:r>
    </w:p>
    <w:p>
      <w:pPr>
        <w:pStyle w:val="162"/>
        <w:ind w:firstLine="480"/>
        <w:rPr>
          <w:rFonts w:cs="Times New Roman"/>
        </w:rPr>
      </w:pPr>
      <w:r>
        <w:rPr>
          <w:rFonts w:cs="Times New Roman"/>
        </w:rPr>
        <w:t>本项目不涉及集中式饮用水水源准保护区，也不涉及准保护区以外的补给径流区，附近居民均饮用自来水，因此，工程所在地地下水敏感程度属于不敏感。</w:t>
      </w:r>
    </w:p>
    <w:p>
      <w:pPr>
        <w:pStyle w:val="18"/>
      </w:pPr>
    </w:p>
    <w:p>
      <w:pPr>
        <w:pStyle w:val="18"/>
        <w:rPr>
          <w:szCs w:val="21"/>
        </w:rPr>
      </w:pPr>
      <w:r>
        <w:t>表 1.5.3-1</w:t>
      </w:r>
      <w:r>
        <w:rPr>
          <w:szCs w:val="21"/>
        </w:rPr>
        <w:t xml:space="preserve">  地下水环境敏感等级分级表</w:t>
      </w:r>
    </w:p>
    <w:tbl>
      <w:tblPr>
        <w:tblStyle w:val="45"/>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0"/>
        <w:gridCol w:w="7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150" w:type="dxa"/>
            <w:vAlign w:val="center"/>
          </w:tcPr>
          <w:p>
            <w:pPr>
              <w:spacing w:line="360" w:lineRule="exact"/>
              <w:jc w:val="center"/>
              <w:rPr>
                <w:rFonts w:ascii="Times New Roman" w:hAnsi="Times New Roman"/>
                <w:b/>
                <w:szCs w:val="21"/>
              </w:rPr>
            </w:pPr>
            <w:r>
              <w:rPr>
                <w:rFonts w:ascii="Times New Roman" w:hAnsi="Times New Roman"/>
                <w:b/>
                <w:szCs w:val="21"/>
              </w:rPr>
              <w:t>分类</w:t>
            </w:r>
          </w:p>
        </w:tc>
        <w:tc>
          <w:tcPr>
            <w:tcW w:w="7372" w:type="dxa"/>
            <w:vAlign w:val="center"/>
          </w:tcPr>
          <w:p>
            <w:pPr>
              <w:spacing w:line="360" w:lineRule="exact"/>
              <w:jc w:val="center"/>
              <w:rPr>
                <w:rFonts w:ascii="Times New Roman" w:hAnsi="Times New Roman"/>
                <w:b/>
                <w:szCs w:val="21"/>
              </w:rPr>
            </w:pPr>
            <w:r>
              <w:rPr>
                <w:rFonts w:ascii="Times New Roman" w:hAnsi="Times New Roman"/>
                <w:b/>
                <w:szCs w:val="21"/>
              </w:rPr>
              <w:t>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150" w:type="dxa"/>
            <w:vAlign w:val="center"/>
          </w:tcPr>
          <w:p>
            <w:pPr>
              <w:spacing w:line="360" w:lineRule="exact"/>
              <w:jc w:val="center"/>
              <w:rPr>
                <w:rFonts w:ascii="Times New Roman" w:hAnsi="Times New Roman"/>
                <w:szCs w:val="21"/>
              </w:rPr>
            </w:pPr>
            <w:r>
              <w:rPr>
                <w:rFonts w:ascii="Times New Roman" w:hAnsi="Times New Roman"/>
                <w:szCs w:val="21"/>
              </w:rPr>
              <w:t>敏感</w:t>
            </w:r>
          </w:p>
        </w:tc>
        <w:tc>
          <w:tcPr>
            <w:tcW w:w="7372" w:type="dxa"/>
            <w:vAlign w:val="center"/>
          </w:tcPr>
          <w:p>
            <w:pPr>
              <w:spacing w:line="360" w:lineRule="exact"/>
              <w:jc w:val="center"/>
              <w:rPr>
                <w:rFonts w:ascii="Times New Roman" w:hAnsi="Times New Roman"/>
                <w:szCs w:val="21"/>
              </w:rPr>
            </w:pPr>
            <w:r>
              <w:rPr>
                <w:rFonts w:ascii="Times New Roman" w:hAnsi="Times New Roman"/>
                <w:szCs w:val="21"/>
              </w:rPr>
              <w:t>集中式饮用水水源（包括已建成的在用、备用、应急水源地，在建和规划的水源地）准保护区；除集中式饮用水水源以外的国家或地方政府设定的与地下水环境相关的其他保护区，如热水、矿泉水、温泉等特殊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150" w:type="dxa"/>
            <w:vAlign w:val="center"/>
          </w:tcPr>
          <w:p>
            <w:pPr>
              <w:spacing w:line="360" w:lineRule="exact"/>
              <w:jc w:val="center"/>
              <w:rPr>
                <w:rFonts w:ascii="Times New Roman" w:hAnsi="Times New Roman"/>
                <w:szCs w:val="21"/>
              </w:rPr>
            </w:pPr>
            <w:r>
              <w:rPr>
                <w:rFonts w:ascii="Times New Roman" w:hAnsi="Times New Roman"/>
                <w:szCs w:val="21"/>
              </w:rPr>
              <w:t>较敏感</w:t>
            </w:r>
          </w:p>
        </w:tc>
        <w:tc>
          <w:tcPr>
            <w:tcW w:w="7372" w:type="dxa"/>
            <w:vAlign w:val="center"/>
          </w:tcPr>
          <w:p>
            <w:pPr>
              <w:spacing w:line="360" w:lineRule="exact"/>
              <w:jc w:val="center"/>
              <w:rPr>
                <w:rFonts w:ascii="Times New Roman" w:hAnsi="Times New Roman"/>
                <w:szCs w:val="21"/>
              </w:rPr>
            </w:pPr>
            <w:r>
              <w:rPr>
                <w:rFonts w:ascii="Times New Roman" w:hAnsi="Times New Roman"/>
                <w:szCs w:val="21"/>
              </w:rPr>
              <w:t>集中式饮用水水源（包括已建成的在用、备用、应急水源地，在建和规划的水源地）准保护区以外的补给径流区；未划定的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150" w:type="dxa"/>
            <w:vAlign w:val="center"/>
          </w:tcPr>
          <w:p>
            <w:pPr>
              <w:spacing w:line="360" w:lineRule="exact"/>
              <w:jc w:val="center"/>
              <w:rPr>
                <w:rFonts w:ascii="Times New Roman" w:hAnsi="Times New Roman"/>
                <w:szCs w:val="21"/>
              </w:rPr>
            </w:pPr>
            <w:r>
              <w:rPr>
                <w:rFonts w:ascii="Times New Roman" w:hAnsi="Times New Roman"/>
                <w:szCs w:val="21"/>
              </w:rPr>
              <w:t>不敏感</w:t>
            </w:r>
          </w:p>
        </w:tc>
        <w:tc>
          <w:tcPr>
            <w:tcW w:w="7372" w:type="dxa"/>
            <w:vAlign w:val="center"/>
          </w:tcPr>
          <w:p>
            <w:pPr>
              <w:spacing w:line="360" w:lineRule="exact"/>
              <w:jc w:val="center"/>
              <w:rPr>
                <w:rFonts w:ascii="Times New Roman" w:hAnsi="Times New Roman"/>
                <w:szCs w:val="21"/>
              </w:rPr>
            </w:pPr>
            <w:r>
              <w:rPr>
                <w:rFonts w:ascii="Times New Roman" w:hAnsi="Times New Roman"/>
                <w:szCs w:val="21"/>
              </w:rPr>
              <w:t>上述地区之外的其他地区。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522" w:type="dxa"/>
            <w:gridSpan w:val="2"/>
            <w:vAlign w:val="center"/>
          </w:tcPr>
          <w:p>
            <w:pPr>
              <w:spacing w:line="360" w:lineRule="exact"/>
              <w:rPr>
                <w:rFonts w:ascii="Times New Roman" w:hAnsi="Times New Roman"/>
                <w:spacing w:val="-12"/>
                <w:szCs w:val="21"/>
              </w:rPr>
            </w:pPr>
            <w:r>
              <w:rPr>
                <w:rFonts w:ascii="Times New Roman" w:hAnsi="Times New Roman"/>
                <w:spacing w:val="-12"/>
                <w:szCs w:val="21"/>
              </w:rPr>
              <w:t>注：表中“环境敏感区”系指《建设项目环境影响评价分类管理名录》中界定的涉及地下水的环境敏感区。</w:t>
            </w:r>
          </w:p>
        </w:tc>
      </w:tr>
    </w:tbl>
    <w:p>
      <w:pPr>
        <w:pStyle w:val="18"/>
        <w:spacing w:line="480" w:lineRule="exact"/>
        <w:rPr>
          <w:szCs w:val="21"/>
        </w:rPr>
      </w:pPr>
      <w:r>
        <w:t>表 1.5.3-2</w:t>
      </w:r>
      <w:r>
        <w:rPr>
          <w:szCs w:val="21"/>
        </w:rPr>
        <w:t xml:space="preserve">  建设项目地下水工作等级分级表</w:t>
      </w:r>
    </w:p>
    <w:tbl>
      <w:tblPr>
        <w:tblStyle w:val="4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tcBorders>
              <w:tl2br w:val="single" w:color="auto" w:sz="4" w:space="0"/>
            </w:tcBorders>
          </w:tcPr>
          <w:p>
            <w:pPr>
              <w:pStyle w:val="162"/>
              <w:spacing w:line="240" w:lineRule="auto"/>
              <w:ind w:firstLine="1054" w:firstLineChars="500"/>
              <w:rPr>
                <w:rFonts w:cs="Times New Roman"/>
                <w:b/>
                <w:sz w:val="21"/>
                <w:szCs w:val="21"/>
              </w:rPr>
            </w:pPr>
            <w:r>
              <w:rPr>
                <w:rFonts w:cs="Times New Roman"/>
                <w:b/>
                <w:sz w:val="21"/>
                <w:szCs w:val="21"/>
              </w:rPr>
              <w:t>项目类别</w:t>
            </w:r>
          </w:p>
          <w:p>
            <w:pPr>
              <w:pStyle w:val="162"/>
              <w:spacing w:line="240" w:lineRule="auto"/>
              <w:ind w:firstLine="0" w:firstLineChars="0"/>
              <w:rPr>
                <w:rFonts w:cs="Times New Roman"/>
                <w:b/>
                <w:sz w:val="21"/>
                <w:szCs w:val="21"/>
              </w:rPr>
            </w:pPr>
            <w:r>
              <w:rPr>
                <w:rFonts w:cs="Times New Roman"/>
                <w:b/>
                <w:sz w:val="21"/>
                <w:szCs w:val="21"/>
              </w:rPr>
              <w:t>环境敏感程度</w:t>
            </w:r>
          </w:p>
        </w:tc>
        <w:tc>
          <w:tcPr>
            <w:tcW w:w="2130" w:type="dxa"/>
            <w:vAlign w:val="center"/>
          </w:tcPr>
          <w:p>
            <w:pPr>
              <w:pStyle w:val="162"/>
              <w:spacing w:line="240" w:lineRule="auto"/>
              <w:ind w:firstLine="0" w:firstLineChars="0"/>
              <w:jc w:val="center"/>
              <w:rPr>
                <w:rFonts w:cs="Times New Roman"/>
                <w:b/>
                <w:sz w:val="21"/>
                <w:szCs w:val="21"/>
              </w:rPr>
            </w:pPr>
            <w:r>
              <w:rPr>
                <w:rFonts w:cs="Times New Roman"/>
                <w:b/>
                <w:sz w:val="21"/>
                <w:szCs w:val="21"/>
              </w:rPr>
              <w:t>Ⅰ类</w:t>
            </w:r>
          </w:p>
        </w:tc>
        <w:tc>
          <w:tcPr>
            <w:tcW w:w="2131" w:type="dxa"/>
            <w:vAlign w:val="center"/>
          </w:tcPr>
          <w:p>
            <w:pPr>
              <w:pStyle w:val="162"/>
              <w:spacing w:line="240" w:lineRule="auto"/>
              <w:ind w:firstLine="0" w:firstLineChars="0"/>
              <w:jc w:val="center"/>
              <w:rPr>
                <w:rFonts w:cs="Times New Roman"/>
                <w:b/>
                <w:sz w:val="21"/>
                <w:szCs w:val="21"/>
              </w:rPr>
            </w:pPr>
            <w:r>
              <w:rPr>
                <w:rFonts w:cs="Times New Roman"/>
                <w:b/>
                <w:sz w:val="21"/>
                <w:szCs w:val="21"/>
              </w:rPr>
              <w:t>Ⅱ类</w:t>
            </w:r>
          </w:p>
        </w:tc>
        <w:tc>
          <w:tcPr>
            <w:tcW w:w="2131" w:type="dxa"/>
            <w:vAlign w:val="center"/>
          </w:tcPr>
          <w:p>
            <w:pPr>
              <w:pStyle w:val="162"/>
              <w:spacing w:line="240" w:lineRule="auto"/>
              <w:ind w:firstLine="0" w:firstLineChars="0"/>
              <w:jc w:val="center"/>
              <w:rPr>
                <w:rFonts w:cs="Times New Roman"/>
                <w:b/>
                <w:sz w:val="21"/>
                <w:szCs w:val="21"/>
              </w:rPr>
            </w:pPr>
            <w:r>
              <w:rPr>
                <w:rFonts w:cs="Times New Roman"/>
                <w:b/>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敏感</w:t>
            </w:r>
          </w:p>
        </w:tc>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一</w:t>
            </w:r>
          </w:p>
        </w:tc>
        <w:tc>
          <w:tcPr>
            <w:tcW w:w="2131" w:type="dxa"/>
            <w:vAlign w:val="center"/>
          </w:tcPr>
          <w:p>
            <w:pPr>
              <w:pStyle w:val="162"/>
              <w:spacing w:line="240" w:lineRule="auto"/>
              <w:ind w:firstLine="0" w:firstLineChars="0"/>
              <w:jc w:val="center"/>
              <w:rPr>
                <w:rFonts w:cs="Times New Roman"/>
                <w:sz w:val="21"/>
                <w:szCs w:val="21"/>
              </w:rPr>
            </w:pPr>
            <w:r>
              <w:rPr>
                <w:rFonts w:cs="Times New Roman"/>
                <w:sz w:val="21"/>
                <w:szCs w:val="21"/>
              </w:rPr>
              <w:t>一</w:t>
            </w:r>
          </w:p>
        </w:tc>
        <w:tc>
          <w:tcPr>
            <w:tcW w:w="2131" w:type="dxa"/>
            <w:vAlign w:val="center"/>
          </w:tcPr>
          <w:p>
            <w:pPr>
              <w:pStyle w:val="162"/>
              <w:spacing w:line="240" w:lineRule="auto"/>
              <w:ind w:firstLine="0" w:firstLineChars="0"/>
              <w:jc w:val="center"/>
              <w:rPr>
                <w:rFonts w:cs="Times New Roman"/>
                <w:sz w:val="21"/>
                <w:szCs w:val="21"/>
              </w:rPr>
            </w:pPr>
            <w:r>
              <w:rPr>
                <w:rFonts w:cs="Times New Roman"/>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较敏感</w:t>
            </w:r>
          </w:p>
        </w:tc>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一</w:t>
            </w:r>
          </w:p>
        </w:tc>
        <w:tc>
          <w:tcPr>
            <w:tcW w:w="2131" w:type="dxa"/>
            <w:vAlign w:val="center"/>
          </w:tcPr>
          <w:p>
            <w:pPr>
              <w:pStyle w:val="162"/>
              <w:spacing w:line="240" w:lineRule="auto"/>
              <w:ind w:firstLine="0" w:firstLineChars="0"/>
              <w:jc w:val="center"/>
              <w:rPr>
                <w:rFonts w:cs="Times New Roman"/>
                <w:sz w:val="21"/>
                <w:szCs w:val="21"/>
              </w:rPr>
            </w:pPr>
            <w:r>
              <w:rPr>
                <w:rFonts w:cs="Times New Roman"/>
                <w:sz w:val="21"/>
                <w:szCs w:val="21"/>
              </w:rPr>
              <w:t>二</w:t>
            </w:r>
          </w:p>
        </w:tc>
        <w:tc>
          <w:tcPr>
            <w:tcW w:w="2131" w:type="dxa"/>
            <w:vAlign w:val="center"/>
          </w:tcPr>
          <w:p>
            <w:pPr>
              <w:pStyle w:val="162"/>
              <w:spacing w:line="240" w:lineRule="auto"/>
              <w:ind w:firstLine="0" w:firstLineChars="0"/>
              <w:jc w:val="center"/>
              <w:rPr>
                <w:rFonts w:cs="Times New Roman"/>
                <w:sz w:val="21"/>
                <w:szCs w:val="21"/>
              </w:rPr>
            </w:pPr>
            <w:r>
              <w:rPr>
                <w:rFonts w:cs="Times New Roman"/>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不敏感</w:t>
            </w:r>
          </w:p>
        </w:tc>
        <w:tc>
          <w:tcPr>
            <w:tcW w:w="2130" w:type="dxa"/>
            <w:vAlign w:val="center"/>
          </w:tcPr>
          <w:p>
            <w:pPr>
              <w:pStyle w:val="162"/>
              <w:spacing w:line="240" w:lineRule="auto"/>
              <w:ind w:firstLine="0" w:firstLineChars="0"/>
              <w:jc w:val="center"/>
              <w:rPr>
                <w:rFonts w:cs="Times New Roman"/>
                <w:b/>
                <w:sz w:val="21"/>
                <w:szCs w:val="21"/>
                <w:shd w:val="pct10" w:color="auto" w:fill="FFFFFF"/>
              </w:rPr>
            </w:pPr>
            <w:r>
              <w:rPr>
                <w:rFonts w:cs="Times New Roman"/>
                <w:b/>
                <w:sz w:val="21"/>
                <w:szCs w:val="21"/>
              </w:rPr>
              <w:t>二</w:t>
            </w:r>
          </w:p>
        </w:tc>
        <w:tc>
          <w:tcPr>
            <w:tcW w:w="2131" w:type="dxa"/>
            <w:vAlign w:val="center"/>
          </w:tcPr>
          <w:p>
            <w:pPr>
              <w:pStyle w:val="162"/>
              <w:spacing w:line="240" w:lineRule="auto"/>
              <w:ind w:firstLine="0" w:firstLineChars="0"/>
              <w:jc w:val="center"/>
              <w:rPr>
                <w:rFonts w:cs="Times New Roman"/>
                <w:sz w:val="21"/>
                <w:szCs w:val="21"/>
              </w:rPr>
            </w:pPr>
            <w:r>
              <w:rPr>
                <w:rFonts w:cs="Times New Roman"/>
                <w:sz w:val="21"/>
                <w:szCs w:val="21"/>
              </w:rPr>
              <w:t>三</w:t>
            </w:r>
          </w:p>
        </w:tc>
        <w:tc>
          <w:tcPr>
            <w:tcW w:w="2131" w:type="dxa"/>
            <w:vAlign w:val="center"/>
          </w:tcPr>
          <w:p>
            <w:pPr>
              <w:pStyle w:val="162"/>
              <w:spacing w:line="240" w:lineRule="auto"/>
              <w:ind w:firstLine="0" w:firstLineChars="0"/>
              <w:jc w:val="center"/>
              <w:rPr>
                <w:rFonts w:cs="Times New Roman"/>
                <w:sz w:val="21"/>
                <w:szCs w:val="21"/>
              </w:rPr>
            </w:pPr>
            <w:r>
              <w:rPr>
                <w:rFonts w:cs="Times New Roman"/>
                <w:sz w:val="21"/>
                <w:szCs w:val="21"/>
              </w:rPr>
              <w:t>三</w:t>
            </w:r>
          </w:p>
        </w:tc>
      </w:tr>
    </w:tbl>
    <w:p>
      <w:pPr>
        <w:pStyle w:val="18"/>
        <w:spacing w:line="480" w:lineRule="exact"/>
        <w:rPr>
          <w:szCs w:val="21"/>
        </w:rPr>
      </w:pPr>
      <w:r>
        <w:t>表 1.5.3-3</w:t>
      </w:r>
      <w:r>
        <w:rPr>
          <w:szCs w:val="21"/>
        </w:rPr>
        <w:t xml:space="preserve">  建设项目地下水现状调查评价范围参照表</w:t>
      </w:r>
    </w:p>
    <w:tbl>
      <w:tblPr>
        <w:tblStyle w:val="4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40" w:type="dxa"/>
            <w:vAlign w:val="center"/>
          </w:tcPr>
          <w:p>
            <w:pPr>
              <w:pStyle w:val="162"/>
              <w:spacing w:line="240" w:lineRule="auto"/>
              <w:ind w:firstLine="0" w:firstLineChars="0"/>
              <w:jc w:val="center"/>
              <w:rPr>
                <w:rFonts w:cs="Times New Roman"/>
                <w:b/>
                <w:sz w:val="21"/>
                <w:szCs w:val="21"/>
              </w:rPr>
            </w:pPr>
            <w:r>
              <w:rPr>
                <w:rFonts w:cs="Times New Roman"/>
                <w:b/>
                <w:sz w:val="21"/>
                <w:szCs w:val="21"/>
              </w:rPr>
              <w:t>评价等级</w:t>
            </w:r>
          </w:p>
        </w:tc>
        <w:tc>
          <w:tcPr>
            <w:tcW w:w="2841" w:type="dxa"/>
            <w:vAlign w:val="center"/>
          </w:tcPr>
          <w:p>
            <w:pPr>
              <w:pStyle w:val="162"/>
              <w:spacing w:line="240" w:lineRule="auto"/>
              <w:ind w:firstLine="0" w:firstLineChars="0"/>
              <w:jc w:val="center"/>
              <w:rPr>
                <w:rFonts w:cs="Times New Roman"/>
                <w:b/>
                <w:sz w:val="21"/>
                <w:szCs w:val="21"/>
              </w:rPr>
            </w:pPr>
            <w:r>
              <w:rPr>
                <w:rFonts w:cs="Times New Roman"/>
                <w:b/>
                <w:sz w:val="21"/>
                <w:szCs w:val="21"/>
              </w:rPr>
              <w:t>调查评价面积（km</w:t>
            </w:r>
            <w:r>
              <w:rPr>
                <w:rFonts w:cs="Times New Roman"/>
                <w:b/>
                <w:sz w:val="21"/>
                <w:szCs w:val="21"/>
                <w:vertAlign w:val="superscript"/>
              </w:rPr>
              <w:t>2</w:t>
            </w:r>
            <w:r>
              <w:rPr>
                <w:rFonts w:cs="Times New Roman"/>
                <w:b/>
                <w:sz w:val="21"/>
                <w:szCs w:val="21"/>
              </w:rPr>
              <w:t>）</w:t>
            </w:r>
          </w:p>
        </w:tc>
        <w:tc>
          <w:tcPr>
            <w:tcW w:w="2841" w:type="dxa"/>
            <w:vAlign w:val="center"/>
          </w:tcPr>
          <w:p>
            <w:pPr>
              <w:pStyle w:val="162"/>
              <w:spacing w:line="240" w:lineRule="auto"/>
              <w:ind w:firstLine="0" w:firstLineChars="0"/>
              <w:jc w:val="center"/>
              <w:rPr>
                <w:rFonts w:cs="Times New Roman"/>
                <w:b/>
                <w:sz w:val="21"/>
                <w:szCs w:val="21"/>
              </w:rPr>
            </w:pPr>
            <w:r>
              <w:rPr>
                <w:rFonts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40" w:type="dxa"/>
            <w:vAlign w:val="center"/>
          </w:tcPr>
          <w:p>
            <w:pPr>
              <w:pStyle w:val="162"/>
              <w:spacing w:line="240" w:lineRule="auto"/>
              <w:ind w:firstLine="0" w:firstLineChars="0"/>
              <w:jc w:val="center"/>
              <w:rPr>
                <w:rFonts w:cs="Times New Roman"/>
                <w:sz w:val="21"/>
                <w:szCs w:val="21"/>
              </w:rPr>
            </w:pPr>
            <w:r>
              <w:rPr>
                <w:rFonts w:cs="Times New Roman"/>
                <w:sz w:val="21"/>
                <w:szCs w:val="21"/>
              </w:rPr>
              <w:t>一级</w:t>
            </w:r>
          </w:p>
        </w:tc>
        <w:tc>
          <w:tcPr>
            <w:tcW w:w="2841" w:type="dxa"/>
            <w:vAlign w:val="center"/>
          </w:tcPr>
          <w:p>
            <w:pPr>
              <w:pStyle w:val="162"/>
              <w:spacing w:line="240" w:lineRule="auto"/>
              <w:ind w:firstLine="0" w:firstLineChars="0"/>
              <w:jc w:val="center"/>
              <w:rPr>
                <w:rFonts w:cs="Times New Roman"/>
                <w:sz w:val="21"/>
                <w:szCs w:val="21"/>
              </w:rPr>
            </w:pPr>
            <w:r>
              <w:rPr>
                <w:rFonts w:cs="Times New Roman"/>
                <w:sz w:val="21"/>
                <w:szCs w:val="21"/>
              </w:rPr>
              <w:t>≥20</w:t>
            </w:r>
          </w:p>
        </w:tc>
        <w:tc>
          <w:tcPr>
            <w:tcW w:w="2841" w:type="dxa"/>
            <w:vMerge w:val="restart"/>
            <w:vAlign w:val="center"/>
          </w:tcPr>
          <w:p>
            <w:pPr>
              <w:pStyle w:val="162"/>
              <w:spacing w:line="240" w:lineRule="auto"/>
              <w:ind w:firstLine="0" w:firstLineChars="0"/>
              <w:rPr>
                <w:rFonts w:cs="Times New Roman"/>
                <w:sz w:val="21"/>
                <w:szCs w:val="21"/>
              </w:rPr>
            </w:pPr>
            <w:r>
              <w:rPr>
                <w:rFonts w:cs="Times New Roman"/>
                <w:sz w:val="21"/>
                <w:szCs w:val="21"/>
              </w:rPr>
              <w:t>应包括重要的地下水环境保护目标，必要时适当扩大范围。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40" w:type="dxa"/>
            <w:vAlign w:val="center"/>
          </w:tcPr>
          <w:p>
            <w:pPr>
              <w:pStyle w:val="162"/>
              <w:spacing w:line="240" w:lineRule="auto"/>
              <w:ind w:firstLine="0" w:firstLineChars="0"/>
              <w:jc w:val="center"/>
              <w:rPr>
                <w:rFonts w:cs="Times New Roman"/>
                <w:sz w:val="21"/>
                <w:szCs w:val="21"/>
              </w:rPr>
            </w:pPr>
            <w:r>
              <w:rPr>
                <w:rFonts w:cs="Times New Roman"/>
                <w:sz w:val="21"/>
                <w:szCs w:val="21"/>
              </w:rPr>
              <w:t>二级</w:t>
            </w:r>
          </w:p>
        </w:tc>
        <w:tc>
          <w:tcPr>
            <w:tcW w:w="2841" w:type="dxa"/>
            <w:vAlign w:val="center"/>
          </w:tcPr>
          <w:p>
            <w:pPr>
              <w:pStyle w:val="162"/>
              <w:spacing w:line="240" w:lineRule="auto"/>
              <w:ind w:firstLine="0" w:firstLineChars="0"/>
              <w:jc w:val="center"/>
              <w:rPr>
                <w:rFonts w:cs="Times New Roman"/>
                <w:sz w:val="21"/>
                <w:szCs w:val="21"/>
              </w:rPr>
            </w:pPr>
            <w:r>
              <w:rPr>
                <w:rFonts w:cs="Times New Roman"/>
                <w:sz w:val="21"/>
                <w:szCs w:val="21"/>
              </w:rPr>
              <w:t>6-20</w:t>
            </w:r>
          </w:p>
        </w:tc>
        <w:tc>
          <w:tcPr>
            <w:tcW w:w="2841" w:type="dxa"/>
            <w:vMerge w:val="continue"/>
            <w:vAlign w:val="center"/>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40" w:type="dxa"/>
            <w:vAlign w:val="center"/>
          </w:tcPr>
          <w:p>
            <w:pPr>
              <w:pStyle w:val="162"/>
              <w:spacing w:line="240" w:lineRule="auto"/>
              <w:ind w:firstLine="0" w:firstLineChars="0"/>
              <w:jc w:val="center"/>
              <w:rPr>
                <w:rFonts w:cs="Times New Roman"/>
                <w:sz w:val="21"/>
                <w:szCs w:val="21"/>
                <w:shd w:val="pct10" w:color="auto" w:fill="FFFFFF"/>
              </w:rPr>
            </w:pPr>
            <w:r>
              <w:rPr>
                <w:rFonts w:cs="Times New Roman"/>
                <w:sz w:val="21"/>
                <w:szCs w:val="21"/>
              </w:rPr>
              <w:t>三级</w:t>
            </w:r>
          </w:p>
        </w:tc>
        <w:tc>
          <w:tcPr>
            <w:tcW w:w="2841" w:type="dxa"/>
            <w:vAlign w:val="center"/>
          </w:tcPr>
          <w:p>
            <w:pPr>
              <w:pStyle w:val="162"/>
              <w:spacing w:line="240" w:lineRule="auto"/>
              <w:ind w:firstLine="0" w:firstLineChars="0"/>
              <w:jc w:val="center"/>
              <w:rPr>
                <w:rFonts w:cs="Times New Roman"/>
                <w:sz w:val="21"/>
                <w:szCs w:val="21"/>
              </w:rPr>
            </w:pPr>
            <w:r>
              <w:rPr>
                <w:rFonts w:cs="Times New Roman"/>
                <w:sz w:val="21"/>
                <w:szCs w:val="21"/>
              </w:rPr>
              <w:t>≤6</w:t>
            </w:r>
          </w:p>
        </w:tc>
        <w:tc>
          <w:tcPr>
            <w:tcW w:w="2841" w:type="dxa"/>
            <w:vMerge w:val="continue"/>
            <w:vAlign w:val="center"/>
          </w:tcPr>
          <w:p>
            <w:pPr>
              <w:rPr>
                <w:rFonts w:ascii="Times New Roman" w:hAnsi="Times New Roman"/>
              </w:rPr>
            </w:pPr>
          </w:p>
        </w:tc>
      </w:tr>
    </w:tbl>
    <w:p>
      <w:pPr>
        <w:pStyle w:val="162"/>
        <w:numPr>
          <w:ilvl w:val="0"/>
          <w:numId w:val="10"/>
        </w:numPr>
        <w:spacing w:line="480" w:lineRule="exact"/>
        <w:ind w:left="0" w:firstLine="480" w:firstLineChars="0"/>
        <w:rPr>
          <w:rFonts w:cs="Times New Roman"/>
        </w:rPr>
      </w:pPr>
      <w:r>
        <w:rPr>
          <w:rFonts w:cs="Times New Roman"/>
        </w:rPr>
        <w:t>评价等级及评价范围</w:t>
      </w:r>
    </w:p>
    <w:p>
      <w:pPr>
        <w:pStyle w:val="162"/>
        <w:spacing w:line="480" w:lineRule="exact"/>
        <w:ind w:firstLine="480"/>
        <w:rPr>
          <w:rFonts w:cs="Times New Roman"/>
        </w:rPr>
      </w:pPr>
      <w:r>
        <w:rPr>
          <w:rFonts w:cs="Times New Roman"/>
        </w:rPr>
        <w:t>本次地下水环境评价为二级评价；评价范围为以本项目为中心，向四周适当拓展，组成本次地下水评价的工作范围，控制面积约20km</w:t>
      </w:r>
      <w:r>
        <w:rPr>
          <w:rFonts w:cs="Times New Roman"/>
          <w:vertAlign w:val="superscript"/>
        </w:rPr>
        <w:t>2</w:t>
      </w:r>
      <w:r>
        <w:rPr>
          <w:rFonts w:cs="Times New Roman"/>
        </w:rPr>
        <w:t>。</w:t>
      </w:r>
    </w:p>
    <w:p>
      <w:pPr>
        <w:pStyle w:val="7"/>
        <w:spacing w:before="120" w:after="120"/>
      </w:pPr>
      <w:bookmarkStart w:id="126" w:name="_Toc3021"/>
      <w:bookmarkStart w:id="127" w:name="_Toc29579"/>
      <w:bookmarkStart w:id="128" w:name="_Toc14007"/>
      <w:r>
        <w:t>声环境影响评价等级及范围</w:t>
      </w:r>
      <w:bookmarkEnd w:id="126"/>
      <w:bookmarkEnd w:id="127"/>
      <w:bookmarkEnd w:id="128"/>
    </w:p>
    <w:p>
      <w:pPr>
        <w:spacing w:line="360" w:lineRule="auto"/>
        <w:ind w:firstLine="482"/>
        <w:rPr>
          <w:rFonts w:ascii="Times New Roman" w:hAnsi="Times New Roman"/>
          <w:sz w:val="24"/>
          <w:szCs w:val="24"/>
        </w:rPr>
      </w:pPr>
      <w:r>
        <w:rPr>
          <w:rFonts w:ascii="Times New Roman" w:hAnsi="Times New Roman"/>
          <w:sz w:val="24"/>
          <w:szCs w:val="24"/>
        </w:rPr>
        <w:t>（1）声环境评价等级划分依据</w:t>
      </w:r>
    </w:p>
    <w:p>
      <w:pPr>
        <w:spacing w:line="360" w:lineRule="auto"/>
        <w:ind w:firstLine="482"/>
        <w:rPr>
          <w:rFonts w:ascii="Times New Roman" w:hAnsi="Times New Roman"/>
        </w:rPr>
      </w:pPr>
      <w:r>
        <w:rPr>
          <w:rFonts w:ascii="Times New Roman" w:hAnsi="Times New Roman"/>
          <w:sz w:val="24"/>
          <w:szCs w:val="24"/>
        </w:rPr>
        <w:t>按照《环境影响评价技术导则－声环境》（HJ2.4-2009）中声环境影响评价级别划分原则。</w:t>
      </w:r>
    </w:p>
    <w:p>
      <w:pPr>
        <w:pStyle w:val="18"/>
        <w:spacing w:line="480" w:lineRule="exact"/>
      </w:pPr>
    </w:p>
    <w:p>
      <w:pPr>
        <w:pStyle w:val="18"/>
        <w:spacing w:line="480" w:lineRule="exact"/>
      </w:pPr>
    </w:p>
    <w:p>
      <w:pPr>
        <w:pStyle w:val="18"/>
        <w:spacing w:line="480" w:lineRule="exact"/>
      </w:pPr>
    </w:p>
    <w:p>
      <w:pPr>
        <w:pStyle w:val="18"/>
        <w:spacing w:line="480" w:lineRule="exact"/>
      </w:pPr>
      <w:r>
        <w:t>表1.5.4-1  声环境影响评价等级划分依据</w:t>
      </w:r>
    </w:p>
    <w:tbl>
      <w:tblPr>
        <w:tblStyle w:val="4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4"/>
        <w:gridCol w:w="1418"/>
        <w:gridCol w:w="1559"/>
        <w:gridCol w:w="1559"/>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04" w:type="dxa"/>
            <w:vAlign w:val="center"/>
          </w:tcPr>
          <w:p>
            <w:pPr>
              <w:tabs>
                <w:tab w:val="left" w:pos="426"/>
              </w:tabs>
              <w:snapToGrid w:val="0"/>
              <w:jc w:val="center"/>
              <w:rPr>
                <w:rFonts w:ascii="Times New Roman" w:hAnsi="Times New Roman"/>
                <w:b/>
                <w:bCs/>
                <w:szCs w:val="21"/>
              </w:rPr>
            </w:pPr>
            <w:r>
              <w:rPr>
                <w:rFonts w:ascii="Times New Roman" w:hAnsi="Times New Roman"/>
                <w:b/>
                <w:bCs/>
                <w:szCs w:val="21"/>
              </w:rPr>
              <w:t>判别依据</w:t>
            </w:r>
          </w:p>
        </w:tc>
        <w:tc>
          <w:tcPr>
            <w:tcW w:w="1418" w:type="dxa"/>
            <w:vAlign w:val="center"/>
          </w:tcPr>
          <w:p>
            <w:pPr>
              <w:tabs>
                <w:tab w:val="left" w:pos="426"/>
              </w:tabs>
              <w:snapToGrid w:val="0"/>
              <w:jc w:val="center"/>
              <w:rPr>
                <w:rFonts w:ascii="Times New Roman" w:hAnsi="Times New Roman"/>
                <w:b/>
                <w:bCs/>
                <w:szCs w:val="21"/>
              </w:rPr>
            </w:pPr>
            <w:r>
              <w:rPr>
                <w:rFonts w:ascii="Times New Roman" w:hAnsi="Times New Roman"/>
                <w:b/>
                <w:bCs/>
                <w:szCs w:val="21"/>
              </w:rPr>
              <w:t>声环境功能区</w:t>
            </w:r>
          </w:p>
        </w:tc>
        <w:tc>
          <w:tcPr>
            <w:tcW w:w="1559" w:type="dxa"/>
            <w:vAlign w:val="center"/>
          </w:tcPr>
          <w:p>
            <w:pPr>
              <w:tabs>
                <w:tab w:val="left" w:pos="426"/>
              </w:tabs>
              <w:snapToGrid w:val="0"/>
              <w:jc w:val="center"/>
              <w:rPr>
                <w:rFonts w:ascii="Times New Roman" w:hAnsi="Times New Roman"/>
                <w:b/>
                <w:bCs/>
                <w:szCs w:val="21"/>
              </w:rPr>
            </w:pPr>
            <w:r>
              <w:rPr>
                <w:rFonts w:ascii="Times New Roman" w:hAnsi="Times New Roman"/>
                <w:b/>
                <w:bCs/>
                <w:szCs w:val="21"/>
              </w:rPr>
              <w:t>敏感目标噪声级增量</w:t>
            </w:r>
          </w:p>
        </w:tc>
        <w:tc>
          <w:tcPr>
            <w:tcW w:w="1559" w:type="dxa"/>
            <w:vAlign w:val="center"/>
          </w:tcPr>
          <w:p>
            <w:pPr>
              <w:tabs>
                <w:tab w:val="left" w:pos="426"/>
              </w:tabs>
              <w:snapToGrid w:val="0"/>
              <w:jc w:val="center"/>
              <w:rPr>
                <w:rFonts w:ascii="Times New Roman" w:hAnsi="Times New Roman"/>
                <w:b/>
                <w:bCs/>
                <w:szCs w:val="21"/>
              </w:rPr>
            </w:pPr>
            <w:r>
              <w:rPr>
                <w:rFonts w:ascii="Times New Roman" w:hAnsi="Times New Roman"/>
                <w:b/>
                <w:bCs/>
                <w:szCs w:val="21"/>
              </w:rPr>
              <w:t>受噪声影响范围内的人口数量</w:t>
            </w:r>
          </w:p>
        </w:tc>
        <w:tc>
          <w:tcPr>
            <w:tcW w:w="2522" w:type="dxa"/>
            <w:vAlign w:val="center"/>
          </w:tcPr>
          <w:p>
            <w:pPr>
              <w:tabs>
                <w:tab w:val="left" w:pos="426"/>
              </w:tabs>
              <w:snapToGrid w:val="0"/>
              <w:jc w:val="center"/>
              <w:rPr>
                <w:rFonts w:ascii="Times New Roman" w:hAnsi="Times New Roman"/>
                <w:b/>
                <w:bCs/>
                <w:szCs w:val="21"/>
              </w:rPr>
            </w:pPr>
            <w:r>
              <w:rPr>
                <w:rFonts w:ascii="Times New Roman" w:hAnsi="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1304"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一级评价</w:t>
            </w:r>
          </w:p>
        </w:tc>
        <w:tc>
          <w:tcPr>
            <w:tcW w:w="1418"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0类及以上</w:t>
            </w:r>
          </w:p>
        </w:tc>
        <w:tc>
          <w:tcPr>
            <w:tcW w:w="1559"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≥5dB（A）</w:t>
            </w:r>
          </w:p>
        </w:tc>
        <w:tc>
          <w:tcPr>
            <w:tcW w:w="1559" w:type="dxa"/>
            <w:vAlign w:val="center"/>
          </w:tcPr>
          <w:p>
            <w:pPr>
              <w:tabs>
                <w:tab w:val="left" w:pos="426"/>
              </w:tabs>
              <w:jc w:val="center"/>
              <w:rPr>
                <w:rFonts w:ascii="Times New Roman" w:hAnsi="Times New Roman"/>
                <w:bCs/>
                <w:szCs w:val="21"/>
              </w:rPr>
            </w:pPr>
            <w:r>
              <w:rPr>
                <w:rFonts w:ascii="Times New Roman" w:hAnsi="Times New Roman"/>
                <w:bCs/>
                <w:szCs w:val="21"/>
              </w:rPr>
              <w:t>显著增多</w:t>
            </w:r>
          </w:p>
        </w:tc>
        <w:tc>
          <w:tcPr>
            <w:tcW w:w="2522" w:type="dxa"/>
            <w:vMerge w:val="restart"/>
            <w:vAlign w:val="center"/>
          </w:tcPr>
          <w:p>
            <w:pPr>
              <w:tabs>
                <w:tab w:val="left" w:pos="426"/>
              </w:tabs>
              <w:snapToGrid w:val="0"/>
              <w:jc w:val="center"/>
              <w:rPr>
                <w:rFonts w:ascii="Times New Roman" w:hAnsi="Times New Roman"/>
                <w:bCs/>
                <w:szCs w:val="21"/>
              </w:rPr>
            </w:pPr>
            <w:r>
              <w:rPr>
                <w:rFonts w:ascii="Times New Roman" w:hAnsi="Times New Roman"/>
                <w:bCs/>
                <w:szCs w:val="21"/>
              </w:rPr>
              <w:t>1、判断项目建设后声级增高的具体地点为距该项目声源最近的敏感目标处。</w:t>
            </w:r>
          </w:p>
          <w:p>
            <w:pPr>
              <w:tabs>
                <w:tab w:val="left" w:pos="426"/>
              </w:tabs>
              <w:snapToGrid w:val="0"/>
              <w:jc w:val="center"/>
              <w:rPr>
                <w:rFonts w:ascii="Times New Roman" w:hAnsi="Times New Roman"/>
                <w:bCs/>
                <w:szCs w:val="21"/>
              </w:rPr>
            </w:pPr>
            <w:r>
              <w:rPr>
                <w:rFonts w:ascii="Times New Roman" w:hAnsi="Times New Roman"/>
                <w:bCs/>
                <w:szCs w:val="21"/>
              </w:rPr>
              <w:t>2、符合两个以上的划分原则时，按较高级别执行。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1304"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二级评价</w:t>
            </w:r>
          </w:p>
        </w:tc>
        <w:tc>
          <w:tcPr>
            <w:tcW w:w="1418"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1类、2类</w:t>
            </w:r>
          </w:p>
        </w:tc>
        <w:tc>
          <w:tcPr>
            <w:tcW w:w="1559"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3~5dB（A）</w:t>
            </w:r>
          </w:p>
        </w:tc>
        <w:tc>
          <w:tcPr>
            <w:tcW w:w="1559" w:type="dxa"/>
            <w:vAlign w:val="center"/>
          </w:tcPr>
          <w:p>
            <w:pPr>
              <w:tabs>
                <w:tab w:val="left" w:pos="426"/>
              </w:tabs>
              <w:jc w:val="center"/>
              <w:rPr>
                <w:rFonts w:ascii="Times New Roman" w:hAnsi="Times New Roman"/>
                <w:bCs/>
                <w:szCs w:val="21"/>
              </w:rPr>
            </w:pPr>
            <w:r>
              <w:rPr>
                <w:rFonts w:ascii="Times New Roman" w:hAnsi="Times New Roman"/>
                <w:bCs/>
                <w:szCs w:val="21"/>
              </w:rPr>
              <w:t>增加较多</w:t>
            </w:r>
          </w:p>
        </w:tc>
        <w:tc>
          <w:tcPr>
            <w:tcW w:w="2522" w:type="dxa"/>
            <w:vMerge w:val="continue"/>
            <w:vAlign w:val="center"/>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1304"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三级评价</w:t>
            </w:r>
          </w:p>
        </w:tc>
        <w:tc>
          <w:tcPr>
            <w:tcW w:w="1418"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3类、4类</w:t>
            </w:r>
          </w:p>
        </w:tc>
        <w:tc>
          <w:tcPr>
            <w:tcW w:w="1559" w:type="dxa"/>
            <w:vAlign w:val="center"/>
          </w:tcPr>
          <w:p>
            <w:pPr>
              <w:tabs>
                <w:tab w:val="left" w:pos="426"/>
              </w:tabs>
              <w:snapToGrid w:val="0"/>
              <w:jc w:val="center"/>
              <w:rPr>
                <w:rFonts w:ascii="Times New Roman" w:hAnsi="Times New Roman"/>
                <w:bCs/>
                <w:szCs w:val="21"/>
              </w:rPr>
            </w:pPr>
            <w:r>
              <w:rPr>
                <w:rFonts w:ascii="Times New Roman" w:hAnsi="Times New Roman"/>
                <w:bCs/>
                <w:szCs w:val="21"/>
              </w:rPr>
              <w:t>≤3dB（A）</w:t>
            </w:r>
          </w:p>
        </w:tc>
        <w:tc>
          <w:tcPr>
            <w:tcW w:w="1559" w:type="dxa"/>
            <w:vAlign w:val="center"/>
          </w:tcPr>
          <w:p>
            <w:pPr>
              <w:tabs>
                <w:tab w:val="left" w:pos="426"/>
              </w:tabs>
              <w:jc w:val="center"/>
              <w:rPr>
                <w:rFonts w:ascii="Times New Roman" w:hAnsi="Times New Roman"/>
                <w:bCs/>
                <w:szCs w:val="21"/>
              </w:rPr>
            </w:pPr>
            <w:r>
              <w:rPr>
                <w:rFonts w:ascii="Times New Roman" w:hAnsi="Times New Roman"/>
                <w:bCs/>
                <w:szCs w:val="21"/>
              </w:rPr>
              <w:t>变化不大</w:t>
            </w:r>
          </w:p>
        </w:tc>
        <w:tc>
          <w:tcPr>
            <w:tcW w:w="2522" w:type="dxa"/>
            <w:vMerge w:val="continue"/>
            <w:vAlign w:val="center"/>
          </w:tcPr>
          <w:p>
            <w:pPr>
              <w:rPr>
                <w:rFonts w:ascii="Times New Roman" w:hAnsi="Times New Roman"/>
              </w:rPr>
            </w:pPr>
          </w:p>
        </w:tc>
      </w:tr>
    </w:tbl>
    <w:p>
      <w:pPr>
        <w:spacing w:line="360" w:lineRule="auto"/>
        <w:ind w:firstLine="482"/>
        <w:rPr>
          <w:rFonts w:ascii="Times New Roman" w:hAnsi="Times New Roman"/>
          <w:sz w:val="24"/>
          <w:szCs w:val="24"/>
        </w:rPr>
      </w:pPr>
    </w:p>
    <w:p>
      <w:pPr>
        <w:spacing w:line="360" w:lineRule="auto"/>
        <w:ind w:firstLine="482"/>
        <w:rPr>
          <w:rFonts w:ascii="Times New Roman" w:hAnsi="Times New Roman"/>
          <w:sz w:val="24"/>
          <w:szCs w:val="24"/>
        </w:rPr>
      </w:pPr>
      <w:r>
        <w:rPr>
          <w:rFonts w:ascii="Times New Roman" w:hAnsi="Times New Roman"/>
          <w:sz w:val="24"/>
          <w:szCs w:val="24"/>
        </w:rPr>
        <w:t>（2）环境特征</w:t>
      </w:r>
    </w:p>
    <w:p>
      <w:pPr>
        <w:spacing w:line="360" w:lineRule="auto"/>
        <w:ind w:firstLine="482"/>
        <w:rPr>
          <w:rFonts w:ascii="Times New Roman" w:hAnsi="Times New Roman"/>
          <w:sz w:val="24"/>
          <w:szCs w:val="24"/>
        </w:rPr>
      </w:pPr>
      <w:r>
        <w:rPr>
          <w:rFonts w:ascii="Times New Roman" w:hAnsi="Times New Roman"/>
          <w:sz w:val="24"/>
          <w:szCs w:val="24"/>
        </w:rPr>
        <w:t>本项目位于长岭分公司炼油装置区，声环境功能区为3类区。</w:t>
      </w:r>
    </w:p>
    <w:p>
      <w:pPr>
        <w:spacing w:line="360" w:lineRule="auto"/>
        <w:ind w:firstLine="482"/>
        <w:rPr>
          <w:rFonts w:ascii="Times New Roman" w:hAnsi="Times New Roman"/>
          <w:sz w:val="24"/>
          <w:szCs w:val="24"/>
        </w:rPr>
      </w:pPr>
      <w:r>
        <w:rPr>
          <w:rFonts w:ascii="Times New Roman" w:hAnsi="Times New Roman"/>
          <w:sz w:val="24"/>
          <w:szCs w:val="24"/>
        </w:rPr>
        <w:t>（3）对周围环境影响</w:t>
      </w:r>
    </w:p>
    <w:p>
      <w:pPr>
        <w:spacing w:line="360" w:lineRule="auto"/>
        <w:ind w:firstLine="482"/>
        <w:rPr>
          <w:rFonts w:ascii="Times New Roman" w:hAnsi="Times New Roman"/>
          <w:sz w:val="24"/>
          <w:szCs w:val="24"/>
        </w:rPr>
      </w:pPr>
      <w:r>
        <w:rPr>
          <w:rFonts w:ascii="Times New Roman" w:hAnsi="Times New Roman"/>
          <w:sz w:val="24"/>
          <w:szCs w:val="24"/>
        </w:rPr>
        <w:t>本项目采取完善的噪声防治措施，预计投产后敏感点噪声增加值小于3dB(A)，且受影响人口变化不大，不会对周围环境产生明显影响。</w:t>
      </w:r>
    </w:p>
    <w:p>
      <w:pPr>
        <w:spacing w:line="360" w:lineRule="auto"/>
        <w:ind w:firstLine="482"/>
        <w:rPr>
          <w:rFonts w:ascii="Times New Roman" w:hAnsi="Times New Roman"/>
          <w:sz w:val="24"/>
          <w:szCs w:val="24"/>
        </w:rPr>
      </w:pPr>
      <w:r>
        <w:rPr>
          <w:rFonts w:ascii="Times New Roman" w:hAnsi="Times New Roman"/>
          <w:sz w:val="24"/>
          <w:szCs w:val="24"/>
        </w:rPr>
        <w:t>（4）评价等级及范围确定</w:t>
      </w:r>
    </w:p>
    <w:p>
      <w:pPr>
        <w:spacing w:line="360" w:lineRule="auto"/>
        <w:ind w:firstLine="482"/>
        <w:rPr>
          <w:rFonts w:ascii="Times New Roman" w:hAnsi="Times New Roman"/>
          <w:sz w:val="24"/>
          <w:szCs w:val="24"/>
        </w:rPr>
      </w:pPr>
      <w:r>
        <w:rPr>
          <w:rFonts w:ascii="Times New Roman" w:hAnsi="Times New Roman"/>
          <w:sz w:val="24"/>
          <w:szCs w:val="24"/>
        </w:rPr>
        <w:t>综上分析，确定本项目声环境影响评价级别为三级，只进行厂界达标分析，评价范围为厂界外200m。</w:t>
      </w:r>
    </w:p>
    <w:p>
      <w:pPr>
        <w:pStyle w:val="7"/>
        <w:spacing w:before="120" w:after="120"/>
      </w:pPr>
      <w:bookmarkStart w:id="129" w:name="_Toc6013"/>
      <w:bookmarkStart w:id="130" w:name="_Toc1148"/>
      <w:bookmarkStart w:id="131" w:name="_Toc27637"/>
      <w:r>
        <w:t>土壤环境评价等级</w:t>
      </w:r>
    </w:p>
    <w:p>
      <w:pPr>
        <w:spacing w:line="360" w:lineRule="auto"/>
        <w:ind w:firstLine="482"/>
        <w:rPr>
          <w:rFonts w:ascii="Times New Roman" w:hAnsi="Times New Roman"/>
          <w:sz w:val="24"/>
          <w:szCs w:val="24"/>
        </w:rPr>
      </w:pPr>
      <w:r>
        <w:rPr>
          <w:rFonts w:ascii="Times New Roman" w:hAnsi="Times New Roman"/>
          <w:sz w:val="24"/>
          <w:szCs w:val="24"/>
        </w:rPr>
        <w:t>位于长岭分公司生产区中间，故本项目敏感程度属于不敏感，本项目占地约100m</w:t>
      </w:r>
      <w:r>
        <w:rPr>
          <w:rFonts w:ascii="Times New Roman" w:hAnsi="Times New Roman"/>
          <w:sz w:val="24"/>
          <w:szCs w:val="24"/>
          <w:vertAlign w:val="superscript"/>
        </w:rPr>
        <w:t>2</w:t>
      </w:r>
      <w:r>
        <w:rPr>
          <w:rFonts w:ascii="Times New Roman" w:hAnsi="Times New Roman"/>
          <w:sz w:val="24"/>
          <w:szCs w:val="24"/>
        </w:rPr>
        <w:t>，故占地规模小于≤5hm</w:t>
      </w:r>
      <w:r>
        <w:rPr>
          <w:rFonts w:ascii="Times New Roman" w:hAnsi="Times New Roman"/>
          <w:sz w:val="24"/>
          <w:szCs w:val="24"/>
          <w:vertAlign w:val="superscript"/>
        </w:rPr>
        <w:t>2</w:t>
      </w:r>
      <w:r>
        <w:rPr>
          <w:rFonts w:ascii="Times New Roman" w:hAnsi="Times New Roman"/>
          <w:sz w:val="24"/>
          <w:szCs w:val="24"/>
        </w:rPr>
        <w:t>。项目油泥浮渣送往CFB锅炉焚烧属于气相挥发类，对土壤环境影响小，本项目属于环境和公共设施管理业</w:t>
      </w:r>
      <w:r>
        <w:rPr>
          <w:rFonts w:ascii="Times New Roman" w:hAnsi="Times New Roman"/>
          <w:b/>
          <w:szCs w:val="21"/>
        </w:rPr>
        <w:t>Ⅰ</w:t>
      </w:r>
      <w:r>
        <w:rPr>
          <w:rFonts w:ascii="Times New Roman" w:hAnsi="Times New Roman"/>
          <w:sz w:val="24"/>
          <w:szCs w:val="24"/>
        </w:rPr>
        <w:t>类，根据《环境影响评价技术导则－土壤环境》（HJ964-2018）规定判断本项目土壤环境影响评价等级为二级。评价范围为：项目边界向外200m范围。</w:t>
      </w:r>
    </w:p>
    <w:p>
      <w:pPr>
        <w:pStyle w:val="18"/>
      </w:pPr>
    </w:p>
    <w:p>
      <w:pPr>
        <w:pStyle w:val="18"/>
      </w:pPr>
    </w:p>
    <w:p>
      <w:pPr>
        <w:pStyle w:val="18"/>
      </w:pPr>
      <w:r>
        <w:t>表1.5.5-1</w:t>
      </w:r>
      <w:r>
        <w:tab/>
      </w:r>
      <w:r>
        <w:t>危险物质与临界量的比值</w:t>
      </w:r>
    </w:p>
    <w:tbl>
      <w:tblPr>
        <w:tblStyle w:val="45"/>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51"/>
        <w:gridCol w:w="700"/>
        <w:gridCol w:w="660"/>
        <w:gridCol w:w="660"/>
        <w:gridCol w:w="660"/>
        <w:gridCol w:w="66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Merge w:val="restart"/>
            <w:tcBorders>
              <w:tl2br w:val="single" w:color="auto" w:sz="4" w:space="0"/>
            </w:tcBorders>
          </w:tcPr>
          <w:p>
            <w:pPr>
              <w:pStyle w:val="162"/>
              <w:spacing w:line="240" w:lineRule="auto"/>
              <w:ind w:firstLine="1054" w:firstLineChars="500"/>
              <w:rPr>
                <w:rFonts w:cs="Times New Roman"/>
                <w:b/>
                <w:sz w:val="21"/>
                <w:szCs w:val="21"/>
              </w:rPr>
            </w:pPr>
            <w:r>
              <w:rPr>
                <w:rFonts w:cs="Times New Roman"/>
                <w:b/>
                <w:sz w:val="21"/>
                <w:szCs w:val="21"/>
              </w:rPr>
              <w:t>项目类别</w:t>
            </w:r>
          </w:p>
          <w:p>
            <w:pPr>
              <w:pStyle w:val="162"/>
              <w:spacing w:line="240" w:lineRule="auto"/>
              <w:ind w:firstLine="0" w:firstLineChars="0"/>
              <w:rPr>
                <w:rFonts w:cs="Times New Roman"/>
                <w:b/>
                <w:sz w:val="21"/>
                <w:szCs w:val="21"/>
              </w:rPr>
            </w:pPr>
            <w:r>
              <w:rPr>
                <w:rFonts w:cs="Times New Roman"/>
                <w:b/>
                <w:sz w:val="21"/>
                <w:szCs w:val="21"/>
              </w:rPr>
              <w:t>环境敏感程度</w:t>
            </w:r>
          </w:p>
        </w:tc>
        <w:tc>
          <w:tcPr>
            <w:tcW w:w="2011" w:type="dxa"/>
            <w:gridSpan w:val="3"/>
            <w:vAlign w:val="center"/>
          </w:tcPr>
          <w:p>
            <w:pPr>
              <w:pStyle w:val="162"/>
              <w:spacing w:line="240" w:lineRule="auto"/>
              <w:ind w:firstLine="0" w:firstLineChars="0"/>
              <w:jc w:val="center"/>
              <w:rPr>
                <w:rFonts w:cs="Times New Roman"/>
                <w:b/>
                <w:sz w:val="21"/>
                <w:szCs w:val="21"/>
              </w:rPr>
            </w:pPr>
            <w:r>
              <w:rPr>
                <w:rFonts w:cs="Times New Roman"/>
                <w:b/>
                <w:sz w:val="21"/>
                <w:szCs w:val="21"/>
              </w:rPr>
              <w:t>Ⅰ类</w:t>
            </w:r>
          </w:p>
        </w:tc>
        <w:tc>
          <w:tcPr>
            <w:tcW w:w="1980" w:type="dxa"/>
            <w:gridSpan w:val="3"/>
            <w:vAlign w:val="center"/>
          </w:tcPr>
          <w:p>
            <w:pPr>
              <w:pStyle w:val="162"/>
              <w:spacing w:line="240" w:lineRule="auto"/>
              <w:ind w:firstLine="0" w:firstLineChars="0"/>
              <w:jc w:val="center"/>
              <w:rPr>
                <w:rFonts w:cs="Times New Roman"/>
                <w:b/>
                <w:sz w:val="21"/>
                <w:szCs w:val="21"/>
              </w:rPr>
            </w:pPr>
            <w:r>
              <w:rPr>
                <w:rFonts w:cs="Times New Roman"/>
                <w:b/>
                <w:sz w:val="21"/>
                <w:szCs w:val="21"/>
              </w:rPr>
              <w:t>Ⅱ类</w:t>
            </w:r>
          </w:p>
        </w:tc>
        <w:tc>
          <w:tcPr>
            <w:tcW w:w="1980" w:type="dxa"/>
            <w:gridSpan w:val="3"/>
            <w:vAlign w:val="center"/>
          </w:tcPr>
          <w:p>
            <w:pPr>
              <w:pStyle w:val="162"/>
              <w:spacing w:line="240" w:lineRule="auto"/>
              <w:ind w:firstLine="0" w:firstLineChars="0"/>
              <w:jc w:val="center"/>
              <w:rPr>
                <w:rFonts w:cs="Times New Roman"/>
                <w:b/>
                <w:sz w:val="21"/>
                <w:szCs w:val="21"/>
              </w:rPr>
            </w:pPr>
            <w:r>
              <w:rPr>
                <w:rFonts w:cs="Times New Roman"/>
                <w:b/>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Merge w:val="continue"/>
            <w:tcBorders>
              <w:tl2br w:val="single" w:color="auto" w:sz="4" w:space="0"/>
            </w:tcBorders>
          </w:tcPr>
          <w:p>
            <w:pPr>
              <w:pStyle w:val="162"/>
              <w:spacing w:line="240" w:lineRule="auto"/>
              <w:ind w:firstLine="0" w:firstLineChars="0"/>
              <w:jc w:val="center"/>
              <w:rPr>
                <w:rFonts w:cs="Times New Roman"/>
              </w:rPr>
            </w:pPr>
          </w:p>
        </w:tc>
        <w:tc>
          <w:tcPr>
            <w:tcW w:w="651" w:type="dxa"/>
            <w:vAlign w:val="center"/>
          </w:tcPr>
          <w:p>
            <w:pPr>
              <w:pStyle w:val="162"/>
              <w:spacing w:line="240" w:lineRule="auto"/>
              <w:ind w:firstLine="0" w:firstLineChars="0"/>
              <w:jc w:val="center"/>
              <w:rPr>
                <w:rFonts w:cs="Times New Roman"/>
                <w:b/>
                <w:sz w:val="21"/>
                <w:szCs w:val="21"/>
              </w:rPr>
            </w:pPr>
            <w:r>
              <w:rPr>
                <w:rFonts w:cs="Times New Roman"/>
                <w:b/>
                <w:sz w:val="21"/>
                <w:szCs w:val="21"/>
              </w:rPr>
              <w:t>大</w:t>
            </w:r>
          </w:p>
        </w:tc>
        <w:tc>
          <w:tcPr>
            <w:tcW w:w="700" w:type="dxa"/>
            <w:vAlign w:val="center"/>
          </w:tcPr>
          <w:p>
            <w:pPr>
              <w:pStyle w:val="162"/>
              <w:spacing w:line="240" w:lineRule="auto"/>
              <w:ind w:firstLine="0" w:firstLineChars="0"/>
              <w:jc w:val="center"/>
              <w:rPr>
                <w:rFonts w:cs="Times New Roman"/>
                <w:b/>
                <w:sz w:val="21"/>
                <w:szCs w:val="21"/>
              </w:rPr>
            </w:pPr>
            <w:r>
              <w:rPr>
                <w:rFonts w:cs="Times New Roman"/>
                <w:b/>
                <w:sz w:val="21"/>
                <w:szCs w:val="21"/>
              </w:rPr>
              <w:t>中</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小</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大</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中</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小</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大</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中</w:t>
            </w:r>
          </w:p>
        </w:tc>
        <w:tc>
          <w:tcPr>
            <w:tcW w:w="660" w:type="dxa"/>
            <w:vAlign w:val="center"/>
          </w:tcPr>
          <w:p>
            <w:pPr>
              <w:pStyle w:val="162"/>
              <w:spacing w:line="240" w:lineRule="auto"/>
              <w:ind w:firstLine="0" w:firstLineChars="0"/>
              <w:jc w:val="center"/>
              <w:rPr>
                <w:rFonts w:cs="Times New Roman"/>
                <w:b/>
                <w:sz w:val="21"/>
                <w:szCs w:val="21"/>
              </w:rPr>
            </w:pPr>
            <w:r>
              <w:rPr>
                <w:rFonts w:cs="Times New Roman"/>
                <w:b/>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敏感</w:t>
            </w:r>
          </w:p>
        </w:tc>
        <w:tc>
          <w:tcPr>
            <w:tcW w:w="651" w:type="dxa"/>
            <w:vAlign w:val="center"/>
          </w:tcPr>
          <w:p>
            <w:pPr>
              <w:jc w:val="center"/>
              <w:rPr>
                <w:rFonts w:ascii="Times New Roman" w:hAnsi="Times New Roman"/>
                <w:szCs w:val="21"/>
              </w:rPr>
            </w:pPr>
            <w:r>
              <w:rPr>
                <w:rFonts w:ascii="Times New Roman" w:hAnsi="Times New Roman"/>
                <w:szCs w:val="21"/>
              </w:rPr>
              <w:t>一级</w:t>
            </w:r>
          </w:p>
        </w:tc>
        <w:tc>
          <w:tcPr>
            <w:tcW w:w="700" w:type="dxa"/>
            <w:vAlign w:val="center"/>
          </w:tcPr>
          <w:p>
            <w:pPr>
              <w:jc w:val="center"/>
              <w:rPr>
                <w:rFonts w:ascii="Times New Roman" w:hAnsi="Times New Roman"/>
                <w:szCs w:val="21"/>
              </w:rPr>
            </w:pPr>
            <w:r>
              <w:rPr>
                <w:rFonts w:ascii="Times New Roman" w:hAnsi="Times New Roman"/>
                <w:szCs w:val="21"/>
              </w:rPr>
              <w:t>一级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一级</w:t>
            </w:r>
          </w:p>
        </w:tc>
        <w:tc>
          <w:tcPr>
            <w:tcW w:w="660" w:type="dxa"/>
            <w:vAlign w:val="center"/>
          </w:tcPr>
          <w:p>
            <w:pPr>
              <w:jc w:val="center"/>
              <w:rPr>
                <w:rFonts w:ascii="Times New Roman" w:hAnsi="Times New Roman"/>
                <w:szCs w:val="21"/>
              </w:rPr>
            </w:pPr>
            <w:r>
              <w:rPr>
                <w:rFonts w:ascii="Times New Roman" w:hAnsi="Times New Roman"/>
                <w:szCs w:val="21"/>
              </w:rPr>
              <w:t>二级</w:t>
            </w:r>
          </w:p>
        </w:tc>
        <w:tc>
          <w:tcPr>
            <w:tcW w:w="660" w:type="dxa"/>
            <w:vAlign w:val="center"/>
          </w:tcPr>
          <w:p>
            <w:pPr>
              <w:jc w:val="center"/>
              <w:rPr>
                <w:rFonts w:ascii="Times New Roman" w:hAnsi="Times New Roman"/>
                <w:szCs w:val="21"/>
              </w:rPr>
            </w:pPr>
            <w:r>
              <w:rPr>
                <w:rFonts w:ascii="Times New Roman" w:hAnsi="Times New Roman"/>
                <w:szCs w:val="21"/>
              </w:rPr>
              <w:t>二级</w:t>
            </w:r>
          </w:p>
        </w:tc>
        <w:tc>
          <w:tcPr>
            <w:tcW w:w="660" w:type="dxa"/>
            <w:vAlign w:val="center"/>
          </w:tcPr>
          <w:p>
            <w:pPr>
              <w:jc w:val="center"/>
              <w:rPr>
                <w:rFonts w:ascii="Times New Roman" w:hAnsi="Times New Roman"/>
                <w:szCs w:val="21"/>
              </w:rPr>
            </w:pPr>
            <w:r>
              <w:rPr>
                <w:rFonts w:ascii="Times New Roman" w:hAnsi="Times New Roman"/>
                <w:szCs w:val="21"/>
              </w:rPr>
              <w:t>二级</w:t>
            </w:r>
          </w:p>
        </w:tc>
        <w:tc>
          <w:tcPr>
            <w:tcW w:w="660" w:type="dxa"/>
            <w:vAlign w:val="center"/>
          </w:tcPr>
          <w:p>
            <w:pPr>
              <w:jc w:val="center"/>
              <w:rPr>
                <w:rFonts w:ascii="Times New Roman" w:hAnsi="Times New Roman"/>
                <w:szCs w:val="21"/>
              </w:rPr>
            </w:pPr>
            <w:r>
              <w:rPr>
                <w:rFonts w:ascii="Times New Roman" w:hAnsi="Times New Roman"/>
                <w:szCs w:val="21"/>
              </w:rPr>
              <w:t>三级</w:t>
            </w:r>
          </w:p>
        </w:tc>
        <w:tc>
          <w:tcPr>
            <w:tcW w:w="660" w:type="dxa"/>
            <w:vAlign w:val="center"/>
          </w:tcPr>
          <w:p>
            <w:pPr>
              <w:jc w:val="center"/>
              <w:rPr>
                <w:rFonts w:ascii="Times New Roman" w:hAnsi="Times New Roman"/>
                <w:szCs w:val="21"/>
              </w:rPr>
            </w:pPr>
            <w:r>
              <w:rPr>
                <w:rFonts w:ascii="Times New Roman" w:hAnsi="Times New Roman"/>
                <w:szCs w:val="21"/>
              </w:rPr>
              <w:t>三级</w:t>
            </w:r>
          </w:p>
        </w:tc>
        <w:tc>
          <w:tcPr>
            <w:tcW w:w="660" w:type="dxa"/>
            <w:vAlign w:val="center"/>
          </w:tcPr>
          <w:p>
            <w:pPr>
              <w:jc w:val="center"/>
              <w:rPr>
                <w:rFonts w:ascii="Times New Roman" w:hAnsi="Times New Roman"/>
                <w:szCs w:val="21"/>
              </w:rPr>
            </w:pPr>
            <w:r>
              <w:rPr>
                <w:rFonts w:ascii="Times New Roman" w:hAnsi="Times New Roman"/>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较敏感</w:t>
            </w:r>
          </w:p>
        </w:tc>
        <w:tc>
          <w:tcPr>
            <w:tcW w:w="651" w:type="dxa"/>
            <w:vAlign w:val="center"/>
          </w:tcPr>
          <w:p>
            <w:pPr>
              <w:jc w:val="center"/>
              <w:rPr>
                <w:rFonts w:ascii="Times New Roman" w:hAnsi="Times New Roman"/>
                <w:szCs w:val="21"/>
              </w:rPr>
            </w:pPr>
            <w:r>
              <w:rPr>
                <w:rFonts w:ascii="Times New Roman" w:hAnsi="Times New Roman"/>
                <w:szCs w:val="21"/>
              </w:rPr>
              <w:t>一级</w:t>
            </w:r>
          </w:p>
        </w:tc>
        <w:tc>
          <w:tcPr>
            <w:tcW w:w="700" w:type="dxa"/>
            <w:vAlign w:val="center"/>
          </w:tcPr>
          <w:p>
            <w:pPr>
              <w:jc w:val="center"/>
              <w:rPr>
                <w:rFonts w:ascii="Times New Roman" w:hAnsi="Times New Roman"/>
                <w:szCs w:val="21"/>
              </w:rPr>
            </w:pPr>
            <w:r>
              <w:rPr>
                <w:rFonts w:ascii="Times New Roman" w:hAnsi="Times New Roman"/>
                <w:szCs w:val="21"/>
              </w:rPr>
              <w:t>一级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jc w:val="center"/>
              <w:rPr>
                <w:rFonts w:ascii="Times New Roman" w:hAnsi="Times New Roman"/>
                <w:szCs w:val="21"/>
              </w:rPr>
            </w:pPr>
            <w:r>
              <w:rPr>
                <w:rFonts w:ascii="Times New Roman" w:hAnsi="Times New Roman"/>
                <w:szCs w:val="21"/>
              </w:rPr>
              <w:t>二级</w:t>
            </w:r>
          </w:p>
        </w:tc>
        <w:tc>
          <w:tcPr>
            <w:tcW w:w="660" w:type="dxa"/>
            <w:vAlign w:val="center"/>
          </w:tcPr>
          <w:p>
            <w:pPr>
              <w:jc w:val="center"/>
              <w:rPr>
                <w:rFonts w:ascii="Times New Roman" w:hAnsi="Times New Roman"/>
                <w:szCs w:val="21"/>
              </w:rPr>
            </w:pPr>
            <w:r>
              <w:rPr>
                <w:rFonts w:ascii="Times New Roman" w:hAnsi="Times New Roman"/>
                <w:szCs w:val="21"/>
              </w:rPr>
              <w:t>二级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jc w:val="center"/>
              <w:rPr>
                <w:rFonts w:ascii="Times New Roman" w:hAnsi="Times New Roman"/>
                <w:szCs w:val="21"/>
              </w:rPr>
            </w:pPr>
            <w:r>
              <w:rPr>
                <w:rFonts w:ascii="Times New Roman" w:hAnsi="Times New Roman"/>
                <w:szCs w:val="21"/>
              </w:rPr>
              <w:t>三级</w:t>
            </w:r>
          </w:p>
        </w:tc>
        <w:tc>
          <w:tcPr>
            <w:tcW w:w="660" w:type="dxa"/>
            <w:vAlign w:val="center"/>
          </w:tcPr>
          <w:p>
            <w:pPr>
              <w:jc w:val="center"/>
              <w:rPr>
                <w:rFonts w:ascii="Times New Roman" w:hAnsi="Times New Roman"/>
                <w:szCs w:val="21"/>
              </w:rPr>
            </w:pPr>
            <w:r>
              <w:rPr>
                <w:rFonts w:ascii="Times New Roman" w:hAnsi="Times New Roman"/>
                <w:szCs w:val="21"/>
              </w:rPr>
              <w:t>三级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30" w:type="dxa"/>
            <w:vAlign w:val="center"/>
          </w:tcPr>
          <w:p>
            <w:pPr>
              <w:pStyle w:val="162"/>
              <w:spacing w:line="240" w:lineRule="auto"/>
              <w:ind w:firstLine="0" w:firstLineChars="0"/>
              <w:jc w:val="center"/>
              <w:rPr>
                <w:rFonts w:cs="Times New Roman"/>
                <w:sz w:val="21"/>
                <w:szCs w:val="21"/>
              </w:rPr>
            </w:pPr>
            <w:r>
              <w:rPr>
                <w:rFonts w:cs="Times New Roman"/>
                <w:sz w:val="21"/>
                <w:szCs w:val="21"/>
              </w:rPr>
              <w:t>不敏感</w:t>
            </w:r>
          </w:p>
        </w:tc>
        <w:tc>
          <w:tcPr>
            <w:tcW w:w="651" w:type="dxa"/>
            <w:vAlign w:val="center"/>
          </w:tcPr>
          <w:p>
            <w:pPr>
              <w:jc w:val="center"/>
              <w:rPr>
                <w:rFonts w:ascii="Times New Roman" w:hAnsi="Times New Roman"/>
                <w:b/>
                <w:szCs w:val="21"/>
                <w:shd w:val="pct10" w:color="auto" w:fill="FFFFFF"/>
              </w:rPr>
            </w:pPr>
            <w:r>
              <w:rPr>
                <w:rFonts w:ascii="Times New Roman" w:hAnsi="Times New Roman"/>
                <w:szCs w:val="21"/>
              </w:rPr>
              <w:t>一级</w:t>
            </w:r>
          </w:p>
        </w:tc>
        <w:tc>
          <w:tcPr>
            <w:tcW w:w="700" w:type="dxa"/>
            <w:vAlign w:val="center"/>
          </w:tcPr>
          <w:p>
            <w:pPr>
              <w:pStyle w:val="162"/>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w:t>
            </w:r>
          </w:p>
        </w:tc>
        <w:tc>
          <w:tcPr>
            <w:tcW w:w="660" w:type="dxa"/>
            <w:vAlign w:val="center"/>
          </w:tcPr>
          <w:p>
            <w:pPr>
              <w:pStyle w:val="162"/>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01" w:type="dxa"/>
            <w:gridSpan w:val="10"/>
            <w:vAlign w:val="center"/>
          </w:tcPr>
          <w:p>
            <w:pPr>
              <w:pStyle w:val="162"/>
              <w:spacing w:line="240" w:lineRule="auto"/>
              <w:ind w:firstLine="0" w:firstLineChars="0"/>
              <w:jc w:val="left"/>
              <w:rPr>
                <w:rFonts w:cs="Times New Roman"/>
                <w:sz w:val="21"/>
                <w:szCs w:val="21"/>
              </w:rPr>
            </w:pPr>
            <w:r>
              <w:rPr>
                <w:rFonts w:cs="Times New Roman"/>
                <w:sz w:val="21"/>
                <w:szCs w:val="21"/>
              </w:rPr>
              <w:t>注：“-”表示可不开展土壤环境影响评价工作</w:t>
            </w:r>
          </w:p>
        </w:tc>
      </w:tr>
    </w:tbl>
    <w:p>
      <w:pPr>
        <w:rPr>
          <w:rFonts w:ascii="Times New Roman" w:hAnsi="Times New Roman"/>
        </w:rPr>
      </w:pPr>
    </w:p>
    <w:bookmarkEnd w:id="129"/>
    <w:bookmarkEnd w:id="130"/>
    <w:bookmarkEnd w:id="131"/>
    <w:p>
      <w:pPr>
        <w:pStyle w:val="7"/>
        <w:spacing w:before="120" w:after="120"/>
      </w:pPr>
      <w:bookmarkStart w:id="132" w:name="_Toc10225"/>
      <w:bookmarkStart w:id="133" w:name="_Toc7593"/>
      <w:bookmarkStart w:id="134" w:name="_Toc17991"/>
      <w:r>
        <w:t>生态环境影响评价等级与评价范围</w:t>
      </w:r>
      <w:bookmarkEnd w:id="132"/>
      <w:bookmarkEnd w:id="133"/>
      <w:bookmarkEnd w:id="134"/>
    </w:p>
    <w:p>
      <w:pPr>
        <w:spacing w:line="360" w:lineRule="auto"/>
        <w:ind w:firstLine="480" w:firstLineChars="200"/>
        <w:rPr>
          <w:rFonts w:ascii="Times New Roman" w:hAnsi="Times New Roman"/>
          <w:sz w:val="24"/>
        </w:rPr>
      </w:pPr>
      <w:r>
        <w:rPr>
          <w:rFonts w:ascii="Times New Roman" w:hAnsi="Times New Roman"/>
          <w:sz w:val="24"/>
        </w:rPr>
        <w:t>（1）生态评价等级划分依据</w:t>
      </w:r>
    </w:p>
    <w:p>
      <w:pPr>
        <w:spacing w:line="360" w:lineRule="auto"/>
        <w:ind w:firstLine="480" w:firstLineChars="200"/>
        <w:rPr>
          <w:rFonts w:ascii="Times New Roman" w:hAnsi="Times New Roman"/>
          <w:sz w:val="24"/>
        </w:rPr>
      </w:pPr>
      <w:r>
        <w:rPr>
          <w:rFonts w:ascii="Times New Roman" w:hAnsi="Times New Roman"/>
          <w:sz w:val="24"/>
        </w:rPr>
        <w:t>对照《环境影响评价技术导则—生态影响》（HJ19-2011）中有关要求，本项目生态评价工作级别判别见表1.5.6-1。</w:t>
      </w:r>
    </w:p>
    <w:p>
      <w:pPr>
        <w:pStyle w:val="18"/>
        <w:spacing w:line="440" w:lineRule="exact"/>
        <w:rPr>
          <w:bCs/>
          <w:kern w:val="24"/>
        </w:rPr>
      </w:pPr>
      <w:r>
        <w:t>表 1.5.6-1</w:t>
      </w:r>
      <w:r>
        <w:rPr>
          <w:bCs/>
          <w:kern w:val="24"/>
        </w:rPr>
        <w:t xml:space="preserve">  生态影响评价工作等级划分表</w:t>
      </w:r>
    </w:p>
    <w:tbl>
      <w:tblPr>
        <w:tblStyle w:val="4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129"/>
        <w:gridCol w:w="2540"/>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8" w:type="dxa"/>
            <w:vMerge w:val="restart"/>
            <w:vAlign w:val="center"/>
          </w:tcPr>
          <w:p>
            <w:pPr>
              <w:spacing w:line="360" w:lineRule="exact"/>
              <w:jc w:val="center"/>
              <w:rPr>
                <w:rFonts w:ascii="Times New Roman" w:hAnsi="Times New Roman"/>
                <w:b/>
                <w:szCs w:val="21"/>
              </w:rPr>
            </w:pPr>
            <w:r>
              <w:rPr>
                <w:rFonts w:ascii="Times New Roman" w:hAnsi="Times New Roman"/>
                <w:b/>
                <w:szCs w:val="21"/>
              </w:rPr>
              <w:t>影响区域生态敏感性</w:t>
            </w:r>
          </w:p>
        </w:tc>
        <w:tc>
          <w:tcPr>
            <w:tcW w:w="6714" w:type="dxa"/>
            <w:gridSpan w:val="3"/>
            <w:vAlign w:val="center"/>
          </w:tcPr>
          <w:p>
            <w:pPr>
              <w:spacing w:line="360" w:lineRule="exact"/>
              <w:jc w:val="center"/>
              <w:rPr>
                <w:rFonts w:ascii="Times New Roman" w:hAnsi="Times New Roman"/>
                <w:b/>
                <w:szCs w:val="21"/>
              </w:rPr>
            </w:pPr>
            <w:r>
              <w:rPr>
                <w:rFonts w:ascii="Times New Roman" w:hAnsi="Times New Roman"/>
                <w:b/>
                <w:szCs w:val="21"/>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8" w:type="dxa"/>
            <w:vMerge w:val="continue"/>
            <w:vAlign w:val="center"/>
          </w:tcPr>
          <w:p>
            <w:pPr>
              <w:rPr>
                <w:rFonts w:ascii="Times New Roman" w:hAnsi="Times New Roman"/>
              </w:rPr>
            </w:pPr>
          </w:p>
        </w:tc>
        <w:tc>
          <w:tcPr>
            <w:tcW w:w="2129" w:type="dxa"/>
            <w:vAlign w:val="center"/>
          </w:tcPr>
          <w:p>
            <w:pPr>
              <w:jc w:val="center"/>
              <w:rPr>
                <w:rFonts w:ascii="Times New Roman" w:hAnsi="Times New Roman"/>
                <w:b/>
                <w:szCs w:val="21"/>
              </w:rPr>
            </w:pPr>
            <w:r>
              <w:rPr>
                <w:rFonts w:ascii="Times New Roman" w:hAnsi="Times New Roman"/>
                <w:b/>
                <w:szCs w:val="21"/>
              </w:rPr>
              <w:t>面积≥20km</w:t>
            </w:r>
            <w:r>
              <w:rPr>
                <w:rFonts w:ascii="Times New Roman" w:hAnsi="Times New Roman"/>
                <w:b/>
                <w:szCs w:val="21"/>
                <w:vertAlign w:val="superscript"/>
              </w:rPr>
              <w:t>2</w:t>
            </w:r>
          </w:p>
          <w:p>
            <w:pPr>
              <w:jc w:val="center"/>
              <w:rPr>
                <w:rFonts w:ascii="Times New Roman" w:hAnsi="Times New Roman"/>
                <w:b/>
                <w:szCs w:val="21"/>
              </w:rPr>
            </w:pPr>
            <w:r>
              <w:rPr>
                <w:rFonts w:ascii="Times New Roman" w:hAnsi="Times New Roman"/>
                <w:b/>
                <w:szCs w:val="21"/>
              </w:rPr>
              <w:t>或长度≥100km</w:t>
            </w:r>
          </w:p>
        </w:tc>
        <w:tc>
          <w:tcPr>
            <w:tcW w:w="2540" w:type="dxa"/>
            <w:vAlign w:val="center"/>
          </w:tcPr>
          <w:p>
            <w:pPr>
              <w:jc w:val="center"/>
              <w:rPr>
                <w:rFonts w:ascii="Times New Roman" w:hAnsi="Times New Roman"/>
                <w:b/>
                <w:szCs w:val="21"/>
              </w:rPr>
            </w:pPr>
            <w:r>
              <w:rPr>
                <w:rFonts w:ascii="Times New Roman" w:hAnsi="Times New Roman"/>
                <w:b/>
                <w:szCs w:val="21"/>
              </w:rPr>
              <w:t>面积2km</w:t>
            </w:r>
            <w:r>
              <w:rPr>
                <w:rFonts w:ascii="Times New Roman" w:hAnsi="Times New Roman"/>
                <w:b/>
                <w:szCs w:val="21"/>
                <w:vertAlign w:val="superscript"/>
              </w:rPr>
              <w:t>2</w:t>
            </w:r>
            <w:r>
              <w:rPr>
                <w:rFonts w:ascii="Times New Roman" w:hAnsi="Times New Roman"/>
                <w:b/>
                <w:szCs w:val="21"/>
              </w:rPr>
              <w:t>～20km</w:t>
            </w:r>
            <w:r>
              <w:rPr>
                <w:rFonts w:ascii="Times New Roman" w:hAnsi="Times New Roman"/>
                <w:b/>
                <w:szCs w:val="21"/>
                <w:vertAlign w:val="superscript"/>
              </w:rPr>
              <w:t>2</w:t>
            </w:r>
          </w:p>
          <w:p>
            <w:pPr>
              <w:jc w:val="center"/>
              <w:rPr>
                <w:rFonts w:ascii="Times New Roman" w:hAnsi="Times New Roman"/>
                <w:b/>
                <w:szCs w:val="21"/>
              </w:rPr>
            </w:pPr>
            <w:r>
              <w:rPr>
                <w:rFonts w:ascii="Times New Roman" w:hAnsi="Times New Roman"/>
                <w:b/>
                <w:szCs w:val="21"/>
              </w:rPr>
              <w:t>或长度50km～100km</w:t>
            </w:r>
          </w:p>
        </w:tc>
        <w:tc>
          <w:tcPr>
            <w:tcW w:w="2045" w:type="dxa"/>
            <w:vAlign w:val="center"/>
          </w:tcPr>
          <w:p>
            <w:pPr>
              <w:jc w:val="center"/>
              <w:rPr>
                <w:rFonts w:ascii="Times New Roman" w:hAnsi="Times New Roman"/>
                <w:b/>
                <w:szCs w:val="21"/>
                <w:vertAlign w:val="superscript"/>
              </w:rPr>
            </w:pPr>
            <w:r>
              <w:rPr>
                <w:rFonts w:ascii="Times New Roman" w:hAnsi="Times New Roman"/>
                <w:b/>
                <w:szCs w:val="21"/>
              </w:rPr>
              <w:t>面积≤2km</w:t>
            </w:r>
            <w:r>
              <w:rPr>
                <w:rFonts w:ascii="Times New Roman" w:hAnsi="Times New Roman"/>
                <w:b/>
                <w:szCs w:val="21"/>
                <w:vertAlign w:val="superscript"/>
              </w:rPr>
              <w:t>2</w:t>
            </w:r>
          </w:p>
          <w:p>
            <w:pPr>
              <w:jc w:val="center"/>
              <w:rPr>
                <w:rFonts w:ascii="Times New Roman" w:hAnsi="Times New Roman"/>
                <w:b/>
                <w:szCs w:val="21"/>
              </w:rPr>
            </w:pPr>
            <w:r>
              <w:rPr>
                <w:rFonts w:ascii="Times New Roman" w:hAnsi="Times New Roman"/>
                <w:b/>
                <w:szCs w:val="21"/>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8" w:type="dxa"/>
            <w:vAlign w:val="center"/>
          </w:tcPr>
          <w:p>
            <w:pPr>
              <w:spacing w:line="360" w:lineRule="exact"/>
              <w:jc w:val="center"/>
              <w:rPr>
                <w:rFonts w:ascii="Times New Roman" w:hAnsi="Times New Roman"/>
                <w:szCs w:val="21"/>
              </w:rPr>
            </w:pPr>
            <w:r>
              <w:rPr>
                <w:rFonts w:ascii="Times New Roman" w:hAnsi="Times New Roman"/>
                <w:szCs w:val="21"/>
              </w:rPr>
              <w:t>特殊生态敏感区</w:t>
            </w:r>
          </w:p>
        </w:tc>
        <w:tc>
          <w:tcPr>
            <w:tcW w:w="2129" w:type="dxa"/>
            <w:vAlign w:val="center"/>
          </w:tcPr>
          <w:p>
            <w:pPr>
              <w:spacing w:line="360" w:lineRule="exact"/>
              <w:jc w:val="center"/>
              <w:rPr>
                <w:rFonts w:ascii="Times New Roman" w:hAnsi="Times New Roman"/>
                <w:szCs w:val="21"/>
              </w:rPr>
            </w:pPr>
            <w:r>
              <w:rPr>
                <w:rFonts w:ascii="Times New Roman" w:hAnsi="Times New Roman"/>
                <w:szCs w:val="21"/>
              </w:rPr>
              <w:t>一级</w:t>
            </w:r>
          </w:p>
        </w:tc>
        <w:tc>
          <w:tcPr>
            <w:tcW w:w="2540" w:type="dxa"/>
            <w:vAlign w:val="center"/>
          </w:tcPr>
          <w:p>
            <w:pPr>
              <w:spacing w:line="360" w:lineRule="exact"/>
              <w:jc w:val="center"/>
              <w:rPr>
                <w:rFonts w:ascii="Times New Roman" w:hAnsi="Times New Roman"/>
                <w:szCs w:val="21"/>
              </w:rPr>
            </w:pPr>
            <w:r>
              <w:rPr>
                <w:rFonts w:ascii="Times New Roman" w:hAnsi="Times New Roman"/>
                <w:szCs w:val="21"/>
              </w:rPr>
              <w:t>一级</w:t>
            </w:r>
          </w:p>
        </w:tc>
        <w:tc>
          <w:tcPr>
            <w:tcW w:w="2045" w:type="dxa"/>
            <w:vAlign w:val="center"/>
          </w:tcPr>
          <w:p>
            <w:pPr>
              <w:spacing w:line="360" w:lineRule="exact"/>
              <w:jc w:val="center"/>
              <w:rPr>
                <w:rFonts w:ascii="Times New Roman" w:hAnsi="Times New Roman"/>
                <w:szCs w:val="21"/>
              </w:rPr>
            </w:pPr>
            <w:r>
              <w:rPr>
                <w:rFonts w:ascii="Times New Roman" w:hAnsi="Times New Roman"/>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8" w:type="dxa"/>
            <w:vAlign w:val="center"/>
          </w:tcPr>
          <w:p>
            <w:pPr>
              <w:spacing w:line="360" w:lineRule="exact"/>
              <w:jc w:val="center"/>
              <w:rPr>
                <w:rFonts w:ascii="Times New Roman" w:hAnsi="Times New Roman"/>
                <w:szCs w:val="21"/>
              </w:rPr>
            </w:pPr>
            <w:r>
              <w:rPr>
                <w:rFonts w:ascii="Times New Roman" w:hAnsi="Times New Roman"/>
                <w:szCs w:val="21"/>
              </w:rPr>
              <w:t>重要生态敏感区</w:t>
            </w:r>
          </w:p>
        </w:tc>
        <w:tc>
          <w:tcPr>
            <w:tcW w:w="2129" w:type="dxa"/>
            <w:vAlign w:val="center"/>
          </w:tcPr>
          <w:p>
            <w:pPr>
              <w:spacing w:line="360" w:lineRule="exact"/>
              <w:jc w:val="center"/>
              <w:rPr>
                <w:rFonts w:ascii="Times New Roman" w:hAnsi="Times New Roman"/>
                <w:szCs w:val="21"/>
              </w:rPr>
            </w:pPr>
            <w:r>
              <w:rPr>
                <w:rFonts w:ascii="Times New Roman" w:hAnsi="Times New Roman"/>
                <w:szCs w:val="21"/>
              </w:rPr>
              <w:t>一级</w:t>
            </w:r>
          </w:p>
        </w:tc>
        <w:tc>
          <w:tcPr>
            <w:tcW w:w="2540" w:type="dxa"/>
            <w:vAlign w:val="center"/>
          </w:tcPr>
          <w:p>
            <w:pPr>
              <w:spacing w:line="360" w:lineRule="exact"/>
              <w:jc w:val="center"/>
              <w:rPr>
                <w:rFonts w:ascii="Times New Roman" w:hAnsi="Times New Roman"/>
                <w:szCs w:val="21"/>
              </w:rPr>
            </w:pPr>
            <w:r>
              <w:rPr>
                <w:rFonts w:ascii="Times New Roman" w:hAnsi="Times New Roman"/>
                <w:szCs w:val="21"/>
              </w:rPr>
              <w:t>二级</w:t>
            </w:r>
          </w:p>
        </w:tc>
        <w:tc>
          <w:tcPr>
            <w:tcW w:w="2045" w:type="dxa"/>
            <w:vAlign w:val="center"/>
          </w:tcPr>
          <w:p>
            <w:pPr>
              <w:spacing w:line="360" w:lineRule="exact"/>
              <w:jc w:val="center"/>
              <w:rPr>
                <w:rFonts w:ascii="Times New Roman" w:hAnsi="Times New Roman"/>
                <w:szCs w:val="21"/>
              </w:rPr>
            </w:pPr>
            <w:r>
              <w:rPr>
                <w:rFonts w:ascii="Times New Roman" w:hAnsi="Times New Roman"/>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8" w:type="dxa"/>
            <w:vAlign w:val="center"/>
          </w:tcPr>
          <w:p>
            <w:pPr>
              <w:spacing w:line="360" w:lineRule="exact"/>
              <w:jc w:val="center"/>
              <w:rPr>
                <w:rFonts w:ascii="Times New Roman" w:hAnsi="Times New Roman"/>
                <w:szCs w:val="21"/>
              </w:rPr>
            </w:pPr>
            <w:r>
              <w:rPr>
                <w:rFonts w:ascii="Times New Roman" w:hAnsi="Times New Roman"/>
                <w:szCs w:val="21"/>
              </w:rPr>
              <w:t>一般区域</w:t>
            </w:r>
          </w:p>
        </w:tc>
        <w:tc>
          <w:tcPr>
            <w:tcW w:w="2129" w:type="dxa"/>
            <w:vAlign w:val="center"/>
          </w:tcPr>
          <w:p>
            <w:pPr>
              <w:spacing w:line="360" w:lineRule="exact"/>
              <w:jc w:val="center"/>
              <w:rPr>
                <w:rFonts w:ascii="Times New Roman" w:hAnsi="Times New Roman"/>
                <w:szCs w:val="21"/>
              </w:rPr>
            </w:pPr>
            <w:r>
              <w:rPr>
                <w:rFonts w:ascii="Times New Roman" w:hAnsi="Times New Roman"/>
                <w:szCs w:val="21"/>
              </w:rPr>
              <w:t>二级</w:t>
            </w:r>
          </w:p>
        </w:tc>
        <w:tc>
          <w:tcPr>
            <w:tcW w:w="2540" w:type="dxa"/>
            <w:vAlign w:val="center"/>
          </w:tcPr>
          <w:p>
            <w:pPr>
              <w:spacing w:line="360" w:lineRule="exact"/>
              <w:jc w:val="center"/>
              <w:rPr>
                <w:rFonts w:ascii="Times New Roman" w:hAnsi="Times New Roman"/>
                <w:szCs w:val="21"/>
              </w:rPr>
            </w:pPr>
            <w:r>
              <w:rPr>
                <w:rFonts w:ascii="Times New Roman" w:hAnsi="Times New Roman"/>
                <w:szCs w:val="21"/>
              </w:rPr>
              <w:t>三级</w:t>
            </w:r>
          </w:p>
        </w:tc>
        <w:tc>
          <w:tcPr>
            <w:tcW w:w="2045" w:type="dxa"/>
            <w:vAlign w:val="center"/>
          </w:tcPr>
          <w:p>
            <w:pPr>
              <w:spacing w:line="360" w:lineRule="exact"/>
              <w:jc w:val="center"/>
              <w:rPr>
                <w:rFonts w:ascii="Times New Roman" w:hAnsi="Times New Roman"/>
                <w:szCs w:val="21"/>
              </w:rPr>
            </w:pPr>
            <w:r>
              <w:rPr>
                <w:rFonts w:ascii="Times New Roman" w:hAnsi="Times New Roman"/>
                <w:szCs w:val="21"/>
              </w:rPr>
              <w:t>三级</w:t>
            </w:r>
          </w:p>
        </w:tc>
      </w:tr>
    </w:tbl>
    <w:p>
      <w:pPr>
        <w:spacing w:line="480" w:lineRule="exact"/>
        <w:ind w:firstLine="480" w:firstLineChars="200"/>
        <w:rPr>
          <w:rFonts w:ascii="Times New Roman" w:hAnsi="Times New Roman"/>
          <w:sz w:val="24"/>
        </w:rPr>
      </w:pPr>
      <w:r>
        <w:rPr>
          <w:rFonts w:ascii="Times New Roman" w:hAnsi="Times New Roman"/>
          <w:sz w:val="24"/>
        </w:rPr>
        <w:t>（2）工程占地范围</w:t>
      </w:r>
    </w:p>
    <w:p>
      <w:pPr>
        <w:spacing w:line="480" w:lineRule="exact"/>
        <w:ind w:firstLine="480" w:firstLineChars="200"/>
        <w:rPr>
          <w:rFonts w:ascii="Times New Roman" w:hAnsi="Times New Roman"/>
          <w:sz w:val="24"/>
        </w:rPr>
      </w:pPr>
      <w:r>
        <w:rPr>
          <w:rFonts w:ascii="Times New Roman" w:hAnsi="Times New Roman"/>
          <w:sz w:val="24"/>
        </w:rPr>
        <w:t>本项目占地面积100</w:t>
      </w:r>
      <w:r>
        <w:rPr>
          <w:rFonts w:ascii="Times New Roman" w:hAnsi="Times New Roman"/>
          <w:szCs w:val="21"/>
        </w:rPr>
        <w:t>m</w:t>
      </w:r>
      <w:r>
        <w:rPr>
          <w:rFonts w:ascii="Times New Roman" w:hAnsi="Times New Roman"/>
          <w:szCs w:val="21"/>
          <w:vertAlign w:val="superscript"/>
        </w:rPr>
        <w:t>2</w:t>
      </w:r>
      <w:r>
        <w:rPr>
          <w:rFonts w:ascii="Times New Roman" w:hAnsi="Times New Roman"/>
          <w:sz w:val="24"/>
        </w:rPr>
        <w:t>小于2km</w:t>
      </w:r>
      <w:r>
        <w:rPr>
          <w:rFonts w:ascii="Times New Roman" w:hAnsi="Times New Roman"/>
          <w:sz w:val="24"/>
          <w:vertAlign w:val="superscript"/>
        </w:rPr>
        <w:t>2</w:t>
      </w:r>
      <w:r>
        <w:rPr>
          <w:rFonts w:ascii="Times New Roman" w:hAnsi="Times New Roman"/>
          <w:sz w:val="24"/>
        </w:rPr>
        <w:t>。</w:t>
      </w:r>
    </w:p>
    <w:p>
      <w:pPr>
        <w:spacing w:line="480" w:lineRule="exact"/>
        <w:ind w:firstLine="480" w:firstLineChars="200"/>
        <w:rPr>
          <w:rFonts w:ascii="Times New Roman" w:hAnsi="Times New Roman"/>
          <w:sz w:val="24"/>
        </w:rPr>
      </w:pPr>
      <w:r>
        <w:rPr>
          <w:rFonts w:ascii="Times New Roman" w:hAnsi="Times New Roman"/>
          <w:sz w:val="24"/>
        </w:rPr>
        <w:t>（3）影响区域生态敏感性</w:t>
      </w:r>
    </w:p>
    <w:p>
      <w:pPr>
        <w:spacing w:line="480" w:lineRule="exact"/>
        <w:ind w:firstLine="480" w:firstLineChars="200"/>
        <w:rPr>
          <w:rFonts w:ascii="Times New Roman" w:hAnsi="Times New Roman"/>
          <w:sz w:val="24"/>
        </w:rPr>
      </w:pPr>
      <w:r>
        <w:rPr>
          <w:rFonts w:ascii="Times New Roman" w:hAnsi="Times New Roman"/>
          <w:sz w:val="24"/>
        </w:rPr>
        <w:t>本项目区在长岭分公司厂区内，属于一般区域。</w:t>
      </w:r>
    </w:p>
    <w:p>
      <w:pPr>
        <w:spacing w:line="480" w:lineRule="exact"/>
        <w:ind w:firstLine="480" w:firstLineChars="200"/>
        <w:rPr>
          <w:rFonts w:ascii="Times New Roman" w:hAnsi="Times New Roman"/>
          <w:sz w:val="24"/>
        </w:rPr>
      </w:pPr>
      <w:r>
        <w:rPr>
          <w:rFonts w:ascii="Times New Roman" w:hAnsi="Times New Roman"/>
          <w:sz w:val="24"/>
        </w:rPr>
        <w:t>（4）评价等级及评价范围确定</w:t>
      </w:r>
    </w:p>
    <w:p>
      <w:pPr>
        <w:spacing w:line="480" w:lineRule="exact"/>
        <w:ind w:firstLine="480" w:firstLineChars="200"/>
        <w:rPr>
          <w:rFonts w:ascii="Times New Roman" w:hAnsi="Times New Roman"/>
          <w:sz w:val="24"/>
        </w:rPr>
      </w:pPr>
      <w:r>
        <w:rPr>
          <w:rFonts w:ascii="Times New Roman" w:hAnsi="Times New Roman"/>
          <w:sz w:val="24"/>
        </w:rPr>
        <w:t>本次生态评价等级为三级评价，评价范围为厂区边界外扩500m区域。</w:t>
      </w:r>
    </w:p>
    <w:p>
      <w:pPr>
        <w:pStyle w:val="7"/>
        <w:spacing w:before="120" w:after="120"/>
      </w:pPr>
      <w:r>
        <w:t>风险评价等级及范围</w:t>
      </w:r>
    </w:p>
    <w:p>
      <w:pPr>
        <w:spacing w:line="360" w:lineRule="auto"/>
        <w:ind w:firstLine="482"/>
        <w:rPr>
          <w:rFonts w:ascii="Times New Roman" w:hAnsi="Times New Roman"/>
          <w:sz w:val="24"/>
          <w:szCs w:val="24"/>
          <w:u w:val="single"/>
        </w:rPr>
      </w:pPr>
      <w:r>
        <w:rPr>
          <w:rFonts w:ascii="Times New Roman" w:hAnsi="Times New Roman"/>
          <w:sz w:val="24"/>
          <w:szCs w:val="24"/>
          <w:u w:val="single"/>
        </w:rPr>
        <w:t>一、危险物质及工艺系统危险性 P 的分级确定</w:t>
      </w:r>
    </w:p>
    <w:p>
      <w:pPr>
        <w:spacing w:line="360" w:lineRule="auto"/>
        <w:ind w:firstLine="482"/>
        <w:rPr>
          <w:rFonts w:ascii="Times New Roman" w:hAnsi="Times New Roman"/>
          <w:sz w:val="24"/>
          <w:szCs w:val="24"/>
          <w:u w:val="single"/>
        </w:rPr>
      </w:pPr>
      <w:r>
        <w:rPr>
          <w:rFonts w:ascii="Times New Roman" w:hAnsi="Times New Roman"/>
          <w:sz w:val="24"/>
          <w:szCs w:val="24"/>
          <w:u w:val="single"/>
        </w:rPr>
        <w:t>（1）危险物质数量与临界量比值（Q）</w:t>
      </w:r>
    </w:p>
    <w:p>
      <w:pPr>
        <w:spacing w:line="360" w:lineRule="auto"/>
        <w:ind w:firstLine="482"/>
        <w:rPr>
          <w:rFonts w:ascii="Times New Roman" w:hAnsi="Times New Roman"/>
          <w:u w:val="single"/>
        </w:rPr>
      </w:pPr>
      <w:r>
        <w:rPr>
          <w:rFonts w:ascii="Times New Roman" w:hAnsi="Times New Roman"/>
          <w:sz w:val="24"/>
          <w:szCs w:val="24"/>
          <w:u w:val="single"/>
        </w:rPr>
        <w:t>根据《建设项目环境风险评价技术导则》（HJ169-2018）附录 B ，本项目涉及危险物质为氨及硫化氢。其危险物质与临界量的比值见表 1.5.7-1。</w:t>
      </w:r>
    </w:p>
    <w:p>
      <w:pPr>
        <w:pStyle w:val="18"/>
        <w:rPr>
          <w:u w:val="single"/>
        </w:rPr>
      </w:pPr>
      <w:r>
        <w:rPr>
          <w:u w:val="single"/>
        </w:rPr>
        <w:t>表1.5.7-1</w:t>
      </w:r>
      <w:r>
        <w:rPr>
          <w:u w:val="single"/>
        </w:rPr>
        <w:tab/>
      </w:r>
      <w:r>
        <w:rPr>
          <w:u w:val="single"/>
        </w:rPr>
        <w:t>危险物质与临界量的比值</w:t>
      </w:r>
    </w:p>
    <w:p>
      <w:pPr>
        <w:pStyle w:val="22"/>
        <w:kinsoku w:val="0"/>
        <w:overflowPunct w:val="0"/>
        <w:spacing w:before="9"/>
        <w:rPr>
          <w:b/>
          <w:sz w:val="7"/>
          <w:u w:val="single"/>
        </w:rPr>
      </w:pPr>
    </w:p>
    <w:tbl>
      <w:tblPr>
        <w:tblStyle w:val="45"/>
        <w:tblW w:w="858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1717"/>
        <w:gridCol w:w="1515"/>
        <w:gridCol w:w="1919"/>
        <w:gridCol w:w="17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717" w:type="dxa"/>
            <w:tcBorders>
              <w:bottom w:val="single" w:color="000000" w:sz="4" w:space="0"/>
              <w:right w:val="single" w:color="000000" w:sz="4" w:space="0"/>
            </w:tcBorders>
            <w:vAlign w:val="center"/>
          </w:tcPr>
          <w:p>
            <w:pPr>
              <w:pStyle w:val="247"/>
              <w:kinsoku w:val="0"/>
              <w:overflowPunct w:val="0"/>
              <w:rPr>
                <w:rFonts w:eastAsia="宋体"/>
                <w:b/>
                <w:u w:val="single"/>
              </w:rPr>
            </w:pPr>
            <w:r>
              <w:rPr>
                <w:rFonts w:eastAsia="宋体"/>
                <w:b/>
                <w:u w:val="single"/>
              </w:rPr>
              <w:t>物质名称</w:t>
            </w:r>
          </w:p>
        </w:tc>
        <w:tc>
          <w:tcPr>
            <w:tcW w:w="1717" w:type="dxa"/>
            <w:tcBorders>
              <w:left w:val="single" w:color="000000" w:sz="4" w:space="0"/>
              <w:bottom w:val="single" w:color="000000" w:sz="4" w:space="0"/>
              <w:right w:val="single" w:color="000000" w:sz="4" w:space="0"/>
            </w:tcBorders>
            <w:vAlign w:val="center"/>
          </w:tcPr>
          <w:p>
            <w:pPr>
              <w:pStyle w:val="247"/>
              <w:kinsoku w:val="0"/>
              <w:overflowPunct w:val="0"/>
              <w:rPr>
                <w:rFonts w:eastAsia="宋体"/>
                <w:b/>
                <w:u w:val="single"/>
              </w:rPr>
            </w:pPr>
            <w:r>
              <w:rPr>
                <w:rFonts w:eastAsia="宋体"/>
                <w:b/>
                <w:u w:val="single"/>
              </w:rPr>
              <w:t>CAS 号</w:t>
            </w:r>
          </w:p>
        </w:tc>
        <w:tc>
          <w:tcPr>
            <w:tcW w:w="1515" w:type="dxa"/>
            <w:tcBorders>
              <w:left w:val="single" w:color="000000" w:sz="4" w:space="0"/>
              <w:bottom w:val="single" w:color="000000" w:sz="4" w:space="0"/>
              <w:right w:val="single" w:color="000000" w:sz="4" w:space="0"/>
            </w:tcBorders>
            <w:vAlign w:val="center"/>
          </w:tcPr>
          <w:p>
            <w:pPr>
              <w:pStyle w:val="247"/>
              <w:kinsoku w:val="0"/>
              <w:overflowPunct w:val="0"/>
              <w:rPr>
                <w:rFonts w:eastAsia="宋体"/>
                <w:b/>
                <w:u w:val="single"/>
              </w:rPr>
            </w:pPr>
            <w:r>
              <w:rPr>
                <w:rFonts w:eastAsia="宋体"/>
                <w:b/>
                <w:u w:val="single"/>
              </w:rPr>
              <w:t>临界量Qi</w:t>
            </w:r>
          </w:p>
        </w:tc>
        <w:tc>
          <w:tcPr>
            <w:tcW w:w="1919" w:type="dxa"/>
            <w:tcBorders>
              <w:left w:val="single" w:color="000000" w:sz="4" w:space="0"/>
              <w:bottom w:val="single" w:color="000000" w:sz="4" w:space="0"/>
              <w:right w:val="single" w:color="000000" w:sz="4" w:space="0"/>
            </w:tcBorders>
            <w:vAlign w:val="center"/>
          </w:tcPr>
          <w:p>
            <w:pPr>
              <w:pStyle w:val="247"/>
              <w:kinsoku w:val="0"/>
              <w:overflowPunct w:val="0"/>
              <w:spacing w:before="46" w:line="252" w:lineRule="exact"/>
              <w:rPr>
                <w:rFonts w:eastAsia="宋体"/>
                <w:b/>
                <w:u w:val="single"/>
              </w:rPr>
            </w:pPr>
            <w:r>
              <w:rPr>
                <w:rFonts w:eastAsia="宋体"/>
                <w:b/>
                <w:u w:val="single"/>
              </w:rPr>
              <w:t>实际量 qi</w:t>
            </w:r>
          </w:p>
        </w:tc>
        <w:tc>
          <w:tcPr>
            <w:tcW w:w="1719" w:type="dxa"/>
            <w:tcBorders>
              <w:left w:val="single" w:color="000000" w:sz="4" w:space="0"/>
              <w:bottom w:val="single" w:color="000000" w:sz="4" w:space="0"/>
            </w:tcBorders>
            <w:vAlign w:val="center"/>
          </w:tcPr>
          <w:p>
            <w:pPr>
              <w:pStyle w:val="247"/>
              <w:kinsoku w:val="0"/>
              <w:overflowPunct w:val="0"/>
              <w:rPr>
                <w:rFonts w:eastAsia="宋体"/>
                <w:b/>
                <w:u w:val="single"/>
              </w:rPr>
            </w:pPr>
            <w:r>
              <w:rPr>
                <w:rFonts w:eastAsia="宋体"/>
                <w:b/>
                <w:u w:val="single"/>
              </w:rPr>
              <w:t>qi/Qi</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17" w:type="dxa"/>
            <w:tcBorders>
              <w:top w:val="single" w:color="000000" w:sz="4" w:space="0"/>
              <w:bottom w:val="single" w:color="000000" w:sz="4" w:space="0"/>
              <w:right w:val="single" w:color="000000" w:sz="4" w:space="0"/>
            </w:tcBorders>
            <w:vAlign w:val="center"/>
          </w:tcPr>
          <w:p>
            <w:pPr>
              <w:pStyle w:val="247"/>
              <w:kinsoku w:val="0"/>
              <w:overflowPunct w:val="0"/>
              <w:spacing w:before="46" w:line="252" w:lineRule="exact"/>
              <w:ind w:left="45"/>
              <w:rPr>
                <w:rFonts w:eastAsia="宋体"/>
                <w:u w:val="single"/>
              </w:rPr>
            </w:pPr>
            <w:r>
              <w:rPr>
                <w:rFonts w:eastAsia="宋体"/>
                <w:u w:val="single"/>
              </w:rPr>
              <w:t>氨</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right="309"/>
              <w:rPr>
                <w:rFonts w:eastAsia="宋体"/>
                <w:u w:val="single"/>
              </w:rPr>
            </w:pPr>
            <w:r>
              <w:rPr>
                <w:rFonts w:eastAsia="宋体"/>
                <w:u w:val="single"/>
              </w:rPr>
              <w:t>7664-41-7</w:t>
            </w:r>
          </w:p>
        </w:tc>
        <w:tc>
          <w:tcPr>
            <w:tcW w:w="1515"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left="176" w:right="152"/>
              <w:rPr>
                <w:rFonts w:eastAsia="宋体"/>
                <w:u w:val="single"/>
              </w:rPr>
            </w:pPr>
            <w:r>
              <w:rPr>
                <w:rFonts w:eastAsia="宋体"/>
                <w:u w:val="single"/>
              </w:rPr>
              <w:t>5t</w:t>
            </w:r>
          </w:p>
        </w:tc>
        <w:tc>
          <w:tcPr>
            <w:tcW w:w="1919"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left="123" w:right="94"/>
              <w:rPr>
                <w:rFonts w:eastAsia="宋体"/>
                <w:u w:val="single"/>
              </w:rPr>
            </w:pPr>
            <w:r>
              <w:rPr>
                <w:rFonts w:eastAsia="宋体"/>
                <w:sz w:val="24"/>
                <w:u w:val="single"/>
              </w:rPr>
              <w:t>1.8t（包括脱硝存储的氨）</w:t>
            </w:r>
          </w:p>
        </w:tc>
        <w:tc>
          <w:tcPr>
            <w:tcW w:w="1719" w:type="dxa"/>
            <w:tcBorders>
              <w:top w:val="single" w:color="000000" w:sz="4" w:space="0"/>
              <w:left w:val="single" w:color="000000" w:sz="4" w:space="0"/>
              <w:bottom w:val="single" w:color="000000" w:sz="4" w:space="0"/>
            </w:tcBorders>
            <w:vAlign w:val="center"/>
          </w:tcPr>
          <w:p>
            <w:pPr>
              <w:pStyle w:val="247"/>
              <w:kinsoku w:val="0"/>
              <w:overflowPunct w:val="0"/>
              <w:spacing w:before="194"/>
              <w:ind w:right="170"/>
              <w:rPr>
                <w:rFonts w:eastAsia="宋体"/>
                <w:u w:val="single"/>
              </w:rPr>
            </w:pPr>
            <w:r>
              <w:rPr>
                <w:rFonts w:eastAsia="宋体"/>
                <w:u w:val="single"/>
              </w:rPr>
              <w:t>0.36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717" w:type="dxa"/>
            <w:tcBorders>
              <w:top w:val="single" w:color="000000" w:sz="4" w:space="0"/>
              <w:bottom w:val="single" w:color="000000" w:sz="4" w:space="0"/>
              <w:right w:val="single" w:color="000000" w:sz="4" w:space="0"/>
            </w:tcBorders>
            <w:vAlign w:val="center"/>
          </w:tcPr>
          <w:p>
            <w:pPr>
              <w:pStyle w:val="247"/>
              <w:kinsoku w:val="0"/>
              <w:overflowPunct w:val="0"/>
              <w:spacing w:before="46" w:line="252" w:lineRule="exact"/>
              <w:ind w:left="45"/>
              <w:rPr>
                <w:rFonts w:eastAsia="宋体"/>
                <w:u w:val="single"/>
              </w:rPr>
            </w:pPr>
            <w:r>
              <w:rPr>
                <w:rFonts w:eastAsia="宋体"/>
                <w:u w:val="single"/>
              </w:rPr>
              <w:t>硫化氢</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right="309"/>
              <w:rPr>
                <w:rFonts w:eastAsia="宋体"/>
                <w:u w:val="single"/>
              </w:rPr>
            </w:pPr>
            <w:r>
              <w:rPr>
                <w:rFonts w:eastAsia="宋体"/>
                <w:u w:val="single"/>
              </w:rPr>
              <w:t>7783-06-4</w:t>
            </w:r>
          </w:p>
        </w:tc>
        <w:tc>
          <w:tcPr>
            <w:tcW w:w="1515"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left="176" w:right="152"/>
              <w:rPr>
                <w:rFonts w:eastAsia="宋体"/>
                <w:u w:val="single"/>
              </w:rPr>
            </w:pPr>
            <w:r>
              <w:rPr>
                <w:rFonts w:eastAsia="宋体"/>
                <w:u w:val="single"/>
              </w:rPr>
              <w:t>2.5t</w:t>
            </w:r>
          </w:p>
        </w:tc>
        <w:tc>
          <w:tcPr>
            <w:tcW w:w="1919"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left="123" w:right="94"/>
              <w:rPr>
                <w:rFonts w:eastAsia="宋体"/>
                <w:u w:val="single"/>
              </w:rPr>
            </w:pPr>
            <w:r>
              <w:rPr>
                <w:rFonts w:eastAsia="宋体"/>
                <w:sz w:val="24"/>
                <w:u w:val="single"/>
              </w:rPr>
              <w:t>0.0014t</w:t>
            </w:r>
          </w:p>
        </w:tc>
        <w:tc>
          <w:tcPr>
            <w:tcW w:w="1719" w:type="dxa"/>
            <w:tcBorders>
              <w:top w:val="single" w:color="000000" w:sz="4" w:space="0"/>
              <w:left w:val="single" w:color="000000" w:sz="4" w:space="0"/>
              <w:bottom w:val="single" w:color="000000" w:sz="4" w:space="0"/>
            </w:tcBorders>
            <w:vAlign w:val="center"/>
          </w:tcPr>
          <w:p>
            <w:pPr>
              <w:pStyle w:val="247"/>
              <w:kinsoku w:val="0"/>
              <w:overflowPunct w:val="0"/>
              <w:spacing w:before="194"/>
              <w:ind w:right="170"/>
              <w:rPr>
                <w:rFonts w:eastAsia="宋体"/>
                <w:u w:val="single"/>
              </w:rPr>
            </w:pPr>
            <w:r>
              <w:rPr>
                <w:rFonts w:eastAsia="宋体"/>
                <w:u w:val="single"/>
              </w:rPr>
              <w:t>0.00056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717" w:type="dxa"/>
            <w:tcBorders>
              <w:top w:val="single" w:color="000000" w:sz="4" w:space="0"/>
              <w:bottom w:val="single" w:color="000000" w:sz="4" w:space="0"/>
              <w:right w:val="single" w:color="000000" w:sz="4" w:space="0"/>
            </w:tcBorders>
            <w:vAlign w:val="center"/>
          </w:tcPr>
          <w:p>
            <w:pPr>
              <w:pStyle w:val="247"/>
              <w:kinsoku w:val="0"/>
              <w:overflowPunct w:val="0"/>
              <w:spacing w:before="46" w:line="252" w:lineRule="exact"/>
              <w:ind w:left="45"/>
              <w:rPr>
                <w:rFonts w:eastAsia="宋体"/>
                <w:u w:val="single"/>
              </w:rPr>
            </w:pPr>
            <w:r>
              <w:rPr>
                <w:rFonts w:eastAsia="宋体"/>
                <w:u w:val="single"/>
              </w:rPr>
              <w:t>油泥</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right="309"/>
              <w:rPr>
                <w:rFonts w:eastAsia="宋体"/>
                <w:u w:val="single"/>
              </w:rPr>
            </w:pPr>
            <w:r>
              <w:rPr>
                <w:rFonts w:eastAsia="宋体"/>
                <w:u w:val="single"/>
              </w:rPr>
              <w:t>/</w:t>
            </w:r>
          </w:p>
        </w:tc>
        <w:tc>
          <w:tcPr>
            <w:tcW w:w="1515"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left="176" w:right="152"/>
              <w:rPr>
                <w:rFonts w:eastAsia="宋体"/>
                <w:u w:val="single"/>
              </w:rPr>
            </w:pPr>
            <w:r>
              <w:rPr>
                <w:rFonts w:hint="eastAsia" w:eastAsia="宋体"/>
                <w:u w:val="single"/>
                <w:lang w:val="en-US" w:eastAsia="zh-CN"/>
              </w:rPr>
              <w:t>2500</w:t>
            </w:r>
            <w:r>
              <w:rPr>
                <w:rFonts w:eastAsia="宋体"/>
                <w:u w:val="single"/>
              </w:rPr>
              <w:t>t</w:t>
            </w:r>
          </w:p>
        </w:tc>
        <w:tc>
          <w:tcPr>
            <w:tcW w:w="1919" w:type="dxa"/>
            <w:tcBorders>
              <w:top w:val="single" w:color="000000" w:sz="4" w:space="0"/>
              <w:left w:val="single" w:color="000000" w:sz="4" w:space="0"/>
              <w:bottom w:val="single" w:color="000000" w:sz="4" w:space="0"/>
              <w:right w:val="single" w:color="000000" w:sz="4" w:space="0"/>
            </w:tcBorders>
            <w:vAlign w:val="center"/>
          </w:tcPr>
          <w:p>
            <w:pPr>
              <w:pStyle w:val="247"/>
              <w:kinsoku w:val="0"/>
              <w:overflowPunct w:val="0"/>
              <w:spacing w:before="60" w:line="238" w:lineRule="exact"/>
              <w:ind w:left="123" w:right="94"/>
              <w:rPr>
                <w:rFonts w:eastAsia="宋体"/>
                <w:sz w:val="24"/>
                <w:u w:val="single"/>
              </w:rPr>
            </w:pPr>
            <w:r>
              <w:rPr>
                <w:rFonts w:hint="eastAsia" w:eastAsia="宋体"/>
                <w:sz w:val="24"/>
                <w:u w:val="single"/>
                <w:lang w:val="en-US" w:eastAsia="zh-CN"/>
              </w:rPr>
              <w:t>120</w:t>
            </w:r>
            <w:r>
              <w:rPr>
                <w:rFonts w:eastAsia="宋体"/>
                <w:sz w:val="24"/>
                <w:u w:val="single"/>
              </w:rPr>
              <w:t>t</w:t>
            </w:r>
          </w:p>
        </w:tc>
        <w:tc>
          <w:tcPr>
            <w:tcW w:w="1719" w:type="dxa"/>
            <w:tcBorders>
              <w:top w:val="single" w:color="000000" w:sz="4" w:space="0"/>
              <w:left w:val="single" w:color="000000" w:sz="4" w:space="0"/>
              <w:bottom w:val="single" w:color="000000" w:sz="4" w:space="0"/>
            </w:tcBorders>
            <w:vAlign w:val="center"/>
          </w:tcPr>
          <w:p>
            <w:pPr>
              <w:pStyle w:val="247"/>
              <w:kinsoku w:val="0"/>
              <w:overflowPunct w:val="0"/>
              <w:spacing w:before="194"/>
              <w:ind w:right="170"/>
              <w:rPr>
                <w:rFonts w:hint="default" w:eastAsia="宋体"/>
                <w:u w:val="single"/>
                <w:lang w:val="en-US" w:eastAsia="zh-CN"/>
              </w:rPr>
            </w:pPr>
            <w:r>
              <w:rPr>
                <w:rFonts w:hint="eastAsia" w:eastAsia="宋体"/>
                <w:u w:val="single"/>
                <w:lang w:val="en-US" w:eastAsia="zh-CN"/>
              </w:rPr>
              <w:t>0.048</w:t>
            </w:r>
          </w:p>
        </w:tc>
      </w:tr>
    </w:tbl>
    <w:p>
      <w:pPr>
        <w:spacing w:line="360" w:lineRule="auto"/>
        <w:ind w:firstLine="482"/>
        <w:rPr>
          <w:rFonts w:ascii="Times New Roman" w:hAnsi="Times New Roman"/>
          <w:sz w:val="24"/>
          <w:szCs w:val="24"/>
          <w:u w:val="single"/>
        </w:rPr>
      </w:pPr>
    </w:p>
    <w:p>
      <w:pPr>
        <w:spacing w:line="360" w:lineRule="auto"/>
        <w:ind w:firstLine="482"/>
        <w:rPr>
          <w:rFonts w:ascii="Times New Roman" w:hAnsi="Times New Roman"/>
          <w:sz w:val="24"/>
          <w:szCs w:val="24"/>
          <w:u w:val="single"/>
        </w:rPr>
      </w:pPr>
      <w:r>
        <w:rPr>
          <w:rFonts w:ascii="Times New Roman" w:hAnsi="Times New Roman"/>
          <w:sz w:val="24"/>
          <w:szCs w:val="24"/>
          <w:u w:val="single"/>
        </w:rPr>
        <w:t>计算Q=∑</w:t>
      </w:r>
      <w:r>
        <w:rPr>
          <w:rFonts w:ascii="Times New Roman" w:hAnsi="Times New Roman"/>
          <w:b/>
          <w:u w:val="single"/>
        </w:rPr>
        <w:t>qi/Qi</w:t>
      </w:r>
      <w:r>
        <w:rPr>
          <w:rFonts w:ascii="Times New Roman" w:hAnsi="Times New Roman"/>
          <w:sz w:val="24"/>
          <w:szCs w:val="24"/>
          <w:u w:val="single"/>
        </w:rPr>
        <w:t>=0.36+0.00056+0.</w:t>
      </w:r>
      <w:r>
        <w:rPr>
          <w:rFonts w:hint="eastAsia" w:ascii="Times New Roman" w:hAnsi="Times New Roman"/>
          <w:sz w:val="24"/>
          <w:szCs w:val="24"/>
          <w:u w:val="single"/>
          <w:lang w:val="en-US" w:eastAsia="zh-CN"/>
        </w:rPr>
        <w:t>048</w:t>
      </w:r>
      <w:r>
        <w:rPr>
          <w:rFonts w:ascii="Times New Roman" w:hAnsi="Times New Roman"/>
          <w:sz w:val="24"/>
          <w:szCs w:val="24"/>
          <w:u w:val="single"/>
        </w:rPr>
        <w:t>=0.</w:t>
      </w:r>
      <w:r>
        <w:rPr>
          <w:rFonts w:hint="eastAsia" w:ascii="Times New Roman" w:hAnsi="Times New Roman"/>
          <w:sz w:val="24"/>
          <w:szCs w:val="24"/>
          <w:u w:val="single"/>
          <w:lang w:val="en-US" w:eastAsia="zh-CN"/>
        </w:rPr>
        <w:t>40856</w:t>
      </w:r>
      <w:r>
        <w:rPr>
          <w:rFonts w:ascii="Times New Roman" w:hAnsi="Times New Roman"/>
          <w:sz w:val="24"/>
          <w:szCs w:val="24"/>
          <w:u w:val="single"/>
        </w:rPr>
        <w:t>≦1本项目Q小于1，故本项目风险仅需进行简单分析。</w:t>
      </w:r>
    </w:p>
    <w:p>
      <w:pPr>
        <w:pStyle w:val="6"/>
        <w:spacing w:before="120" w:after="120"/>
      </w:pPr>
      <w:bookmarkStart w:id="135" w:name="_Toc280188814"/>
      <w:bookmarkStart w:id="136" w:name="_Toc306034524"/>
      <w:bookmarkStart w:id="137" w:name="_Toc16240"/>
      <w:bookmarkStart w:id="138" w:name="_Toc13841"/>
      <w:bookmarkStart w:id="139" w:name="_Toc220122772"/>
      <w:bookmarkStart w:id="140" w:name="_Toc304810274"/>
      <w:bookmarkStart w:id="141" w:name="_Toc5281"/>
      <w:bookmarkStart w:id="142" w:name="_Toc219258498"/>
      <w:bookmarkStart w:id="143" w:name="_Toc18661"/>
      <w:bookmarkStart w:id="144" w:name="_Toc220122775"/>
      <w:bookmarkStart w:id="145" w:name="_Toc280188817"/>
      <w:r>
        <w:t>环境保护目标</w:t>
      </w:r>
      <w:bookmarkEnd w:id="135"/>
      <w:bookmarkEnd w:id="136"/>
      <w:bookmarkEnd w:id="137"/>
      <w:bookmarkEnd w:id="138"/>
      <w:bookmarkEnd w:id="139"/>
      <w:bookmarkEnd w:id="140"/>
      <w:bookmarkEnd w:id="141"/>
      <w:bookmarkEnd w:id="142"/>
      <w:bookmarkEnd w:id="143"/>
      <w:r>
        <w:t xml:space="preserve"> </w:t>
      </w:r>
    </w:p>
    <w:p>
      <w:pPr>
        <w:spacing w:line="360" w:lineRule="auto"/>
        <w:ind w:firstLine="480"/>
        <w:rPr>
          <w:rFonts w:ascii="Times New Roman" w:hAnsi="Times New Roman"/>
        </w:rPr>
      </w:pPr>
      <w:r>
        <w:rPr>
          <w:rFonts w:ascii="Times New Roman" w:hAnsi="Times New Roman"/>
          <w:sz w:val="24"/>
        </w:rPr>
        <w:t>本项目位于长岭分公司厂区内，根据本次环评确定的各要素评价工作等级，结合现场踏勘和环境敏感点分布情况，确定环境保护目标见表1.6-1、1.6-2、1.6-3和附图6。</w:t>
      </w:r>
    </w:p>
    <w:p>
      <w:pPr>
        <w:pStyle w:val="18"/>
        <w:spacing w:line="440" w:lineRule="exact"/>
        <w:rPr>
          <w:u w:val="single"/>
        </w:rPr>
      </w:pPr>
      <w:r>
        <w:rPr>
          <w:u w:val="single"/>
        </w:rPr>
        <w:t>表 1.6-1</w:t>
      </w:r>
      <w:r>
        <w:rPr>
          <w:u w:val="single"/>
        </w:rPr>
        <w:tab/>
      </w:r>
      <w:r>
        <w:rPr>
          <w:u w:val="single"/>
        </w:rPr>
        <w:t>项目大气环境保护目标</w:t>
      </w:r>
    </w:p>
    <w:tbl>
      <w:tblPr>
        <w:tblStyle w:val="45"/>
        <w:tblW w:w="965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26"/>
        <w:gridCol w:w="1325"/>
        <w:gridCol w:w="1134"/>
        <w:gridCol w:w="1107"/>
        <w:gridCol w:w="931"/>
        <w:gridCol w:w="1088"/>
        <w:gridCol w:w="1241"/>
        <w:gridCol w:w="1088"/>
        <w:gridCol w:w="12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4" w:hRule="atLeast"/>
          <w:tblHeader/>
          <w:jc w:val="center"/>
        </w:trPr>
        <w:tc>
          <w:tcPr>
            <w:tcW w:w="526"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序号</w:t>
            </w:r>
          </w:p>
        </w:tc>
        <w:tc>
          <w:tcPr>
            <w:tcW w:w="1325"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名称</w:t>
            </w:r>
          </w:p>
        </w:tc>
        <w:tc>
          <w:tcPr>
            <w:tcW w:w="2241" w:type="dxa"/>
            <w:gridSpan w:val="2"/>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坐标/m</w:t>
            </w:r>
          </w:p>
        </w:tc>
        <w:tc>
          <w:tcPr>
            <w:tcW w:w="931"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保护</w:t>
            </w:r>
          </w:p>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对象</w:t>
            </w:r>
          </w:p>
        </w:tc>
        <w:tc>
          <w:tcPr>
            <w:tcW w:w="1088"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保护</w:t>
            </w:r>
          </w:p>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内容</w:t>
            </w:r>
          </w:p>
        </w:tc>
        <w:tc>
          <w:tcPr>
            <w:tcW w:w="1241"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环境功</w:t>
            </w:r>
          </w:p>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能区</w:t>
            </w:r>
          </w:p>
        </w:tc>
        <w:tc>
          <w:tcPr>
            <w:tcW w:w="1088"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相对厂</w:t>
            </w:r>
          </w:p>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址方位</w:t>
            </w:r>
          </w:p>
        </w:tc>
        <w:tc>
          <w:tcPr>
            <w:tcW w:w="1212" w:type="dxa"/>
            <w:vMerge w:val="restart"/>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相对厂界</w:t>
            </w:r>
          </w:p>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距离/km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9" w:hRule="atLeast"/>
          <w:tblHeader/>
          <w:jc w:val="center"/>
        </w:trPr>
        <w:tc>
          <w:tcPr>
            <w:tcW w:w="526"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c>
          <w:tcPr>
            <w:tcW w:w="1325"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c>
          <w:tcPr>
            <w:tcW w:w="1134" w:type="dxa"/>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UTM-X</w:t>
            </w:r>
          </w:p>
        </w:tc>
        <w:tc>
          <w:tcPr>
            <w:tcW w:w="1107" w:type="dxa"/>
            <w:shd w:val="clear" w:color="auto" w:fill="FFFFFF"/>
            <w:vAlign w:val="center"/>
          </w:tcPr>
          <w:p>
            <w:pPr>
              <w:snapToGrid w:val="0"/>
              <w:spacing w:before="48" w:beforeLines="20" w:after="48" w:afterLines="20"/>
              <w:ind w:left="-105" w:leftChars="-50" w:right="-105" w:rightChars="-50"/>
              <w:jc w:val="center"/>
              <w:rPr>
                <w:rFonts w:ascii="Times New Roman" w:hAnsi="Times New Roman"/>
                <w:b/>
                <w:szCs w:val="21"/>
              </w:rPr>
            </w:pPr>
            <w:r>
              <w:rPr>
                <w:rFonts w:ascii="Times New Roman" w:hAnsi="Times New Roman"/>
                <w:b/>
                <w:szCs w:val="21"/>
              </w:rPr>
              <w:t>UTM-Y</w:t>
            </w:r>
          </w:p>
        </w:tc>
        <w:tc>
          <w:tcPr>
            <w:tcW w:w="931"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c>
          <w:tcPr>
            <w:tcW w:w="1088"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c>
          <w:tcPr>
            <w:tcW w:w="1241"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c>
          <w:tcPr>
            <w:tcW w:w="1088"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c>
          <w:tcPr>
            <w:tcW w:w="1212" w:type="dxa"/>
            <w:vMerge w:val="continue"/>
            <w:shd w:val="clear" w:color="auto" w:fill="FFFFFF"/>
            <w:vAlign w:val="center"/>
          </w:tcPr>
          <w:p>
            <w:pPr>
              <w:snapToGrid w:val="0"/>
              <w:spacing w:before="48" w:beforeLines="20" w:after="48" w:afterLines="20"/>
              <w:ind w:left="-105" w:leftChars="-50" w:right="-105" w:rightChars="-50"/>
              <w:jc w:val="center"/>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w:t>
            </w:r>
          </w:p>
        </w:tc>
        <w:tc>
          <w:tcPr>
            <w:tcW w:w="1325" w:type="dxa"/>
            <w:shd w:val="clear" w:color="auto" w:fill="FFFFFF"/>
          </w:tcPr>
          <w:p>
            <w:pPr>
              <w:jc w:val="center"/>
              <w:rPr>
                <w:rFonts w:ascii="Times New Roman" w:hAnsi="Times New Roman"/>
                <w:szCs w:val="21"/>
              </w:rPr>
            </w:pPr>
            <w:r>
              <w:rPr>
                <w:rFonts w:ascii="Times New Roman" w:hAnsi="Times New Roman"/>
                <w:szCs w:val="21"/>
              </w:rPr>
              <w:t>泾港村</w:t>
            </w:r>
          </w:p>
        </w:tc>
        <w:tc>
          <w:tcPr>
            <w:tcW w:w="1134" w:type="dxa"/>
            <w:shd w:val="clear" w:color="auto" w:fill="FFFFFF"/>
          </w:tcPr>
          <w:p>
            <w:pPr>
              <w:jc w:val="center"/>
              <w:rPr>
                <w:rFonts w:ascii="Times New Roman" w:hAnsi="Times New Roman"/>
                <w:szCs w:val="21"/>
              </w:rPr>
            </w:pPr>
            <w:r>
              <w:rPr>
                <w:rFonts w:ascii="Times New Roman" w:hAnsi="Times New Roman"/>
                <w:szCs w:val="21"/>
              </w:rPr>
              <w:t>725829</w:t>
            </w:r>
          </w:p>
        </w:tc>
        <w:tc>
          <w:tcPr>
            <w:tcW w:w="1107" w:type="dxa"/>
            <w:shd w:val="clear" w:color="auto" w:fill="FFFFFF"/>
          </w:tcPr>
          <w:p>
            <w:pPr>
              <w:jc w:val="center"/>
              <w:rPr>
                <w:rFonts w:ascii="Times New Roman" w:hAnsi="Times New Roman"/>
                <w:szCs w:val="21"/>
              </w:rPr>
            </w:pPr>
            <w:r>
              <w:rPr>
                <w:rFonts w:ascii="Times New Roman" w:hAnsi="Times New Roman"/>
                <w:szCs w:val="21"/>
              </w:rPr>
              <w:t>3278990</w:t>
            </w:r>
          </w:p>
        </w:tc>
        <w:tc>
          <w:tcPr>
            <w:tcW w:w="93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2</w:t>
            </w:r>
          </w:p>
        </w:tc>
        <w:tc>
          <w:tcPr>
            <w:tcW w:w="1325" w:type="dxa"/>
            <w:shd w:val="clear" w:color="auto" w:fill="FFFFFF"/>
          </w:tcPr>
          <w:p>
            <w:pPr>
              <w:jc w:val="center"/>
              <w:rPr>
                <w:rFonts w:ascii="Times New Roman" w:hAnsi="Times New Roman"/>
                <w:szCs w:val="21"/>
              </w:rPr>
            </w:pPr>
            <w:r>
              <w:rPr>
                <w:rFonts w:ascii="Times New Roman" w:hAnsi="Times New Roman"/>
                <w:szCs w:val="21"/>
              </w:rPr>
              <w:t>姜畈村</w:t>
            </w:r>
          </w:p>
        </w:tc>
        <w:tc>
          <w:tcPr>
            <w:tcW w:w="1134" w:type="dxa"/>
            <w:shd w:val="clear" w:color="auto" w:fill="FFFFFF"/>
          </w:tcPr>
          <w:p>
            <w:pPr>
              <w:jc w:val="center"/>
              <w:rPr>
                <w:rFonts w:ascii="Times New Roman" w:hAnsi="Times New Roman"/>
                <w:szCs w:val="21"/>
              </w:rPr>
            </w:pPr>
            <w:r>
              <w:rPr>
                <w:rFonts w:ascii="Times New Roman" w:hAnsi="Times New Roman"/>
                <w:szCs w:val="21"/>
              </w:rPr>
              <w:t>729394</w:t>
            </w:r>
          </w:p>
        </w:tc>
        <w:tc>
          <w:tcPr>
            <w:tcW w:w="1107" w:type="dxa"/>
            <w:shd w:val="clear" w:color="auto" w:fill="FFFFFF"/>
          </w:tcPr>
          <w:p>
            <w:pPr>
              <w:jc w:val="center"/>
              <w:rPr>
                <w:rFonts w:ascii="Times New Roman" w:hAnsi="Times New Roman"/>
                <w:szCs w:val="21"/>
              </w:rPr>
            </w:pPr>
            <w:r>
              <w:rPr>
                <w:rFonts w:ascii="Times New Roman" w:hAnsi="Times New Roman"/>
                <w:szCs w:val="21"/>
              </w:rPr>
              <w:t>3277653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7.28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3</w:t>
            </w:r>
          </w:p>
        </w:tc>
        <w:tc>
          <w:tcPr>
            <w:tcW w:w="1325" w:type="dxa"/>
            <w:shd w:val="clear" w:color="auto" w:fill="FFFFFF"/>
          </w:tcPr>
          <w:p>
            <w:pPr>
              <w:jc w:val="center"/>
              <w:rPr>
                <w:rFonts w:ascii="Times New Roman" w:hAnsi="Times New Roman"/>
                <w:szCs w:val="21"/>
              </w:rPr>
            </w:pPr>
            <w:r>
              <w:rPr>
                <w:rFonts w:ascii="Times New Roman" w:hAnsi="Times New Roman"/>
                <w:szCs w:val="21"/>
              </w:rPr>
              <w:t>白荆村</w:t>
            </w:r>
          </w:p>
        </w:tc>
        <w:tc>
          <w:tcPr>
            <w:tcW w:w="1134" w:type="dxa"/>
            <w:shd w:val="clear" w:color="auto" w:fill="FFFFFF"/>
          </w:tcPr>
          <w:p>
            <w:pPr>
              <w:jc w:val="center"/>
              <w:rPr>
                <w:rFonts w:ascii="Times New Roman" w:hAnsi="Times New Roman"/>
                <w:szCs w:val="21"/>
              </w:rPr>
            </w:pPr>
            <w:r>
              <w:rPr>
                <w:rFonts w:ascii="Times New Roman" w:hAnsi="Times New Roman"/>
                <w:szCs w:val="21"/>
              </w:rPr>
              <w:t>732783</w:t>
            </w:r>
          </w:p>
        </w:tc>
        <w:tc>
          <w:tcPr>
            <w:tcW w:w="1107" w:type="dxa"/>
            <w:shd w:val="clear" w:color="auto" w:fill="FFFFFF"/>
          </w:tcPr>
          <w:p>
            <w:pPr>
              <w:jc w:val="center"/>
              <w:rPr>
                <w:rFonts w:ascii="Times New Roman" w:hAnsi="Times New Roman"/>
                <w:szCs w:val="21"/>
              </w:rPr>
            </w:pPr>
            <w:r>
              <w:rPr>
                <w:rFonts w:ascii="Times New Roman" w:hAnsi="Times New Roman"/>
                <w:szCs w:val="21"/>
              </w:rPr>
              <w:t>3277306</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7.39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4</w:t>
            </w:r>
          </w:p>
        </w:tc>
        <w:tc>
          <w:tcPr>
            <w:tcW w:w="1325" w:type="dxa"/>
            <w:shd w:val="clear" w:color="auto" w:fill="FFFFFF"/>
          </w:tcPr>
          <w:p>
            <w:pPr>
              <w:jc w:val="center"/>
              <w:rPr>
                <w:rFonts w:ascii="Times New Roman" w:hAnsi="Times New Roman"/>
                <w:szCs w:val="21"/>
              </w:rPr>
            </w:pPr>
            <w:r>
              <w:rPr>
                <w:rFonts w:ascii="Times New Roman" w:hAnsi="Times New Roman"/>
                <w:szCs w:val="21"/>
              </w:rPr>
              <w:t>红土村</w:t>
            </w:r>
          </w:p>
        </w:tc>
        <w:tc>
          <w:tcPr>
            <w:tcW w:w="1134" w:type="dxa"/>
            <w:shd w:val="clear" w:color="auto" w:fill="FFFFFF"/>
          </w:tcPr>
          <w:p>
            <w:pPr>
              <w:jc w:val="center"/>
              <w:rPr>
                <w:rFonts w:ascii="Times New Roman" w:hAnsi="Times New Roman"/>
                <w:szCs w:val="21"/>
              </w:rPr>
            </w:pPr>
            <w:r>
              <w:rPr>
                <w:rFonts w:ascii="Times New Roman" w:hAnsi="Times New Roman"/>
                <w:szCs w:val="21"/>
              </w:rPr>
              <w:t>734164</w:t>
            </w:r>
          </w:p>
        </w:tc>
        <w:tc>
          <w:tcPr>
            <w:tcW w:w="1107" w:type="dxa"/>
            <w:shd w:val="clear" w:color="auto" w:fill="FFFFFF"/>
          </w:tcPr>
          <w:p>
            <w:pPr>
              <w:jc w:val="center"/>
              <w:rPr>
                <w:rFonts w:ascii="Times New Roman" w:hAnsi="Times New Roman"/>
                <w:szCs w:val="21"/>
              </w:rPr>
            </w:pPr>
            <w:r>
              <w:rPr>
                <w:rFonts w:ascii="Times New Roman" w:hAnsi="Times New Roman"/>
                <w:szCs w:val="21"/>
              </w:rPr>
              <w:t>3275956</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6.85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5</w:t>
            </w:r>
          </w:p>
        </w:tc>
        <w:tc>
          <w:tcPr>
            <w:tcW w:w="1325" w:type="dxa"/>
            <w:shd w:val="clear" w:color="auto" w:fill="FFFFFF"/>
          </w:tcPr>
          <w:p>
            <w:pPr>
              <w:jc w:val="center"/>
              <w:rPr>
                <w:rFonts w:ascii="Times New Roman" w:hAnsi="Times New Roman"/>
                <w:szCs w:val="21"/>
              </w:rPr>
            </w:pPr>
            <w:r>
              <w:rPr>
                <w:rFonts w:ascii="Times New Roman" w:hAnsi="Times New Roman"/>
                <w:szCs w:val="21"/>
              </w:rPr>
              <w:t>黄皋村</w:t>
            </w:r>
          </w:p>
        </w:tc>
        <w:tc>
          <w:tcPr>
            <w:tcW w:w="1134" w:type="dxa"/>
            <w:shd w:val="clear" w:color="auto" w:fill="FFFFFF"/>
          </w:tcPr>
          <w:p>
            <w:pPr>
              <w:jc w:val="center"/>
              <w:rPr>
                <w:rFonts w:ascii="Times New Roman" w:hAnsi="Times New Roman"/>
                <w:szCs w:val="21"/>
              </w:rPr>
            </w:pPr>
            <w:r>
              <w:rPr>
                <w:rFonts w:ascii="Times New Roman" w:hAnsi="Times New Roman"/>
                <w:szCs w:val="21"/>
              </w:rPr>
              <w:t>727813</w:t>
            </w:r>
          </w:p>
        </w:tc>
        <w:tc>
          <w:tcPr>
            <w:tcW w:w="1107" w:type="dxa"/>
            <w:shd w:val="clear" w:color="auto" w:fill="FFFFFF"/>
          </w:tcPr>
          <w:p>
            <w:pPr>
              <w:jc w:val="center"/>
              <w:rPr>
                <w:rFonts w:ascii="Times New Roman" w:hAnsi="Times New Roman"/>
                <w:szCs w:val="21"/>
              </w:rPr>
            </w:pPr>
            <w:r>
              <w:rPr>
                <w:rFonts w:ascii="Times New Roman" w:hAnsi="Times New Roman"/>
                <w:szCs w:val="21"/>
              </w:rPr>
              <w:t>3274810</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6</w:t>
            </w:r>
          </w:p>
        </w:tc>
        <w:tc>
          <w:tcPr>
            <w:tcW w:w="1325" w:type="dxa"/>
            <w:shd w:val="clear" w:color="auto" w:fill="FFFFFF"/>
          </w:tcPr>
          <w:p>
            <w:pPr>
              <w:jc w:val="center"/>
              <w:rPr>
                <w:rFonts w:ascii="Times New Roman" w:hAnsi="Times New Roman"/>
                <w:szCs w:val="21"/>
              </w:rPr>
            </w:pPr>
            <w:r>
              <w:rPr>
                <w:rFonts w:ascii="Times New Roman" w:hAnsi="Times New Roman"/>
                <w:szCs w:val="21"/>
              </w:rPr>
              <w:t>陆城镇</w:t>
            </w:r>
          </w:p>
        </w:tc>
        <w:tc>
          <w:tcPr>
            <w:tcW w:w="1134" w:type="dxa"/>
            <w:shd w:val="clear" w:color="auto" w:fill="FFFFFF"/>
          </w:tcPr>
          <w:p>
            <w:pPr>
              <w:jc w:val="center"/>
              <w:rPr>
                <w:rFonts w:ascii="Times New Roman" w:hAnsi="Times New Roman"/>
                <w:szCs w:val="21"/>
              </w:rPr>
            </w:pPr>
            <w:r>
              <w:rPr>
                <w:rFonts w:ascii="Times New Roman" w:hAnsi="Times New Roman"/>
                <w:szCs w:val="21"/>
              </w:rPr>
              <w:t>722246</w:t>
            </w:r>
          </w:p>
        </w:tc>
        <w:tc>
          <w:tcPr>
            <w:tcW w:w="1107" w:type="dxa"/>
            <w:shd w:val="clear" w:color="auto" w:fill="FFFFFF"/>
          </w:tcPr>
          <w:p>
            <w:pPr>
              <w:jc w:val="center"/>
              <w:rPr>
                <w:rFonts w:ascii="Times New Roman" w:hAnsi="Times New Roman"/>
                <w:szCs w:val="21"/>
              </w:rPr>
            </w:pPr>
            <w:r>
              <w:rPr>
                <w:rFonts w:ascii="Times New Roman" w:hAnsi="Times New Roman"/>
                <w:szCs w:val="21"/>
              </w:rPr>
              <w:t>3274933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9.10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7</w:t>
            </w:r>
          </w:p>
        </w:tc>
        <w:tc>
          <w:tcPr>
            <w:tcW w:w="1325" w:type="dxa"/>
            <w:shd w:val="clear" w:color="auto" w:fill="FFFFFF"/>
          </w:tcPr>
          <w:p>
            <w:pPr>
              <w:jc w:val="center"/>
              <w:rPr>
                <w:rFonts w:ascii="Times New Roman" w:hAnsi="Times New Roman"/>
                <w:szCs w:val="21"/>
              </w:rPr>
            </w:pPr>
            <w:r>
              <w:rPr>
                <w:rFonts w:ascii="Times New Roman" w:hAnsi="Times New Roman"/>
                <w:szCs w:val="21"/>
              </w:rPr>
              <w:t>望城村</w:t>
            </w:r>
          </w:p>
        </w:tc>
        <w:tc>
          <w:tcPr>
            <w:tcW w:w="1134" w:type="dxa"/>
            <w:shd w:val="clear" w:color="auto" w:fill="FFFFFF"/>
          </w:tcPr>
          <w:p>
            <w:pPr>
              <w:jc w:val="center"/>
              <w:rPr>
                <w:rFonts w:ascii="Times New Roman" w:hAnsi="Times New Roman"/>
                <w:szCs w:val="21"/>
              </w:rPr>
            </w:pPr>
            <w:r>
              <w:rPr>
                <w:rFonts w:ascii="Times New Roman" w:hAnsi="Times New Roman"/>
                <w:szCs w:val="21"/>
              </w:rPr>
              <w:t>727698</w:t>
            </w:r>
          </w:p>
        </w:tc>
        <w:tc>
          <w:tcPr>
            <w:tcW w:w="1107" w:type="dxa"/>
            <w:shd w:val="clear" w:color="auto" w:fill="FFFFFF"/>
          </w:tcPr>
          <w:p>
            <w:pPr>
              <w:jc w:val="center"/>
              <w:rPr>
                <w:rFonts w:ascii="Times New Roman" w:hAnsi="Times New Roman"/>
                <w:szCs w:val="21"/>
              </w:rPr>
            </w:pPr>
            <w:r>
              <w:rPr>
                <w:rFonts w:ascii="Times New Roman" w:hAnsi="Times New Roman"/>
                <w:szCs w:val="21"/>
              </w:rPr>
              <w:t>3272987</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8</w:t>
            </w:r>
          </w:p>
        </w:tc>
        <w:tc>
          <w:tcPr>
            <w:tcW w:w="1325" w:type="dxa"/>
            <w:shd w:val="clear" w:color="auto" w:fill="FFFFFF"/>
          </w:tcPr>
          <w:p>
            <w:pPr>
              <w:jc w:val="center"/>
              <w:rPr>
                <w:rFonts w:ascii="Times New Roman" w:hAnsi="Times New Roman"/>
                <w:szCs w:val="21"/>
              </w:rPr>
            </w:pPr>
            <w:r>
              <w:rPr>
                <w:rFonts w:ascii="Times New Roman" w:hAnsi="Times New Roman"/>
                <w:szCs w:val="21"/>
              </w:rPr>
              <w:t>臣山村</w:t>
            </w:r>
          </w:p>
        </w:tc>
        <w:tc>
          <w:tcPr>
            <w:tcW w:w="1134" w:type="dxa"/>
            <w:shd w:val="clear" w:color="auto" w:fill="FFFFFF"/>
          </w:tcPr>
          <w:p>
            <w:pPr>
              <w:jc w:val="center"/>
              <w:rPr>
                <w:rFonts w:ascii="Times New Roman" w:hAnsi="Times New Roman"/>
                <w:szCs w:val="21"/>
              </w:rPr>
            </w:pPr>
            <w:r>
              <w:rPr>
                <w:rFonts w:ascii="Times New Roman" w:hAnsi="Times New Roman"/>
                <w:szCs w:val="21"/>
              </w:rPr>
              <w:t>725626</w:t>
            </w:r>
          </w:p>
        </w:tc>
        <w:tc>
          <w:tcPr>
            <w:tcW w:w="1107" w:type="dxa"/>
            <w:shd w:val="clear" w:color="auto" w:fill="FFFFFF"/>
          </w:tcPr>
          <w:p>
            <w:pPr>
              <w:jc w:val="center"/>
              <w:rPr>
                <w:rFonts w:ascii="Times New Roman" w:hAnsi="Times New Roman"/>
                <w:szCs w:val="21"/>
              </w:rPr>
            </w:pPr>
            <w:r>
              <w:rPr>
                <w:rFonts w:ascii="Times New Roman" w:hAnsi="Times New Roman"/>
                <w:szCs w:val="21"/>
              </w:rPr>
              <w:t>3272528</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9</w:t>
            </w:r>
          </w:p>
        </w:tc>
        <w:tc>
          <w:tcPr>
            <w:tcW w:w="1325" w:type="dxa"/>
            <w:shd w:val="clear" w:color="auto" w:fill="FFFFFF"/>
          </w:tcPr>
          <w:p>
            <w:pPr>
              <w:jc w:val="center"/>
              <w:rPr>
                <w:rFonts w:ascii="Times New Roman" w:hAnsi="Times New Roman"/>
                <w:szCs w:val="21"/>
              </w:rPr>
            </w:pPr>
            <w:r>
              <w:rPr>
                <w:rFonts w:ascii="Times New Roman" w:hAnsi="Times New Roman"/>
                <w:szCs w:val="21"/>
              </w:rPr>
              <w:t>荆竹村</w:t>
            </w:r>
          </w:p>
        </w:tc>
        <w:tc>
          <w:tcPr>
            <w:tcW w:w="1134" w:type="dxa"/>
            <w:shd w:val="clear" w:color="auto" w:fill="FFFFFF"/>
          </w:tcPr>
          <w:p>
            <w:pPr>
              <w:jc w:val="center"/>
              <w:rPr>
                <w:rFonts w:ascii="Times New Roman" w:hAnsi="Times New Roman"/>
                <w:szCs w:val="21"/>
              </w:rPr>
            </w:pPr>
            <w:r>
              <w:rPr>
                <w:rFonts w:ascii="Times New Roman" w:hAnsi="Times New Roman"/>
                <w:szCs w:val="21"/>
              </w:rPr>
              <w:t>733794</w:t>
            </w:r>
          </w:p>
        </w:tc>
        <w:tc>
          <w:tcPr>
            <w:tcW w:w="1107" w:type="dxa"/>
            <w:shd w:val="clear" w:color="auto" w:fill="FFFFFF"/>
          </w:tcPr>
          <w:p>
            <w:pPr>
              <w:jc w:val="center"/>
              <w:rPr>
                <w:rFonts w:ascii="Times New Roman" w:hAnsi="Times New Roman"/>
                <w:szCs w:val="21"/>
              </w:rPr>
            </w:pPr>
            <w:r>
              <w:rPr>
                <w:rFonts w:ascii="Times New Roman" w:hAnsi="Times New Roman"/>
                <w:szCs w:val="21"/>
              </w:rPr>
              <w:t>3270613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10</w:t>
            </w:r>
          </w:p>
        </w:tc>
        <w:tc>
          <w:tcPr>
            <w:tcW w:w="1325" w:type="dxa"/>
            <w:shd w:val="clear" w:color="auto" w:fill="FFFFFF"/>
          </w:tcPr>
          <w:p>
            <w:pPr>
              <w:jc w:val="center"/>
              <w:rPr>
                <w:rFonts w:ascii="Times New Roman" w:hAnsi="Times New Roman"/>
                <w:szCs w:val="21"/>
              </w:rPr>
            </w:pPr>
            <w:r>
              <w:rPr>
                <w:rFonts w:ascii="Times New Roman" w:hAnsi="Times New Roman"/>
                <w:szCs w:val="21"/>
              </w:rPr>
              <w:t>长岭生活区</w:t>
            </w:r>
          </w:p>
        </w:tc>
        <w:tc>
          <w:tcPr>
            <w:tcW w:w="1134" w:type="dxa"/>
            <w:shd w:val="clear" w:color="auto" w:fill="FFFFFF"/>
          </w:tcPr>
          <w:p>
            <w:pPr>
              <w:jc w:val="center"/>
              <w:rPr>
                <w:rFonts w:ascii="Times New Roman" w:hAnsi="Times New Roman"/>
                <w:szCs w:val="21"/>
              </w:rPr>
            </w:pPr>
            <w:r>
              <w:rPr>
                <w:rFonts w:ascii="Times New Roman" w:hAnsi="Times New Roman"/>
                <w:szCs w:val="21"/>
              </w:rPr>
              <w:t>727847</w:t>
            </w:r>
          </w:p>
        </w:tc>
        <w:tc>
          <w:tcPr>
            <w:tcW w:w="1107" w:type="dxa"/>
            <w:shd w:val="clear" w:color="auto" w:fill="FFFFFF"/>
          </w:tcPr>
          <w:p>
            <w:pPr>
              <w:jc w:val="center"/>
              <w:rPr>
                <w:rFonts w:ascii="Times New Roman" w:hAnsi="Times New Roman"/>
                <w:szCs w:val="21"/>
              </w:rPr>
            </w:pPr>
            <w:r>
              <w:rPr>
                <w:rFonts w:ascii="Times New Roman" w:hAnsi="Times New Roman"/>
                <w:szCs w:val="21"/>
              </w:rPr>
              <w:t>3270023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11</w:t>
            </w:r>
          </w:p>
        </w:tc>
        <w:tc>
          <w:tcPr>
            <w:tcW w:w="1325" w:type="dxa"/>
            <w:shd w:val="clear" w:color="auto" w:fill="FFFFFF"/>
          </w:tcPr>
          <w:p>
            <w:pPr>
              <w:jc w:val="center"/>
              <w:rPr>
                <w:rFonts w:ascii="Times New Roman" w:hAnsi="Times New Roman"/>
                <w:szCs w:val="21"/>
              </w:rPr>
            </w:pPr>
            <w:r>
              <w:rPr>
                <w:rFonts w:ascii="Times New Roman" w:hAnsi="Times New Roman"/>
                <w:szCs w:val="21"/>
              </w:rPr>
              <w:t>南岳村</w:t>
            </w:r>
          </w:p>
        </w:tc>
        <w:tc>
          <w:tcPr>
            <w:tcW w:w="1134" w:type="dxa"/>
            <w:shd w:val="clear" w:color="auto" w:fill="FFFFFF"/>
          </w:tcPr>
          <w:p>
            <w:pPr>
              <w:jc w:val="center"/>
              <w:rPr>
                <w:rFonts w:ascii="Times New Roman" w:hAnsi="Times New Roman"/>
                <w:szCs w:val="21"/>
              </w:rPr>
            </w:pPr>
            <w:r>
              <w:rPr>
                <w:rFonts w:ascii="Times New Roman" w:hAnsi="Times New Roman"/>
                <w:szCs w:val="21"/>
              </w:rPr>
              <w:t>726265</w:t>
            </w:r>
          </w:p>
        </w:tc>
        <w:tc>
          <w:tcPr>
            <w:tcW w:w="1107" w:type="dxa"/>
            <w:shd w:val="clear" w:color="auto" w:fill="FFFFFF"/>
          </w:tcPr>
          <w:p>
            <w:pPr>
              <w:jc w:val="center"/>
              <w:rPr>
                <w:rFonts w:ascii="Times New Roman" w:hAnsi="Times New Roman"/>
                <w:szCs w:val="21"/>
              </w:rPr>
            </w:pPr>
            <w:r>
              <w:rPr>
                <w:rFonts w:ascii="Times New Roman" w:hAnsi="Times New Roman"/>
                <w:szCs w:val="21"/>
              </w:rPr>
              <w:t>3269783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12</w:t>
            </w:r>
          </w:p>
        </w:tc>
        <w:tc>
          <w:tcPr>
            <w:tcW w:w="1325" w:type="dxa"/>
            <w:shd w:val="clear" w:color="auto" w:fill="FFFFFF"/>
          </w:tcPr>
          <w:p>
            <w:pPr>
              <w:jc w:val="center"/>
              <w:rPr>
                <w:rFonts w:ascii="Times New Roman" w:hAnsi="Times New Roman"/>
                <w:szCs w:val="21"/>
              </w:rPr>
            </w:pPr>
            <w:r>
              <w:rPr>
                <w:rFonts w:ascii="Times New Roman" w:hAnsi="Times New Roman"/>
                <w:szCs w:val="21"/>
              </w:rPr>
              <w:t>南山村</w:t>
            </w:r>
          </w:p>
        </w:tc>
        <w:tc>
          <w:tcPr>
            <w:tcW w:w="1134" w:type="dxa"/>
            <w:shd w:val="clear" w:color="auto" w:fill="FFFFFF"/>
          </w:tcPr>
          <w:p>
            <w:pPr>
              <w:jc w:val="center"/>
              <w:rPr>
                <w:rFonts w:ascii="Times New Roman" w:hAnsi="Times New Roman"/>
                <w:szCs w:val="21"/>
              </w:rPr>
            </w:pPr>
            <w:r>
              <w:rPr>
                <w:rFonts w:ascii="Times New Roman" w:hAnsi="Times New Roman"/>
                <w:szCs w:val="21"/>
              </w:rPr>
              <w:t>727365</w:t>
            </w:r>
          </w:p>
        </w:tc>
        <w:tc>
          <w:tcPr>
            <w:tcW w:w="1107" w:type="dxa"/>
            <w:shd w:val="clear" w:color="auto" w:fill="FFFFFF"/>
          </w:tcPr>
          <w:p>
            <w:pPr>
              <w:jc w:val="center"/>
              <w:rPr>
                <w:rFonts w:ascii="Times New Roman" w:hAnsi="Times New Roman"/>
                <w:szCs w:val="21"/>
              </w:rPr>
            </w:pPr>
            <w:r>
              <w:rPr>
                <w:rFonts w:ascii="Times New Roman" w:hAnsi="Times New Roman"/>
                <w:szCs w:val="21"/>
              </w:rPr>
              <w:t>3268173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学校</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师生</w:t>
            </w:r>
          </w:p>
        </w:tc>
        <w:tc>
          <w:tcPr>
            <w:tcW w:w="1241"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13</w:t>
            </w:r>
          </w:p>
        </w:tc>
        <w:tc>
          <w:tcPr>
            <w:tcW w:w="1325" w:type="dxa"/>
            <w:shd w:val="clear" w:color="auto" w:fill="FFFFFF"/>
          </w:tcPr>
          <w:p>
            <w:pPr>
              <w:jc w:val="center"/>
              <w:rPr>
                <w:rFonts w:ascii="Times New Roman" w:hAnsi="Times New Roman"/>
                <w:szCs w:val="21"/>
              </w:rPr>
            </w:pPr>
            <w:r>
              <w:rPr>
                <w:rFonts w:ascii="Times New Roman" w:hAnsi="Times New Roman"/>
                <w:szCs w:val="21"/>
              </w:rPr>
              <w:t>荆竹山村</w:t>
            </w:r>
          </w:p>
        </w:tc>
        <w:tc>
          <w:tcPr>
            <w:tcW w:w="1134" w:type="dxa"/>
            <w:shd w:val="clear" w:color="auto" w:fill="FFFFFF"/>
          </w:tcPr>
          <w:p>
            <w:pPr>
              <w:jc w:val="center"/>
              <w:rPr>
                <w:rFonts w:ascii="Times New Roman" w:hAnsi="Times New Roman"/>
                <w:szCs w:val="21"/>
              </w:rPr>
            </w:pPr>
            <w:r>
              <w:rPr>
                <w:rFonts w:ascii="Times New Roman" w:hAnsi="Times New Roman"/>
                <w:szCs w:val="21"/>
              </w:rPr>
              <w:t>733875</w:t>
            </w:r>
          </w:p>
        </w:tc>
        <w:tc>
          <w:tcPr>
            <w:tcW w:w="1107" w:type="dxa"/>
            <w:shd w:val="clear" w:color="auto" w:fill="FFFFFF"/>
          </w:tcPr>
          <w:p>
            <w:pPr>
              <w:jc w:val="center"/>
              <w:rPr>
                <w:rFonts w:ascii="Times New Roman" w:hAnsi="Times New Roman"/>
                <w:szCs w:val="21"/>
              </w:rPr>
            </w:pPr>
            <w:r>
              <w:rPr>
                <w:rFonts w:ascii="Times New Roman" w:hAnsi="Times New Roman"/>
                <w:szCs w:val="21"/>
              </w:rPr>
              <w:t>3267916</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14</w:t>
            </w:r>
          </w:p>
        </w:tc>
        <w:tc>
          <w:tcPr>
            <w:tcW w:w="1325" w:type="dxa"/>
            <w:shd w:val="clear" w:color="auto" w:fill="FFFFFF"/>
          </w:tcPr>
          <w:p>
            <w:pPr>
              <w:jc w:val="center"/>
              <w:rPr>
                <w:rFonts w:ascii="Times New Roman" w:hAnsi="Times New Roman"/>
                <w:szCs w:val="21"/>
              </w:rPr>
            </w:pPr>
            <w:r>
              <w:rPr>
                <w:rFonts w:ascii="Times New Roman" w:hAnsi="Times New Roman"/>
                <w:szCs w:val="21"/>
              </w:rPr>
              <w:t>江湖村</w:t>
            </w:r>
          </w:p>
        </w:tc>
        <w:tc>
          <w:tcPr>
            <w:tcW w:w="1134" w:type="dxa"/>
            <w:shd w:val="clear" w:color="auto" w:fill="FFFFFF"/>
          </w:tcPr>
          <w:p>
            <w:pPr>
              <w:jc w:val="center"/>
              <w:rPr>
                <w:rFonts w:ascii="Times New Roman" w:hAnsi="Times New Roman"/>
                <w:szCs w:val="21"/>
              </w:rPr>
            </w:pPr>
            <w:r>
              <w:rPr>
                <w:rFonts w:ascii="Times New Roman" w:hAnsi="Times New Roman"/>
                <w:szCs w:val="21"/>
              </w:rPr>
              <w:t>723834</w:t>
            </w:r>
          </w:p>
        </w:tc>
        <w:tc>
          <w:tcPr>
            <w:tcW w:w="1107" w:type="dxa"/>
            <w:shd w:val="clear" w:color="auto" w:fill="FFFFFF"/>
          </w:tcPr>
          <w:p>
            <w:pPr>
              <w:jc w:val="center"/>
              <w:rPr>
                <w:rFonts w:ascii="Times New Roman" w:hAnsi="Times New Roman"/>
                <w:szCs w:val="21"/>
              </w:rPr>
            </w:pPr>
            <w:r>
              <w:rPr>
                <w:rFonts w:ascii="Times New Roman" w:hAnsi="Times New Roman"/>
                <w:szCs w:val="21"/>
              </w:rPr>
              <w:t>3267790</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15</w:t>
            </w:r>
          </w:p>
        </w:tc>
        <w:tc>
          <w:tcPr>
            <w:tcW w:w="1325" w:type="dxa"/>
            <w:shd w:val="clear" w:color="auto" w:fill="FFFFFF"/>
          </w:tcPr>
          <w:p>
            <w:pPr>
              <w:jc w:val="center"/>
              <w:rPr>
                <w:rFonts w:ascii="Times New Roman" w:hAnsi="Times New Roman"/>
                <w:szCs w:val="21"/>
              </w:rPr>
            </w:pPr>
            <w:r>
              <w:rPr>
                <w:rFonts w:ascii="Times New Roman" w:hAnsi="Times New Roman"/>
                <w:szCs w:val="21"/>
              </w:rPr>
              <w:t>路口铺村</w:t>
            </w:r>
          </w:p>
        </w:tc>
        <w:tc>
          <w:tcPr>
            <w:tcW w:w="1134" w:type="dxa"/>
            <w:shd w:val="clear" w:color="auto" w:fill="FFFFFF"/>
          </w:tcPr>
          <w:p>
            <w:pPr>
              <w:jc w:val="center"/>
              <w:rPr>
                <w:rFonts w:ascii="Times New Roman" w:hAnsi="Times New Roman"/>
                <w:szCs w:val="21"/>
              </w:rPr>
            </w:pPr>
            <w:r>
              <w:rPr>
                <w:rFonts w:ascii="Times New Roman" w:hAnsi="Times New Roman"/>
                <w:szCs w:val="21"/>
              </w:rPr>
              <w:t>731728</w:t>
            </w:r>
          </w:p>
        </w:tc>
        <w:tc>
          <w:tcPr>
            <w:tcW w:w="1107" w:type="dxa"/>
            <w:shd w:val="clear" w:color="auto" w:fill="FFFFFF"/>
          </w:tcPr>
          <w:p>
            <w:pPr>
              <w:jc w:val="center"/>
              <w:rPr>
                <w:rFonts w:ascii="Times New Roman" w:hAnsi="Times New Roman"/>
                <w:szCs w:val="21"/>
              </w:rPr>
            </w:pPr>
            <w:r>
              <w:rPr>
                <w:rFonts w:ascii="Times New Roman" w:hAnsi="Times New Roman"/>
                <w:szCs w:val="21"/>
              </w:rPr>
              <w:t>3266024</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4.66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16</w:t>
            </w:r>
          </w:p>
        </w:tc>
        <w:tc>
          <w:tcPr>
            <w:tcW w:w="1325" w:type="dxa"/>
            <w:shd w:val="clear" w:color="auto" w:fill="FFFFFF"/>
          </w:tcPr>
          <w:p>
            <w:pPr>
              <w:jc w:val="center"/>
              <w:rPr>
                <w:rFonts w:ascii="Times New Roman" w:hAnsi="Times New Roman"/>
                <w:szCs w:val="21"/>
              </w:rPr>
            </w:pPr>
            <w:r>
              <w:rPr>
                <w:rFonts w:ascii="Times New Roman" w:hAnsi="Times New Roman"/>
                <w:szCs w:val="21"/>
              </w:rPr>
              <w:t>临湘市</w:t>
            </w:r>
          </w:p>
        </w:tc>
        <w:tc>
          <w:tcPr>
            <w:tcW w:w="1134" w:type="dxa"/>
            <w:shd w:val="clear" w:color="auto" w:fill="FFFFFF"/>
          </w:tcPr>
          <w:p>
            <w:pPr>
              <w:jc w:val="center"/>
              <w:rPr>
                <w:rFonts w:ascii="Times New Roman" w:hAnsi="Times New Roman"/>
                <w:szCs w:val="21"/>
              </w:rPr>
            </w:pPr>
            <w:r>
              <w:rPr>
                <w:rFonts w:ascii="Times New Roman" w:hAnsi="Times New Roman"/>
                <w:szCs w:val="21"/>
              </w:rPr>
              <w:t>735838</w:t>
            </w:r>
          </w:p>
        </w:tc>
        <w:tc>
          <w:tcPr>
            <w:tcW w:w="1107" w:type="dxa"/>
            <w:shd w:val="clear" w:color="auto" w:fill="FFFFFF"/>
          </w:tcPr>
          <w:p>
            <w:pPr>
              <w:jc w:val="center"/>
              <w:rPr>
                <w:rFonts w:ascii="Times New Roman" w:hAnsi="Times New Roman"/>
                <w:szCs w:val="21"/>
              </w:rPr>
            </w:pPr>
            <w:r>
              <w:rPr>
                <w:rFonts w:ascii="Times New Roman" w:hAnsi="Times New Roman"/>
                <w:szCs w:val="21"/>
              </w:rPr>
              <w:t>3263523</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8.93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17</w:t>
            </w:r>
          </w:p>
        </w:tc>
        <w:tc>
          <w:tcPr>
            <w:tcW w:w="1325" w:type="dxa"/>
            <w:shd w:val="clear" w:color="auto" w:fill="FFFFFF"/>
          </w:tcPr>
          <w:p>
            <w:pPr>
              <w:jc w:val="center"/>
              <w:rPr>
                <w:rFonts w:ascii="Times New Roman" w:hAnsi="Times New Roman"/>
                <w:szCs w:val="21"/>
              </w:rPr>
            </w:pPr>
            <w:r>
              <w:rPr>
                <w:rFonts w:ascii="Times New Roman" w:hAnsi="Times New Roman"/>
                <w:szCs w:val="21"/>
              </w:rPr>
              <w:t>云溪镇</w:t>
            </w:r>
          </w:p>
        </w:tc>
        <w:tc>
          <w:tcPr>
            <w:tcW w:w="1134" w:type="dxa"/>
            <w:shd w:val="clear" w:color="auto" w:fill="FFFFFF"/>
          </w:tcPr>
          <w:p>
            <w:pPr>
              <w:jc w:val="center"/>
              <w:rPr>
                <w:rFonts w:ascii="Times New Roman" w:hAnsi="Times New Roman"/>
                <w:szCs w:val="21"/>
              </w:rPr>
            </w:pPr>
            <w:r>
              <w:rPr>
                <w:rFonts w:ascii="Times New Roman" w:hAnsi="Times New Roman"/>
                <w:szCs w:val="21"/>
              </w:rPr>
              <w:t>722503</w:t>
            </w:r>
          </w:p>
        </w:tc>
        <w:tc>
          <w:tcPr>
            <w:tcW w:w="1107" w:type="dxa"/>
            <w:shd w:val="clear" w:color="auto" w:fill="FFFFFF"/>
          </w:tcPr>
          <w:p>
            <w:pPr>
              <w:jc w:val="center"/>
              <w:rPr>
                <w:rFonts w:ascii="Times New Roman" w:hAnsi="Times New Roman"/>
                <w:szCs w:val="21"/>
              </w:rPr>
            </w:pPr>
            <w:r>
              <w:rPr>
                <w:rFonts w:ascii="Times New Roman" w:hAnsi="Times New Roman"/>
                <w:szCs w:val="21"/>
              </w:rPr>
              <w:t>3262471</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18</w:t>
            </w:r>
          </w:p>
        </w:tc>
        <w:tc>
          <w:tcPr>
            <w:tcW w:w="1325" w:type="dxa"/>
            <w:shd w:val="clear" w:color="auto" w:fill="FFFFFF"/>
          </w:tcPr>
          <w:p>
            <w:pPr>
              <w:jc w:val="center"/>
              <w:rPr>
                <w:rFonts w:ascii="Times New Roman" w:hAnsi="Times New Roman"/>
                <w:szCs w:val="21"/>
              </w:rPr>
            </w:pPr>
            <w:r>
              <w:rPr>
                <w:rFonts w:ascii="Times New Roman" w:hAnsi="Times New Roman"/>
                <w:szCs w:val="21"/>
              </w:rPr>
              <w:t>双花村</w:t>
            </w:r>
          </w:p>
        </w:tc>
        <w:tc>
          <w:tcPr>
            <w:tcW w:w="1134" w:type="dxa"/>
            <w:shd w:val="clear" w:color="auto" w:fill="FFFFFF"/>
          </w:tcPr>
          <w:p>
            <w:pPr>
              <w:jc w:val="center"/>
              <w:rPr>
                <w:rFonts w:ascii="Times New Roman" w:hAnsi="Times New Roman"/>
                <w:szCs w:val="21"/>
              </w:rPr>
            </w:pPr>
            <w:r>
              <w:rPr>
                <w:rFonts w:ascii="Times New Roman" w:hAnsi="Times New Roman"/>
                <w:szCs w:val="21"/>
              </w:rPr>
              <w:t>726455</w:t>
            </w:r>
          </w:p>
        </w:tc>
        <w:tc>
          <w:tcPr>
            <w:tcW w:w="1107" w:type="dxa"/>
            <w:shd w:val="clear" w:color="auto" w:fill="FFFFFF"/>
          </w:tcPr>
          <w:p>
            <w:pPr>
              <w:jc w:val="center"/>
              <w:rPr>
                <w:rFonts w:ascii="Times New Roman" w:hAnsi="Times New Roman"/>
                <w:szCs w:val="21"/>
              </w:rPr>
            </w:pPr>
            <w:r>
              <w:rPr>
                <w:rFonts w:ascii="Times New Roman" w:hAnsi="Times New Roman"/>
                <w:szCs w:val="21"/>
              </w:rPr>
              <w:t>3262498</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西南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8.72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19</w:t>
            </w:r>
          </w:p>
        </w:tc>
        <w:tc>
          <w:tcPr>
            <w:tcW w:w="1325" w:type="dxa"/>
            <w:shd w:val="clear" w:color="auto" w:fill="FFFFFF"/>
          </w:tcPr>
          <w:p>
            <w:pPr>
              <w:jc w:val="center"/>
              <w:rPr>
                <w:rFonts w:ascii="Times New Roman" w:hAnsi="Times New Roman"/>
                <w:szCs w:val="21"/>
              </w:rPr>
            </w:pPr>
            <w:r>
              <w:rPr>
                <w:rFonts w:ascii="Times New Roman" w:hAnsi="Times New Roman"/>
                <w:szCs w:val="21"/>
              </w:rPr>
              <w:t>和平村</w:t>
            </w:r>
          </w:p>
        </w:tc>
        <w:tc>
          <w:tcPr>
            <w:tcW w:w="1134" w:type="dxa"/>
            <w:shd w:val="clear" w:color="auto" w:fill="FFFFFF"/>
          </w:tcPr>
          <w:p>
            <w:pPr>
              <w:jc w:val="center"/>
              <w:rPr>
                <w:rFonts w:ascii="Times New Roman" w:hAnsi="Times New Roman"/>
                <w:szCs w:val="21"/>
              </w:rPr>
            </w:pPr>
            <w:r>
              <w:rPr>
                <w:rFonts w:ascii="Times New Roman" w:hAnsi="Times New Roman"/>
                <w:szCs w:val="21"/>
              </w:rPr>
              <w:t>730839</w:t>
            </w:r>
          </w:p>
        </w:tc>
        <w:tc>
          <w:tcPr>
            <w:tcW w:w="1107" w:type="dxa"/>
            <w:shd w:val="clear" w:color="auto" w:fill="FFFFFF"/>
          </w:tcPr>
          <w:p>
            <w:pPr>
              <w:jc w:val="center"/>
              <w:rPr>
                <w:rFonts w:ascii="Times New Roman" w:hAnsi="Times New Roman"/>
                <w:szCs w:val="21"/>
              </w:rPr>
            </w:pPr>
            <w:r>
              <w:rPr>
                <w:rFonts w:ascii="Times New Roman" w:hAnsi="Times New Roman"/>
                <w:szCs w:val="21"/>
              </w:rPr>
              <w:t>3271307</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居住区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人群</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526" w:type="dxa"/>
            <w:shd w:val="clear" w:color="auto" w:fill="FFFFFF"/>
            <w:vAlign w:val="center"/>
          </w:tcPr>
          <w:p>
            <w:pPr>
              <w:jc w:val="center"/>
              <w:rPr>
                <w:rFonts w:ascii="Times New Roman" w:hAnsi="Times New Roman"/>
                <w:szCs w:val="21"/>
              </w:rPr>
            </w:pPr>
            <w:r>
              <w:rPr>
                <w:rFonts w:ascii="Times New Roman" w:hAnsi="Times New Roman"/>
                <w:szCs w:val="21"/>
              </w:rPr>
              <w:t>20</w:t>
            </w:r>
          </w:p>
        </w:tc>
        <w:tc>
          <w:tcPr>
            <w:tcW w:w="1325" w:type="dxa"/>
            <w:shd w:val="clear" w:color="auto" w:fill="FFFFFF"/>
            <w:vAlign w:val="center"/>
          </w:tcPr>
          <w:p>
            <w:pPr>
              <w:jc w:val="center"/>
              <w:rPr>
                <w:rFonts w:ascii="Times New Roman" w:hAnsi="Times New Roman"/>
                <w:szCs w:val="21"/>
              </w:rPr>
            </w:pPr>
            <w:r>
              <w:rPr>
                <w:rFonts w:ascii="Times New Roman" w:hAnsi="Times New Roman"/>
                <w:szCs w:val="21"/>
              </w:rPr>
              <w:t>五尖山森林公园</w:t>
            </w:r>
          </w:p>
        </w:tc>
        <w:tc>
          <w:tcPr>
            <w:tcW w:w="1134" w:type="dxa"/>
            <w:shd w:val="clear" w:color="auto" w:fill="FFFFFF"/>
            <w:vAlign w:val="center"/>
          </w:tcPr>
          <w:p>
            <w:pPr>
              <w:jc w:val="center"/>
              <w:rPr>
                <w:rFonts w:ascii="Times New Roman" w:hAnsi="Times New Roman"/>
                <w:szCs w:val="21"/>
              </w:rPr>
            </w:pPr>
            <w:r>
              <w:rPr>
                <w:rFonts w:ascii="Times New Roman" w:hAnsi="Times New Roman"/>
                <w:szCs w:val="21"/>
              </w:rPr>
              <w:t>734105</w:t>
            </w:r>
          </w:p>
        </w:tc>
        <w:tc>
          <w:tcPr>
            <w:tcW w:w="1107" w:type="dxa"/>
            <w:shd w:val="clear" w:color="auto" w:fill="FFFFFF"/>
            <w:vAlign w:val="center"/>
          </w:tcPr>
          <w:p>
            <w:pPr>
              <w:jc w:val="center"/>
              <w:rPr>
                <w:rFonts w:ascii="Times New Roman" w:hAnsi="Times New Roman"/>
                <w:szCs w:val="21"/>
              </w:rPr>
            </w:pPr>
            <w:r>
              <w:rPr>
                <w:rFonts w:ascii="Times New Roman" w:hAnsi="Times New Roman"/>
                <w:szCs w:val="21"/>
              </w:rPr>
              <w:t>3263548</w:t>
            </w:r>
          </w:p>
        </w:tc>
        <w:tc>
          <w:tcPr>
            <w:tcW w:w="931" w:type="dxa"/>
            <w:shd w:val="clear" w:color="auto" w:fill="FFFFFF"/>
            <w:vAlign w:val="center"/>
          </w:tcPr>
          <w:p>
            <w:pPr>
              <w:jc w:val="center"/>
              <w:rPr>
                <w:rFonts w:ascii="Times New Roman" w:hAnsi="Times New Roman"/>
                <w:szCs w:val="21"/>
              </w:rPr>
            </w:pPr>
            <w:r>
              <w:rPr>
                <w:rFonts w:ascii="Times New Roman" w:hAnsi="Times New Roman"/>
                <w:szCs w:val="21"/>
              </w:rPr>
              <w:t>风景名胜区</w:t>
            </w:r>
          </w:p>
        </w:tc>
        <w:tc>
          <w:tcPr>
            <w:tcW w:w="1088" w:type="dxa"/>
            <w:shd w:val="clear" w:color="auto" w:fill="FFFFFF"/>
            <w:vAlign w:val="center"/>
          </w:tcPr>
          <w:p>
            <w:pPr>
              <w:jc w:val="center"/>
              <w:rPr>
                <w:rFonts w:ascii="Times New Roman" w:hAnsi="Times New Roman"/>
                <w:szCs w:val="21"/>
              </w:rPr>
            </w:pPr>
            <w:r>
              <w:rPr>
                <w:rFonts w:ascii="Times New Roman" w:hAnsi="Times New Roman"/>
                <w:szCs w:val="21"/>
              </w:rPr>
              <w:t>风景名胜区</w:t>
            </w:r>
          </w:p>
        </w:tc>
        <w:tc>
          <w:tcPr>
            <w:tcW w:w="1241" w:type="dxa"/>
            <w:shd w:val="clear" w:color="auto" w:fill="FFFFFF"/>
            <w:vAlign w:val="center"/>
          </w:tcPr>
          <w:p>
            <w:pPr>
              <w:jc w:val="center"/>
              <w:rPr>
                <w:rFonts w:ascii="Times New Roman" w:hAnsi="Times New Roman"/>
                <w:szCs w:val="21"/>
              </w:rPr>
            </w:pPr>
            <w:r>
              <w:rPr>
                <w:rFonts w:ascii="Times New Roman" w:hAnsi="Times New Roman"/>
                <w:szCs w:val="21"/>
              </w:rPr>
              <w:t>二类区</w:t>
            </w:r>
          </w:p>
        </w:tc>
        <w:tc>
          <w:tcPr>
            <w:tcW w:w="1088" w:type="dxa"/>
            <w:shd w:val="clear" w:color="auto" w:fill="FFFFFF"/>
            <w:vAlign w:val="center"/>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东南</w:t>
            </w:r>
          </w:p>
        </w:tc>
        <w:tc>
          <w:tcPr>
            <w:tcW w:w="1212" w:type="dxa"/>
            <w:shd w:val="clear" w:color="auto" w:fill="FFFFFF"/>
            <w:vAlign w:val="bottom"/>
          </w:tcPr>
          <w:p>
            <w:pPr>
              <w:spacing w:before="48" w:beforeLines="20" w:after="48" w:afterLines="20"/>
              <w:ind w:left="-105" w:leftChars="-50" w:right="-105" w:rightChars="-50"/>
              <w:jc w:val="center"/>
              <w:rPr>
                <w:rFonts w:ascii="Times New Roman" w:hAnsi="Times New Roman"/>
                <w:szCs w:val="21"/>
              </w:rPr>
            </w:pPr>
            <w:r>
              <w:rPr>
                <w:rFonts w:ascii="Times New Roman" w:hAnsi="Times New Roman"/>
                <w:szCs w:val="21"/>
              </w:rPr>
              <w:t>7.91</w:t>
            </w:r>
          </w:p>
        </w:tc>
      </w:tr>
    </w:tbl>
    <w:p>
      <w:pPr>
        <w:jc w:val="left"/>
        <w:rPr>
          <w:rFonts w:ascii="Times New Roman" w:hAnsi="Times New Roman"/>
          <w:spacing w:val="6"/>
          <w:kern w:val="0"/>
          <w:szCs w:val="21"/>
        </w:rPr>
      </w:pPr>
      <w:r>
        <w:rPr>
          <w:rFonts w:ascii="Times New Roman" w:hAnsi="Times New Roman"/>
          <w:spacing w:val="6"/>
          <w:kern w:val="0"/>
          <w:szCs w:val="21"/>
        </w:rPr>
        <w:t>注：坐标原点（0,0）的经纬度为东经113.3749806°，北纬29.542118°（UTM坐标分区为49R）</w:t>
      </w:r>
    </w:p>
    <w:p>
      <w:pPr>
        <w:pStyle w:val="22"/>
        <w:tabs>
          <w:tab w:val="left" w:pos="3933"/>
        </w:tabs>
        <w:kinsoku w:val="0"/>
        <w:overflowPunct w:val="0"/>
        <w:spacing w:before="74" w:after="5"/>
        <w:ind w:left="2889"/>
        <w:rPr>
          <w:b/>
          <w:sz w:val="24"/>
          <w:u w:val="single"/>
        </w:rPr>
      </w:pPr>
    </w:p>
    <w:p>
      <w:pPr>
        <w:pStyle w:val="22"/>
        <w:tabs>
          <w:tab w:val="left" w:pos="3933"/>
        </w:tabs>
        <w:kinsoku w:val="0"/>
        <w:overflowPunct w:val="0"/>
        <w:spacing w:before="74" w:after="5"/>
        <w:ind w:left="2889"/>
        <w:rPr>
          <w:u w:val="single"/>
        </w:rPr>
      </w:pPr>
      <w:r>
        <w:rPr>
          <w:b/>
          <w:sz w:val="24"/>
          <w:u w:val="single"/>
        </w:rPr>
        <w:t>表</w:t>
      </w:r>
      <w:r>
        <w:rPr>
          <w:b/>
          <w:spacing w:val="-58"/>
          <w:sz w:val="24"/>
          <w:u w:val="single"/>
        </w:rPr>
        <w:t xml:space="preserve"> </w:t>
      </w:r>
      <w:r>
        <w:rPr>
          <w:b/>
          <w:sz w:val="24"/>
          <w:u w:val="single"/>
        </w:rPr>
        <w:t>1.6-2</w:t>
      </w:r>
      <w:r>
        <w:rPr>
          <w:b/>
          <w:sz w:val="24"/>
          <w:u w:val="single"/>
        </w:rPr>
        <w:tab/>
      </w:r>
      <w:r>
        <w:rPr>
          <w:b/>
          <w:sz w:val="24"/>
          <w:u w:val="single"/>
        </w:rPr>
        <w:t>项目地表水保护目标</w:t>
      </w:r>
    </w:p>
    <w:tbl>
      <w:tblPr>
        <w:tblStyle w:val="45"/>
        <w:tblpPr w:leftFromText="180" w:rightFromText="180" w:vertAnchor="text" w:horzAnchor="page" w:tblpXSpec="center" w:tblpY="486"/>
        <w:tblOverlap w:val="never"/>
        <w:tblW w:w="8792" w:type="dxa"/>
        <w:jc w:val="center"/>
        <w:tblLayout w:type="fixed"/>
        <w:tblCellMar>
          <w:top w:w="0" w:type="dxa"/>
          <w:left w:w="108" w:type="dxa"/>
          <w:bottom w:w="0" w:type="dxa"/>
          <w:right w:w="108" w:type="dxa"/>
        </w:tblCellMar>
      </w:tblPr>
      <w:tblGrid>
        <w:gridCol w:w="1304"/>
        <w:gridCol w:w="1811"/>
        <w:gridCol w:w="836"/>
        <w:gridCol w:w="1455"/>
        <w:gridCol w:w="1195"/>
        <w:gridCol w:w="2191"/>
      </w:tblGrid>
      <w:tr>
        <w:tblPrEx>
          <w:tblCellMar>
            <w:top w:w="0" w:type="dxa"/>
            <w:left w:w="108" w:type="dxa"/>
            <w:bottom w:w="0" w:type="dxa"/>
            <w:right w:w="108" w:type="dxa"/>
          </w:tblCellMar>
        </w:tblPrEx>
        <w:trPr>
          <w:trHeight w:val="227" w:hRule="atLeast"/>
          <w:jc w:val="center"/>
        </w:trPr>
        <w:tc>
          <w:tcPr>
            <w:tcW w:w="130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77"/>
              <w:ind w:right="174"/>
              <w:jc w:val="both"/>
              <w:rPr>
                <w:rFonts w:eastAsia="宋体"/>
                <w:u w:val="single"/>
              </w:rPr>
            </w:pPr>
            <w:r>
              <w:rPr>
                <w:rFonts w:eastAsia="宋体"/>
                <w:u w:val="single"/>
              </w:rPr>
              <w:t>环境要素</w:t>
            </w:r>
          </w:p>
        </w:tc>
        <w:tc>
          <w:tcPr>
            <w:tcW w:w="181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83" w:right="70"/>
              <w:rPr>
                <w:rFonts w:eastAsia="宋体"/>
                <w:u w:val="single"/>
              </w:rPr>
            </w:pPr>
            <w:r>
              <w:rPr>
                <w:rFonts w:eastAsia="宋体"/>
                <w:u w:val="single"/>
              </w:rPr>
              <w:t>敏感点</w:t>
            </w:r>
          </w:p>
        </w:tc>
        <w:tc>
          <w:tcPr>
            <w:tcW w:w="8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102" w:right="91"/>
              <w:rPr>
                <w:rFonts w:eastAsia="宋体"/>
                <w:u w:val="single"/>
              </w:rPr>
            </w:pPr>
            <w:r>
              <w:rPr>
                <w:rFonts w:eastAsia="宋体"/>
                <w:u w:val="single"/>
              </w:rPr>
              <w:t>方位</w:t>
            </w:r>
          </w:p>
        </w:tc>
        <w:tc>
          <w:tcPr>
            <w:tcW w:w="14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78" w:right="64"/>
              <w:rPr>
                <w:rFonts w:eastAsia="宋体"/>
                <w:u w:val="single"/>
              </w:rPr>
            </w:pPr>
            <w:r>
              <w:rPr>
                <w:rFonts w:eastAsia="宋体"/>
                <w:u w:val="single"/>
              </w:rPr>
              <w:t>规模</w:t>
            </w:r>
          </w:p>
        </w:tc>
        <w:tc>
          <w:tcPr>
            <w:tcW w:w="119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233" w:right="220"/>
              <w:rPr>
                <w:rFonts w:eastAsia="宋体"/>
                <w:u w:val="single"/>
              </w:rPr>
            </w:pPr>
            <w:r>
              <w:rPr>
                <w:rFonts w:eastAsia="宋体"/>
                <w:u w:val="single"/>
              </w:rPr>
              <w:t>距离</w:t>
            </w:r>
          </w:p>
        </w:tc>
        <w:tc>
          <w:tcPr>
            <w:tcW w:w="219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rPr>
                <w:rFonts w:eastAsia="宋体"/>
                <w:u w:val="single"/>
              </w:rPr>
            </w:pPr>
            <w:r>
              <w:rPr>
                <w:rFonts w:eastAsia="宋体"/>
                <w:u w:val="single"/>
              </w:rPr>
              <w:t>保护目标</w:t>
            </w:r>
          </w:p>
        </w:tc>
      </w:tr>
      <w:tr>
        <w:tblPrEx>
          <w:tblCellMar>
            <w:top w:w="0" w:type="dxa"/>
            <w:left w:w="108" w:type="dxa"/>
            <w:bottom w:w="0" w:type="dxa"/>
            <w:right w:w="108" w:type="dxa"/>
          </w:tblCellMar>
        </w:tblPrEx>
        <w:trPr>
          <w:trHeight w:val="227" w:hRule="atLeast"/>
          <w:jc w:val="center"/>
        </w:trPr>
        <w:tc>
          <w:tcPr>
            <w:tcW w:w="1304"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
              <w:rPr>
                <w:rFonts w:eastAsia="宋体"/>
                <w:b/>
                <w:sz w:val="23"/>
                <w:u w:val="single"/>
              </w:rPr>
            </w:pPr>
          </w:p>
          <w:p>
            <w:pPr>
              <w:pStyle w:val="247"/>
              <w:kinsoku w:val="0"/>
              <w:overflowPunct w:val="0"/>
              <w:ind w:left="195"/>
              <w:rPr>
                <w:rFonts w:eastAsia="宋体"/>
                <w:u w:val="single"/>
              </w:rPr>
            </w:pPr>
            <w:r>
              <w:rPr>
                <w:rFonts w:eastAsia="宋体"/>
                <w:u w:val="single"/>
              </w:rPr>
              <w:t>地表水</w:t>
            </w:r>
          </w:p>
        </w:tc>
        <w:tc>
          <w:tcPr>
            <w:tcW w:w="181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85" w:right="70"/>
              <w:rPr>
                <w:rFonts w:eastAsia="宋体"/>
                <w:u w:val="single"/>
              </w:rPr>
            </w:pPr>
            <w:r>
              <w:rPr>
                <w:rFonts w:eastAsia="宋体"/>
                <w:u w:val="single"/>
              </w:rPr>
              <w:t>长江*</w:t>
            </w:r>
          </w:p>
        </w:tc>
        <w:tc>
          <w:tcPr>
            <w:tcW w:w="8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1"/>
              <w:ind w:left="92" w:right="91"/>
              <w:rPr>
                <w:rFonts w:eastAsia="宋体"/>
                <w:u w:val="single"/>
              </w:rPr>
            </w:pPr>
            <w:r>
              <w:rPr>
                <w:rFonts w:eastAsia="宋体"/>
                <w:u w:val="single"/>
              </w:rPr>
              <w:t>NW</w:t>
            </w:r>
          </w:p>
        </w:tc>
        <w:tc>
          <w:tcPr>
            <w:tcW w:w="14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81" w:right="63"/>
              <w:rPr>
                <w:rFonts w:eastAsia="宋体"/>
                <w:u w:val="single"/>
              </w:rPr>
            </w:pPr>
            <w:r>
              <w:rPr>
                <w:rFonts w:eastAsia="宋体"/>
                <w:u w:val="single"/>
              </w:rPr>
              <w:t>特大河</w:t>
            </w:r>
          </w:p>
        </w:tc>
        <w:tc>
          <w:tcPr>
            <w:tcW w:w="119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1"/>
              <w:ind w:right="220"/>
              <w:rPr>
                <w:rFonts w:eastAsia="宋体"/>
                <w:u w:val="single"/>
              </w:rPr>
            </w:pPr>
            <w:r>
              <w:rPr>
                <w:rFonts w:eastAsia="宋体"/>
                <w:u w:val="single"/>
              </w:rPr>
              <w:t>13000m</w:t>
            </w:r>
          </w:p>
        </w:tc>
        <w:tc>
          <w:tcPr>
            <w:tcW w:w="2191"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20"/>
              <w:ind w:left="166" w:right="143"/>
              <w:rPr>
                <w:rFonts w:eastAsia="宋体"/>
                <w:u w:val="single"/>
              </w:rPr>
            </w:pPr>
            <w:r>
              <w:rPr>
                <w:rFonts w:eastAsia="宋体"/>
                <w:u w:val="single"/>
              </w:rPr>
              <w:t>GB3838-2002Ⅲ类标准</w:t>
            </w:r>
          </w:p>
        </w:tc>
      </w:tr>
      <w:tr>
        <w:tblPrEx>
          <w:tblCellMar>
            <w:top w:w="0" w:type="dxa"/>
            <w:left w:w="108" w:type="dxa"/>
            <w:bottom w:w="0" w:type="dxa"/>
            <w:right w:w="108" w:type="dxa"/>
          </w:tblCellMar>
        </w:tblPrEx>
        <w:trPr>
          <w:trHeight w:val="227" w:hRule="atLeast"/>
          <w:jc w:val="center"/>
        </w:trPr>
        <w:tc>
          <w:tcPr>
            <w:tcW w:w="1304" w:type="dxa"/>
            <w:vMerge w:val="continue"/>
            <w:tcBorders>
              <w:top w:val="nil"/>
              <w:left w:val="single" w:color="000000" w:sz="4" w:space="0"/>
              <w:bottom w:val="single" w:color="000000" w:sz="4" w:space="0"/>
              <w:right w:val="single" w:color="000000" w:sz="4" w:space="0"/>
              <w:tl2br w:val="nil"/>
              <w:tr2bl w:val="nil"/>
            </w:tcBorders>
            <w:vAlign w:val="center"/>
          </w:tcPr>
          <w:p>
            <w:pPr>
              <w:pStyle w:val="22"/>
              <w:tabs>
                <w:tab w:val="left" w:pos="3933"/>
              </w:tabs>
              <w:kinsoku w:val="0"/>
              <w:overflowPunct w:val="0"/>
              <w:spacing w:before="74" w:after="5"/>
              <w:ind w:left="2889"/>
              <w:jc w:val="center"/>
              <w:rPr>
                <w:b/>
                <w:sz w:val="2"/>
                <w:u w:val="single"/>
              </w:rPr>
            </w:pPr>
          </w:p>
        </w:tc>
        <w:tc>
          <w:tcPr>
            <w:tcW w:w="181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83" w:right="70"/>
              <w:rPr>
                <w:rFonts w:eastAsia="宋体"/>
                <w:u w:val="single"/>
              </w:rPr>
            </w:pPr>
            <w:r>
              <w:rPr>
                <w:rFonts w:eastAsia="宋体"/>
                <w:u w:val="single"/>
              </w:rPr>
              <w:t>泄洪渠</w:t>
            </w:r>
          </w:p>
        </w:tc>
        <w:tc>
          <w:tcPr>
            <w:tcW w:w="8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0"/>
              <w:ind w:left="9"/>
              <w:rPr>
                <w:rFonts w:eastAsia="宋体"/>
                <w:u w:val="single"/>
              </w:rPr>
            </w:pPr>
            <w:r>
              <w:rPr>
                <w:rFonts w:eastAsia="宋体"/>
                <w:u w:val="single"/>
              </w:rPr>
              <w:t>S</w:t>
            </w:r>
          </w:p>
        </w:tc>
        <w:tc>
          <w:tcPr>
            <w:tcW w:w="14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78" w:right="64"/>
              <w:rPr>
                <w:rFonts w:eastAsia="宋体"/>
                <w:u w:val="single"/>
              </w:rPr>
            </w:pPr>
            <w:r>
              <w:rPr>
                <w:rFonts w:eastAsia="宋体"/>
                <w:u w:val="single"/>
              </w:rPr>
              <w:t>小河</w:t>
            </w:r>
          </w:p>
        </w:tc>
        <w:tc>
          <w:tcPr>
            <w:tcW w:w="119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0"/>
              <w:ind w:right="217" w:firstLine="210" w:firstLineChars="100"/>
              <w:jc w:val="both"/>
              <w:rPr>
                <w:rFonts w:eastAsia="宋体"/>
                <w:u w:val="single"/>
              </w:rPr>
            </w:pPr>
            <w:r>
              <w:rPr>
                <w:rFonts w:eastAsia="宋体"/>
                <w:u w:val="single"/>
              </w:rPr>
              <w:t>300m</w:t>
            </w:r>
          </w:p>
        </w:tc>
        <w:tc>
          <w:tcPr>
            <w:tcW w:w="2191" w:type="dxa"/>
            <w:vMerge w:val="continue"/>
            <w:tcBorders>
              <w:top w:val="nil"/>
              <w:left w:val="single" w:color="000000" w:sz="4" w:space="0"/>
              <w:bottom w:val="single" w:color="000000" w:sz="4" w:space="0"/>
              <w:right w:val="single" w:color="000000" w:sz="4" w:space="0"/>
              <w:tl2br w:val="nil"/>
              <w:tr2bl w:val="nil"/>
            </w:tcBorders>
            <w:vAlign w:val="center"/>
          </w:tcPr>
          <w:p>
            <w:pPr>
              <w:pStyle w:val="22"/>
              <w:tabs>
                <w:tab w:val="left" w:pos="3933"/>
              </w:tabs>
              <w:kinsoku w:val="0"/>
              <w:overflowPunct w:val="0"/>
              <w:spacing w:before="74" w:after="5"/>
              <w:ind w:left="2889"/>
              <w:jc w:val="center"/>
              <w:rPr>
                <w:b/>
                <w:sz w:val="2"/>
                <w:u w:val="single"/>
              </w:rPr>
            </w:pPr>
          </w:p>
        </w:tc>
      </w:tr>
    </w:tbl>
    <w:p>
      <w:pPr>
        <w:pStyle w:val="22"/>
        <w:tabs>
          <w:tab w:val="left" w:pos="3933"/>
        </w:tabs>
        <w:kinsoku w:val="0"/>
        <w:overflowPunct w:val="0"/>
        <w:spacing w:before="74" w:after="5"/>
        <w:ind w:left="2889"/>
        <w:rPr>
          <w:b/>
          <w:sz w:val="24"/>
          <w:u w:val="single"/>
        </w:rPr>
      </w:pPr>
    </w:p>
    <w:p>
      <w:pPr>
        <w:pStyle w:val="22"/>
        <w:tabs>
          <w:tab w:val="left" w:pos="3933"/>
        </w:tabs>
        <w:kinsoku w:val="0"/>
        <w:overflowPunct w:val="0"/>
        <w:spacing w:before="74" w:after="5"/>
        <w:ind w:left="2889"/>
        <w:rPr>
          <w:b/>
          <w:sz w:val="24"/>
          <w:u w:val="single"/>
        </w:rPr>
      </w:pPr>
    </w:p>
    <w:p>
      <w:pPr>
        <w:pStyle w:val="22"/>
        <w:tabs>
          <w:tab w:val="left" w:pos="3933"/>
        </w:tabs>
        <w:kinsoku w:val="0"/>
        <w:overflowPunct w:val="0"/>
        <w:spacing w:before="74" w:after="5"/>
        <w:rPr>
          <w:b/>
          <w:sz w:val="24"/>
          <w:u w:val="single"/>
        </w:rPr>
      </w:pPr>
    </w:p>
    <w:p>
      <w:pPr>
        <w:pStyle w:val="22"/>
        <w:tabs>
          <w:tab w:val="left" w:pos="3933"/>
        </w:tabs>
        <w:kinsoku w:val="0"/>
        <w:overflowPunct w:val="0"/>
        <w:spacing w:before="74" w:after="5"/>
        <w:ind w:left="2889"/>
        <w:rPr>
          <w:b/>
          <w:sz w:val="24"/>
          <w:u w:val="single"/>
        </w:rPr>
      </w:pPr>
    </w:p>
    <w:p>
      <w:pPr>
        <w:pStyle w:val="22"/>
        <w:tabs>
          <w:tab w:val="left" w:pos="3933"/>
        </w:tabs>
        <w:kinsoku w:val="0"/>
        <w:overflowPunct w:val="0"/>
        <w:spacing w:before="74" w:after="5"/>
        <w:ind w:left="2889"/>
        <w:rPr>
          <w:b/>
          <w:sz w:val="24"/>
          <w:u w:val="single"/>
        </w:rPr>
      </w:pPr>
    </w:p>
    <w:p>
      <w:pPr>
        <w:pStyle w:val="22"/>
        <w:tabs>
          <w:tab w:val="left" w:pos="3933"/>
        </w:tabs>
        <w:kinsoku w:val="0"/>
        <w:overflowPunct w:val="0"/>
        <w:spacing w:before="74" w:after="5"/>
        <w:ind w:left="2889"/>
        <w:rPr>
          <w:b/>
          <w:sz w:val="24"/>
          <w:u w:val="single"/>
        </w:rPr>
      </w:pPr>
    </w:p>
    <w:p>
      <w:pPr>
        <w:pStyle w:val="22"/>
        <w:tabs>
          <w:tab w:val="left" w:pos="3933"/>
        </w:tabs>
        <w:kinsoku w:val="0"/>
        <w:overflowPunct w:val="0"/>
        <w:spacing w:before="74" w:after="5"/>
        <w:ind w:left="2889"/>
        <w:rPr>
          <w:b/>
          <w:sz w:val="24"/>
          <w:u w:val="single"/>
        </w:rPr>
      </w:pPr>
      <w:r>
        <w:rPr>
          <w:b/>
          <w:sz w:val="24"/>
          <w:u w:val="single"/>
        </w:rPr>
        <w:t>表</w:t>
      </w:r>
      <w:r>
        <w:rPr>
          <w:b/>
          <w:spacing w:val="-58"/>
          <w:sz w:val="24"/>
          <w:u w:val="single"/>
        </w:rPr>
        <w:t xml:space="preserve"> </w:t>
      </w:r>
      <w:r>
        <w:rPr>
          <w:b/>
          <w:sz w:val="24"/>
          <w:u w:val="single"/>
        </w:rPr>
        <w:t>1.6-3</w:t>
      </w:r>
      <w:r>
        <w:rPr>
          <w:b/>
          <w:sz w:val="24"/>
          <w:u w:val="single"/>
        </w:rPr>
        <w:tab/>
      </w:r>
      <w:r>
        <w:rPr>
          <w:b/>
          <w:sz w:val="24"/>
          <w:u w:val="single"/>
        </w:rPr>
        <w:t>项目地下水保护目标</w:t>
      </w:r>
    </w:p>
    <w:tbl>
      <w:tblPr>
        <w:tblStyle w:val="45"/>
        <w:tblpPr w:leftFromText="180" w:rightFromText="180" w:vertAnchor="text" w:horzAnchor="page" w:tblpXSpec="center" w:tblpY="486"/>
        <w:tblOverlap w:val="never"/>
        <w:tblW w:w="8792" w:type="dxa"/>
        <w:jc w:val="center"/>
        <w:tblLayout w:type="fixed"/>
        <w:tblCellMar>
          <w:top w:w="0" w:type="dxa"/>
          <w:left w:w="108" w:type="dxa"/>
          <w:bottom w:w="0" w:type="dxa"/>
          <w:right w:w="108" w:type="dxa"/>
        </w:tblCellMar>
      </w:tblPr>
      <w:tblGrid>
        <w:gridCol w:w="1304"/>
        <w:gridCol w:w="1811"/>
        <w:gridCol w:w="3486"/>
        <w:gridCol w:w="2191"/>
      </w:tblGrid>
      <w:tr>
        <w:tblPrEx>
          <w:tblCellMar>
            <w:top w:w="0" w:type="dxa"/>
            <w:left w:w="108" w:type="dxa"/>
            <w:bottom w:w="0" w:type="dxa"/>
            <w:right w:w="108" w:type="dxa"/>
          </w:tblCellMar>
        </w:tblPrEx>
        <w:trPr>
          <w:trHeight w:val="227" w:hRule="atLeast"/>
          <w:jc w:val="center"/>
        </w:trPr>
        <w:tc>
          <w:tcPr>
            <w:tcW w:w="130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77"/>
              <w:ind w:right="174"/>
              <w:jc w:val="both"/>
              <w:rPr>
                <w:rFonts w:eastAsia="宋体"/>
                <w:u w:val="single"/>
              </w:rPr>
            </w:pPr>
            <w:r>
              <w:rPr>
                <w:rFonts w:eastAsia="宋体"/>
                <w:u w:val="single"/>
              </w:rPr>
              <w:t>环境要素</w:t>
            </w:r>
          </w:p>
        </w:tc>
        <w:tc>
          <w:tcPr>
            <w:tcW w:w="1811" w:type="dxa"/>
            <w:tcBorders>
              <w:top w:val="single" w:color="000000" w:sz="4" w:space="0"/>
              <w:left w:val="single" w:color="000000" w:sz="4" w:space="0"/>
              <w:bottom w:val="single" w:color="auto" w:sz="4" w:space="0"/>
              <w:right w:val="single" w:color="000000" w:sz="4" w:space="0"/>
              <w:tl2br w:val="nil"/>
              <w:tr2bl w:val="nil"/>
            </w:tcBorders>
            <w:vAlign w:val="center"/>
          </w:tcPr>
          <w:p>
            <w:pPr>
              <w:pStyle w:val="247"/>
              <w:kinsoku w:val="0"/>
              <w:overflowPunct w:val="0"/>
              <w:ind w:left="83" w:right="70"/>
              <w:rPr>
                <w:rFonts w:eastAsia="宋体"/>
                <w:u w:val="single"/>
              </w:rPr>
            </w:pPr>
            <w:r>
              <w:rPr>
                <w:rFonts w:eastAsia="宋体"/>
                <w:u w:val="single"/>
              </w:rPr>
              <w:t>敏感点</w:t>
            </w:r>
          </w:p>
        </w:tc>
        <w:tc>
          <w:tcPr>
            <w:tcW w:w="3486" w:type="dxa"/>
            <w:tcBorders>
              <w:top w:val="single" w:color="000000" w:sz="4" w:space="0"/>
              <w:left w:val="single" w:color="000000" w:sz="4" w:space="0"/>
              <w:bottom w:val="single" w:color="auto" w:sz="4" w:space="0"/>
              <w:right w:val="single" w:color="000000" w:sz="4" w:space="0"/>
              <w:tl2br w:val="nil"/>
              <w:tr2bl w:val="nil"/>
            </w:tcBorders>
            <w:vAlign w:val="center"/>
          </w:tcPr>
          <w:p>
            <w:pPr>
              <w:pStyle w:val="247"/>
              <w:kinsoku w:val="0"/>
              <w:overflowPunct w:val="0"/>
              <w:ind w:left="233" w:right="220"/>
              <w:rPr>
                <w:rFonts w:eastAsia="宋体"/>
                <w:u w:val="single"/>
              </w:rPr>
            </w:pPr>
            <w:r>
              <w:rPr>
                <w:rFonts w:eastAsia="宋体"/>
                <w:u w:val="single"/>
              </w:rPr>
              <w:t>规模性质</w:t>
            </w:r>
          </w:p>
        </w:tc>
        <w:tc>
          <w:tcPr>
            <w:tcW w:w="219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rPr>
                <w:rFonts w:eastAsia="宋体"/>
                <w:u w:val="single"/>
              </w:rPr>
            </w:pPr>
            <w:r>
              <w:rPr>
                <w:rFonts w:eastAsia="宋体"/>
                <w:u w:val="single"/>
              </w:rPr>
              <w:t>保护目标</w:t>
            </w:r>
          </w:p>
        </w:tc>
      </w:tr>
      <w:tr>
        <w:tblPrEx>
          <w:tblCellMar>
            <w:top w:w="0" w:type="dxa"/>
            <w:left w:w="108" w:type="dxa"/>
            <w:bottom w:w="0" w:type="dxa"/>
            <w:right w:w="108" w:type="dxa"/>
          </w:tblCellMar>
        </w:tblPrEx>
        <w:trPr>
          <w:trHeight w:val="361" w:hRule="atLeast"/>
          <w:jc w:val="center"/>
        </w:trPr>
        <w:tc>
          <w:tcPr>
            <w:tcW w:w="130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88"/>
              <w:rPr>
                <w:color w:val="auto"/>
                <w:u w:val="single"/>
              </w:rPr>
            </w:pPr>
            <w:r>
              <w:rPr>
                <w:color w:val="auto"/>
                <w:u w:val="single"/>
              </w:rPr>
              <w:t>地下水</w:t>
            </w:r>
          </w:p>
        </w:tc>
        <w:tc>
          <w:tcPr>
            <w:tcW w:w="1811" w:type="dxa"/>
            <w:tcBorders>
              <w:top w:val="single" w:color="auto" w:sz="4" w:space="0"/>
              <w:left w:val="single" w:color="auto" w:sz="4" w:space="0"/>
              <w:bottom w:val="single" w:color="auto" w:sz="4" w:space="0"/>
              <w:right w:val="single" w:color="000000" w:sz="4" w:space="0"/>
              <w:tl2br w:val="nil"/>
              <w:tr2bl w:val="nil"/>
            </w:tcBorders>
            <w:vAlign w:val="center"/>
          </w:tcPr>
          <w:p>
            <w:pPr>
              <w:pStyle w:val="88"/>
              <w:rPr>
                <w:color w:val="auto"/>
                <w:u w:val="single"/>
              </w:rPr>
            </w:pPr>
            <w:r>
              <w:rPr>
                <w:color w:val="auto"/>
                <w:u w:val="single"/>
              </w:rPr>
              <w:t>下游文桥镇地下水资源</w:t>
            </w:r>
          </w:p>
        </w:tc>
        <w:tc>
          <w:tcPr>
            <w:tcW w:w="3486" w:type="dxa"/>
            <w:tcBorders>
              <w:top w:val="single" w:color="auto" w:sz="4" w:space="0"/>
              <w:left w:val="single" w:color="000000" w:sz="4" w:space="0"/>
              <w:bottom w:val="single" w:color="auto" w:sz="4" w:space="0"/>
              <w:right w:val="single" w:color="auto" w:sz="4" w:space="0"/>
              <w:tl2br w:val="nil"/>
              <w:tr2bl w:val="nil"/>
            </w:tcBorders>
            <w:vAlign w:val="center"/>
          </w:tcPr>
          <w:p>
            <w:pPr>
              <w:pStyle w:val="247"/>
              <w:kinsoku w:val="0"/>
              <w:overflowPunct w:val="0"/>
              <w:spacing w:before="111"/>
              <w:ind w:right="220"/>
              <w:rPr>
                <w:rFonts w:eastAsia="宋体"/>
                <w:u w:val="single"/>
              </w:rPr>
            </w:pPr>
            <w:r>
              <w:rPr>
                <w:rFonts w:eastAsia="宋体"/>
                <w:u w:val="single"/>
              </w:rPr>
              <w:t>长岭分公司下游至长江范围内的村民饮用自来水，不饮用地下水</w:t>
            </w:r>
          </w:p>
        </w:tc>
        <w:tc>
          <w:tcPr>
            <w:tcW w:w="2191" w:type="dxa"/>
            <w:tcBorders>
              <w:top w:val="single" w:color="000000" w:sz="4" w:space="0"/>
              <w:left w:val="single" w:color="auto" w:sz="4" w:space="0"/>
              <w:bottom w:val="single" w:color="000000" w:sz="4" w:space="0"/>
              <w:right w:val="single" w:color="000000" w:sz="4" w:space="0"/>
              <w:tl2br w:val="nil"/>
              <w:tr2bl w:val="nil"/>
            </w:tcBorders>
            <w:vAlign w:val="center"/>
          </w:tcPr>
          <w:p>
            <w:pPr>
              <w:pStyle w:val="88"/>
              <w:rPr>
                <w:color w:val="auto"/>
                <w:u w:val="single"/>
              </w:rPr>
            </w:pPr>
            <w:r>
              <w:rPr>
                <w:color w:val="auto"/>
                <w:u w:val="single"/>
              </w:rPr>
              <w:t>GB/T14848-2017</w:t>
            </w:r>
          </w:p>
          <w:p>
            <w:pPr>
              <w:pStyle w:val="247"/>
              <w:kinsoku w:val="0"/>
              <w:overflowPunct w:val="0"/>
              <w:spacing w:before="120"/>
              <w:ind w:left="166" w:right="143"/>
              <w:rPr>
                <w:rFonts w:eastAsia="宋体"/>
                <w:u w:val="single"/>
              </w:rPr>
            </w:pPr>
            <w:r>
              <w:rPr>
                <w:rFonts w:eastAsia="宋体"/>
                <w:u w:val="single"/>
              </w:rPr>
              <w:t>Ⅲ类标准</w:t>
            </w:r>
          </w:p>
        </w:tc>
      </w:tr>
    </w:tbl>
    <w:p>
      <w:pPr>
        <w:pStyle w:val="22"/>
        <w:tabs>
          <w:tab w:val="left" w:pos="3933"/>
        </w:tabs>
        <w:kinsoku w:val="0"/>
        <w:overflowPunct w:val="0"/>
        <w:spacing w:before="74" w:after="5"/>
        <w:rPr>
          <w:b/>
          <w:sz w:val="24"/>
        </w:rPr>
      </w:pPr>
    </w:p>
    <w:p>
      <w:pPr>
        <w:pStyle w:val="22"/>
        <w:tabs>
          <w:tab w:val="left" w:pos="3933"/>
        </w:tabs>
        <w:kinsoku w:val="0"/>
        <w:overflowPunct w:val="0"/>
        <w:spacing w:before="74" w:after="5"/>
        <w:ind w:left="2889"/>
        <w:rPr>
          <w:b/>
          <w:sz w:val="24"/>
        </w:rPr>
      </w:pPr>
    </w:p>
    <w:p>
      <w:pPr>
        <w:pStyle w:val="22"/>
        <w:tabs>
          <w:tab w:val="left" w:pos="3933"/>
        </w:tabs>
        <w:kinsoku w:val="0"/>
        <w:overflowPunct w:val="0"/>
        <w:spacing w:before="74" w:after="5"/>
        <w:ind w:left="2889"/>
        <w:rPr>
          <w:b/>
          <w:sz w:val="24"/>
        </w:rPr>
      </w:pPr>
    </w:p>
    <w:p>
      <w:pPr>
        <w:pStyle w:val="22"/>
        <w:tabs>
          <w:tab w:val="left" w:pos="3933"/>
        </w:tabs>
        <w:kinsoku w:val="0"/>
        <w:overflowPunct w:val="0"/>
        <w:spacing w:before="74" w:after="5"/>
        <w:ind w:left="2889"/>
        <w:rPr>
          <w:b/>
          <w:sz w:val="24"/>
        </w:rPr>
      </w:pPr>
    </w:p>
    <w:bookmarkEnd w:id="144"/>
    <w:bookmarkEnd w:id="145"/>
    <w:p>
      <w:pPr>
        <w:pStyle w:val="4"/>
        <w:numPr>
          <w:ilvl w:val="0"/>
          <w:numId w:val="0"/>
        </w:numPr>
        <w:tabs>
          <w:tab w:val="clear" w:pos="0"/>
        </w:tabs>
      </w:pPr>
      <w:bookmarkStart w:id="146" w:name="_Toc12130"/>
      <w:bookmarkStart w:id="147" w:name="_Toc15054"/>
      <w:bookmarkStart w:id="148" w:name="_Toc23837"/>
      <w:bookmarkStart w:id="149" w:name="_Toc4760"/>
      <w:r>
        <w:t>2.依托工程分析</w:t>
      </w:r>
    </w:p>
    <w:p>
      <w:pPr>
        <w:pStyle w:val="6"/>
        <w:numPr>
          <w:ilvl w:val="1"/>
          <w:numId w:val="0"/>
        </w:numPr>
        <w:tabs>
          <w:tab w:val="left" w:pos="-3900"/>
        </w:tabs>
        <w:wordWrap w:val="0"/>
        <w:spacing w:before="120" w:after="120"/>
      </w:pPr>
      <w:bookmarkStart w:id="150" w:name="_Toc486403293"/>
      <w:bookmarkStart w:id="151" w:name="_Toc4773"/>
      <w:bookmarkStart w:id="152" w:name="_Toc18260"/>
      <w:bookmarkStart w:id="153" w:name="_Toc484073392"/>
      <w:bookmarkStart w:id="154" w:name="_Toc9045"/>
      <w:bookmarkStart w:id="155" w:name="_Toc26213"/>
      <w:bookmarkStart w:id="156" w:name="_Toc21416"/>
      <w:r>
        <w:t>2.1项目依托装置情况：</w:t>
      </w:r>
    </w:p>
    <w:p>
      <w:pPr>
        <w:tabs>
          <w:tab w:val="left" w:pos="4466"/>
        </w:tabs>
        <w:adjustRightInd w:val="0"/>
        <w:snapToGrid w:val="0"/>
        <w:spacing w:line="360" w:lineRule="auto"/>
        <w:ind w:firstLine="480" w:firstLineChars="200"/>
        <w:jc w:val="left"/>
        <w:rPr>
          <w:rFonts w:ascii="Times New Roman" w:hAnsi="Times New Roman"/>
          <w:sz w:val="24"/>
          <w:u w:val="single"/>
        </w:rPr>
      </w:pPr>
      <w:r>
        <w:rPr>
          <w:rFonts w:ascii="Times New Roman" w:hAnsi="Times New Roman"/>
          <w:sz w:val="24"/>
          <w:u w:val="single"/>
        </w:rPr>
        <w:t>目前，长岭分公司热电部热电联产工程主要包括：2台260t/h的燃煤循环流化床锅炉、配套一台50MW的汽轮发电机组，以及储煤储焦系统、输煤输焦系统、烟气处理系统等。工程主要工艺分为燃料及石灰石输送系统、燃烧系统、风烟系统及热力系统等四大部分。2台260t/hCFB循环流化床锅炉烟气经燃烧炉炉内脱硫后经SCR脱硝反应器、布袋除尘后进入脱硫塔湿法脱硫并经脱硫塔烟囱（100m）高空排放。热电部工艺流程图如下。</w:t>
      </w:r>
    </w:p>
    <w:p>
      <w:pPr>
        <w:spacing w:line="520" w:lineRule="exact"/>
        <w:rPr>
          <w:rFonts w:ascii="Times New Roman" w:hAnsi="Times New Roman"/>
          <w:sz w:val="28"/>
          <w:szCs w:val="28"/>
          <w:u w:val="single"/>
        </w:rPr>
      </w:pPr>
      <w:r>
        <w:rPr>
          <w:rFonts w:ascii="Times New Roman" w:hAnsi="Times New Roman"/>
          <w:sz w:val="28"/>
          <w:szCs w:val="28"/>
          <w:u w:val="single"/>
        </w:rPr>
        <mc:AlternateContent>
          <mc:Choice Requires="wpg">
            <w:drawing>
              <wp:anchor distT="0" distB="0" distL="114300" distR="114300" simplePos="0" relativeHeight="251658240" behindDoc="1" locked="0" layoutInCell="1" allowOverlap="1">
                <wp:simplePos x="0" y="0"/>
                <wp:positionH relativeFrom="column">
                  <wp:posOffset>-28575</wp:posOffset>
                </wp:positionH>
                <wp:positionV relativeFrom="paragraph">
                  <wp:posOffset>109855</wp:posOffset>
                </wp:positionV>
                <wp:extent cx="5669280" cy="3112770"/>
                <wp:effectExtent l="0" t="0" r="0" b="0"/>
                <wp:wrapNone/>
                <wp:docPr id="194" name="组合 194"/>
                <wp:cNvGraphicFramePr/>
                <a:graphic xmlns:a="http://schemas.openxmlformats.org/drawingml/2006/main">
                  <a:graphicData uri="http://schemas.microsoft.com/office/word/2010/wordprocessingGroup">
                    <wpg:wgp>
                      <wpg:cNvGrpSpPr/>
                      <wpg:grpSpPr>
                        <a:xfrm>
                          <a:off x="0" y="0"/>
                          <a:ext cx="5669280" cy="3112770"/>
                          <a:chOff x="1656" y="1427"/>
                          <a:chExt cx="8928" cy="4902"/>
                        </a:xfrm>
                        <a:effectLst/>
                      </wpg:grpSpPr>
                      <wps:wsp>
                        <wps:cNvPr id="3" name="文本框 3"/>
                        <wps:cNvSpPr txBox="1"/>
                        <wps:spPr>
                          <a:xfrm>
                            <a:off x="2552" y="3108"/>
                            <a:ext cx="1058" cy="382"/>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燃煤仓</w:t>
                              </w:r>
                            </w:p>
                          </w:txbxContent>
                        </wps:txbx>
                        <wps:bodyPr lIns="0" tIns="0" rIns="0" bIns="0" upright="1"/>
                      </wps:wsp>
                      <wps:wsp>
                        <wps:cNvPr id="4" name="直接连接符 4"/>
                        <wps:cNvCnPr/>
                        <wps:spPr>
                          <a:xfrm>
                            <a:off x="1847" y="3279"/>
                            <a:ext cx="705" cy="0"/>
                          </a:xfrm>
                          <a:prstGeom prst="line">
                            <a:avLst/>
                          </a:prstGeom>
                          <a:ln w="9525" cap="flat" cmpd="sng">
                            <a:solidFill>
                              <a:srgbClr val="000000"/>
                            </a:solidFill>
                            <a:prstDash val="solid"/>
                            <a:headEnd type="none" w="med" len="med"/>
                            <a:tailEnd type="triangle" w="med" len="med"/>
                          </a:ln>
                          <a:effectLst/>
                        </wps:spPr>
                        <wps:bodyPr/>
                      </wps:wsp>
                      <wps:wsp>
                        <wps:cNvPr id="5" name="文本框 5"/>
                        <wps:cNvSpPr txBox="1"/>
                        <wps:spPr>
                          <a:xfrm>
                            <a:off x="1671" y="2976"/>
                            <a:ext cx="705" cy="468"/>
                          </a:xfrm>
                          <a:prstGeom prst="rect">
                            <a:avLst/>
                          </a:prstGeom>
                          <a:noFill/>
                          <a:ln>
                            <a:noFill/>
                          </a:ln>
                          <a:effectLst/>
                        </wps:spPr>
                        <wps:txbx>
                          <w:txbxContent>
                            <w:p>
                              <w:r>
                                <w:rPr>
                                  <w:rFonts w:hint="eastAsia"/>
                                </w:rPr>
                                <w:t>煤</w:t>
                              </w:r>
                            </w:p>
                          </w:txbxContent>
                        </wps:txbx>
                        <wps:bodyPr lIns="0" tIns="0" rIns="0" bIns="0" upright="1"/>
                      </wps:wsp>
                      <wps:wsp>
                        <wps:cNvPr id="6" name="直接连接符 6"/>
                        <wps:cNvCnPr/>
                        <wps:spPr>
                          <a:xfrm>
                            <a:off x="3610" y="3365"/>
                            <a:ext cx="1410" cy="0"/>
                          </a:xfrm>
                          <a:prstGeom prst="line">
                            <a:avLst/>
                          </a:prstGeom>
                          <a:ln w="9525" cap="flat" cmpd="sng">
                            <a:solidFill>
                              <a:srgbClr val="000000"/>
                            </a:solidFill>
                            <a:prstDash val="solid"/>
                            <a:headEnd type="none" w="med" len="med"/>
                            <a:tailEnd type="none" w="med" len="med"/>
                          </a:ln>
                          <a:effectLst/>
                        </wps:spPr>
                        <wps:bodyPr/>
                      </wps:wsp>
                      <wps:wsp>
                        <wps:cNvPr id="7" name="文本框 7"/>
                        <wps:cNvSpPr txBox="1"/>
                        <wps:spPr>
                          <a:xfrm>
                            <a:off x="3786" y="2967"/>
                            <a:ext cx="1234" cy="468"/>
                          </a:xfrm>
                          <a:prstGeom prst="rect">
                            <a:avLst/>
                          </a:prstGeom>
                          <a:noFill/>
                          <a:ln>
                            <a:noFill/>
                          </a:ln>
                          <a:effectLst/>
                        </wps:spPr>
                        <wps:txbx>
                          <w:txbxContent>
                            <w:p>
                              <w:r>
                                <w:rPr>
                                  <w:rFonts w:hint="eastAsia"/>
                                </w:rPr>
                                <w:t>封闭式输送</w:t>
                              </w:r>
                            </w:p>
                          </w:txbxContent>
                        </wps:txbx>
                        <wps:bodyPr lIns="0" tIns="0" rIns="0" bIns="0" upright="1"/>
                      </wps:wsp>
                      <wps:wsp>
                        <wps:cNvPr id="8" name="文本框 8"/>
                        <wps:cNvSpPr txBox="1"/>
                        <wps:spPr>
                          <a:xfrm>
                            <a:off x="2552" y="3833"/>
                            <a:ext cx="1058" cy="382"/>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石油焦仓</w:t>
                              </w:r>
                            </w:p>
                          </w:txbxContent>
                        </wps:txbx>
                        <wps:bodyPr lIns="0" tIns="0" rIns="0" bIns="0" upright="1"/>
                      </wps:wsp>
                      <wps:wsp>
                        <wps:cNvPr id="9" name="直接连接符 9"/>
                        <wps:cNvCnPr/>
                        <wps:spPr>
                          <a:xfrm>
                            <a:off x="1847" y="4004"/>
                            <a:ext cx="705" cy="0"/>
                          </a:xfrm>
                          <a:prstGeom prst="line">
                            <a:avLst/>
                          </a:prstGeom>
                          <a:ln w="9525" cap="flat" cmpd="sng">
                            <a:solidFill>
                              <a:srgbClr val="000000"/>
                            </a:solidFill>
                            <a:prstDash val="solid"/>
                            <a:headEnd type="none" w="med" len="med"/>
                            <a:tailEnd type="triangle" w="med" len="med"/>
                          </a:ln>
                          <a:effectLst/>
                        </wps:spPr>
                        <wps:bodyPr/>
                      </wps:wsp>
                      <wps:wsp>
                        <wps:cNvPr id="14" name="文本框 14"/>
                        <wps:cNvSpPr txBox="1"/>
                        <wps:spPr>
                          <a:xfrm>
                            <a:off x="1671" y="3701"/>
                            <a:ext cx="705" cy="468"/>
                          </a:xfrm>
                          <a:prstGeom prst="rect">
                            <a:avLst/>
                          </a:prstGeom>
                          <a:noFill/>
                          <a:ln>
                            <a:noFill/>
                          </a:ln>
                          <a:effectLst/>
                        </wps:spPr>
                        <wps:txbx>
                          <w:txbxContent>
                            <w:p>
                              <w:r>
                                <w:rPr>
                                  <w:rFonts w:hint="eastAsia"/>
                                </w:rPr>
                                <w:t>石油焦</w:t>
                              </w:r>
                            </w:p>
                          </w:txbxContent>
                        </wps:txbx>
                        <wps:bodyPr lIns="0" tIns="0" rIns="0" bIns="0" upright="1"/>
                      </wps:wsp>
                      <wps:wsp>
                        <wps:cNvPr id="15" name="直接连接符 15"/>
                        <wps:cNvCnPr/>
                        <wps:spPr>
                          <a:xfrm>
                            <a:off x="3610" y="4090"/>
                            <a:ext cx="1410" cy="0"/>
                          </a:xfrm>
                          <a:prstGeom prst="line">
                            <a:avLst/>
                          </a:prstGeom>
                          <a:ln w="9525" cap="flat" cmpd="sng">
                            <a:solidFill>
                              <a:srgbClr val="000000"/>
                            </a:solidFill>
                            <a:prstDash val="solid"/>
                            <a:headEnd type="none" w="med" len="med"/>
                            <a:tailEnd type="none" w="med" len="med"/>
                          </a:ln>
                          <a:effectLst/>
                        </wps:spPr>
                        <wps:bodyPr/>
                      </wps:wsp>
                      <wps:wsp>
                        <wps:cNvPr id="16" name="文本框 16"/>
                        <wps:cNvSpPr txBox="1"/>
                        <wps:spPr>
                          <a:xfrm>
                            <a:off x="3786" y="3692"/>
                            <a:ext cx="1234" cy="468"/>
                          </a:xfrm>
                          <a:prstGeom prst="rect">
                            <a:avLst/>
                          </a:prstGeom>
                          <a:noFill/>
                          <a:ln>
                            <a:noFill/>
                          </a:ln>
                          <a:effectLst/>
                        </wps:spPr>
                        <wps:txbx>
                          <w:txbxContent>
                            <w:p>
                              <w:r>
                                <w:rPr>
                                  <w:rFonts w:hint="eastAsia"/>
                                </w:rPr>
                                <w:t>封闭式输送</w:t>
                              </w:r>
                            </w:p>
                          </w:txbxContent>
                        </wps:txbx>
                        <wps:bodyPr lIns="0" tIns="0" rIns="0" bIns="0" upright="1"/>
                      </wps:wsp>
                      <wps:wsp>
                        <wps:cNvPr id="17" name="文本框 17"/>
                        <wps:cNvSpPr txBox="1"/>
                        <wps:spPr>
                          <a:xfrm>
                            <a:off x="2537" y="4830"/>
                            <a:ext cx="1058" cy="382"/>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石灰料仓</w:t>
                              </w:r>
                            </w:p>
                          </w:txbxContent>
                        </wps:txbx>
                        <wps:bodyPr lIns="0" tIns="0" rIns="0" bIns="0" upright="1"/>
                      </wps:wsp>
                      <wps:wsp>
                        <wps:cNvPr id="18" name="直接连接符 18"/>
                        <wps:cNvCnPr/>
                        <wps:spPr>
                          <a:xfrm>
                            <a:off x="1832" y="5001"/>
                            <a:ext cx="705" cy="0"/>
                          </a:xfrm>
                          <a:prstGeom prst="line">
                            <a:avLst/>
                          </a:prstGeom>
                          <a:ln w="9525" cap="flat" cmpd="sng">
                            <a:solidFill>
                              <a:srgbClr val="000000"/>
                            </a:solidFill>
                            <a:prstDash val="solid"/>
                            <a:headEnd type="none" w="med" len="med"/>
                            <a:tailEnd type="triangle" w="med" len="med"/>
                          </a:ln>
                          <a:effectLst/>
                        </wps:spPr>
                        <wps:bodyPr/>
                      </wps:wsp>
                      <wps:wsp>
                        <wps:cNvPr id="27" name="文本框 27"/>
                        <wps:cNvSpPr txBox="1"/>
                        <wps:spPr>
                          <a:xfrm>
                            <a:off x="1656" y="4698"/>
                            <a:ext cx="705" cy="468"/>
                          </a:xfrm>
                          <a:prstGeom prst="rect">
                            <a:avLst/>
                          </a:prstGeom>
                          <a:noFill/>
                          <a:ln>
                            <a:noFill/>
                          </a:ln>
                          <a:effectLst/>
                        </wps:spPr>
                        <wps:txbx>
                          <w:txbxContent>
                            <w:p>
                              <w:r>
                                <w:rPr>
                                  <w:rFonts w:hint="eastAsia"/>
                                </w:rPr>
                                <w:t>石灰粉</w:t>
                              </w:r>
                            </w:p>
                          </w:txbxContent>
                        </wps:txbx>
                        <wps:bodyPr lIns="0" tIns="0" rIns="0" bIns="0" upright="1"/>
                      </wps:wsp>
                      <wps:wsp>
                        <wps:cNvPr id="28" name="直接连接符 28"/>
                        <wps:cNvCnPr/>
                        <wps:spPr>
                          <a:xfrm>
                            <a:off x="3595" y="5087"/>
                            <a:ext cx="1410" cy="0"/>
                          </a:xfrm>
                          <a:prstGeom prst="line">
                            <a:avLst/>
                          </a:prstGeom>
                          <a:ln w="9525" cap="flat" cmpd="sng">
                            <a:solidFill>
                              <a:srgbClr val="000000"/>
                            </a:solidFill>
                            <a:prstDash val="solid"/>
                            <a:headEnd type="none" w="med" len="med"/>
                            <a:tailEnd type="none" w="med" len="med"/>
                          </a:ln>
                          <a:effectLst/>
                        </wps:spPr>
                        <wps:bodyPr/>
                      </wps:wsp>
                      <wps:wsp>
                        <wps:cNvPr id="38" name="文本框 38"/>
                        <wps:cNvSpPr txBox="1"/>
                        <wps:spPr>
                          <a:xfrm>
                            <a:off x="3771" y="4689"/>
                            <a:ext cx="1234" cy="468"/>
                          </a:xfrm>
                          <a:prstGeom prst="rect">
                            <a:avLst/>
                          </a:prstGeom>
                          <a:noFill/>
                          <a:ln>
                            <a:noFill/>
                          </a:ln>
                          <a:effectLst/>
                        </wps:spPr>
                        <wps:txbx>
                          <w:txbxContent>
                            <w:p>
                              <w:r>
                                <w:rPr>
                                  <w:rFonts w:hint="eastAsia"/>
                                </w:rPr>
                                <w:t>旋转给料机</w:t>
                              </w:r>
                            </w:p>
                          </w:txbxContent>
                        </wps:txbx>
                        <wps:bodyPr lIns="0" tIns="0" rIns="0" bIns="0" upright="1"/>
                      </wps:wsp>
                      <wps:wsp>
                        <wps:cNvPr id="43" name="直接连接符 43"/>
                        <wps:cNvCnPr/>
                        <wps:spPr>
                          <a:xfrm>
                            <a:off x="5020" y="3370"/>
                            <a:ext cx="0" cy="1716"/>
                          </a:xfrm>
                          <a:prstGeom prst="line">
                            <a:avLst/>
                          </a:prstGeom>
                          <a:ln w="9525" cap="flat" cmpd="sng">
                            <a:solidFill>
                              <a:srgbClr val="000000"/>
                            </a:solidFill>
                            <a:prstDash val="solid"/>
                            <a:headEnd type="none" w="med" len="med"/>
                            <a:tailEnd type="none" w="med" len="med"/>
                          </a:ln>
                          <a:effectLst/>
                        </wps:spPr>
                        <wps:bodyPr/>
                      </wps:wsp>
                      <wps:wsp>
                        <wps:cNvPr id="55" name="直接连接符 55"/>
                        <wps:cNvCnPr/>
                        <wps:spPr>
                          <a:xfrm>
                            <a:off x="5049" y="3928"/>
                            <a:ext cx="705" cy="0"/>
                          </a:xfrm>
                          <a:prstGeom prst="line">
                            <a:avLst/>
                          </a:prstGeom>
                          <a:ln w="9525" cap="flat" cmpd="sng">
                            <a:solidFill>
                              <a:srgbClr val="000000"/>
                            </a:solidFill>
                            <a:prstDash val="solid"/>
                            <a:headEnd type="none" w="med" len="med"/>
                            <a:tailEnd type="triangle" w="med" len="med"/>
                          </a:ln>
                          <a:effectLst/>
                        </wps:spPr>
                        <wps:bodyPr/>
                      </wps:wsp>
                      <wps:wsp>
                        <wps:cNvPr id="57" name="文本框 57"/>
                        <wps:cNvSpPr txBox="1"/>
                        <wps:spPr>
                          <a:xfrm>
                            <a:off x="5754" y="3676"/>
                            <a:ext cx="1058" cy="780"/>
                          </a:xfrm>
                          <a:prstGeom prst="rect">
                            <a:avLst/>
                          </a:prstGeom>
                          <a:noFill/>
                          <a:ln w="9525" cap="flat" cmpd="sng">
                            <a:solidFill>
                              <a:srgbClr val="000000"/>
                            </a:solidFill>
                            <a:prstDash val="solid"/>
                            <a:miter/>
                            <a:headEnd type="none" w="med" len="med"/>
                            <a:tailEnd type="none" w="med" len="med"/>
                          </a:ln>
                          <a:effectLst/>
                        </wps:spPr>
                        <wps:txbx>
                          <w:txbxContent>
                            <w:p>
                              <w:pPr>
                                <w:jc w:val="center"/>
                                <w:rPr>
                                  <w:b/>
                                </w:rPr>
                              </w:pPr>
                              <w:r>
                                <w:rPr>
                                  <w:rFonts w:hint="eastAsia"/>
                                  <w:b/>
                                </w:rPr>
                                <w:t>循环硫化床锅炉</w:t>
                              </w:r>
                            </w:p>
                          </w:txbxContent>
                        </wps:txbx>
                        <wps:bodyPr lIns="0" tIns="0" rIns="0" bIns="0" upright="1"/>
                      </wps:wsp>
                      <wps:wsp>
                        <wps:cNvPr id="66" name="文本框 66"/>
                        <wps:cNvSpPr txBox="1"/>
                        <wps:spPr>
                          <a:xfrm>
                            <a:off x="2822" y="5679"/>
                            <a:ext cx="2115" cy="423"/>
                          </a:xfrm>
                          <a:prstGeom prst="rect">
                            <a:avLst/>
                          </a:prstGeom>
                          <a:noFill/>
                          <a:ln>
                            <a:noFill/>
                          </a:ln>
                          <a:effectLst/>
                        </wps:spPr>
                        <wps:txbx>
                          <w:txbxContent>
                            <w:p>
                              <w:pPr>
                                <w:jc w:val="center"/>
                              </w:pPr>
                              <w:r>
                                <w:rPr>
                                  <w:rFonts w:hint="eastAsia"/>
                                </w:rPr>
                                <w:t>回收凝结水及补水</w:t>
                              </w:r>
                            </w:p>
                          </w:txbxContent>
                        </wps:txbx>
                        <wps:bodyPr lIns="0" tIns="0" rIns="0" bIns="0" upright="1"/>
                      </wps:wsp>
                      <wps:wsp>
                        <wps:cNvPr id="74" name="文本框 74"/>
                        <wps:cNvSpPr txBox="1"/>
                        <wps:spPr>
                          <a:xfrm>
                            <a:off x="8398" y="5614"/>
                            <a:ext cx="1058" cy="382"/>
                          </a:xfrm>
                          <a:prstGeom prst="rect">
                            <a:avLst/>
                          </a:prstGeom>
                          <a:noFill/>
                          <a:ln>
                            <a:noFill/>
                          </a:ln>
                          <a:effectLst/>
                        </wps:spPr>
                        <wps:txbx>
                          <w:txbxContent>
                            <w:p>
                              <w:pPr>
                                <w:jc w:val="center"/>
                              </w:pPr>
                              <w:r>
                                <w:rPr>
                                  <w:rFonts w:hint="eastAsia"/>
                                </w:rPr>
                                <w:t>飞灰</w:t>
                              </w:r>
                            </w:p>
                          </w:txbxContent>
                        </wps:txbx>
                        <wps:bodyPr lIns="0" tIns="0" rIns="0" bIns="0" upright="1"/>
                      </wps:wsp>
                      <wps:wsp>
                        <wps:cNvPr id="75" name="文本框 75"/>
                        <wps:cNvSpPr txBox="1"/>
                        <wps:spPr>
                          <a:xfrm>
                            <a:off x="8998" y="1427"/>
                            <a:ext cx="1586" cy="382"/>
                          </a:xfrm>
                          <a:prstGeom prst="rect">
                            <a:avLst/>
                          </a:prstGeom>
                          <a:noFill/>
                          <a:ln>
                            <a:noFill/>
                          </a:ln>
                          <a:effectLst/>
                        </wps:spPr>
                        <wps:txbx>
                          <w:txbxContent>
                            <w:p>
                              <w:pPr>
                                <w:jc w:val="center"/>
                              </w:pPr>
                              <w:r>
                                <w:rPr>
                                  <w:rFonts w:hint="eastAsia"/>
                                </w:rPr>
                                <w:t>脱硫塔烟囱外排</w:t>
                              </w:r>
                            </w:p>
                          </w:txbxContent>
                        </wps:txbx>
                        <wps:bodyPr lIns="0" tIns="0" rIns="0" bIns="0" upright="1"/>
                      </wps:wsp>
                      <wps:wsp>
                        <wps:cNvPr id="101" name="文本框 101"/>
                        <wps:cNvSpPr txBox="1"/>
                        <wps:spPr>
                          <a:xfrm>
                            <a:off x="5754" y="5947"/>
                            <a:ext cx="1058" cy="382"/>
                          </a:xfrm>
                          <a:prstGeom prst="rect">
                            <a:avLst/>
                          </a:prstGeom>
                          <a:noFill/>
                          <a:ln>
                            <a:noFill/>
                          </a:ln>
                          <a:effectLst/>
                        </wps:spPr>
                        <wps:txbx>
                          <w:txbxContent>
                            <w:p>
                              <w:pPr>
                                <w:jc w:val="center"/>
                              </w:pPr>
                              <w:r>
                                <w:rPr>
                                  <w:rFonts w:hint="eastAsia"/>
                                </w:rPr>
                                <w:t>废水</w:t>
                              </w:r>
                            </w:p>
                          </w:txbxContent>
                        </wps:txbx>
                        <wps:bodyPr lIns="0" tIns="0" rIns="0" bIns="0" upright="1"/>
                      </wps:wsp>
                      <wps:wsp>
                        <wps:cNvPr id="102" name="文本框 102"/>
                        <wps:cNvSpPr txBox="1"/>
                        <wps:spPr>
                          <a:xfrm>
                            <a:off x="6210" y="2026"/>
                            <a:ext cx="1057" cy="382"/>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发电机</w:t>
                              </w:r>
                            </w:p>
                          </w:txbxContent>
                        </wps:txbx>
                        <wps:bodyPr lIns="0" tIns="0" rIns="0" bIns="0" upright="1"/>
                      </wps:wsp>
                      <wps:wsp>
                        <wps:cNvPr id="103" name="直接连接符 103"/>
                        <wps:cNvCnPr/>
                        <wps:spPr>
                          <a:xfrm flipV="1">
                            <a:off x="6636" y="2404"/>
                            <a:ext cx="0" cy="1248"/>
                          </a:xfrm>
                          <a:prstGeom prst="line">
                            <a:avLst/>
                          </a:prstGeom>
                          <a:ln w="9525" cap="flat" cmpd="sng">
                            <a:solidFill>
                              <a:srgbClr val="000000"/>
                            </a:solidFill>
                            <a:prstDash val="solid"/>
                            <a:headEnd type="none" w="med" len="med"/>
                            <a:tailEnd type="triangle" w="med" len="med"/>
                          </a:ln>
                          <a:effectLst/>
                        </wps:spPr>
                        <wps:bodyPr/>
                      </wps:wsp>
                      <wps:wsp>
                        <wps:cNvPr id="104" name="文本框 104"/>
                        <wps:cNvSpPr txBox="1"/>
                        <wps:spPr>
                          <a:xfrm>
                            <a:off x="6561" y="2532"/>
                            <a:ext cx="713" cy="1092"/>
                          </a:xfrm>
                          <a:prstGeom prst="rect">
                            <a:avLst/>
                          </a:prstGeom>
                          <a:noFill/>
                          <a:ln>
                            <a:noFill/>
                          </a:ln>
                          <a:effectLst/>
                        </wps:spPr>
                        <wps:txbx>
                          <w:txbxContent>
                            <w:p>
                              <w:pPr>
                                <w:jc w:val="center"/>
                                <w:rPr>
                                  <w:b/>
                                  <w:szCs w:val="21"/>
                                </w:rPr>
                              </w:pPr>
                            </w:p>
                            <w:p>
                              <w:r>
                                <w:rPr>
                                  <w:rFonts w:hint="eastAsia"/>
                                </w:rPr>
                                <w:t>蒸汽母管</w:t>
                              </w:r>
                            </w:p>
                          </w:txbxContent>
                        </wps:txbx>
                        <wps:bodyPr vert="eaVert" lIns="0" tIns="0" rIns="0" bIns="0" upright="1"/>
                      </wps:wsp>
                      <wps:wsp>
                        <wps:cNvPr id="105" name="直接连接符 105"/>
                        <wps:cNvCnPr/>
                        <wps:spPr>
                          <a:xfrm flipV="1">
                            <a:off x="5931" y="2404"/>
                            <a:ext cx="0" cy="1248"/>
                          </a:xfrm>
                          <a:prstGeom prst="line">
                            <a:avLst/>
                          </a:prstGeom>
                          <a:ln w="9525" cap="flat" cmpd="sng">
                            <a:solidFill>
                              <a:srgbClr val="000000"/>
                            </a:solidFill>
                            <a:prstDash val="solid"/>
                            <a:headEnd type="none" w="med" len="med"/>
                            <a:tailEnd type="none" w="med" len="med"/>
                          </a:ln>
                          <a:effectLst/>
                        </wps:spPr>
                        <wps:bodyPr/>
                      </wps:wsp>
                      <wps:wsp>
                        <wps:cNvPr id="106" name="直接连接符 106"/>
                        <wps:cNvCnPr/>
                        <wps:spPr>
                          <a:xfrm>
                            <a:off x="5225" y="2404"/>
                            <a:ext cx="706" cy="0"/>
                          </a:xfrm>
                          <a:prstGeom prst="line">
                            <a:avLst/>
                          </a:prstGeom>
                          <a:ln w="9525" cap="flat" cmpd="sng">
                            <a:solidFill>
                              <a:srgbClr val="000000"/>
                            </a:solidFill>
                            <a:prstDash val="solid"/>
                            <a:headEnd type="triangle" w="med" len="med"/>
                            <a:tailEnd type="none" w="med" len="med"/>
                          </a:ln>
                          <a:effectLst/>
                        </wps:spPr>
                        <wps:bodyPr/>
                      </wps:wsp>
                      <wps:wsp>
                        <wps:cNvPr id="107" name="文本框 107"/>
                        <wps:cNvSpPr txBox="1"/>
                        <wps:spPr>
                          <a:xfrm>
                            <a:off x="3992" y="2278"/>
                            <a:ext cx="1233" cy="468"/>
                          </a:xfrm>
                          <a:prstGeom prst="rect">
                            <a:avLst/>
                          </a:prstGeom>
                          <a:noFill/>
                          <a:ln>
                            <a:noFill/>
                          </a:ln>
                          <a:effectLst/>
                        </wps:spPr>
                        <wps:txbx>
                          <w:txbxContent>
                            <w:p>
                              <w:r>
                                <w:rPr>
                                  <w:rFonts w:hint="eastAsia"/>
                                </w:rPr>
                                <w:t>去热力系统</w:t>
                              </w:r>
                            </w:p>
                            <w:p>
                              <w:pPr>
                                <w:jc w:val="center"/>
                                <w:rPr>
                                  <w:rFonts w:ascii="仿宋_GB2312" w:eastAsia="仿宋_GB2312"/>
                                  <w:szCs w:val="21"/>
                                </w:rPr>
                              </w:pPr>
                            </w:p>
                            <w:p>
                              <w:pPr>
                                <w:jc w:val="center"/>
                                <w:rPr>
                                  <w:szCs w:val="21"/>
                                </w:rPr>
                              </w:pPr>
                              <w:r>
                                <w:rPr>
                                  <w:rFonts w:hint="eastAsia" w:ascii="仿宋_GB2312" w:eastAsia="仿宋_GB2312"/>
                                  <w:szCs w:val="21"/>
                                </w:rPr>
                                <w:t>配水池</w:t>
                              </w:r>
                            </w:p>
                          </w:txbxContent>
                        </wps:txbx>
                        <wps:bodyPr lIns="0" tIns="0" rIns="0" bIns="0" upright="1"/>
                      </wps:wsp>
                      <wps:wsp>
                        <wps:cNvPr id="108" name="文本框 108"/>
                        <wps:cNvSpPr txBox="1"/>
                        <wps:spPr>
                          <a:xfrm>
                            <a:off x="5578" y="2509"/>
                            <a:ext cx="353" cy="1092"/>
                          </a:xfrm>
                          <a:prstGeom prst="rect">
                            <a:avLst/>
                          </a:prstGeom>
                          <a:noFill/>
                          <a:ln>
                            <a:noFill/>
                          </a:ln>
                          <a:effectLst/>
                        </wps:spPr>
                        <wps:txbx>
                          <w:txbxContent>
                            <w:p>
                              <w:r>
                                <w:rPr>
                                  <w:rFonts w:hint="eastAsia"/>
                                </w:rPr>
                                <w:t>中低压蒸汽</w:t>
                              </w:r>
                            </w:p>
                          </w:txbxContent>
                        </wps:txbx>
                        <wps:bodyPr vert="eaVert" lIns="0" tIns="0" rIns="0" bIns="0" upright="1"/>
                      </wps:wsp>
                      <wps:wsp>
                        <wps:cNvPr id="109" name="直接连接符 109"/>
                        <wps:cNvCnPr/>
                        <wps:spPr>
                          <a:xfrm>
                            <a:off x="5931" y="3214"/>
                            <a:ext cx="705" cy="0"/>
                          </a:xfrm>
                          <a:prstGeom prst="line">
                            <a:avLst/>
                          </a:prstGeom>
                          <a:ln w="9525" cap="flat" cmpd="sng">
                            <a:solidFill>
                              <a:srgbClr val="000000"/>
                            </a:solidFill>
                            <a:prstDash val="sysDot"/>
                            <a:headEnd type="triangle" w="med" len="med"/>
                            <a:tailEnd type="none" w="med" len="med"/>
                          </a:ln>
                          <a:effectLst/>
                        </wps:spPr>
                        <wps:bodyPr/>
                      </wps:wsp>
                      <wps:wsp>
                        <wps:cNvPr id="110" name="直接连接符 110"/>
                        <wps:cNvCnPr/>
                        <wps:spPr>
                          <a:xfrm flipV="1">
                            <a:off x="5916" y="4462"/>
                            <a:ext cx="0" cy="624"/>
                          </a:xfrm>
                          <a:prstGeom prst="line">
                            <a:avLst/>
                          </a:prstGeom>
                          <a:ln w="9525" cap="flat" cmpd="sng">
                            <a:solidFill>
                              <a:srgbClr val="000000"/>
                            </a:solidFill>
                            <a:prstDash val="solid"/>
                            <a:headEnd type="none" w="med" len="med"/>
                            <a:tailEnd type="triangle" w="med" len="med"/>
                          </a:ln>
                          <a:effectLst/>
                        </wps:spPr>
                        <wps:bodyPr/>
                      </wps:wsp>
                      <wps:wsp>
                        <wps:cNvPr id="111" name="文本框 111"/>
                        <wps:cNvSpPr txBox="1"/>
                        <wps:spPr>
                          <a:xfrm>
                            <a:off x="5549" y="4648"/>
                            <a:ext cx="881" cy="468"/>
                          </a:xfrm>
                          <a:prstGeom prst="rect">
                            <a:avLst/>
                          </a:prstGeom>
                          <a:noFill/>
                          <a:ln>
                            <a:noFill/>
                          </a:ln>
                          <a:effectLst/>
                        </wps:spPr>
                        <wps:txbx>
                          <w:txbxContent>
                            <w:p>
                              <w:r>
                                <w:rPr>
                                  <w:rFonts w:hint="eastAsia"/>
                                </w:rPr>
                                <w:t>高压泵</w:t>
                              </w:r>
                            </w:p>
                          </w:txbxContent>
                        </wps:txbx>
                        <wps:bodyPr lIns="0" tIns="0" rIns="0" bIns="0" upright="1"/>
                      </wps:wsp>
                      <wps:wsp>
                        <wps:cNvPr id="112" name="文本框 112"/>
                        <wps:cNvSpPr txBox="1"/>
                        <wps:spPr>
                          <a:xfrm>
                            <a:off x="5358" y="5086"/>
                            <a:ext cx="1057" cy="382"/>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化水间</w:t>
                              </w:r>
                            </w:p>
                          </w:txbxContent>
                        </wps:txbx>
                        <wps:bodyPr lIns="0" tIns="0" rIns="0" bIns="0" upright="1"/>
                      </wps:wsp>
                      <wps:wsp>
                        <wps:cNvPr id="113" name="直接连接符 113"/>
                        <wps:cNvCnPr/>
                        <wps:spPr>
                          <a:xfrm>
                            <a:off x="5622" y="5479"/>
                            <a:ext cx="0" cy="312"/>
                          </a:xfrm>
                          <a:prstGeom prst="line">
                            <a:avLst/>
                          </a:prstGeom>
                          <a:ln w="9525" cap="flat" cmpd="sng">
                            <a:solidFill>
                              <a:srgbClr val="000000"/>
                            </a:solidFill>
                            <a:prstDash val="sysDot"/>
                            <a:headEnd type="triangle" w="med" len="med"/>
                            <a:tailEnd type="none" w="med" len="med"/>
                          </a:ln>
                          <a:effectLst/>
                        </wps:spPr>
                        <wps:bodyPr/>
                      </wps:wsp>
                      <wps:wsp>
                        <wps:cNvPr id="114" name="直接连接符 114"/>
                        <wps:cNvCnPr/>
                        <wps:spPr>
                          <a:xfrm flipH="1">
                            <a:off x="4741" y="5787"/>
                            <a:ext cx="881" cy="0"/>
                          </a:xfrm>
                          <a:prstGeom prst="line">
                            <a:avLst/>
                          </a:prstGeom>
                          <a:ln w="9525" cap="flat" cmpd="sng">
                            <a:solidFill>
                              <a:srgbClr val="000000"/>
                            </a:solidFill>
                            <a:prstDash val="sysDot"/>
                            <a:headEnd type="none" w="med" len="med"/>
                            <a:tailEnd type="none" w="med" len="med"/>
                          </a:ln>
                          <a:effectLst/>
                        </wps:spPr>
                        <wps:bodyPr/>
                      </wps:wsp>
                      <wps:wsp>
                        <wps:cNvPr id="115" name="直接连接符 115"/>
                        <wps:cNvCnPr/>
                        <wps:spPr>
                          <a:xfrm>
                            <a:off x="6210" y="5458"/>
                            <a:ext cx="0" cy="468"/>
                          </a:xfrm>
                          <a:prstGeom prst="line">
                            <a:avLst/>
                          </a:prstGeom>
                          <a:ln w="9525" cap="flat" cmpd="sng">
                            <a:solidFill>
                              <a:srgbClr val="000000"/>
                            </a:solidFill>
                            <a:prstDash val="solid"/>
                            <a:headEnd type="none" w="med" len="med"/>
                            <a:tailEnd type="triangle" w="med" len="med"/>
                          </a:ln>
                          <a:effectLst/>
                        </wps:spPr>
                        <wps:bodyPr/>
                      </wps:wsp>
                      <wps:wsp>
                        <wps:cNvPr id="116" name="直接连接符 116"/>
                        <wps:cNvCnPr/>
                        <wps:spPr>
                          <a:xfrm>
                            <a:off x="6636" y="4462"/>
                            <a:ext cx="0" cy="468"/>
                          </a:xfrm>
                          <a:prstGeom prst="line">
                            <a:avLst/>
                          </a:prstGeom>
                          <a:ln w="9525" cap="flat" cmpd="sng">
                            <a:solidFill>
                              <a:srgbClr val="000000"/>
                            </a:solidFill>
                            <a:prstDash val="solid"/>
                            <a:headEnd type="none" w="med" len="med"/>
                            <a:tailEnd type="none" w="med" len="med"/>
                          </a:ln>
                          <a:effectLst/>
                        </wps:spPr>
                        <wps:bodyPr/>
                      </wps:wsp>
                      <wps:wsp>
                        <wps:cNvPr id="117" name="直接连接符 117"/>
                        <wps:cNvCnPr/>
                        <wps:spPr>
                          <a:xfrm>
                            <a:off x="6636" y="4930"/>
                            <a:ext cx="705" cy="0"/>
                          </a:xfrm>
                          <a:prstGeom prst="line">
                            <a:avLst/>
                          </a:prstGeom>
                          <a:ln w="9525" cap="flat" cmpd="sng">
                            <a:solidFill>
                              <a:srgbClr val="000000"/>
                            </a:solidFill>
                            <a:prstDash val="solid"/>
                            <a:headEnd type="none" w="med" len="med"/>
                            <a:tailEnd type="triangle" w="med" len="med"/>
                          </a:ln>
                          <a:effectLst/>
                        </wps:spPr>
                        <wps:bodyPr/>
                      </wps:wsp>
                      <wps:wsp>
                        <wps:cNvPr id="118" name="文本框 118"/>
                        <wps:cNvSpPr txBox="1"/>
                        <wps:spPr>
                          <a:xfrm>
                            <a:off x="7282" y="4804"/>
                            <a:ext cx="705" cy="468"/>
                          </a:xfrm>
                          <a:prstGeom prst="rect">
                            <a:avLst/>
                          </a:prstGeom>
                          <a:noFill/>
                          <a:ln>
                            <a:noFill/>
                          </a:ln>
                          <a:effectLst/>
                        </wps:spPr>
                        <wps:txbx>
                          <w:txbxContent>
                            <w:p>
                              <w:pPr>
                                <w:jc w:val="center"/>
                              </w:pPr>
                              <w:r>
                                <w:rPr>
                                  <w:rFonts w:hint="eastAsia"/>
                                </w:rPr>
                                <w:t>灰渣</w:t>
                              </w:r>
                            </w:p>
                          </w:txbxContent>
                        </wps:txbx>
                        <wps:bodyPr lIns="0" tIns="0" rIns="0" bIns="0" upright="1"/>
                      </wps:wsp>
                      <wps:wsp>
                        <wps:cNvPr id="119" name="直接连接符 119"/>
                        <wps:cNvCnPr/>
                        <wps:spPr>
                          <a:xfrm>
                            <a:off x="6812" y="3973"/>
                            <a:ext cx="1234" cy="0"/>
                          </a:xfrm>
                          <a:prstGeom prst="line">
                            <a:avLst/>
                          </a:prstGeom>
                          <a:ln w="9525" cap="flat" cmpd="sng">
                            <a:solidFill>
                              <a:srgbClr val="000000"/>
                            </a:solidFill>
                            <a:prstDash val="solid"/>
                            <a:headEnd type="none" w="med" len="med"/>
                            <a:tailEnd type="triangle" w="med" len="med"/>
                          </a:ln>
                          <a:effectLst/>
                        </wps:spPr>
                        <wps:bodyPr/>
                      </wps:wsp>
                      <wps:wsp>
                        <wps:cNvPr id="120" name="文本框 120"/>
                        <wps:cNvSpPr txBox="1"/>
                        <wps:spPr>
                          <a:xfrm>
                            <a:off x="8046" y="2932"/>
                            <a:ext cx="529" cy="1872"/>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空 气 预 热 器</w:t>
                              </w:r>
                            </w:p>
                          </w:txbxContent>
                        </wps:txbx>
                        <wps:bodyPr vert="eaVert" lIns="0" tIns="0" rIns="0" bIns="0" upright="1"/>
                      </wps:wsp>
                      <wps:wsp>
                        <wps:cNvPr id="121" name="直接连接符 121"/>
                        <wps:cNvCnPr/>
                        <wps:spPr>
                          <a:xfrm>
                            <a:off x="8575" y="3994"/>
                            <a:ext cx="705" cy="0"/>
                          </a:xfrm>
                          <a:prstGeom prst="line">
                            <a:avLst/>
                          </a:prstGeom>
                          <a:ln w="9525" cap="flat" cmpd="sng">
                            <a:solidFill>
                              <a:srgbClr val="000000"/>
                            </a:solidFill>
                            <a:prstDash val="solid"/>
                            <a:headEnd type="none" w="med" len="med"/>
                            <a:tailEnd type="triangle" w="med" len="med"/>
                          </a:ln>
                          <a:effectLst/>
                        </wps:spPr>
                        <wps:bodyPr/>
                      </wps:wsp>
                      <wps:wsp>
                        <wps:cNvPr id="122" name="文本框 122"/>
                        <wps:cNvSpPr txBox="1"/>
                        <wps:spPr>
                          <a:xfrm>
                            <a:off x="9280" y="2419"/>
                            <a:ext cx="950" cy="2376"/>
                          </a:xfrm>
                          <a:prstGeom prst="rect">
                            <a:avLst/>
                          </a:prstGeom>
                          <a:noFill/>
                          <a:ln w="9525" cap="flat" cmpd="sng">
                            <a:solidFill>
                              <a:srgbClr val="000000"/>
                            </a:solidFill>
                            <a:prstDash val="solid"/>
                            <a:miter/>
                            <a:headEnd type="none" w="med" len="med"/>
                            <a:tailEnd type="none" w="med" len="med"/>
                          </a:ln>
                          <a:effectLst/>
                        </wps:spPr>
                        <wps:txbx>
                          <w:txbxContent>
                            <w:p>
                              <w:pPr>
                                <w:jc w:val="center"/>
                              </w:pPr>
                              <w:r>
                                <w:rPr>
                                  <w:rFonts w:hint="eastAsia"/>
                                </w:rPr>
                                <w:t>炉内脱硫，SCR烟气脱销</w:t>
                              </w:r>
                            </w:p>
                            <w:p>
                              <w:pPr>
                                <w:jc w:val="center"/>
                              </w:pPr>
                              <w:r>
                                <w:rPr>
                                  <w:rFonts w:hint="eastAsia"/>
                                </w:rPr>
                                <w:t xml:space="preserve">布 袋 除 尘 </w:t>
                              </w:r>
                            </w:p>
                            <w:p>
                              <w:pPr>
                                <w:jc w:val="center"/>
                              </w:pPr>
                              <w:r>
                                <w:rPr>
                                  <w:rFonts w:hint="eastAsia"/>
                                </w:rPr>
                                <w:t>石灰石—石膏法湿法脱硫</w:t>
                              </w:r>
                            </w:p>
                            <w:p>
                              <w:pPr>
                                <w:jc w:val="center"/>
                              </w:pPr>
                            </w:p>
                          </w:txbxContent>
                        </wps:txbx>
                        <wps:bodyPr vert="eaVert" lIns="0" tIns="0" rIns="0" bIns="0" upright="1"/>
                      </wps:wsp>
                      <wps:wsp>
                        <wps:cNvPr id="123" name="直接连接符 123"/>
                        <wps:cNvCnPr/>
                        <wps:spPr>
                          <a:xfrm flipV="1">
                            <a:off x="9700" y="1856"/>
                            <a:ext cx="0" cy="468"/>
                          </a:xfrm>
                          <a:prstGeom prst="line">
                            <a:avLst/>
                          </a:prstGeom>
                          <a:ln w="9525" cap="flat" cmpd="sng">
                            <a:solidFill>
                              <a:srgbClr val="000000"/>
                            </a:solidFill>
                            <a:prstDash val="solid"/>
                            <a:headEnd type="none" w="med" len="med"/>
                            <a:tailEnd type="triangle" w="med" len="med"/>
                          </a:ln>
                          <a:effectLst/>
                        </wps:spPr>
                        <wps:bodyPr/>
                      </wps:wsp>
                      <wps:wsp>
                        <wps:cNvPr id="124" name="直接连接符 124"/>
                        <wps:cNvCnPr/>
                        <wps:spPr>
                          <a:xfrm>
                            <a:off x="8369" y="4821"/>
                            <a:ext cx="0" cy="312"/>
                          </a:xfrm>
                          <a:prstGeom prst="line">
                            <a:avLst/>
                          </a:prstGeom>
                          <a:ln w="9525" cap="flat" cmpd="sng">
                            <a:solidFill>
                              <a:srgbClr val="000000"/>
                            </a:solidFill>
                            <a:prstDash val="solid"/>
                            <a:headEnd type="none" w="med" len="med"/>
                            <a:tailEnd type="none" w="med" len="med"/>
                          </a:ln>
                          <a:effectLst/>
                        </wps:spPr>
                        <wps:bodyPr/>
                      </wps:wsp>
                      <wps:wsp>
                        <wps:cNvPr id="125" name="直接连接符 125"/>
                        <wps:cNvCnPr/>
                        <wps:spPr>
                          <a:xfrm>
                            <a:off x="9603" y="4819"/>
                            <a:ext cx="0" cy="312"/>
                          </a:xfrm>
                          <a:prstGeom prst="line">
                            <a:avLst/>
                          </a:prstGeom>
                          <a:ln w="9525" cap="flat" cmpd="sng">
                            <a:solidFill>
                              <a:srgbClr val="000000"/>
                            </a:solidFill>
                            <a:prstDash val="solid"/>
                            <a:headEnd type="none" w="med" len="med"/>
                            <a:tailEnd type="none" w="med" len="med"/>
                          </a:ln>
                          <a:effectLst/>
                        </wps:spPr>
                        <wps:bodyPr/>
                      </wps:wsp>
                      <wps:wsp>
                        <wps:cNvPr id="126" name="直接连接符 126"/>
                        <wps:cNvCnPr/>
                        <wps:spPr>
                          <a:xfrm>
                            <a:off x="8369" y="5140"/>
                            <a:ext cx="1234" cy="0"/>
                          </a:xfrm>
                          <a:prstGeom prst="line">
                            <a:avLst/>
                          </a:prstGeom>
                          <a:ln w="9525" cap="flat" cmpd="sng">
                            <a:solidFill>
                              <a:srgbClr val="000000"/>
                            </a:solidFill>
                            <a:prstDash val="solid"/>
                            <a:headEnd type="none" w="med" len="med"/>
                            <a:tailEnd type="none" w="med" len="med"/>
                          </a:ln>
                          <a:effectLst/>
                        </wps:spPr>
                        <wps:bodyPr/>
                      </wps:wsp>
                      <wps:wsp>
                        <wps:cNvPr id="127" name="直接连接符 127"/>
                        <wps:cNvCnPr/>
                        <wps:spPr>
                          <a:xfrm>
                            <a:off x="8927" y="5146"/>
                            <a:ext cx="0" cy="468"/>
                          </a:xfrm>
                          <a:prstGeom prst="line">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2.25pt;margin-top:8.65pt;height:245.1pt;width:446.4pt;z-index:-251658240;mso-width-relative:page;mso-height-relative:page;" coordorigin="1656,1427" coordsize="8928,4902" o:gfxdata="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2AmpKNoA&#10;AAAJAQAADwAAAAAAAAABACAAAAAiAAAAZHJzL2Rvd25yZXYueG1sUEsBAhQAFAAAAAgAh07iQCEE&#10;aKIECQAAh2IAAA4AAAAAAAAAAQAgAAAAKQEAAGRycy9lMm9Eb2MueG1sUEsFBgAAAAAGAAYAWQEA&#10;AJ8MAAAAAA==&#10;">
                <o:lock v:ext="edit" aspectratio="f"/>
                <v:shape id="_x0000_s1026" o:spid="_x0000_s1026" o:spt="202" type="#_x0000_t202" style="position:absolute;left:2552;top:3108;height:382;width:1058;" filled="f" stroked="t" coordsize="21600,21600" o:gfxdata="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6RvQAA&#10;ANo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jc w:val="center"/>
                        </w:pPr>
                        <w:r>
                          <w:rPr>
                            <w:rFonts w:hint="eastAsia"/>
                          </w:rPr>
                          <w:t>燃煤仓</w:t>
                        </w:r>
                      </w:p>
                    </w:txbxContent>
                  </v:textbox>
                </v:shape>
                <v:line id="_x0000_s1026" o:spid="_x0000_s1026" o:spt="20" style="position:absolute;left:1847;top:3279;height:0;width:705;"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671;top:2976;height:468;width:705;"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煤</w:t>
                        </w:r>
                      </w:p>
                    </w:txbxContent>
                  </v:textbox>
                </v:shape>
                <v:line id="_x0000_s1026" o:spid="_x0000_s1026" o:spt="20" style="position:absolute;left:3610;top:3365;height:0;width:1410;" filled="f" stroked="t" coordsize="21600,2160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3786;top:2967;height:468;width:1234;"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rPr>
                          <w:t>封闭式输送</w:t>
                        </w:r>
                      </w:p>
                    </w:txbxContent>
                  </v:textbox>
                </v:shape>
                <v:shape id="_x0000_s1026" o:spid="_x0000_s1026" o:spt="202" type="#_x0000_t202" style="position:absolute;left:2552;top:3833;height:382;width:1058;" filled="f" stroked="t" coordsize="21600,21600" o:gfxdata="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Kzzg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jc w:val="center"/>
                        </w:pPr>
                        <w:r>
                          <w:rPr>
                            <w:rFonts w:hint="eastAsia"/>
                          </w:rPr>
                          <w:t>石油焦仓</w:t>
                        </w:r>
                      </w:p>
                    </w:txbxContent>
                  </v:textbox>
                </v:shape>
                <v:line id="_x0000_s1026" o:spid="_x0000_s1026" o:spt="20" style="position:absolute;left:1847;top:4004;height:0;width:705;"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671;top:3701;height:468;width:70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石油焦</w:t>
                        </w:r>
                      </w:p>
                    </w:txbxContent>
                  </v:textbox>
                </v:shape>
                <v:line id="_x0000_s1026" o:spid="_x0000_s1026" o:spt="20" style="position:absolute;left:3610;top:4090;height:0;width:141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3786;top:3692;height:468;width:1234;"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封闭式输送</w:t>
                        </w:r>
                      </w:p>
                    </w:txbxContent>
                  </v:textbox>
                </v:shape>
                <v:shape id="_x0000_s1026" o:spid="_x0000_s1026" o:spt="202" type="#_x0000_t202" style="position:absolute;left:2537;top:4830;height:382;width:1058;" filled="f" stroked="t" coordsize="21600,21600" o:gfxdata="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G1Fa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jc w:val="center"/>
                        </w:pPr>
                        <w:r>
                          <w:rPr>
                            <w:rFonts w:hint="eastAsia"/>
                          </w:rPr>
                          <w:t>石灰料仓</w:t>
                        </w:r>
                      </w:p>
                    </w:txbxContent>
                  </v:textbox>
                </v:shape>
                <v:line id="_x0000_s1026" o:spid="_x0000_s1026" o:spt="20" style="position:absolute;left:1832;top:5001;height:0;width:705;"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656;top:4698;height:468;width:70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石灰粉</w:t>
                        </w:r>
                      </w:p>
                    </w:txbxContent>
                  </v:textbox>
                </v:shape>
                <v:line id="_x0000_s1026" o:spid="_x0000_s1026" o:spt="20" style="position:absolute;left:3595;top:5087;height:0;width:141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202" type="#_x0000_t202" style="position:absolute;left:3771;top:4689;height:468;width:1234;"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r>
                          <w:rPr>
                            <w:rFonts w:hint="eastAsia"/>
                          </w:rPr>
                          <w:t>旋转给料机</w:t>
                        </w:r>
                      </w:p>
                    </w:txbxContent>
                  </v:textbox>
                </v:shape>
                <v:line id="_x0000_s1026" o:spid="_x0000_s1026" o:spt="20" style="position:absolute;left:5020;top:3370;height:1716;width: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49;top:3928;height:0;width:705;"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5754;top:3676;height:780;width:1058;" filled="f" stroked="t" coordsize="21600,21600" o:gfxdata="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xtl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jc w:val="center"/>
                          <w:rPr>
                            <w:b/>
                          </w:rPr>
                        </w:pPr>
                        <w:r>
                          <w:rPr>
                            <w:rFonts w:hint="eastAsia"/>
                            <w:b/>
                          </w:rPr>
                          <w:t>循环硫化床锅炉</w:t>
                        </w:r>
                      </w:p>
                    </w:txbxContent>
                  </v:textbox>
                </v:shape>
                <v:shape id="_x0000_s1026" o:spid="_x0000_s1026" o:spt="202" type="#_x0000_t202" style="position:absolute;left:2822;top:5679;height:423;width:2115;"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pPr>
                        <w:r>
                          <w:rPr>
                            <w:rFonts w:hint="eastAsia"/>
                          </w:rPr>
                          <w:t>回收凝结水及补水</w:t>
                        </w:r>
                      </w:p>
                    </w:txbxContent>
                  </v:textbox>
                </v:shape>
                <v:shape id="_x0000_s1026" o:spid="_x0000_s1026" o:spt="202" type="#_x0000_t202" style="position:absolute;left:8398;top:5614;height:382;width:1058;"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pPr>
                        <w:r>
                          <w:rPr>
                            <w:rFonts w:hint="eastAsia"/>
                          </w:rPr>
                          <w:t>飞灰</w:t>
                        </w:r>
                      </w:p>
                    </w:txbxContent>
                  </v:textbox>
                </v:shape>
                <v:shape id="_x0000_s1026" o:spid="_x0000_s1026" o:spt="202" type="#_x0000_t202" style="position:absolute;left:8998;top:1427;height:382;width:1586;"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pPr>
                        <w:r>
                          <w:rPr>
                            <w:rFonts w:hint="eastAsia"/>
                          </w:rPr>
                          <w:t>脱硫塔烟囱外排</w:t>
                        </w:r>
                      </w:p>
                    </w:txbxContent>
                  </v:textbox>
                </v:shape>
                <v:shape id="_x0000_s1026" o:spid="_x0000_s1026" o:spt="202" type="#_x0000_t202" style="position:absolute;left:5754;top:5947;height:382;width:1058;"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pPr>
                        <w:r>
                          <w:rPr>
                            <w:rFonts w:hint="eastAsia"/>
                          </w:rPr>
                          <w:t>废水</w:t>
                        </w:r>
                      </w:p>
                    </w:txbxContent>
                  </v:textbox>
                </v:shape>
                <v:shape id="_x0000_s1026" o:spid="_x0000_s1026" o:spt="202" type="#_x0000_t202" style="position:absolute;left:6210;top:2026;height:382;width:1057;" filled="f" stroked="t" coordsize="21600,21600" o:gfxdata="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EkC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jc w:val="center"/>
                        </w:pPr>
                        <w:r>
                          <w:rPr>
                            <w:rFonts w:hint="eastAsia"/>
                          </w:rPr>
                          <w:t>发电机</w:t>
                        </w:r>
                      </w:p>
                    </w:txbxContent>
                  </v:textbox>
                </v:shape>
                <v:line id="_x0000_s1026" o:spid="_x0000_s1026" o:spt="20" style="position:absolute;left:6636;top:2404;flip:y;height:1248;width:0;" filled="f" stroked="t" coordsize="21600,21600" o:gfxdata="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0Wx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6561;top:2532;height:1092;width:713;" filled="f" stroked="f" coordsize="21600,21600" o:gfxdata="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Yapq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layout-flow:vertical-ideographic;">
                    <w:txbxContent>
                      <w:p>
                        <w:pPr>
                          <w:jc w:val="center"/>
                          <w:rPr>
                            <w:b/>
                            <w:szCs w:val="21"/>
                          </w:rPr>
                        </w:pPr>
                      </w:p>
                      <w:p>
                        <w:r>
                          <w:rPr>
                            <w:rFonts w:hint="eastAsia"/>
                          </w:rPr>
                          <w:t>蒸汽母管</w:t>
                        </w:r>
                      </w:p>
                    </w:txbxContent>
                  </v:textbox>
                </v:shape>
                <v:line id="_x0000_s1026" o:spid="_x0000_s1026" o:spt="20" style="position:absolute;left:5931;top:2404;flip:y;height:1248;width:0;" filled="f" stroked="t" coordsize="21600,21600" o:gfxdata="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M7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225;top:2404;height:0;width:706;" filled="f" stroked="t" coordsize="21600,21600" o:gfxdata="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VSZG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shape id="_x0000_s1026" o:spid="_x0000_s1026" o:spt="202" type="#_x0000_t202" style="position:absolute;left:3992;top:2278;height:468;width:1233;"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去热力系统</w:t>
                        </w:r>
                      </w:p>
                      <w:p>
                        <w:pPr>
                          <w:jc w:val="center"/>
                          <w:rPr>
                            <w:rFonts w:ascii="仿宋_GB2312" w:eastAsia="仿宋_GB2312"/>
                            <w:szCs w:val="21"/>
                          </w:rPr>
                        </w:pPr>
                      </w:p>
                      <w:p>
                        <w:pPr>
                          <w:jc w:val="center"/>
                          <w:rPr>
                            <w:szCs w:val="21"/>
                          </w:rPr>
                        </w:pPr>
                        <w:r>
                          <w:rPr>
                            <w:rFonts w:hint="eastAsia" w:ascii="仿宋_GB2312" w:eastAsia="仿宋_GB2312"/>
                            <w:szCs w:val="21"/>
                          </w:rPr>
                          <w:t>配水池</w:t>
                        </w:r>
                      </w:p>
                    </w:txbxContent>
                  </v:textbox>
                </v:shape>
                <v:shape id="_x0000_s1026" o:spid="_x0000_s1026" o:spt="202" type="#_x0000_t202" style="position:absolute;left:5578;top:2509;height:1092;width:353;" filled="f" stroked="f" coordsize="21600,21600" o:gfxdata="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VY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layout-flow:vertical-ideographic;">
                    <w:txbxContent>
                      <w:p>
                        <w:r>
                          <w:rPr>
                            <w:rFonts w:hint="eastAsia"/>
                          </w:rPr>
                          <w:t>中低压蒸汽</w:t>
                        </w:r>
                      </w:p>
                    </w:txbxContent>
                  </v:textbox>
                </v:shape>
                <v:line id="_x0000_s1026" o:spid="_x0000_s1026" o:spt="20" style="position:absolute;left:5931;top:3214;height:0;width:705;" filled="f" stroked="t" coordsize="21600,21600" o:gfxdata="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uGZLsAAADc&#10;AAAADwAAAAAAAAABACAAAAAiAAAAZHJzL2Rvd25yZXYueG1sUEsBAhQAFAAAAAgAh07iQDMvBZ47&#10;AAAAOQAAABAAAAAAAAAAAQAgAAAACgEAAGRycy9zaGFwZXhtbC54bWxQSwUGAAAAAAYABgBbAQAA&#10;tAMAAAAA&#10;">
                  <v:fill on="f" focussize="0,0"/>
                  <v:stroke color="#000000" joinstyle="round" dashstyle="1 1" startarrow="block"/>
                  <v:imagedata o:title=""/>
                  <o:lock v:ext="edit" aspectratio="f"/>
                </v:line>
                <v:line id="_x0000_s1026" o:spid="_x0000_s1026" o:spt="20" style="position:absolute;left:5916;top:4462;flip:y;height:624;width:0;" filled="f" stroked="t" coordsize="21600,21600" o:gfxdata="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Z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49;top:4648;height:468;width:881;"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高压泵</w:t>
                        </w:r>
                      </w:p>
                    </w:txbxContent>
                  </v:textbox>
                </v:shape>
                <v:shape id="_x0000_s1026" o:spid="_x0000_s1026" o:spt="202" type="#_x0000_t202" style="position:absolute;left:5358;top:5086;height:382;width:1057;" filled="f" stroked="t" coordsize="21600,21600" o:gfxdata="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ost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jc w:val="center"/>
                        </w:pPr>
                        <w:r>
                          <w:rPr>
                            <w:rFonts w:hint="eastAsia"/>
                          </w:rPr>
                          <w:t>化水间</w:t>
                        </w:r>
                      </w:p>
                    </w:txbxContent>
                  </v:textbox>
                </v:shape>
                <v:line id="_x0000_s1026" o:spid="_x0000_s1026" o:spt="20" style="position:absolute;left:5622;top:5479;height:312;width:0;" filled="f" stroked="t" coordsize="21600,21600" o:gfxdata="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onU7sAAADc&#10;AAAADwAAAAAAAAABACAAAAAiAAAAZHJzL2Rvd25yZXYueG1sUEsBAhQAFAAAAAgAh07iQDMvBZ47&#10;AAAAOQAAABAAAAAAAAAAAQAgAAAACgEAAGRycy9zaGFwZXhtbC54bWxQSwUGAAAAAAYABgBbAQAA&#10;tAMAAAAA&#10;">
                  <v:fill on="f" focussize="0,0"/>
                  <v:stroke color="#000000" joinstyle="round" dashstyle="1 1" startarrow="block"/>
                  <v:imagedata o:title=""/>
                  <o:lock v:ext="edit" aspectratio="f"/>
                </v:line>
                <v:line id="_x0000_s1026" o:spid="_x0000_s1026" o:spt="20" style="position:absolute;left:4741;top:5787;flip:x;height:0;width:881;" filled="f" stroked="t" coordsize="21600,21600" o:gfxdata="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UmFugAAANwA&#10;AAAPAAAAAAAAAAEAIAAAACIAAABkcnMvZG93bnJldi54bWxQSwECFAAUAAAACACHTuJAMy8FnjsA&#10;AAA5AAAAEAAAAAAAAAABACAAAAAJAQAAZHJzL3NoYXBleG1sLnhtbFBLBQYAAAAABgAGAFsBAACz&#10;AwAAAAA=&#10;">
                  <v:fill on="f" focussize="0,0"/>
                  <v:stroke color="#000000" joinstyle="round" dashstyle="1 1"/>
                  <v:imagedata o:title=""/>
                  <o:lock v:ext="edit" aspectratio="f"/>
                </v:line>
                <v:line id="_x0000_s1026" o:spid="_x0000_s1026" o:spt="20" style="position:absolute;left:6210;top:5458;height:468;width: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36;top:4462;height:468;width: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636;top:4930;height:0;width:705;"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7282;top:4804;height:468;width:705;"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rPr>
                            <w:rFonts w:hint="eastAsia"/>
                          </w:rPr>
                          <w:t>灰渣</w:t>
                        </w:r>
                      </w:p>
                    </w:txbxContent>
                  </v:textbox>
                </v:shape>
                <v:line id="_x0000_s1026" o:spid="_x0000_s1026" o:spt="20" style="position:absolute;left:6812;top:3973;height:0;width:1234;"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046;top:2932;height:1872;width:529;" filled="f" stroked="t" coordsize="21600,21600" o:gfxdata="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TwS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style="layout-flow:vertical-ideographic;">
                    <w:txbxContent>
                      <w:p>
                        <w:pPr>
                          <w:jc w:val="center"/>
                        </w:pPr>
                        <w:r>
                          <w:rPr>
                            <w:rFonts w:hint="eastAsia"/>
                          </w:rPr>
                          <w:t>空 气 预 热 器</w:t>
                        </w:r>
                      </w:p>
                    </w:txbxContent>
                  </v:textbox>
                </v:shape>
                <v:line id="_x0000_s1026" o:spid="_x0000_s1026" o:spt="20" style="position:absolute;left:8575;top:3994;height:0;width:705;"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9280;top:2419;height:2376;width:950;" filled="f" stroked="t" coordsize="21600,21600" o:gfxdata="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ay6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style="layout-flow:vertical-ideographic;">
                    <w:txbxContent>
                      <w:p>
                        <w:pPr>
                          <w:jc w:val="center"/>
                        </w:pPr>
                        <w:r>
                          <w:rPr>
                            <w:rFonts w:hint="eastAsia"/>
                          </w:rPr>
                          <w:t>炉内脱硫，SCR烟气脱销</w:t>
                        </w:r>
                      </w:p>
                      <w:p>
                        <w:pPr>
                          <w:jc w:val="center"/>
                        </w:pPr>
                        <w:r>
                          <w:rPr>
                            <w:rFonts w:hint="eastAsia"/>
                          </w:rPr>
                          <w:t xml:space="preserve">布 袋 除 尘 </w:t>
                        </w:r>
                      </w:p>
                      <w:p>
                        <w:pPr>
                          <w:jc w:val="center"/>
                        </w:pPr>
                        <w:r>
                          <w:rPr>
                            <w:rFonts w:hint="eastAsia"/>
                          </w:rPr>
                          <w:t>石灰石—石膏法湿法脱硫</w:t>
                        </w:r>
                      </w:p>
                      <w:p>
                        <w:pPr>
                          <w:jc w:val="center"/>
                        </w:pPr>
                      </w:p>
                    </w:txbxContent>
                  </v:textbox>
                </v:shape>
                <v:line id="_x0000_s1026" o:spid="_x0000_s1026" o:spt="20" style="position:absolute;left:9700;top:1856;flip:y;height:468;width:0;" filled="f" stroked="t" coordsize="21600,21600" o:gfxdata="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DA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369;top:4821;height:312;width: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603;top:4819;height:312;width:0;"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369;top:5140;height:0;width:1234;"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8927;top:5146;height:468;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pStyle w:val="2"/>
        <w:ind w:left="420" w:firstLine="560"/>
        <w:rPr>
          <w:sz w:val="28"/>
          <w:szCs w:val="28"/>
          <w:u w:val="single"/>
        </w:rPr>
      </w:pPr>
    </w:p>
    <w:p>
      <w:pPr>
        <w:rPr>
          <w:rFonts w:ascii="Times New Roman" w:hAnsi="Times New Roman"/>
          <w:sz w:val="28"/>
          <w:szCs w:val="28"/>
          <w:u w:val="single"/>
        </w:rPr>
      </w:pPr>
    </w:p>
    <w:p>
      <w:pPr>
        <w:pStyle w:val="2"/>
        <w:ind w:left="420" w:firstLine="420"/>
        <w:rPr>
          <w:u w:val="single"/>
        </w:rPr>
      </w:pPr>
    </w:p>
    <w:p>
      <w:pPr>
        <w:pStyle w:val="2"/>
        <w:ind w:left="420" w:firstLine="560"/>
        <w:rPr>
          <w:sz w:val="28"/>
          <w:szCs w:val="28"/>
          <w:u w:val="single"/>
        </w:rPr>
      </w:pPr>
    </w:p>
    <w:p>
      <w:pPr>
        <w:rPr>
          <w:rFonts w:ascii="Times New Roman" w:hAnsi="Times New Roman"/>
          <w:u w:val="single"/>
        </w:rPr>
      </w:pPr>
    </w:p>
    <w:p>
      <w:pPr>
        <w:spacing w:line="520" w:lineRule="exact"/>
        <w:rPr>
          <w:rFonts w:ascii="Times New Roman" w:hAnsi="Times New Roman"/>
          <w:sz w:val="28"/>
          <w:szCs w:val="28"/>
          <w:u w:val="single"/>
        </w:rPr>
      </w:pPr>
    </w:p>
    <w:p>
      <w:pPr>
        <w:spacing w:line="520" w:lineRule="exact"/>
        <w:rPr>
          <w:rFonts w:ascii="Times New Roman" w:hAnsi="Times New Roman"/>
          <w:sz w:val="28"/>
          <w:szCs w:val="28"/>
          <w:u w:val="single"/>
        </w:rPr>
      </w:pPr>
    </w:p>
    <w:p>
      <w:pPr>
        <w:spacing w:before="240" w:beforeLines="100" w:line="460" w:lineRule="exact"/>
        <w:rPr>
          <w:rFonts w:ascii="Times New Roman" w:hAnsi="Times New Roman"/>
          <w:sz w:val="28"/>
          <w:szCs w:val="28"/>
          <w:u w:val="single"/>
        </w:rPr>
      </w:pPr>
    </w:p>
    <w:p>
      <w:pPr>
        <w:spacing w:before="240" w:beforeLines="100" w:line="460" w:lineRule="exact"/>
        <w:jc w:val="center"/>
        <w:rPr>
          <w:rFonts w:ascii="Times New Roman" w:hAnsi="Times New Roman"/>
          <w:b/>
          <w:sz w:val="24"/>
          <w:u w:val="single"/>
        </w:rPr>
      </w:pPr>
    </w:p>
    <w:p>
      <w:pPr>
        <w:spacing w:before="240" w:beforeLines="100" w:line="460" w:lineRule="exact"/>
        <w:jc w:val="center"/>
        <w:rPr>
          <w:rFonts w:ascii="Times New Roman" w:hAnsi="Times New Roman"/>
          <w:b/>
          <w:sz w:val="24"/>
          <w:u w:val="single"/>
        </w:rPr>
      </w:pPr>
      <w:r>
        <w:rPr>
          <w:rFonts w:ascii="Times New Roman" w:hAnsi="Times New Roman"/>
          <w:b/>
          <w:sz w:val="24"/>
          <w:u w:val="single"/>
        </w:rPr>
        <w:t>图2.1热电联产工程工艺流程图</w:t>
      </w:r>
    </w:p>
    <w:p>
      <w:pPr>
        <w:spacing w:line="360" w:lineRule="auto"/>
        <w:ind w:firstLine="480" w:firstLineChars="200"/>
        <w:rPr>
          <w:rFonts w:ascii="Times New Roman" w:hAnsi="Times New Roman"/>
          <w:sz w:val="24"/>
          <w:u w:val="single"/>
        </w:rPr>
      </w:pPr>
    </w:p>
    <w:p>
      <w:pPr>
        <w:spacing w:line="360" w:lineRule="auto"/>
        <w:ind w:firstLine="480" w:firstLineChars="200"/>
        <w:rPr>
          <w:rFonts w:ascii="Times New Roman" w:hAnsi="Times New Roman"/>
          <w:sz w:val="24"/>
          <w:u w:val="single"/>
        </w:rPr>
      </w:pPr>
      <w:r>
        <w:rPr>
          <w:rFonts w:ascii="Times New Roman" w:hAnsi="Times New Roman"/>
          <w:sz w:val="24"/>
          <w:u w:val="single"/>
        </w:rPr>
        <w:t>具体的工艺流程描述如下：</w:t>
      </w:r>
    </w:p>
    <w:p>
      <w:pPr>
        <w:spacing w:line="360" w:lineRule="auto"/>
        <w:ind w:firstLine="480" w:firstLineChars="200"/>
        <w:rPr>
          <w:rFonts w:ascii="Times New Roman" w:hAnsi="Times New Roman"/>
          <w:sz w:val="24"/>
          <w:u w:val="single"/>
        </w:rPr>
      </w:pPr>
      <w:r>
        <w:rPr>
          <w:rFonts w:ascii="Times New Roman" w:hAnsi="Times New Roman"/>
          <w:sz w:val="24"/>
          <w:u w:val="single"/>
        </w:rPr>
        <w:t>1） 燃料及石灰石输送</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工程锅炉的燃料为半煤半焦（煤焦混合掺烧比为不高于3:2），石油焦来源于公司的焦化装置，燃煤来自于湖南和重庆等地。本工程的煤和石油焦的主要成分如下，石灰石来自附近的石灰石矿，成品石灰粉进厂。</w:t>
      </w:r>
    </w:p>
    <w:p>
      <w:pPr>
        <w:spacing w:line="360" w:lineRule="auto"/>
        <w:ind w:firstLine="200"/>
        <w:jc w:val="center"/>
        <w:rPr>
          <w:rFonts w:ascii="Times New Roman" w:hAnsi="Times New Roman"/>
          <w:b/>
          <w:sz w:val="24"/>
          <w:u w:val="single"/>
        </w:rPr>
      </w:pPr>
    </w:p>
    <w:p>
      <w:pPr>
        <w:spacing w:line="360" w:lineRule="auto"/>
        <w:ind w:firstLine="200"/>
        <w:jc w:val="center"/>
        <w:rPr>
          <w:rFonts w:ascii="Times New Roman" w:hAnsi="Times New Roman"/>
          <w:b/>
          <w:sz w:val="24"/>
          <w:u w:val="single"/>
        </w:rPr>
      </w:pPr>
    </w:p>
    <w:p>
      <w:pPr>
        <w:spacing w:line="360" w:lineRule="auto"/>
        <w:ind w:firstLine="200"/>
        <w:jc w:val="center"/>
        <w:rPr>
          <w:rFonts w:ascii="Times New Roman" w:hAnsi="Times New Roman"/>
          <w:b/>
          <w:sz w:val="24"/>
          <w:u w:val="single"/>
        </w:rPr>
      </w:pPr>
    </w:p>
    <w:p>
      <w:pPr>
        <w:spacing w:line="360" w:lineRule="auto"/>
        <w:ind w:firstLine="200"/>
        <w:jc w:val="center"/>
        <w:rPr>
          <w:rFonts w:ascii="Times New Roman" w:hAnsi="Times New Roman"/>
          <w:b/>
          <w:bCs/>
          <w:snapToGrid w:val="0"/>
          <w:kern w:val="24"/>
          <w:sz w:val="24"/>
          <w:szCs w:val="20"/>
          <w:u w:val="single"/>
        </w:rPr>
      </w:pPr>
      <w:r>
        <w:rPr>
          <w:rFonts w:ascii="Times New Roman" w:hAnsi="Times New Roman"/>
          <w:b/>
          <w:sz w:val="24"/>
          <w:u w:val="single"/>
        </w:rPr>
        <w:t xml:space="preserve">表2.1-1   </w:t>
      </w:r>
      <w:r>
        <w:rPr>
          <w:rFonts w:ascii="Times New Roman" w:hAnsi="Times New Roman"/>
          <w:b/>
          <w:bCs/>
          <w:snapToGrid w:val="0"/>
          <w:kern w:val="24"/>
          <w:sz w:val="24"/>
          <w:szCs w:val="20"/>
          <w:u w:val="single"/>
          <w:lang w:val="zh-CN"/>
        </w:rPr>
        <w:t>工程燃煤煤质分析</w:t>
      </w:r>
    </w:p>
    <w:tbl>
      <w:tblPr>
        <w:tblStyle w:val="45"/>
        <w:tblW w:w="87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93"/>
        <w:gridCol w:w="2193"/>
        <w:gridCol w:w="2193"/>
        <w:gridCol w:w="2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项目</w:t>
            </w:r>
          </w:p>
        </w:tc>
        <w:tc>
          <w:tcPr>
            <w:tcW w:w="2193" w:type="dxa"/>
            <w:vAlign w:val="center"/>
          </w:tcPr>
          <w:p>
            <w:pPr>
              <w:jc w:val="center"/>
              <w:rPr>
                <w:rFonts w:ascii="Times New Roman" w:hAnsi="Times New Roman"/>
                <w:u w:val="single"/>
              </w:rPr>
            </w:pPr>
            <w:r>
              <w:rPr>
                <w:rFonts w:ascii="Times New Roman" w:hAnsi="Times New Roman"/>
                <w:u w:val="single"/>
              </w:rPr>
              <w:t>符号</w:t>
            </w:r>
          </w:p>
        </w:tc>
        <w:tc>
          <w:tcPr>
            <w:tcW w:w="2193" w:type="dxa"/>
            <w:vAlign w:val="center"/>
          </w:tcPr>
          <w:p>
            <w:pPr>
              <w:jc w:val="center"/>
              <w:rPr>
                <w:rFonts w:ascii="Times New Roman" w:hAnsi="Times New Roman"/>
                <w:u w:val="single"/>
              </w:rPr>
            </w:pPr>
            <w:r>
              <w:rPr>
                <w:rFonts w:ascii="Times New Roman" w:hAnsi="Times New Roman"/>
                <w:u w:val="single"/>
              </w:rPr>
              <w:t>单位</w:t>
            </w:r>
          </w:p>
        </w:tc>
        <w:tc>
          <w:tcPr>
            <w:tcW w:w="2193" w:type="dxa"/>
            <w:vAlign w:val="center"/>
          </w:tcPr>
          <w:p>
            <w:pPr>
              <w:jc w:val="center"/>
              <w:rPr>
                <w:rFonts w:ascii="Times New Roman" w:hAnsi="Times New Roman"/>
                <w:u w:val="single"/>
              </w:rPr>
            </w:pPr>
            <w:r>
              <w:rPr>
                <w:rFonts w:ascii="Times New Roman" w:hAnsi="Times New Roman"/>
                <w:u w:val="single"/>
              </w:rPr>
              <w:t>含量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水份</w:t>
            </w:r>
          </w:p>
        </w:tc>
        <w:tc>
          <w:tcPr>
            <w:tcW w:w="2193" w:type="dxa"/>
            <w:vAlign w:val="center"/>
          </w:tcPr>
          <w:p>
            <w:pPr>
              <w:jc w:val="center"/>
              <w:rPr>
                <w:rFonts w:ascii="Times New Roman" w:hAnsi="Times New Roman"/>
                <w:u w:val="single"/>
              </w:rPr>
            </w:pPr>
            <w:r>
              <w:rPr>
                <w:rFonts w:ascii="Times New Roman" w:hAnsi="Times New Roman"/>
                <w:szCs w:val="21"/>
                <w:u w:val="single"/>
              </w:rPr>
              <w:t>Mar</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u w:val="single"/>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193" w:type="dxa"/>
            <w:vAlign w:val="center"/>
          </w:tcPr>
          <w:p>
            <w:pPr>
              <w:jc w:val="center"/>
              <w:rPr>
                <w:rFonts w:ascii="Times New Roman" w:hAnsi="Times New Roman"/>
                <w:u w:val="single"/>
              </w:rPr>
            </w:pPr>
            <w:r>
              <w:rPr>
                <w:rFonts w:ascii="Times New Roman" w:hAnsi="Times New Roman"/>
                <w:u w:val="single"/>
              </w:rPr>
              <w:t>挥发份</w:t>
            </w:r>
          </w:p>
        </w:tc>
        <w:tc>
          <w:tcPr>
            <w:tcW w:w="2193" w:type="dxa"/>
            <w:vAlign w:val="center"/>
          </w:tcPr>
          <w:p>
            <w:pPr>
              <w:jc w:val="center"/>
              <w:rPr>
                <w:rFonts w:ascii="Times New Roman" w:hAnsi="Times New Roman"/>
                <w:u w:val="single"/>
              </w:rPr>
            </w:pPr>
            <w:r>
              <w:rPr>
                <w:rFonts w:ascii="Times New Roman" w:hAnsi="Times New Roman"/>
                <w:u w:val="single"/>
              </w:rPr>
              <w:t>Vdaf</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u w:val="single"/>
              </w:rPr>
              <w:t>25.87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灰份</w:t>
            </w:r>
          </w:p>
        </w:tc>
        <w:tc>
          <w:tcPr>
            <w:tcW w:w="2193" w:type="dxa"/>
            <w:vAlign w:val="center"/>
          </w:tcPr>
          <w:p>
            <w:pPr>
              <w:jc w:val="center"/>
              <w:rPr>
                <w:rFonts w:ascii="Times New Roman" w:hAnsi="Times New Roman"/>
                <w:u w:val="single"/>
              </w:rPr>
            </w:pPr>
            <w:r>
              <w:rPr>
                <w:rFonts w:ascii="Times New Roman" w:hAnsi="Times New Roman"/>
                <w:u w:val="single"/>
              </w:rPr>
              <w:t>Aar</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u w:val="single"/>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硫</w:t>
            </w:r>
          </w:p>
        </w:tc>
        <w:tc>
          <w:tcPr>
            <w:tcW w:w="2193" w:type="dxa"/>
            <w:vAlign w:val="center"/>
          </w:tcPr>
          <w:p>
            <w:pPr>
              <w:jc w:val="center"/>
              <w:rPr>
                <w:rFonts w:ascii="Times New Roman" w:hAnsi="Times New Roman"/>
                <w:u w:val="single"/>
              </w:rPr>
            </w:pPr>
            <w:r>
              <w:rPr>
                <w:rFonts w:ascii="Times New Roman" w:hAnsi="Times New Roman"/>
                <w:u w:val="single"/>
              </w:rPr>
              <w:t>St.ar</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u w:val="single"/>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低位发热量</w:t>
            </w:r>
          </w:p>
        </w:tc>
        <w:tc>
          <w:tcPr>
            <w:tcW w:w="2193" w:type="dxa"/>
            <w:vAlign w:val="center"/>
          </w:tcPr>
          <w:p>
            <w:pPr>
              <w:jc w:val="center"/>
              <w:rPr>
                <w:rFonts w:ascii="Times New Roman" w:hAnsi="Times New Roman"/>
                <w:u w:val="single"/>
              </w:rPr>
            </w:pPr>
            <w:r>
              <w:rPr>
                <w:rFonts w:ascii="Times New Roman" w:hAnsi="Times New Roman"/>
                <w:u w:val="single"/>
              </w:rPr>
              <w:t>Qar.net</w:t>
            </w:r>
          </w:p>
        </w:tc>
        <w:tc>
          <w:tcPr>
            <w:tcW w:w="2193" w:type="dxa"/>
            <w:vAlign w:val="center"/>
          </w:tcPr>
          <w:p>
            <w:pPr>
              <w:jc w:val="center"/>
              <w:rPr>
                <w:rFonts w:ascii="Times New Roman" w:hAnsi="Times New Roman"/>
                <w:u w:val="single"/>
              </w:rPr>
            </w:pPr>
            <w:r>
              <w:rPr>
                <w:rFonts w:ascii="Times New Roman" w:hAnsi="Times New Roman"/>
                <w:szCs w:val="21"/>
                <w:u w:val="single"/>
              </w:rPr>
              <w:t>MJ</w:t>
            </w:r>
            <w:r>
              <w:rPr>
                <w:rFonts w:ascii="Times New Roman" w:hAnsi="Times New Roman"/>
                <w:u w:val="single"/>
              </w:rPr>
              <w:t xml:space="preserve"> /kg</w:t>
            </w:r>
          </w:p>
        </w:tc>
        <w:tc>
          <w:tcPr>
            <w:tcW w:w="2193" w:type="dxa"/>
            <w:vAlign w:val="center"/>
          </w:tcPr>
          <w:p>
            <w:pPr>
              <w:jc w:val="center"/>
              <w:rPr>
                <w:rFonts w:ascii="Times New Roman" w:hAnsi="Times New Roman"/>
                <w:u w:val="single"/>
              </w:rPr>
            </w:pPr>
            <w:r>
              <w:rPr>
                <w:rFonts w:ascii="Times New Roman" w:hAnsi="Times New Roman"/>
                <w:u w:val="single"/>
              </w:rPr>
              <w:t>22.693</w:t>
            </w:r>
          </w:p>
        </w:tc>
      </w:tr>
    </w:tbl>
    <w:p>
      <w:pPr>
        <w:spacing w:line="360" w:lineRule="auto"/>
        <w:ind w:firstLine="540"/>
        <w:jc w:val="center"/>
        <w:rPr>
          <w:rFonts w:ascii="Times New Roman" w:hAnsi="Times New Roman"/>
          <w:sz w:val="24"/>
          <w:u w:val="single"/>
        </w:rPr>
      </w:pPr>
    </w:p>
    <w:p>
      <w:pPr>
        <w:spacing w:line="360" w:lineRule="auto"/>
        <w:ind w:firstLine="540"/>
        <w:jc w:val="center"/>
        <w:rPr>
          <w:rFonts w:ascii="Times New Roman" w:hAnsi="Times New Roman"/>
          <w:b/>
          <w:bCs/>
          <w:snapToGrid w:val="0"/>
          <w:kern w:val="24"/>
          <w:sz w:val="24"/>
          <w:szCs w:val="20"/>
          <w:u w:val="single"/>
        </w:rPr>
      </w:pPr>
      <w:r>
        <w:rPr>
          <w:rFonts w:ascii="Times New Roman" w:hAnsi="Times New Roman"/>
          <w:b/>
          <w:sz w:val="24"/>
          <w:u w:val="single"/>
        </w:rPr>
        <w:t>表2.1-2</w:t>
      </w:r>
      <w:r>
        <w:rPr>
          <w:rFonts w:ascii="Times New Roman" w:hAnsi="Times New Roman"/>
          <w:b/>
          <w:bCs/>
          <w:snapToGrid w:val="0"/>
          <w:kern w:val="24"/>
          <w:sz w:val="24"/>
          <w:szCs w:val="20"/>
          <w:u w:val="single"/>
          <w:lang w:val="zh-CN"/>
        </w:rPr>
        <w:t>工程燃石油焦焦质分析</w:t>
      </w:r>
    </w:p>
    <w:tbl>
      <w:tblPr>
        <w:tblStyle w:val="45"/>
        <w:tblW w:w="87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93"/>
        <w:gridCol w:w="2193"/>
        <w:gridCol w:w="2193"/>
        <w:gridCol w:w="2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项目</w:t>
            </w:r>
          </w:p>
        </w:tc>
        <w:tc>
          <w:tcPr>
            <w:tcW w:w="2193" w:type="dxa"/>
            <w:vAlign w:val="center"/>
          </w:tcPr>
          <w:p>
            <w:pPr>
              <w:jc w:val="center"/>
              <w:rPr>
                <w:rFonts w:ascii="Times New Roman" w:hAnsi="Times New Roman"/>
                <w:u w:val="single"/>
              </w:rPr>
            </w:pPr>
            <w:r>
              <w:rPr>
                <w:rFonts w:ascii="Times New Roman" w:hAnsi="Times New Roman"/>
                <w:u w:val="single"/>
              </w:rPr>
              <w:t>符号</w:t>
            </w:r>
          </w:p>
        </w:tc>
        <w:tc>
          <w:tcPr>
            <w:tcW w:w="2193" w:type="dxa"/>
            <w:vAlign w:val="center"/>
          </w:tcPr>
          <w:p>
            <w:pPr>
              <w:jc w:val="center"/>
              <w:rPr>
                <w:rFonts w:ascii="Times New Roman" w:hAnsi="Times New Roman"/>
                <w:u w:val="single"/>
              </w:rPr>
            </w:pPr>
            <w:r>
              <w:rPr>
                <w:rFonts w:ascii="Times New Roman" w:hAnsi="Times New Roman"/>
                <w:u w:val="single"/>
              </w:rPr>
              <w:t>单位</w:t>
            </w:r>
          </w:p>
        </w:tc>
        <w:tc>
          <w:tcPr>
            <w:tcW w:w="2193" w:type="dxa"/>
            <w:vAlign w:val="center"/>
          </w:tcPr>
          <w:p>
            <w:pPr>
              <w:jc w:val="center"/>
              <w:rPr>
                <w:rFonts w:ascii="Times New Roman" w:hAnsi="Times New Roman"/>
                <w:u w:val="single"/>
              </w:rPr>
            </w:pPr>
            <w:r>
              <w:rPr>
                <w:rFonts w:ascii="Times New Roman" w:hAnsi="Times New Roman"/>
                <w:u w:val="single"/>
              </w:rPr>
              <w:t>含量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水份</w:t>
            </w:r>
          </w:p>
        </w:tc>
        <w:tc>
          <w:tcPr>
            <w:tcW w:w="2193" w:type="dxa"/>
            <w:vAlign w:val="center"/>
          </w:tcPr>
          <w:p>
            <w:pPr>
              <w:jc w:val="center"/>
              <w:rPr>
                <w:rFonts w:ascii="Times New Roman" w:hAnsi="Times New Roman"/>
                <w:u w:val="single"/>
              </w:rPr>
            </w:pPr>
            <w:r>
              <w:rPr>
                <w:rFonts w:ascii="Times New Roman" w:hAnsi="Times New Roman"/>
                <w:szCs w:val="21"/>
                <w:u w:val="single"/>
              </w:rPr>
              <w:t>Mar</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szCs w:val="21"/>
                <w:u w:val="single"/>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挥发份</w:t>
            </w:r>
          </w:p>
        </w:tc>
        <w:tc>
          <w:tcPr>
            <w:tcW w:w="2193" w:type="dxa"/>
            <w:vAlign w:val="center"/>
          </w:tcPr>
          <w:p>
            <w:pPr>
              <w:jc w:val="center"/>
              <w:rPr>
                <w:rFonts w:ascii="Times New Roman" w:hAnsi="Times New Roman"/>
                <w:u w:val="single"/>
              </w:rPr>
            </w:pPr>
            <w:r>
              <w:rPr>
                <w:rFonts w:ascii="Times New Roman" w:hAnsi="Times New Roman"/>
                <w:u w:val="single"/>
              </w:rPr>
              <w:t>Vdaf</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szCs w:val="21"/>
                <w:u w:val="single"/>
              </w:rPr>
              <w:t>13.04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灰份</w:t>
            </w:r>
          </w:p>
        </w:tc>
        <w:tc>
          <w:tcPr>
            <w:tcW w:w="2193" w:type="dxa"/>
            <w:vAlign w:val="center"/>
          </w:tcPr>
          <w:p>
            <w:pPr>
              <w:jc w:val="center"/>
              <w:rPr>
                <w:rFonts w:ascii="Times New Roman" w:hAnsi="Times New Roman"/>
                <w:u w:val="single"/>
              </w:rPr>
            </w:pPr>
            <w:r>
              <w:rPr>
                <w:rFonts w:ascii="Times New Roman" w:hAnsi="Times New Roman"/>
                <w:u w:val="single"/>
              </w:rPr>
              <w:t>Aar</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szCs w:val="21"/>
                <w:u w:val="single"/>
              </w:rPr>
              <w:t>22.47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硫</w:t>
            </w:r>
          </w:p>
        </w:tc>
        <w:tc>
          <w:tcPr>
            <w:tcW w:w="2193" w:type="dxa"/>
            <w:vAlign w:val="center"/>
          </w:tcPr>
          <w:p>
            <w:pPr>
              <w:jc w:val="center"/>
              <w:rPr>
                <w:rFonts w:ascii="Times New Roman" w:hAnsi="Times New Roman"/>
                <w:u w:val="single"/>
              </w:rPr>
            </w:pPr>
            <w:r>
              <w:rPr>
                <w:rFonts w:ascii="Times New Roman" w:hAnsi="Times New Roman"/>
                <w:u w:val="single"/>
              </w:rPr>
              <w:t>St.ar</w:t>
            </w:r>
          </w:p>
        </w:tc>
        <w:tc>
          <w:tcPr>
            <w:tcW w:w="2193" w:type="dxa"/>
            <w:vAlign w:val="center"/>
          </w:tcPr>
          <w:p>
            <w:pPr>
              <w:jc w:val="center"/>
              <w:rPr>
                <w:rFonts w:ascii="Times New Roman" w:hAnsi="Times New Roman"/>
                <w:u w:val="single"/>
              </w:rPr>
            </w:pPr>
            <w:r>
              <w:rPr>
                <w:rFonts w:ascii="Times New Roman" w:hAnsi="Times New Roman"/>
                <w:u w:val="single"/>
              </w:rPr>
              <w:t>%</w:t>
            </w:r>
          </w:p>
        </w:tc>
        <w:tc>
          <w:tcPr>
            <w:tcW w:w="2193" w:type="dxa"/>
            <w:vAlign w:val="center"/>
          </w:tcPr>
          <w:p>
            <w:pPr>
              <w:jc w:val="center"/>
              <w:rPr>
                <w:rFonts w:ascii="Times New Roman" w:hAnsi="Times New Roman"/>
                <w:u w:val="single"/>
              </w:rPr>
            </w:pPr>
            <w:r>
              <w:rPr>
                <w:rFonts w:ascii="Times New Roman" w:hAnsi="Times New Roman"/>
                <w:szCs w:val="21"/>
                <w:u w:val="single"/>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193" w:type="dxa"/>
            <w:vAlign w:val="center"/>
          </w:tcPr>
          <w:p>
            <w:pPr>
              <w:jc w:val="center"/>
              <w:rPr>
                <w:rFonts w:ascii="Times New Roman" w:hAnsi="Times New Roman"/>
                <w:u w:val="single"/>
              </w:rPr>
            </w:pPr>
            <w:r>
              <w:rPr>
                <w:rFonts w:ascii="Times New Roman" w:hAnsi="Times New Roman"/>
                <w:u w:val="single"/>
              </w:rPr>
              <w:t>低位发热量</w:t>
            </w:r>
          </w:p>
        </w:tc>
        <w:tc>
          <w:tcPr>
            <w:tcW w:w="2193" w:type="dxa"/>
            <w:vAlign w:val="center"/>
          </w:tcPr>
          <w:p>
            <w:pPr>
              <w:jc w:val="center"/>
              <w:rPr>
                <w:rFonts w:ascii="Times New Roman" w:hAnsi="Times New Roman"/>
                <w:u w:val="single"/>
              </w:rPr>
            </w:pPr>
            <w:r>
              <w:rPr>
                <w:rFonts w:ascii="Times New Roman" w:hAnsi="Times New Roman"/>
                <w:u w:val="single"/>
              </w:rPr>
              <w:t>Qar.net</w:t>
            </w:r>
          </w:p>
        </w:tc>
        <w:tc>
          <w:tcPr>
            <w:tcW w:w="2193" w:type="dxa"/>
            <w:vAlign w:val="center"/>
          </w:tcPr>
          <w:p>
            <w:pPr>
              <w:jc w:val="center"/>
              <w:rPr>
                <w:rFonts w:ascii="Times New Roman" w:hAnsi="Times New Roman"/>
                <w:u w:val="single"/>
              </w:rPr>
            </w:pPr>
            <w:r>
              <w:rPr>
                <w:rFonts w:ascii="Times New Roman" w:hAnsi="Times New Roman"/>
                <w:szCs w:val="21"/>
                <w:u w:val="single"/>
              </w:rPr>
              <w:t>MJ</w:t>
            </w:r>
            <w:r>
              <w:rPr>
                <w:rFonts w:ascii="Times New Roman" w:hAnsi="Times New Roman"/>
                <w:u w:val="single"/>
              </w:rPr>
              <w:t xml:space="preserve"> /kg</w:t>
            </w:r>
          </w:p>
        </w:tc>
        <w:tc>
          <w:tcPr>
            <w:tcW w:w="2193" w:type="dxa"/>
            <w:vAlign w:val="center"/>
          </w:tcPr>
          <w:p>
            <w:pPr>
              <w:jc w:val="center"/>
              <w:rPr>
                <w:rFonts w:ascii="Times New Roman" w:hAnsi="Times New Roman"/>
                <w:u w:val="single"/>
              </w:rPr>
            </w:pPr>
            <w:r>
              <w:rPr>
                <w:rFonts w:ascii="Times New Roman" w:hAnsi="Times New Roman"/>
                <w:szCs w:val="21"/>
                <w:u w:val="single"/>
              </w:rPr>
              <w:t>23.648</w:t>
            </w:r>
          </w:p>
        </w:tc>
      </w:tr>
    </w:tbl>
    <w:p>
      <w:pPr>
        <w:rPr>
          <w:rFonts w:ascii="Times New Roman" w:hAnsi="Times New Roman"/>
          <w:b/>
          <w:bCs/>
          <w:snapToGrid w:val="0"/>
          <w:kern w:val="24"/>
          <w:sz w:val="24"/>
          <w:szCs w:val="20"/>
          <w:u w:val="single"/>
          <w:lang w:val="zh-CN"/>
        </w:rPr>
      </w:pPr>
      <w:r>
        <w:rPr>
          <w:rFonts w:ascii="Times New Roman" w:hAnsi="Times New Roman"/>
          <w:b/>
          <w:bCs/>
          <w:snapToGrid w:val="0"/>
          <w:kern w:val="24"/>
          <w:szCs w:val="21"/>
          <w:u w:val="single"/>
          <w:lang w:val="zh-CN"/>
        </w:rPr>
        <w:t>注：*本表格数据由企业提供，且以后的原料煤和石油</w:t>
      </w:r>
      <w:r>
        <w:rPr>
          <w:rFonts w:ascii="Times New Roman" w:hAnsi="Times New Roman"/>
          <w:b/>
          <w:bCs/>
          <w:snapToGrid w:val="0"/>
          <w:kern w:val="24"/>
          <w:szCs w:val="21"/>
          <w:u w:val="single"/>
        </w:rPr>
        <w:t>焦</w:t>
      </w:r>
      <w:r>
        <w:rPr>
          <w:rFonts w:ascii="Times New Roman" w:hAnsi="Times New Roman"/>
          <w:b/>
          <w:bCs/>
          <w:snapToGrid w:val="0"/>
          <w:kern w:val="24"/>
          <w:szCs w:val="21"/>
          <w:u w:val="single"/>
          <w:lang w:val="zh-CN"/>
        </w:rPr>
        <w:t>成分基本保持不变。</w:t>
      </w:r>
    </w:p>
    <w:p>
      <w:pPr>
        <w:spacing w:line="360" w:lineRule="auto"/>
        <w:ind w:firstLine="540"/>
        <w:jc w:val="center"/>
        <w:rPr>
          <w:rFonts w:ascii="Times New Roman" w:hAnsi="Times New Roman"/>
          <w:b/>
          <w:sz w:val="24"/>
          <w:u w:val="single"/>
        </w:rPr>
      </w:pPr>
    </w:p>
    <w:p>
      <w:pPr>
        <w:spacing w:line="360" w:lineRule="auto"/>
        <w:ind w:firstLine="540"/>
        <w:jc w:val="center"/>
        <w:rPr>
          <w:rFonts w:ascii="Times New Roman" w:hAnsi="Times New Roman"/>
          <w:sz w:val="24"/>
          <w:u w:val="single"/>
        </w:rPr>
      </w:pPr>
      <w:r>
        <w:rPr>
          <w:rFonts w:ascii="Times New Roman" w:hAnsi="Times New Roman"/>
          <w:b/>
          <w:sz w:val="24"/>
          <w:u w:val="single"/>
        </w:rPr>
        <w:t>表2.1-3  原料及辅助材料消耗量</w:t>
      </w:r>
    </w:p>
    <w:tbl>
      <w:tblPr>
        <w:tblStyle w:val="45"/>
        <w:tblW w:w="86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0"/>
        <w:gridCol w:w="1979"/>
        <w:gridCol w:w="1960"/>
        <w:gridCol w:w="975"/>
        <w:gridCol w:w="1125"/>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623" w:type="dxa"/>
            <w:gridSpan w:val="6"/>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1</w:t>
            </w:r>
            <w:r>
              <w:rPr>
                <w:rFonts w:ascii="Times New Roman" w:hAnsi="Times New Roman"/>
                <w:szCs w:val="21"/>
                <w:u w:val="single"/>
                <w:vertAlign w:val="superscript"/>
              </w:rPr>
              <w:t>#</w:t>
            </w:r>
            <w:r>
              <w:rPr>
                <w:rFonts w:ascii="Times New Roman" w:hAnsi="Times New Roman"/>
                <w:szCs w:val="21"/>
                <w:u w:val="single"/>
              </w:rPr>
              <w:t>CFB锅炉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30" w:type="dxa"/>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序号</w:t>
            </w:r>
          </w:p>
        </w:tc>
        <w:tc>
          <w:tcPr>
            <w:tcW w:w="1979" w:type="dxa"/>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原辅材料</w:t>
            </w:r>
          </w:p>
        </w:tc>
        <w:tc>
          <w:tcPr>
            <w:tcW w:w="2935" w:type="dxa"/>
            <w:gridSpan w:val="2"/>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100%石油焦工况消耗量</w:t>
            </w:r>
          </w:p>
        </w:tc>
        <w:tc>
          <w:tcPr>
            <w:tcW w:w="2779" w:type="dxa"/>
            <w:gridSpan w:val="2"/>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50%石油焦+50%煤工况消耗量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9" w:hRule="atLeast"/>
          <w:jc w:val="center"/>
        </w:trPr>
        <w:tc>
          <w:tcPr>
            <w:tcW w:w="93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1</w:t>
            </w:r>
          </w:p>
        </w:tc>
        <w:tc>
          <w:tcPr>
            <w:tcW w:w="1979" w:type="dxa"/>
            <w:tcBorders>
              <w:tl2br w:val="nil"/>
              <w:tr2bl w:val="nil"/>
            </w:tcBorders>
          </w:tcPr>
          <w:p>
            <w:pPr>
              <w:jc w:val="center"/>
              <w:rPr>
                <w:rFonts w:ascii="Times New Roman" w:hAnsi="Times New Roman"/>
                <w:szCs w:val="21"/>
                <w:u w:val="single"/>
              </w:rPr>
            </w:pPr>
            <w:r>
              <w:rPr>
                <w:rFonts w:ascii="Times New Roman" w:hAnsi="Times New Roman"/>
                <w:szCs w:val="21"/>
                <w:u w:val="single"/>
              </w:rPr>
              <w:t>石油焦</w:t>
            </w:r>
          </w:p>
        </w:tc>
        <w:tc>
          <w:tcPr>
            <w:tcW w:w="2935"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21.3t/h</w:t>
            </w:r>
          </w:p>
        </w:tc>
        <w:tc>
          <w:tcPr>
            <w:tcW w:w="2779"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13.3t/h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93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2</w:t>
            </w:r>
          </w:p>
        </w:tc>
        <w:tc>
          <w:tcPr>
            <w:tcW w:w="1979" w:type="dxa"/>
            <w:tcBorders>
              <w:tl2br w:val="nil"/>
              <w:tr2bl w:val="nil"/>
            </w:tcBorders>
          </w:tcPr>
          <w:p>
            <w:pPr>
              <w:jc w:val="center"/>
              <w:rPr>
                <w:rFonts w:ascii="Times New Roman" w:hAnsi="Times New Roman"/>
                <w:szCs w:val="21"/>
                <w:u w:val="single"/>
              </w:rPr>
            </w:pPr>
            <w:r>
              <w:rPr>
                <w:rFonts w:ascii="Times New Roman" w:hAnsi="Times New Roman"/>
                <w:szCs w:val="21"/>
                <w:u w:val="single"/>
              </w:rPr>
              <w:t>煤</w:t>
            </w:r>
          </w:p>
        </w:tc>
        <w:tc>
          <w:tcPr>
            <w:tcW w:w="2935"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0</w:t>
            </w:r>
          </w:p>
        </w:tc>
        <w:tc>
          <w:tcPr>
            <w:tcW w:w="2779"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13.3t/h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3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3</w:t>
            </w:r>
          </w:p>
        </w:tc>
        <w:tc>
          <w:tcPr>
            <w:tcW w:w="1979" w:type="dxa"/>
            <w:tcBorders>
              <w:tl2br w:val="nil"/>
              <w:tr2bl w:val="nil"/>
            </w:tcBorders>
          </w:tcPr>
          <w:p>
            <w:pPr>
              <w:jc w:val="center"/>
              <w:rPr>
                <w:rFonts w:ascii="Times New Roman" w:hAnsi="Times New Roman"/>
                <w:szCs w:val="21"/>
                <w:u w:val="single"/>
              </w:rPr>
            </w:pPr>
            <w:r>
              <w:rPr>
                <w:rFonts w:ascii="Times New Roman" w:hAnsi="Times New Roman"/>
                <w:szCs w:val="21"/>
                <w:u w:val="single"/>
              </w:rPr>
              <w:t>石灰石</w:t>
            </w:r>
          </w:p>
        </w:tc>
        <w:tc>
          <w:tcPr>
            <w:tcW w:w="2935"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5.2t/h</w:t>
            </w:r>
          </w:p>
        </w:tc>
        <w:tc>
          <w:tcPr>
            <w:tcW w:w="2779"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4.5t/h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623" w:type="dxa"/>
            <w:gridSpan w:val="6"/>
            <w:tcBorders>
              <w:tl2br w:val="nil"/>
              <w:tr2bl w:val="nil"/>
            </w:tcBorders>
            <w:shd w:val="clear" w:color="auto" w:fill="auto"/>
          </w:tcPr>
          <w:p>
            <w:pPr>
              <w:jc w:val="center"/>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vertAlign w:val="superscript"/>
              </w:rPr>
              <w:t>#</w:t>
            </w:r>
            <w:r>
              <w:rPr>
                <w:rFonts w:ascii="Times New Roman" w:hAnsi="Times New Roman"/>
                <w:szCs w:val="21"/>
                <w:u w:val="single"/>
              </w:rPr>
              <w:t>CFB锅炉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30" w:type="dxa"/>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序号</w:t>
            </w:r>
          </w:p>
        </w:tc>
        <w:tc>
          <w:tcPr>
            <w:tcW w:w="1979" w:type="dxa"/>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原辅材料</w:t>
            </w:r>
          </w:p>
        </w:tc>
        <w:tc>
          <w:tcPr>
            <w:tcW w:w="1960" w:type="dxa"/>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100%石油焦</w:t>
            </w:r>
          </w:p>
        </w:tc>
        <w:tc>
          <w:tcPr>
            <w:tcW w:w="2100" w:type="dxa"/>
            <w:gridSpan w:val="2"/>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50%石油焦+50%煤</w:t>
            </w:r>
          </w:p>
        </w:tc>
        <w:tc>
          <w:tcPr>
            <w:tcW w:w="1654" w:type="dxa"/>
            <w:tcBorders>
              <w:tl2br w:val="nil"/>
              <w:tr2bl w:val="nil"/>
            </w:tcBorders>
            <w:shd w:val="clear" w:color="auto" w:fill="auto"/>
            <w:vAlign w:val="center"/>
          </w:tcPr>
          <w:p>
            <w:pPr>
              <w:jc w:val="center"/>
              <w:rPr>
                <w:rFonts w:ascii="Times New Roman" w:hAnsi="Times New Roman"/>
                <w:szCs w:val="21"/>
                <w:u w:val="single"/>
              </w:rPr>
            </w:pPr>
            <w:r>
              <w:rPr>
                <w:rFonts w:ascii="Times New Roman" w:hAnsi="Times New Roman"/>
                <w:szCs w:val="21"/>
                <w:u w:val="single"/>
              </w:rPr>
              <w:t>100%煤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3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1</w:t>
            </w:r>
          </w:p>
        </w:tc>
        <w:tc>
          <w:tcPr>
            <w:tcW w:w="1979" w:type="dxa"/>
            <w:tcBorders>
              <w:tl2br w:val="nil"/>
              <w:tr2bl w:val="nil"/>
            </w:tcBorders>
          </w:tcPr>
          <w:p>
            <w:pPr>
              <w:jc w:val="center"/>
              <w:rPr>
                <w:rFonts w:ascii="Times New Roman" w:hAnsi="Times New Roman"/>
                <w:szCs w:val="21"/>
                <w:u w:val="single"/>
              </w:rPr>
            </w:pPr>
            <w:r>
              <w:rPr>
                <w:rFonts w:ascii="Times New Roman" w:hAnsi="Times New Roman"/>
                <w:szCs w:val="21"/>
                <w:u w:val="single"/>
              </w:rPr>
              <w:t>石油焦</w:t>
            </w:r>
          </w:p>
        </w:tc>
        <w:tc>
          <w:tcPr>
            <w:tcW w:w="196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21.3t/h</w:t>
            </w:r>
          </w:p>
        </w:tc>
        <w:tc>
          <w:tcPr>
            <w:tcW w:w="2100"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12.74t/h</w:t>
            </w:r>
          </w:p>
        </w:tc>
        <w:tc>
          <w:tcPr>
            <w:tcW w:w="1654" w:type="dxa"/>
            <w:tcBorders>
              <w:tl2br w:val="nil"/>
              <w:tr2bl w:val="nil"/>
            </w:tcBorders>
          </w:tcPr>
          <w:p>
            <w:pPr>
              <w:jc w:val="center"/>
              <w:rPr>
                <w:rFonts w:ascii="Times New Roman" w:hAnsi="Times New Roman"/>
                <w:szCs w:val="21"/>
                <w:u w:val="single"/>
              </w:rPr>
            </w:pPr>
            <w:r>
              <w:rPr>
                <w:rFonts w:ascii="Times New Roman" w:hAnsi="Times New Roman"/>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3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2</w:t>
            </w:r>
          </w:p>
        </w:tc>
        <w:tc>
          <w:tcPr>
            <w:tcW w:w="1979" w:type="dxa"/>
            <w:tcBorders>
              <w:tl2br w:val="nil"/>
              <w:tr2bl w:val="nil"/>
            </w:tcBorders>
          </w:tcPr>
          <w:p>
            <w:pPr>
              <w:jc w:val="center"/>
              <w:rPr>
                <w:rFonts w:ascii="Times New Roman" w:hAnsi="Times New Roman"/>
                <w:szCs w:val="21"/>
                <w:u w:val="single"/>
              </w:rPr>
            </w:pPr>
            <w:r>
              <w:rPr>
                <w:rFonts w:ascii="Times New Roman" w:hAnsi="Times New Roman"/>
                <w:szCs w:val="21"/>
                <w:u w:val="single"/>
              </w:rPr>
              <w:t>煤</w:t>
            </w:r>
          </w:p>
        </w:tc>
        <w:tc>
          <w:tcPr>
            <w:tcW w:w="196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0</w:t>
            </w:r>
          </w:p>
        </w:tc>
        <w:tc>
          <w:tcPr>
            <w:tcW w:w="2100"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12.74t/h</w:t>
            </w:r>
          </w:p>
        </w:tc>
        <w:tc>
          <w:tcPr>
            <w:tcW w:w="1654" w:type="dxa"/>
            <w:tcBorders>
              <w:tl2br w:val="nil"/>
              <w:tr2bl w:val="nil"/>
            </w:tcBorders>
          </w:tcPr>
          <w:p>
            <w:pPr>
              <w:jc w:val="center"/>
              <w:rPr>
                <w:rFonts w:ascii="Times New Roman" w:hAnsi="Times New Roman"/>
                <w:szCs w:val="21"/>
                <w:u w:val="single"/>
              </w:rPr>
            </w:pPr>
            <w:r>
              <w:rPr>
                <w:rFonts w:ascii="Times New Roman" w:hAnsi="Times New Roman"/>
                <w:szCs w:val="21"/>
                <w:u w:val="single"/>
              </w:rPr>
              <w:t>31.76 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3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3</w:t>
            </w:r>
          </w:p>
        </w:tc>
        <w:tc>
          <w:tcPr>
            <w:tcW w:w="1979" w:type="dxa"/>
            <w:tcBorders>
              <w:tl2br w:val="nil"/>
              <w:tr2bl w:val="nil"/>
            </w:tcBorders>
          </w:tcPr>
          <w:p>
            <w:pPr>
              <w:jc w:val="center"/>
              <w:rPr>
                <w:rFonts w:ascii="Times New Roman" w:hAnsi="Times New Roman"/>
                <w:szCs w:val="21"/>
                <w:u w:val="single"/>
              </w:rPr>
            </w:pPr>
            <w:r>
              <w:rPr>
                <w:rFonts w:ascii="Times New Roman" w:hAnsi="Times New Roman"/>
                <w:szCs w:val="21"/>
                <w:u w:val="single"/>
              </w:rPr>
              <w:t>石灰石</w:t>
            </w:r>
          </w:p>
        </w:tc>
        <w:tc>
          <w:tcPr>
            <w:tcW w:w="1960" w:type="dxa"/>
            <w:tcBorders>
              <w:tl2br w:val="nil"/>
              <w:tr2bl w:val="nil"/>
            </w:tcBorders>
          </w:tcPr>
          <w:p>
            <w:pPr>
              <w:jc w:val="center"/>
              <w:rPr>
                <w:rFonts w:ascii="Times New Roman" w:hAnsi="Times New Roman"/>
                <w:szCs w:val="21"/>
                <w:u w:val="single"/>
              </w:rPr>
            </w:pPr>
            <w:r>
              <w:rPr>
                <w:rFonts w:ascii="Times New Roman" w:hAnsi="Times New Roman"/>
                <w:szCs w:val="21"/>
                <w:u w:val="single"/>
              </w:rPr>
              <w:t>5.05t/h</w:t>
            </w:r>
          </w:p>
        </w:tc>
        <w:tc>
          <w:tcPr>
            <w:tcW w:w="2100" w:type="dxa"/>
            <w:gridSpan w:val="2"/>
            <w:tcBorders>
              <w:tl2br w:val="nil"/>
              <w:tr2bl w:val="nil"/>
            </w:tcBorders>
          </w:tcPr>
          <w:p>
            <w:pPr>
              <w:jc w:val="center"/>
              <w:rPr>
                <w:rFonts w:ascii="Times New Roman" w:hAnsi="Times New Roman"/>
                <w:szCs w:val="21"/>
                <w:u w:val="single"/>
              </w:rPr>
            </w:pPr>
            <w:r>
              <w:rPr>
                <w:rFonts w:ascii="Times New Roman" w:hAnsi="Times New Roman"/>
                <w:szCs w:val="21"/>
                <w:u w:val="single"/>
              </w:rPr>
              <w:t>4.24t/h</w:t>
            </w:r>
          </w:p>
        </w:tc>
        <w:tc>
          <w:tcPr>
            <w:tcW w:w="1654" w:type="dxa"/>
            <w:tcBorders>
              <w:tl2br w:val="nil"/>
              <w:tr2bl w:val="nil"/>
            </w:tcBorders>
          </w:tcPr>
          <w:p>
            <w:pPr>
              <w:jc w:val="center"/>
              <w:rPr>
                <w:rFonts w:ascii="Times New Roman" w:hAnsi="Times New Roman"/>
                <w:szCs w:val="21"/>
                <w:u w:val="single"/>
              </w:rPr>
            </w:pPr>
            <w:r>
              <w:rPr>
                <w:rFonts w:ascii="Times New Roman" w:hAnsi="Times New Roman"/>
                <w:szCs w:val="21"/>
                <w:u w:val="single"/>
              </w:rPr>
              <w:t>3.02 t/h</w:t>
            </w:r>
          </w:p>
        </w:tc>
      </w:tr>
    </w:tbl>
    <w:p>
      <w:pPr>
        <w:tabs>
          <w:tab w:val="left" w:pos="5505"/>
        </w:tabs>
        <w:spacing w:line="360" w:lineRule="auto"/>
        <w:ind w:firstLine="480" w:firstLineChars="200"/>
        <w:rPr>
          <w:rFonts w:ascii="Times New Roman" w:hAnsi="Times New Roman"/>
          <w:sz w:val="24"/>
          <w:u w:val="single"/>
        </w:rPr>
      </w:pP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由于CFB锅炉对入炉燃料的粒度有比较严格的要求，因此厂内燃料输送系统中设有一级破碎处理，用圆振动筛和带筛网的环锤式破碎机进行一次筛分和破碎，使其粒度小于1.0mm，以确保入炉燃料满足锅炉的要求。石油焦由皮带输送至炉前石油焦仓，经称重式全封闭给料机计量后送入锅炉风力播煤装置，由风力送入炉膛。</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2）燃烧系统</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在890℃左右的床温下，空气与燃料、石灰石在炉膛内密相区充分混合，燃料着火燃烧释放出部分热量，石灰石煅烧形成CO</w:t>
      </w:r>
      <w:r>
        <w:rPr>
          <w:rFonts w:ascii="Times New Roman" w:hAnsi="Times New Roman"/>
          <w:sz w:val="24"/>
          <w:u w:val="single"/>
          <w:vertAlign w:val="subscript"/>
        </w:rPr>
        <w:t>2</w:t>
      </w:r>
      <w:r>
        <w:rPr>
          <w:rFonts w:ascii="Times New Roman" w:hAnsi="Times New Roman"/>
          <w:sz w:val="24"/>
          <w:u w:val="single"/>
        </w:rPr>
        <w:t>和CaO，未燃尽的石油焦粒和煤粒被烟气带进炉膛上部稀相区进一步燃烧，同时CaO与燃烧生成的SO</w:t>
      </w:r>
      <w:r>
        <w:rPr>
          <w:rFonts w:ascii="Times New Roman" w:hAnsi="Times New Roman"/>
          <w:sz w:val="24"/>
          <w:u w:val="single"/>
          <w:vertAlign w:val="subscript"/>
        </w:rPr>
        <w:t>2</w:t>
      </w:r>
      <w:r>
        <w:rPr>
          <w:rFonts w:ascii="Times New Roman" w:hAnsi="Times New Roman"/>
          <w:sz w:val="24"/>
          <w:u w:val="single"/>
        </w:rPr>
        <w:t>反应生成CaSO</w:t>
      </w:r>
      <w:r>
        <w:rPr>
          <w:rFonts w:ascii="Times New Roman" w:hAnsi="Times New Roman"/>
          <w:sz w:val="24"/>
          <w:u w:val="single"/>
          <w:vertAlign w:val="subscript"/>
        </w:rPr>
        <w:t>4</w:t>
      </w:r>
      <w:r>
        <w:rPr>
          <w:rFonts w:ascii="Times New Roman" w:hAnsi="Times New Roman"/>
          <w:sz w:val="24"/>
          <w:u w:val="single"/>
        </w:rPr>
        <w:t>，从而实现烟气的炉内脱硫。</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燃烧产生的烟气携带大量的燃料经设在炉顶的多个小口径高效旋风分离器进行气固分离，分离后含少量飞灰的烟气进入炉后竖井，与布置其中的高温过热器、低温过热器、空气预热器进行热交换，烟气温度降至140℃左右。烟气进入布袋除尘器除尘，干灰由气力输灰系统送至飞灰库，烟气通过风机送入烟囱排放至大气中。</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高效旋风分离器收集下来的的较粗颗粒的未燃尽物料沿回料管直接进入炉膛密相区，循环再燃烧，形成物料的循环回路。炉渣由炉底一根落地渣管落至冷渣器，冷渣器采用间接水冷方式，水与渣不直接接触，渣经冷却后由机械链条送至渣库。</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3）风烟系统</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一次风系统：风机消声→一次风机→暖风器→空气预热器→一次风道→风箱→布风板→炉膛；</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二次风系统：风机消声→二次风机→暖风器→空气预热器→二次风母管→喷咀→炉膛；</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锅炉烟气系统：炉膛→高温分离器→高温过热器→低温过热器→省煤器→空气预热器→布袋除尘器→引风机→烟囱。</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4）热力系统</w:t>
      </w:r>
    </w:p>
    <w:p>
      <w:pPr>
        <w:tabs>
          <w:tab w:val="left" w:pos="5505"/>
        </w:tabs>
        <w:spacing w:line="360" w:lineRule="auto"/>
        <w:ind w:firstLine="480" w:firstLineChars="200"/>
        <w:rPr>
          <w:rFonts w:ascii="Times New Roman" w:hAnsi="Times New Roman"/>
          <w:sz w:val="24"/>
          <w:u w:val="single"/>
        </w:rPr>
      </w:pPr>
      <w:r>
        <w:rPr>
          <w:rFonts w:ascii="Times New Roman" w:hAnsi="Times New Roman"/>
          <w:sz w:val="24"/>
          <w:u w:val="single"/>
        </w:rPr>
        <w:t>工程热力系统分为主蒸汽系统和供热蒸汽系统。主蒸汽系统采用集中分段母管制系统，由各锅炉来的高压蒸汽进入主蒸汽母管，至汽轮机发电；供热蒸汽系统为中压蒸汽和低压蒸汽，均为集中母管制，中低压蒸汽通过母管分别接入厂区热力网相应的供热管道，向全厂提供生产用蒸汽。在主蒸汽母管和中低压蒸汽母管间用减温减压器联接，保证热电厂在汽轮发电机组因故障停机时能连续对外供热。</w:t>
      </w:r>
    </w:p>
    <w:p>
      <w:pPr>
        <w:adjustRightInd w:val="0"/>
        <w:spacing w:line="360" w:lineRule="auto"/>
        <w:ind w:firstLine="480" w:firstLineChars="200"/>
        <w:rPr>
          <w:rFonts w:ascii="Times New Roman" w:hAnsi="Times New Roman"/>
          <w:sz w:val="24"/>
          <w:u w:val="single"/>
        </w:rPr>
      </w:pPr>
      <w:r>
        <w:rPr>
          <w:rFonts w:ascii="Times New Roman" w:hAnsi="Times New Roman"/>
          <w:sz w:val="24"/>
          <w:u w:val="single"/>
        </w:rPr>
        <w:t>5）热电部2台260t/hCFB循环流化床锅炉现有环保设施</w:t>
      </w:r>
    </w:p>
    <w:p>
      <w:pPr>
        <w:adjustRightInd w:val="0"/>
        <w:spacing w:line="360" w:lineRule="auto"/>
        <w:ind w:firstLine="480" w:firstLineChars="200"/>
        <w:rPr>
          <w:rFonts w:ascii="Times New Roman" w:hAnsi="Times New Roman"/>
          <w:sz w:val="24"/>
          <w:u w:val="single"/>
        </w:rPr>
      </w:pPr>
      <w:r>
        <w:rPr>
          <w:rFonts w:ascii="Times New Roman" w:hAnsi="Times New Roman"/>
          <w:bCs/>
          <w:sz w:val="24"/>
          <w:u w:val="single"/>
        </w:rPr>
        <w:fldChar w:fldCharType="begin"/>
      </w:r>
      <w:r>
        <w:rPr>
          <w:rFonts w:ascii="Times New Roman" w:hAnsi="Times New Roman"/>
          <w:bCs/>
          <w:sz w:val="24"/>
          <w:u w:val="single"/>
        </w:rPr>
        <w:instrText xml:space="preserve"> = 1 \* GB3 </w:instrText>
      </w:r>
      <w:r>
        <w:rPr>
          <w:rFonts w:ascii="Times New Roman" w:hAnsi="Times New Roman"/>
          <w:bCs/>
          <w:sz w:val="24"/>
          <w:u w:val="single"/>
        </w:rPr>
        <w:fldChar w:fldCharType="separate"/>
      </w:r>
      <w:r>
        <w:rPr>
          <w:rFonts w:ascii="Times New Roman" w:hAnsi="Times New Roman"/>
          <w:bCs/>
          <w:sz w:val="24"/>
          <w:u w:val="single"/>
        </w:rPr>
        <w:t>①</w:t>
      </w:r>
      <w:r>
        <w:rPr>
          <w:rFonts w:ascii="Times New Roman" w:hAnsi="Times New Roman"/>
          <w:bCs/>
          <w:sz w:val="24"/>
          <w:u w:val="single"/>
        </w:rPr>
        <w:fldChar w:fldCharType="end"/>
      </w:r>
      <w:r>
        <w:rPr>
          <w:rFonts w:ascii="Times New Roman" w:hAnsi="Times New Roman"/>
          <w:sz w:val="24"/>
          <w:u w:val="single"/>
        </w:rPr>
        <w:t>废气处理系统</w:t>
      </w:r>
    </w:p>
    <w:p>
      <w:pPr>
        <w:adjustRightInd w:val="0"/>
        <w:spacing w:line="360" w:lineRule="auto"/>
        <w:ind w:firstLine="480" w:firstLineChars="200"/>
        <w:rPr>
          <w:rFonts w:ascii="Times New Roman" w:hAnsi="Times New Roman"/>
          <w:bCs/>
          <w:sz w:val="24"/>
          <w:u w:val="single"/>
        </w:rPr>
      </w:pPr>
      <w:r>
        <w:rPr>
          <w:rFonts w:ascii="Times New Roman" w:hAnsi="Times New Roman"/>
          <w:sz w:val="24"/>
          <w:u w:val="single"/>
        </w:rPr>
        <w:t>2台260t/hCFB循环流化床锅炉，每台锅炉配置2台离心式引风机（配内反馈串级调速电机），1台分室定位反吹式袋式除尘器，其烟气经燃烧炉炉内脱硫后经SCR脱硝反应器、布袋除尘后进入脱硫塔湿法脱硫并经脱硫塔烟囱（100m）高空排放。</w:t>
      </w:r>
    </w:p>
    <w:p>
      <w:pPr>
        <w:adjustRightInd w:val="0"/>
        <w:spacing w:line="360" w:lineRule="auto"/>
        <w:ind w:firstLine="480" w:firstLineChars="200"/>
        <w:rPr>
          <w:rFonts w:ascii="Times New Roman" w:hAnsi="Times New Roman"/>
          <w:bCs/>
          <w:sz w:val="24"/>
          <w:u w:val="single"/>
        </w:rPr>
      </w:pPr>
      <w:r>
        <w:rPr>
          <w:rFonts w:ascii="Times New Roman" w:hAnsi="Times New Roman"/>
          <w:bCs/>
          <w:sz w:val="24"/>
          <w:u w:val="single"/>
        </w:rPr>
        <w:fldChar w:fldCharType="begin"/>
      </w:r>
      <w:r>
        <w:rPr>
          <w:rFonts w:ascii="Times New Roman" w:hAnsi="Times New Roman"/>
          <w:bCs/>
          <w:sz w:val="24"/>
          <w:u w:val="single"/>
        </w:rPr>
        <w:instrText xml:space="preserve"> = 2 \* GB3 </w:instrText>
      </w:r>
      <w:r>
        <w:rPr>
          <w:rFonts w:ascii="Times New Roman" w:hAnsi="Times New Roman"/>
          <w:bCs/>
          <w:sz w:val="24"/>
          <w:u w:val="single"/>
        </w:rPr>
        <w:fldChar w:fldCharType="separate"/>
      </w:r>
      <w:r>
        <w:rPr>
          <w:rFonts w:ascii="Times New Roman" w:hAnsi="Times New Roman"/>
          <w:bCs/>
          <w:sz w:val="24"/>
          <w:u w:val="single"/>
        </w:rPr>
        <w:t>②</w:t>
      </w:r>
      <w:r>
        <w:rPr>
          <w:rFonts w:ascii="Times New Roman" w:hAnsi="Times New Roman"/>
          <w:bCs/>
          <w:sz w:val="24"/>
          <w:u w:val="single"/>
        </w:rPr>
        <w:fldChar w:fldCharType="end"/>
      </w:r>
      <w:r>
        <w:rPr>
          <w:rFonts w:ascii="Times New Roman" w:hAnsi="Times New Roman"/>
          <w:bCs/>
          <w:sz w:val="24"/>
          <w:u w:val="single"/>
        </w:rPr>
        <w:t>废水处理系统</w:t>
      </w:r>
    </w:p>
    <w:p>
      <w:pPr>
        <w:pStyle w:val="301"/>
        <w:rPr>
          <w:rFonts w:ascii="Times New Roman" w:hAnsi="Times New Roman"/>
          <w:bCs/>
          <w:color w:val="auto"/>
          <w:u w:val="single"/>
        </w:rPr>
      </w:pPr>
      <w:r>
        <w:rPr>
          <w:rFonts w:ascii="Times New Roman" w:hAnsi="Times New Roman"/>
          <w:bCs/>
          <w:color w:val="auto"/>
          <w:u w:val="single"/>
        </w:rPr>
        <w:t>本项目废水为CFB锅炉排污水与CFB烟脱废水，CFB锅炉排污水与CFB烟脱废水均进污水处理厂含盐污水处理系统。</w:t>
      </w:r>
    </w:p>
    <w:p>
      <w:pPr>
        <w:pStyle w:val="301"/>
        <w:rPr>
          <w:rFonts w:ascii="Times New Roman" w:hAnsi="Times New Roman"/>
          <w:bCs/>
          <w:color w:val="auto"/>
          <w:u w:val="single"/>
        </w:rPr>
      </w:pPr>
      <w:r>
        <w:rPr>
          <w:rFonts w:ascii="Times New Roman" w:hAnsi="Times New Roman"/>
          <w:bCs/>
          <w:color w:val="auto"/>
          <w:u w:val="single"/>
        </w:rPr>
        <w:fldChar w:fldCharType="begin"/>
      </w:r>
      <w:r>
        <w:rPr>
          <w:rFonts w:ascii="Times New Roman" w:hAnsi="Times New Roman"/>
          <w:bCs/>
          <w:color w:val="auto"/>
          <w:u w:val="single"/>
        </w:rPr>
        <w:instrText xml:space="preserve"> = 3 \* GB3 </w:instrText>
      </w:r>
      <w:r>
        <w:rPr>
          <w:rFonts w:ascii="Times New Roman" w:hAnsi="Times New Roman"/>
          <w:bCs/>
          <w:color w:val="auto"/>
          <w:u w:val="single"/>
        </w:rPr>
        <w:fldChar w:fldCharType="separate"/>
      </w:r>
      <w:r>
        <w:rPr>
          <w:rFonts w:ascii="Times New Roman" w:hAnsi="Times New Roman"/>
          <w:bCs/>
          <w:color w:val="auto"/>
          <w:u w:val="single"/>
        </w:rPr>
        <w:t>③</w:t>
      </w:r>
      <w:r>
        <w:rPr>
          <w:rFonts w:ascii="Times New Roman" w:hAnsi="Times New Roman"/>
          <w:bCs/>
          <w:color w:val="auto"/>
          <w:u w:val="single"/>
        </w:rPr>
        <w:fldChar w:fldCharType="end"/>
      </w:r>
      <w:r>
        <w:rPr>
          <w:rFonts w:ascii="Times New Roman" w:hAnsi="Times New Roman"/>
          <w:bCs/>
          <w:color w:val="auto"/>
          <w:u w:val="single"/>
        </w:rPr>
        <w:t>固体废物收集及处置</w:t>
      </w:r>
    </w:p>
    <w:p>
      <w:pPr>
        <w:spacing w:line="360" w:lineRule="auto"/>
        <w:ind w:firstLine="556" w:firstLineChars="232"/>
        <w:rPr>
          <w:rFonts w:ascii="Times New Roman" w:hAnsi="Times New Roman"/>
          <w:bCs/>
          <w:sz w:val="24"/>
          <w:u w:val="single"/>
        </w:rPr>
      </w:pPr>
      <w:r>
        <w:rPr>
          <w:rFonts w:ascii="Times New Roman" w:hAnsi="Times New Roman"/>
          <w:bCs/>
          <w:sz w:val="24"/>
          <w:u w:val="single"/>
        </w:rPr>
        <w:t>根据固体废物属性，一般工业固体废物，可回收的则进行回收处置；除尘飞灰、炉膛底灰和锅炉燃烧后产生的炉渣、炉灰、石膏均进行综合利用。</w:t>
      </w:r>
    </w:p>
    <w:bookmarkEnd w:id="150"/>
    <w:bookmarkEnd w:id="151"/>
    <w:bookmarkEnd w:id="152"/>
    <w:bookmarkEnd w:id="153"/>
    <w:bookmarkEnd w:id="154"/>
    <w:bookmarkEnd w:id="155"/>
    <w:bookmarkEnd w:id="156"/>
    <w:p>
      <w:pPr>
        <w:pStyle w:val="6"/>
        <w:numPr>
          <w:ilvl w:val="1"/>
          <w:numId w:val="0"/>
        </w:numPr>
        <w:tabs>
          <w:tab w:val="left" w:pos="-3900"/>
        </w:tabs>
        <w:wordWrap w:val="0"/>
        <w:spacing w:before="120" w:after="120"/>
      </w:pPr>
      <w:bookmarkStart w:id="157" w:name="_Toc10831"/>
      <w:bookmarkStart w:id="158" w:name="_Toc16149"/>
      <w:bookmarkStart w:id="159" w:name="_Toc486403321"/>
      <w:r>
        <w:t>2.2 2019年CFB锅炉污染物排放情况及污染防治措施</w:t>
      </w:r>
      <w:bookmarkEnd w:id="157"/>
      <w:bookmarkEnd w:id="158"/>
      <w:bookmarkEnd w:id="159"/>
    </w:p>
    <w:p>
      <w:pPr>
        <w:spacing w:line="360" w:lineRule="auto"/>
        <w:ind w:firstLine="480" w:firstLineChars="200"/>
        <w:rPr>
          <w:rFonts w:ascii="Times New Roman" w:hAnsi="Times New Roman"/>
          <w:u w:val="single"/>
        </w:rPr>
      </w:pPr>
      <w:r>
        <w:rPr>
          <w:rFonts w:ascii="Times New Roman" w:hAnsi="Times New Roman"/>
          <w:kern w:val="0"/>
          <w:sz w:val="24"/>
          <w:szCs w:val="24"/>
          <w:u w:val="single"/>
        </w:rPr>
        <w:t>长岭石化现有2台HM260-9.8/540-A循环流化床锅炉，燃料为煤和石油焦。2019年全年用煤量为158120.1吨，石油焦用量为80792.66吨。CFB锅炉烟气</w:t>
      </w:r>
      <w:r>
        <w:rPr>
          <w:rFonts w:ascii="Times New Roman" w:hAnsi="Times New Roman"/>
          <w:sz w:val="24"/>
          <w:szCs w:val="24"/>
          <w:u w:val="single"/>
        </w:rPr>
        <w:t>经燃烧炉炉内脱硫后经SCR脱硝反应器、布袋除尘后进入脱硫塔湿法脱硫并经脱硫塔烟囱（100m）高空排放。热电部循环流化床（CFB）锅炉烟气脱硫脱硝除尘设施项目于2014年通过岳阳市生态环境局环评审批，岳环评[2014]7号。2017年通过岳阳市生态环境局验收审批，岳环评验[2017]7号。</w:t>
      </w:r>
    </w:p>
    <w:p>
      <w:pPr>
        <w:pStyle w:val="281"/>
        <w:tabs>
          <w:tab w:val="left" w:pos="3600"/>
        </w:tabs>
        <w:spacing w:line="360" w:lineRule="auto"/>
        <w:ind w:firstLine="0"/>
        <w:outlineLvl w:val="3"/>
        <w:rPr>
          <w:rFonts w:ascii="Times New Roman" w:hAnsi="Times New Roman" w:cs="Times New Roman"/>
          <w:kern w:val="0"/>
          <w:sz w:val="24"/>
          <w:szCs w:val="24"/>
          <w:u w:val="single"/>
        </w:rPr>
      </w:pPr>
      <w:r>
        <w:rPr>
          <w:rFonts w:ascii="Times New Roman" w:hAnsi="Times New Roman" w:cs="Times New Roman"/>
          <w:kern w:val="0"/>
          <w:sz w:val="24"/>
          <w:szCs w:val="24"/>
          <w:u w:val="single"/>
        </w:rPr>
        <w:t>2.2.1 CFB锅炉情况介绍</w:t>
      </w:r>
    </w:p>
    <w:p>
      <w:pPr>
        <w:pStyle w:val="259"/>
        <w:spacing w:line="360" w:lineRule="auto"/>
        <w:ind w:firstLine="480"/>
        <w:rPr>
          <w:rFonts w:ascii="Times New Roman" w:hAnsi="Times New Roman" w:cs="Times New Roman"/>
          <w:szCs w:val="24"/>
          <w:u w:val="single"/>
        </w:rPr>
      </w:pPr>
      <w:r>
        <w:rPr>
          <w:rFonts w:ascii="Times New Roman" w:hAnsi="Times New Roman" w:cs="Times New Roman"/>
          <w:kern w:val="0"/>
          <w:szCs w:val="24"/>
          <w:u w:val="single"/>
        </w:rPr>
        <w:t>长岭石化现有2台HM260-9.8/540-A循环流化床锅炉，</w:t>
      </w:r>
      <w:r>
        <w:rPr>
          <w:rFonts w:ascii="Times New Roman" w:hAnsi="Times New Roman" w:cs="Times New Roman"/>
          <w:szCs w:val="24"/>
          <w:u w:val="single"/>
        </w:rPr>
        <w:t>是由烟台现代冰轮重工有限公司设计并制造的循环流化床锅炉，其型式为单炉膛、单汽包、无中间再热、自然循环、平衡通风、双高温绝热旋风分离器，全钢架M型露天布置、高温高压循环流化床锅炉。</w:t>
      </w:r>
    </w:p>
    <w:p>
      <w:pPr>
        <w:pStyle w:val="259"/>
        <w:spacing w:line="360" w:lineRule="auto"/>
        <w:ind w:firstLine="480"/>
        <w:rPr>
          <w:rFonts w:ascii="Times New Roman" w:hAnsi="Times New Roman" w:cs="Times New Roman"/>
          <w:kern w:val="0"/>
          <w:szCs w:val="24"/>
          <w:u w:val="single"/>
        </w:rPr>
      </w:pPr>
      <w:r>
        <w:rPr>
          <w:rFonts w:ascii="Times New Roman" w:hAnsi="Times New Roman" w:cs="Times New Roman"/>
          <w:szCs w:val="24"/>
          <w:u w:val="single"/>
        </w:rPr>
        <w:t>长岭分公司CFB锅炉温度、燃料停留时间、掺烧物料均符合上述流化床锅炉规定，此工艺路线可行。</w:t>
      </w:r>
    </w:p>
    <w:p>
      <w:pPr>
        <w:pStyle w:val="259"/>
        <w:spacing w:line="360" w:lineRule="auto"/>
        <w:ind w:firstLine="480"/>
        <w:rPr>
          <w:rFonts w:ascii="Times New Roman" w:hAnsi="Times New Roman" w:cs="Times New Roman"/>
          <w:szCs w:val="24"/>
          <w:u w:val="single"/>
        </w:rPr>
      </w:pPr>
      <w:r>
        <w:rPr>
          <w:rFonts w:ascii="Times New Roman" w:hAnsi="Times New Roman" w:cs="Times New Roman"/>
          <w:szCs w:val="24"/>
          <w:u w:val="single"/>
        </w:rPr>
        <w:t>锅炉由全膜式水冷壁炉膛、水冷布风板、两个高温绝热旋风分离器、非机械式返料U阀和尾部对流受热面等组成。在炉膛下部密相还原区布置有4个燃料进口、8个石灰石进料口、2个旋风分离器回料进口和27个二次风喷嘴；在炉膛底部敷焊密抓钉的水冷壁以及水冷布风板上敷设了厚度为80mm和（200～207）mm的整体浇注耐磨耐火衬里；在炉膛上部，与前墙垂直布置有4片水冷蒸发屏和6片翼屏过热器；在尾部竖井烟道内从上至下布置有高温过热器、低温过热器、非沸腾式光管省煤器、二次风空气预热器、一次风空气预热器；高温过热器和低温过热器四周及顶棚烟道是由膜式壁围成的包墙过热器；在低温过热器和翼屏过热器及翼屏过热器和高温过热器之间分别布置有Ⅰ级和Ⅱ级文丘利喷水减温器。Ⅰ、Ⅱ级喷水减温器上分别布置1套气动调节减温调节阀组；通过喷水减温器自动调节过热汽温度，使其控制在安全和规定的范围之内。</w:t>
      </w:r>
    </w:p>
    <w:p>
      <w:pPr>
        <w:pStyle w:val="259"/>
        <w:spacing w:line="360" w:lineRule="auto"/>
        <w:ind w:firstLine="480"/>
        <w:rPr>
          <w:rFonts w:ascii="Times New Roman" w:hAnsi="Times New Roman" w:cs="Times New Roman"/>
          <w:szCs w:val="24"/>
          <w:u w:val="single"/>
        </w:rPr>
      </w:pPr>
      <w:r>
        <w:rPr>
          <w:rFonts w:ascii="Times New Roman" w:hAnsi="Times New Roman" w:cs="Times New Roman"/>
          <w:szCs w:val="24"/>
          <w:u w:val="single"/>
        </w:rPr>
        <w:t>锅炉燃料以高硫石油焦以及外购烟煤为主，辅助平衡装置瓦斯，床上启动燃烧器以0＃柴油为燃料。在锅炉炉膛内加入合格的石灰石粉，进行炉内脱硫，烟气先经布袋除尘器除尘，尾部增加吸收塔进行湿法脱硫；高低温省煤器间增加脱硝模块，并喷入氨气降低NOx含量，以降低污染物排放。</w:t>
      </w:r>
    </w:p>
    <w:p>
      <w:pPr>
        <w:pStyle w:val="281"/>
        <w:tabs>
          <w:tab w:val="left" w:pos="3600"/>
        </w:tabs>
        <w:spacing w:line="360" w:lineRule="auto"/>
        <w:ind w:firstLine="0"/>
        <w:outlineLvl w:val="3"/>
        <w:rPr>
          <w:rFonts w:ascii="Times New Roman" w:hAnsi="Times New Roman" w:cs="Times New Roman"/>
          <w:kern w:val="0"/>
          <w:sz w:val="24"/>
          <w:szCs w:val="24"/>
          <w:u w:val="single"/>
        </w:rPr>
      </w:pPr>
      <w:r>
        <w:rPr>
          <w:rFonts w:ascii="Times New Roman" w:hAnsi="Times New Roman" w:cs="Times New Roman"/>
          <w:sz w:val="24"/>
          <w:szCs w:val="24"/>
          <w:u w:val="single"/>
        </w:rPr>
        <w:t xml:space="preserve">2.2.2 </w:t>
      </w:r>
      <w:r>
        <w:rPr>
          <w:rFonts w:ascii="Times New Roman" w:hAnsi="Times New Roman" w:cs="Times New Roman"/>
          <w:kern w:val="0"/>
          <w:sz w:val="24"/>
          <w:szCs w:val="24"/>
          <w:u w:val="single"/>
        </w:rPr>
        <w:t xml:space="preserve"> CFB锅炉脱硫、脱硝项目</w:t>
      </w:r>
    </w:p>
    <w:p>
      <w:pPr>
        <w:pStyle w:val="112"/>
        <w:ind w:firstLine="480"/>
        <w:rPr>
          <w:rFonts w:ascii="Times New Roman" w:hAnsi="Times New Roman"/>
          <w:u w:val="single"/>
        </w:rPr>
      </w:pPr>
      <w:r>
        <w:rPr>
          <w:rFonts w:ascii="Times New Roman" w:hAnsi="Times New Roman"/>
          <w:u w:val="single"/>
        </w:rPr>
        <w:t>2015年，2台CFB锅炉经过脱硫脱硝改造，2017年超低排放改造，目前达到超低排放要求。</w:t>
      </w:r>
    </w:p>
    <w:p>
      <w:pPr>
        <w:spacing w:line="360" w:lineRule="auto"/>
        <w:ind w:firstLine="360" w:firstLineChars="150"/>
        <w:rPr>
          <w:rFonts w:ascii="Times New Roman" w:hAnsi="Times New Roman"/>
          <w:sz w:val="24"/>
          <w:u w:val="single"/>
        </w:rPr>
      </w:pPr>
      <w:r>
        <w:rPr>
          <w:rFonts w:ascii="Times New Roman" w:hAnsi="Times New Roman"/>
          <w:sz w:val="24"/>
          <w:u w:val="single"/>
        </w:rPr>
        <w:t>脱硫：</w:t>
      </w:r>
      <w:r>
        <w:rPr>
          <w:rFonts w:ascii="Times New Roman" w:hAnsi="Times New Roman"/>
          <w:sz w:val="24"/>
          <w:szCs w:val="24"/>
          <w:u w:val="single"/>
        </w:rPr>
        <w:t>石灰石炉内脱硫系统主要由石灰石气力输送系统、炉前石灰石计量给料系统和电气及自动化控制系统三部分组成。</w:t>
      </w:r>
      <w:r>
        <w:rPr>
          <w:rFonts w:ascii="Times New Roman" w:hAnsi="Times New Roman"/>
          <w:sz w:val="24"/>
          <w:u w:val="single"/>
        </w:rPr>
        <w:t>CFB炉烟气经炉内脱硫.布袋除尘和通过脱硫塔降尘脱硫后再由脱硫塔烟囱排放。</w:t>
      </w:r>
    </w:p>
    <w:p>
      <w:pPr>
        <w:pStyle w:val="112"/>
        <w:ind w:firstLine="480"/>
        <w:rPr>
          <w:rFonts w:ascii="Times New Roman" w:hAnsi="Times New Roman"/>
          <w:u w:val="single"/>
        </w:rPr>
      </w:pPr>
      <w:r>
        <w:rPr>
          <w:rFonts w:ascii="Times New Roman" w:hAnsi="Times New Roman"/>
          <w:u w:val="single"/>
        </w:rPr>
        <w:t>脱硝：采用氨法脱硝的SCR工艺成熟。项目完成后现有CFB锅炉的氮氧化物排放可稳定达标，满足《火电厂大气污染物排放标准》GB 13223-2011表1排放限值、《全面实施燃煤电厂超低排放和节能改造工作方案》要求。</w:t>
      </w:r>
    </w:p>
    <w:p>
      <w:pPr>
        <w:pStyle w:val="112"/>
        <w:ind w:firstLine="480"/>
        <w:rPr>
          <w:rFonts w:ascii="Times New Roman" w:hAnsi="Times New Roman"/>
          <w:u w:val="single"/>
        </w:rPr>
      </w:pPr>
      <w:r>
        <w:rPr>
          <w:rFonts w:ascii="Times New Roman" w:hAnsi="Times New Roman"/>
          <w:u w:val="single"/>
        </w:rPr>
        <w:t>项目于2014年2月通过岳阳市生态环境局环评审批，2017年2月通过岳阳市生态环境局验收审批。项目完成后现有CFB锅炉的二氧化硫、氮氧化物排放可稳定达标，满足《火电厂大气污染物排放标准》GB 13223-2011表1排放限值的要求、《全面实施燃煤电厂超低排放和节能改造工作方案》要求。</w:t>
      </w:r>
    </w:p>
    <w:p>
      <w:pPr>
        <w:pStyle w:val="281"/>
        <w:tabs>
          <w:tab w:val="left" w:pos="3600"/>
        </w:tabs>
        <w:spacing w:line="360" w:lineRule="auto"/>
        <w:ind w:firstLine="241" w:firstLineChars="100"/>
        <w:outlineLvl w:val="3"/>
        <w:rPr>
          <w:rFonts w:ascii="Times New Roman" w:hAnsi="Times New Roman" w:cs="Times New Roman"/>
          <w:kern w:val="0"/>
          <w:sz w:val="24"/>
          <w:szCs w:val="24"/>
        </w:rPr>
      </w:pPr>
      <w:r>
        <w:rPr>
          <w:rFonts w:ascii="Times New Roman" w:hAnsi="Times New Roman" w:cs="Times New Roman"/>
          <w:kern w:val="0"/>
          <w:sz w:val="24"/>
          <w:szCs w:val="24"/>
        </w:rPr>
        <w:t>2.2.3 CFB锅炉2019年污染物排放情况</w:t>
      </w:r>
    </w:p>
    <w:p>
      <w:pPr>
        <w:spacing w:line="360" w:lineRule="auto"/>
        <w:ind w:right="-113" w:firstLine="504" w:firstLineChars="200"/>
        <w:jc w:val="left"/>
        <w:rPr>
          <w:rFonts w:ascii="Times New Roman" w:hAnsi="Times New Roman"/>
          <w:spacing w:val="6"/>
          <w:kern w:val="0"/>
          <w:sz w:val="24"/>
          <w:szCs w:val="24"/>
        </w:rPr>
      </w:pPr>
      <w:r>
        <w:rPr>
          <w:rFonts w:ascii="Times New Roman" w:hAnsi="Times New Roman"/>
          <w:spacing w:val="6"/>
          <w:kern w:val="0"/>
          <w:sz w:val="24"/>
          <w:szCs w:val="24"/>
        </w:rPr>
        <w:t>根据企业提供的烟气在线监测数据，2019年不掺烧时的燃烧污染物汇总表如下：</w:t>
      </w:r>
    </w:p>
    <w:p>
      <w:pPr>
        <w:snapToGrid w:val="0"/>
        <w:spacing w:line="360" w:lineRule="auto"/>
        <w:jc w:val="center"/>
        <w:rPr>
          <w:rFonts w:ascii="Times New Roman" w:hAnsi="Times New Roman"/>
          <w:b/>
          <w:bCs/>
          <w:sz w:val="24"/>
        </w:rPr>
      </w:pPr>
      <w:r>
        <w:rPr>
          <w:rFonts w:ascii="Times New Roman" w:hAnsi="Times New Roman"/>
          <w:b/>
          <w:bCs/>
          <w:sz w:val="24"/>
        </w:rPr>
        <w:t>表</w:t>
      </w:r>
      <w:r>
        <w:rPr>
          <w:rFonts w:ascii="Times New Roman" w:hAnsi="Times New Roman"/>
          <w:sz w:val="24"/>
        </w:rPr>
        <w:t>2.2.3-1</w:t>
      </w:r>
      <w:r>
        <w:rPr>
          <w:rFonts w:ascii="Times New Roman" w:hAnsi="Times New Roman"/>
          <w:b/>
          <w:bCs/>
          <w:sz w:val="24"/>
        </w:rPr>
        <w:t xml:space="preserve"> 不掺烧时的燃烧污染物汇总表</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3"/>
        <w:gridCol w:w="148"/>
        <w:gridCol w:w="119"/>
        <w:gridCol w:w="432"/>
        <w:gridCol w:w="426"/>
        <w:gridCol w:w="312"/>
        <w:gridCol w:w="1291"/>
        <w:gridCol w:w="636"/>
        <w:gridCol w:w="147"/>
        <w:gridCol w:w="1128"/>
        <w:gridCol w:w="583"/>
        <w:gridCol w:w="435"/>
        <w:gridCol w:w="77"/>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5000" w:type="pct"/>
            <w:gridSpan w:val="14"/>
            <w:vAlign w:val="center"/>
          </w:tcPr>
          <w:p>
            <w:pPr>
              <w:snapToGrid w:val="0"/>
              <w:spacing w:before="12" w:beforeLines="5" w:after="12" w:afterLines="5" w:line="240" w:lineRule="exact"/>
              <w:jc w:val="center"/>
              <w:rPr>
                <w:rFonts w:ascii="Times New Roman" w:hAnsi="Times New Roman"/>
                <w:sz w:val="24"/>
                <w:u w:val="single"/>
              </w:rPr>
            </w:pPr>
            <w:r>
              <w:rPr>
                <w:rFonts w:ascii="Times New Roman" w:hAnsi="Times New Roman"/>
                <w:b/>
                <w:bCs/>
                <w:sz w:val="24"/>
                <w:u w:val="single"/>
              </w:rPr>
              <w:t>大气污染物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ind w:right="-113"/>
              <w:jc w:val="center"/>
              <w:rPr>
                <w:rFonts w:ascii="Times New Roman" w:hAnsi="Times New Roman"/>
                <w:szCs w:val="21"/>
                <w:u w:val="single"/>
              </w:rPr>
            </w:pPr>
            <w:r>
              <w:rPr>
                <w:rFonts w:ascii="Times New Roman" w:hAnsi="Times New Roman"/>
                <w:b/>
                <w:spacing w:val="6"/>
                <w:kern w:val="0"/>
                <w:szCs w:val="21"/>
              </w:rPr>
              <w:t>污染因子</w:t>
            </w:r>
          </w:p>
        </w:tc>
        <w:tc>
          <w:tcPr>
            <w:tcW w:w="1443" w:type="pct"/>
            <w:gridSpan w:val="4"/>
            <w:vAlign w:val="center"/>
          </w:tcPr>
          <w:p>
            <w:pPr>
              <w:ind w:right="-113"/>
              <w:jc w:val="center"/>
              <w:rPr>
                <w:rFonts w:ascii="Times New Roman" w:hAnsi="Times New Roman"/>
                <w:szCs w:val="21"/>
                <w:u w:val="single"/>
              </w:rPr>
            </w:pPr>
            <w:r>
              <w:rPr>
                <w:rFonts w:ascii="Times New Roman" w:hAnsi="Times New Roman"/>
                <w:b/>
                <w:spacing w:val="6"/>
                <w:kern w:val="0"/>
                <w:szCs w:val="21"/>
              </w:rPr>
              <w:t>排放浓度（mg/m</w:t>
            </w:r>
            <w:r>
              <w:rPr>
                <w:rFonts w:ascii="Times New Roman" w:hAnsi="Times New Roman"/>
                <w:b/>
                <w:spacing w:val="6"/>
                <w:kern w:val="0"/>
                <w:szCs w:val="21"/>
                <w:vertAlign w:val="superscript"/>
              </w:rPr>
              <w:t>3</w:t>
            </w:r>
            <w:r>
              <w:rPr>
                <w:rFonts w:ascii="Times New Roman" w:hAnsi="Times New Roman"/>
                <w:b/>
                <w:spacing w:val="6"/>
                <w:kern w:val="0"/>
                <w:szCs w:val="21"/>
              </w:rPr>
              <w:t>）</w:t>
            </w:r>
          </w:p>
        </w:tc>
        <w:tc>
          <w:tcPr>
            <w:tcW w:w="1462" w:type="pct"/>
            <w:gridSpan w:val="4"/>
            <w:vAlign w:val="center"/>
          </w:tcPr>
          <w:p>
            <w:pPr>
              <w:ind w:right="-113"/>
              <w:jc w:val="center"/>
              <w:rPr>
                <w:rFonts w:ascii="Times New Roman" w:hAnsi="Times New Roman"/>
                <w:szCs w:val="21"/>
                <w:u w:val="single"/>
              </w:rPr>
            </w:pPr>
            <w:r>
              <w:rPr>
                <w:rFonts w:ascii="Times New Roman" w:hAnsi="Times New Roman"/>
                <w:b/>
                <w:spacing w:val="6"/>
                <w:kern w:val="0"/>
                <w:szCs w:val="21"/>
              </w:rPr>
              <w:t>排放速率（kg/h）</w:t>
            </w:r>
          </w:p>
        </w:tc>
        <w:tc>
          <w:tcPr>
            <w:tcW w:w="1120" w:type="pct"/>
            <w:gridSpan w:val="3"/>
            <w:vAlign w:val="center"/>
          </w:tcPr>
          <w:p>
            <w:pPr>
              <w:ind w:right="-113"/>
              <w:jc w:val="center"/>
              <w:rPr>
                <w:rFonts w:ascii="Times New Roman" w:hAnsi="Times New Roman"/>
                <w:szCs w:val="21"/>
                <w:u w:val="single"/>
              </w:rPr>
            </w:pPr>
            <w:r>
              <w:rPr>
                <w:rFonts w:ascii="Times New Roman" w:hAnsi="Times New Roman"/>
                <w:b/>
                <w:spacing w:val="6"/>
                <w:kern w:val="0"/>
                <w:szCs w:val="21"/>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烟气量</w:t>
            </w:r>
          </w:p>
        </w:tc>
        <w:tc>
          <w:tcPr>
            <w:tcW w:w="1443" w:type="pct"/>
            <w:gridSpan w:val="4"/>
            <w:vAlign w:val="center"/>
          </w:tcPr>
          <w:p>
            <w:pPr>
              <w:ind w:right="-113"/>
              <w:jc w:val="center"/>
              <w:rPr>
                <w:rFonts w:ascii="Times New Roman" w:hAnsi="Times New Roman"/>
                <w:szCs w:val="21"/>
                <w:u w:val="single"/>
              </w:rPr>
            </w:pPr>
            <w:r>
              <w:rPr>
                <w:rFonts w:ascii="Times New Roman" w:hAnsi="Times New Roman"/>
                <w:spacing w:val="6"/>
                <w:kern w:val="0"/>
                <w:szCs w:val="21"/>
              </w:rPr>
              <w:t>/</w:t>
            </w:r>
          </w:p>
        </w:tc>
        <w:tc>
          <w:tcPr>
            <w:tcW w:w="1462" w:type="pct"/>
            <w:gridSpan w:val="4"/>
            <w:vAlign w:val="center"/>
          </w:tcPr>
          <w:p>
            <w:pPr>
              <w:ind w:right="-113"/>
              <w:jc w:val="center"/>
              <w:rPr>
                <w:rFonts w:ascii="Times New Roman" w:hAnsi="Times New Roman"/>
                <w:szCs w:val="21"/>
                <w:u w:val="single"/>
              </w:rPr>
            </w:pPr>
            <w:r>
              <w:rPr>
                <w:rFonts w:ascii="Times New Roman" w:hAnsi="Times New Roman"/>
                <w:spacing w:val="6"/>
                <w:kern w:val="0"/>
                <w:szCs w:val="21"/>
              </w:rPr>
              <w:t>313841.23m</w:t>
            </w:r>
            <w:r>
              <w:rPr>
                <w:rFonts w:ascii="Times New Roman" w:hAnsi="Times New Roman"/>
                <w:spacing w:val="6"/>
                <w:kern w:val="0"/>
                <w:szCs w:val="21"/>
                <w:vertAlign w:val="superscript"/>
              </w:rPr>
              <w:t>3</w:t>
            </w:r>
            <w:r>
              <w:rPr>
                <w:rFonts w:ascii="Times New Roman" w:hAnsi="Times New Roman"/>
                <w:spacing w:val="6"/>
                <w:kern w:val="0"/>
                <w:szCs w:val="21"/>
              </w:rPr>
              <w:t>/h</w:t>
            </w:r>
          </w:p>
        </w:tc>
        <w:tc>
          <w:tcPr>
            <w:tcW w:w="1120" w:type="pct"/>
            <w:gridSpan w:val="3"/>
            <w:vMerge w:val="restart"/>
            <w:vAlign w:val="center"/>
          </w:tcPr>
          <w:p>
            <w:pPr>
              <w:ind w:right="-113"/>
              <w:jc w:val="center"/>
              <w:rPr>
                <w:rFonts w:ascii="Times New Roman" w:hAnsi="Times New Roman"/>
                <w:szCs w:val="21"/>
                <w:u w:val="single"/>
              </w:rPr>
            </w:pPr>
            <w:r>
              <w:rPr>
                <w:rFonts w:ascii="Times New Roman" w:hAnsi="Times New Roman"/>
                <w:spacing w:val="6"/>
                <w:kern w:val="0"/>
                <w:szCs w:val="21"/>
              </w:rPr>
              <w:t>单炉运行2019年在线监测数据，全年平均值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颗粒物</w:t>
            </w:r>
          </w:p>
        </w:tc>
        <w:tc>
          <w:tcPr>
            <w:tcW w:w="1443" w:type="pct"/>
            <w:gridSpan w:val="4"/>
            <w:vAlign w:val="center"/>
          </w:tcPr>
          <w:p>
            <w:pPr>
              <w:jc w:val="center"/>
              <w:rPr>
                <w:rFonts w:ascii="Times New Roman" w:hAnsi="Times New Roman"/>
                <w:szCs w:val="21"/>
                <w:u w:val="single"/>
              </w:rPr>
            </w:pPr>
            <w:r>
              <w:rPr>
                <w:rFonts w:ascii="Times New Roman" w:hAnsi="Times New Roman"/>
                <w:szCs w:val="21"/>
              </w:rPr>
              <w:t>7.06</w:t>
            </w:r>
          </w:p>
        </w:tc>
        <w:tc>
          <w:tcPr>
            <w:tcW w:w="1462" w:type="pct"/>
            <w:gridSpan w:val="4"/>
            <w:vAlign w:val="center"/>
          </w:tcPr>
          <w:p>
            <w:pPr>
              <w:jc w:val="center"/>
              <w:rPr>
                <w:rFonts w:ascii="Times New Roman" w:hAnsi="Times New Roman"/>
                <w:szCs w:val="21"/>
                <w:u w:val="single"/>
              </w:rPr>
            </w:pPr>
            <w:r>
              <w:rPr>
                <w:rFonts w:ascii="Times New Roman" w:hAnsi="Times New Roman"/>
                <w:szCs w:val="21"/>
              </w:rPr>
              <w:t>1.813</w:t>
            </w:r>
          </w:p>
        </w:tc>
        <w:tc>
          <w:tcPr>
            <w:tcW w:w="1120" w:type="pct"/>
            <w:gridSpan w:val="3"/>
            <w:vMerge w:val="continue"/>
            <w:vAlign w:val="center"/>
          </w:tcPr>
          <w:p>
            <w:pPr>
              <w:widowControl/>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二氧化硫</w:t>
            </w:r>
          </w:p>
        </w:tc>
        <w:tc>
          <w:tcPr>
            <w:tcW w:w="1443" w:type="pct"/>
            <w:gridSpan w:val="4"/>
            <w:vAlign w:val="center"/>
          </w:tcPr>
          <w:p>
            <w:pPr>
              <w:jc w:val="center"/>
              <w:rPr>
                <w:rFonts w:ascii="Times New Roman" w:hAnsi="Times New Roman"/>
                <w:szCs w:val="21"/>
                <w:u w:val="single"/>
              </w:rPr>
            </w:pPr>
            <w:r>
              <w:rPr>
                <w:rFonts w:ascii="Times New Roman" w:hAnsi="Times New Roman"/>
                <w:szCs w:val="21"/>
              </w:rPr>
              <w:t>3.56</w:t>
            </w:r>
          </w:p>
        </w:tc>
        <w:tc>
          <w:tcPr>
            <w:tcW w:w="1462" w:type="pct"/>
            <w:gridSpan w:val="4"/>
            <w:vAlign w:val="center"/>
          </w:tcPr>
          <w:p>
            <w:pPr>
              <w:jc w:val="center"/>
              <w:rPr>
                <w:rFonts w:ascii="Times New Roman" w:hAnsi="Times New Roman"/>
                <w:szCs w:val="21"/>
                <w:u w:val="single"/>
              </w:rPr>
            </w:pPr>
            <w:r>
              <w:rPr>
                <w:rFonts w:ascii="Times New Roman" w:hAnsi="Times New Roman"/>
                <w:szCs w:val="21"/>
              </w:rPr>
              <w:t>0.911</w:t>
            </w:r>
          </w:p>
        </w:tc>
        <w:tc>
          <w:tcPr>
            <w:tcW w:w="1120" w:type="pct"/>
            <w:gridSpan w:val="3"/>
            <w:vMerge w:val="continue"/>
            <w:vAlign w:val="center"/>
          </w:tcPr>
          <w:p>
            <w:pPr>
              <w:widowControl/>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氮氧化物</w:t>
            </w:r>
          </w:p>
        </w:tc>
        <w:tc>
          <w:tcPr>
            <w:tcW w:w="1443" w:type="pct"/>
            <w:gridSpan w:val="4"/>
            <w:vAlign w:val="center"/>
          </w:tcPr>
          <w:p>
            <w:pPr>
              <w:jc w:val="center"/>
              <w:rPr>
                <w:rFonts w:ascii="Times New Roman" w:hAnsi="Times New Roman"/>
                <w:szCs w:val="21"/>
                <w:u w:val="single"/>
              </w:rPr>
            </w:pPr>
            <w:r>
              <w:rPr>
                <w:rFonts w:ascii="Times New Roman" w:hAnsi="Times New Roman"/>
                <w:szCs w:val="21"/>
              </w:rPr>
              <w:t>9.81</w:t>
            </w:r>
          </w:p>
        </w:tc>
        <w:tc>
          <w:tcPr>
            <w:tcW w:w="1462" w:type="pct"/>
            <w:gridSpan w:val="4"/>
            <w:vAlign w:val="center"/>
          </w:tcPr>
          <w:p>
            <w:pPr>
              <w:jc w:val="center"/>
              <w:rPr>
                <w:rFonts w:ascii="Times New Roman" w:hAnsi="Times New Roman"/>
                <w:szCs w:val="21"/>
                <w:u w:val="single"/>
              </w:rPr>
            </w:pPr>
            <w:r>
              <w:rPr>
                <w:rFonts w:ascii="Times New Roman" w:hAnsi="Times New Roman"/>
                <w:szCs w:val="21"/>
              </w:rPr>
              <w:t>2.583</w:t>
            </w:r>
          </w:p>
        </w:tc>
        <w:tc>
          <w:tcPr>
            <w:tcW w:w="1120" w:type="pct"/>
            <w:gridSpan w:val="3"/>
            <w:vMerge w:val="continue"/>
            <w:vAlign w:val="center"/>
          </w:tcPr>
          <w:p>
            <w:pPr>
              <w:widowControl/>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烟气量</w:t>
            </w:r>
          </w:p>
        </w:tc>
        <w:tc>
          <w:tcPr>
            <w:tcW w:w="1443" w:type="pct"/>
            <w:gridSpan w:val="4"/>
            <w:vAlign w:val="center"/>
          </w:tcPr>
          <w:p>
            <w:pPr>
              <w:ind w:right="-113"/>
              <w:jc w:val="center"/>
              <w:rPr>
                <w:rFonts w:ascii="Times New Roman" w:hAnsi="Times New Roman"/>
                <w:szCs w:val="21"/>
                <w:u w:val="single"/>
              </w:rPr>
            </w:pPr>
            <w:r>
              <w:rPr>
                <w:rFonts w:ascii="Times New Roman" w:hAnsi="Times New Roman"/>
                <w:spacing w:val="6"/>
                <w:kern w:val="0"/>
                <w:szCs w:val="21"/>
              </w:rPr>
              <w:t>/</w:t>
            </w:r>
          </w:p>
        </w:tc>
        <w:tc>
          <w:tcPr>
            <w:tcW w:w="1462" w:type="pct"/>
            <w:gridSpan w:val="4"/>
            <w:vAlign w:val="center"/>
          </w:tcPr>
          <w:p>
            <w:pPr>
              <w:ind w:right="-113"/>
              <w:jc w:val="center"/>
              <w:rPr>
                <w:rFonts w:ascii="Times New Roman" w:hAnsi="Times New Roman"/>
                <w:szCs w:val="21"/>
                <w:u w:val="single"/>
              </w:rPr>
            </w:pPr>
            <w:r>
              <w:rPr>
                <w:rFonts w:ascii="Times New Roman" w:hAnsi="Times New Roman"/>
                <w:spacing w:val="6"/>
                <w:kern w:val="0"/>
                <w:szCs w:val="21"/>
              </w:rPr>
              <w:t>608269.82m</w:t>
            </w:r>
            <w:r>
              <w:rPr>
                <w:rFonts w:ascii="Times New Roman" w:hAnsi="Times New Roman"/>
                <w:spacing w:val="6"/>
                <w:kern w:val="0"/>
                <w:szCs w:val="21"/>
                <w:vertAlign w:val="superscript"/>
              </w:rPr>
              <w:t>3</w:t>
            </w:r>
            <w:r>
              <w:rPr>
                <w:rFonts w:ascii="Times New Roman" w:hAnsi="Times New Roman"/>
                <w:spacing w:val="6"/>
                <w:kern w:val="0"/>
                <w:szCs w:val="21"/>
              </w:rPr>
              <w:t>/h</w:t>
            </w:r>
          </w:p>
        </w:tc>
        <w:tc>
          <w:tcPr>
            <w:tcW w:w="1120" w:type="pct"/>
            <w:gridSpan w:val="3"/>
            <w:vMerge w:val="restart"/>
            <w:vAlign w:val="center"/>
          </w:tcPr>
          <w:p>
            <w:pPr>
              <w:ind w:right="-113"/>
              <w:jc w:val="center"/>
              <w:rPr>
                <w:rFonts w:ascii="Times New Roman" w:hAnsi="Times New Roman"/>
                <w:szCs w:val="21"/>
                <w:u w:val="single"/>
              </w:rPr>
            </w:pPr>
            <w:r>
              <w:rPr>
                <w:rFonts w:ascii="Times New Roman" w:hAnsi="Times New Roman"/>
                <w:spacing w:val="6"/>
                <w:kern w:val="0"/>
                <w:szCs w:val="21"/>
              </w:rPr>
              <w:t>双炉运行2019年在线监测数据，全年平均值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颗粒物</w:t>
            </w:r>
          </w:p>
        </w:tc>
        <w:tc>
          <w:tcPr>
            <w:tcW w:w="1443" w:type="pct"/>
            <w:gridSpan w:val="4"/>
            <w:vAlign w:val="center"/>
          </w:tcPr>
          <w:p>
            <w:pPr>
              <w:jc w:val="center"/>
              <w:rPr>
                <w:rFonts w:ascii="Times New Roman" w:hAnsi="Times New Roman"/>
                <w:szCs w:val="21"/>
                <w:u w:val="single"/>
              </w:rPr>
            </w:pPr>
            <w:r>
              <w:rPr>
                <w:rFonts w:ascii="Times New Roman" w:hAnsi="Times New Roman"/>
                <w:szCs w:val="21"/>
              </w:rPr>
              <w:t>7.03</w:t>
            </w:r>
          </w:p>
        </w:tc>
        <w:tc>
          <w:tcPr>
            <w:tcW w:w="1462" w:type="pct"/>
            <w:gridSpan w:val="4"/>
            <w:vAlign w:val="center"/>
          </w:tcPr>
          <w:p>
            <w:pPr>
              <w:jc w:val="center"/>
              <w:rPr>
                <w:rFonts w:ascii="Times New Roman" w:hAnsi="Times New Roman"/>
                <w:szCs w:val="21"/>
                <w:u w:val="single"/>
              </w:rPr>
            </w:pPr>
            <w:r>
              <w:rPr>
                <w:rFonts w:ascii="Times New Roman" w:hAnsi="Times New Roman"/>
                <w:szCs w:val="21"/>
              </w:rPr>
              <w:t>3.526</w:t>
            </w:r>
          </w:p>
        </w:tc>
        <w:tc>
          <w:tcPr>
            <w:tcW w:w="1120" w:type="pct"/>
            <w:gridSpan w:val="3"/>
            <w:vMerge w:val="continue"/>
            <w:vAlign w:val="center"/>
          </w:tcPr>
          <w:p>
            <w:pPr>
              <w:widowControl/>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二氧化硫</w:t>
            </w:r>
          </w:p>
        </w:tc>
        <w:tc>
          <w:tcPr>
            <w:tcW w:w="1443" w:type="pct"/>
            <w:gridSpan w:val="4"/>
            <w:vAlign w:val="center"/>
          </w:tcPr>
          <w:p>
            <w:pPr>
              <w:jc w:val="center"/>
              <w:rPr>
                <w:rFonts w:ascii="Times New Roman" w:hAnsi="Times New Roman"/>
                <w:szCs w:val="21"/>
                <w:u w:val="single"/>
              </w:rPr>
            </w:pPr>
            <w:r>
              <w:rPr>
                <w:rFonts w:ascii="Times New Roman" w:hAnsi="Times New Roman"/>
                <w:szCs w:val="21"/>
              </w:rPr>
              <w:t>1.84</w:t>
            </w:r>
          </w:p>
        </w:tc>
        <w:tc>
          <w:tcPr>
            <w:tcW w:w="1462" w:type="pct"/>
            <w:gridSpan w:val="4"/>
            <w:vAlign w:val="center"/>
          </w:tcPr>
          <w:p>
            <w:pPr>
              <w:jc w:val="center"/>
              <w:rPr>
                <w:rFonts w:ascii="Times New Roman" w:hAnsi="Times New Roman"/>
                <w:szCs w:val="21"/>
                <w:u w:val="single"/>
              </w:rPr>
            </w:pPr>
            <w:r>
              <w:rPr>
                <w:rFonts w:ascii="Times New Roman" w:hAnsi="Times New Roman"/>
                <w:szCs w:val="21"/>
              </w:rPr>
              <w:t>0.930</w:t>
            </w:r>
          </w:p>
        </w:tc>
        <w:tc>
          <w:tcPr>
            <w:tcW w:w="1120" w:type="pct"/>
            <w:gridSpan w:val="3"/>
            <w:vMerge w:val="continue"/>
            <w:vAlign w:val="center"/>
          </w:tcPr>
          <w:p>
            <w:pPr>
              <w:widowControl/>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973" w:type="pct"/>
            <w:gridSpan w:val="3"/>
            <w:vAlign w:val="center"/>
          </w:tcPr>
          <w:p>
            <w:pPr>
              <w:jc w:val="center"/>
              <w:rPr>
                <w:rFonts w:ascii="Times New Roman" w:hAnsi="Times New Roman"/>
                <w:szCs w:val="21"/>
                <w:u w:val="single"/>
              </w:rPr>
            </w:pPr>
            <w:r>
              <w:rPr>
                <w:rFonts w:ascii="Times New Roman" w:hAnsi="Times New Roman"/>
                <w:szCs w:val="21"/>
              </w:rPr>
              <w:t>氮氧化物</w:t>
            </w:r>
          </w:p>
        </w:tc>
        <w:tc>
          <w:tcPr>
            <w:tcW w:w="1443" w:type="pct"/>
            <w:gridSpan w:val="4"/>
            <w:vAlign w:val="center"/>
          </w:tcPr>
          <w:p>
            <w:pPr>
              <w:jc w:val="center"/>
              <w:rPr>
                <w:rFonts w:ascii="Times New Roman" w:hAnsi="Times New Roman"/>
                <w:szCs w:val="21"/>
                <w:u w:val="single"/>
              </w:rPr>
            </w:pPr>
            <w:r>
              <w:rPr>
                <w:rFonts w:ascii="Times New Roman" w:hAnsi="Times New Roman"/>
                <w:szCs w:val="21"/>
              </w:rPr>
              <w:t>11.93</w:t>
            </w:r>
          </w:p>
        </w:tc>
        <w:tc>
          <w:tcPr>
            <w:tcW w:w="1462" w:type="pct"/>
            <w:gridSpan w:val="4"/>
            <w:vAlign w:val="center"/>
          </w:tcPr>
          <w:p>
            <w:pPr>
              <w:jc w:val="center"/>
              <w:rPr>
                <w:rFonts w:ascii="Times New Roman" w:hAnsi="Times New Roman"/>
                <w:szCs w:val="21"/>
                <w:u w:val="single"/>
              </w:rPr>
            </w:pPr>
            <w:r>
              <w:rPr>
                <w:rFonts w:ascii="Times New Roman" w:hAnsi="Times New Roman"/>
                <w:szCs w:val="21"/>
              </w:rPr>
              <w:t>5.996</w:t>
            </w:r>
          </w:p>
        </w:tc>
        <w:tc>
          <w:tcPr>
            <w:tcW w:w="1120" w:type="pct"/>
            <w:gridSpan w:val="3"/>
            <w:vMerge w:val="continue"/>
            <w:vAlign w:val="center"/>
          </w:tcPr>
          <w:p>
            <w:pPr>
              <w:widowControl/>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5000" w:type="pct"/>
            <w:gridSpan w:val="14"/>
            <w:shd w:val="clear" w:color="auto" w:fill="auto"/>
            <w:vAlign w:val="center"/>
          </w:tcPr>
          <w:p>
            <w:pPr>
              <w:snapToGrid w:val="0"/>
              <w:spacing w:before="12" w:beforeLines="5" w:after="12" w:afterLines="5" w:line="240" w:lineRule="exact"/>
              <w:jc w:val="center"/>
              <w:rPr>
                <w:rFonts w:ascii="Times New Roman" w:hAnsi="Times New Roman"/>
                <w:sz w:val="24"/>
                <w:u w:val="single"/>
              </w:rPr>
            </w:pPr>
            <w:r>
              <w:rPr>
                <w:rFonts w:ascii="Times New Roman" w:hAnsi="Times New Roman"/>
                <w:b/>
                <w:bCs/>
                <w:sz w:val="24"/>
                <w:u w:val="single"/>
              </w:rPr>
              <w:t>水污染物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476" w:type="pct"/>
            <w:gridSpan w:val="5"/>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项目</w:t>
            </w:r>
          </w:p>
        </w:tc>
        <w:tc>
          <w:tcPr>
            <w:tcW w:w="1399" w:type="pct"/>
            <w:gridSpan w:val="4"/>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废水排放量</w:t>
            </w:r>
          </w:p>
        </w:tc>
        <w:tc>
          <w:tcPr>
            <w:tcW w:w="661" w:type="pct"/>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COD</w:t>
            </w:r>
          </w:p>
        </w:tc>
        <w:tc>
          <w:tcPr>
            <w:tcW w:w="597" w:type="pct"/>
            <w:gridSpan w:val="2"/>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NH</w:t>
            </w:r>
            <w:r>
              <w:rPr>
                <w:rFonts w:ascii="Times New Roman" w:hAnsi="Times New Roman"/>
                <w:szCs w:val="21"/>
                <w:u w:val="single"/>
                <w:vertAlign w:val="subscript"/>
              </w:rPr>
              <w:t>3</w:t>
            </w:r>
            <w:r>
              <w:rPr>
                <w:rFonts w:ascii="Times New Roman" w:hAnsi="Times New Roman"/>
                <w:szCs w:val="21"/>
                <w:u w:val="single"/>
              </w:rPr>
              <w:t>-N</w:t>
            </w:r>
          </w:p>
        </w:tc>
        <w:tc>
          <w:tcPr>
            <w:tcW w:w="865" w:type="pct"/>
            <w:gridSpan w:val="2"/>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816" w:type="pct"/>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CFB锅炉生产废水</w:t>
            </w:r>
          </w:p>
        </w:tc>
        <w:tc>
          <w:tcPr>
            <w:tcW w:w="660" w:type="pct"/>
            <w:gridSpan w:val="4"/>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排放浓度 mg/L</w:t>
            </w:r>
          </w:p>
        </w:tc>
        <w:tc>
          <w:tcPr>
            <w:tcW w:w="1399" w:type="pct"/>
            <w:gridSpan w:val="4"/>
            <w:vMerge w:val="restart"/>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11417.41(t/a)</w:t>
            </w:r>
          </w:p>
        </w:tc>
        <w:tc>
          <w:tcPr>
            <w:tcW w:w="661" w:type="pct"/>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309</w:t>
            </w:r>
          </w:p>
        </w:tc>
        <w:tc>
          <w:tcPr>
            <w:tcW w:w="597" w:type="pct"/>
            <w:gridSpan w:val="2"/>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45</w:t>
            </w:r>
          </w:p>
        </w:tc>
        <w:tc>
          <w:tcPr>
            <w:tcW w:w="865" w:type="pct"/>
            <w:gridSpan w:val="2"/>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816" w:type="pct"/>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二污总排放口</w:t>
            </w:r>
          </w:p>
        </w:tc>
        <w:tc>
          <w:tcPr>
            <w:tcW w:w="660" w:type="pct"/>
            <w:gridSpan w:val="4"/>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排放浓度mg/L</w:t>
            </w:r>
          </w:p>
        </w:tc>
        <w:tc>
          <w:tcPr>
            <w:tcW w:w="1399" w:type="pct"/>
            <w:gridSpan w:val="4"/>
            <w:vMerge w:val="continue"/>
            <w:shd w:val="clear" w:color="auto" w:fill="auto"/>
            <w:vAlign w:val="center"/>
          </w:tcPr>
          <w:p>
            <w:pPr>
              <w:snapToGrid w:val="0"/>
              <w:spacing w:before="12" w:beforeLines="5" w:after="12" w:afterLines="5" w:line="240" w:lineRule="exact"/>
              <w:jc w:val="center"/>
              <w:rPr>
                <w:rFonts w:ascii="Times New Roman" w:hAnsi="Times New Roman"/>
                <w:szCs w:val="21"/>
                <w:u w:val="single"/>
              </w:rPr>
            </w:pPr>
          </w:p>
        </w:tc>
        <w:tc>
          <w:tcPr>
            <w:tcW w:w="1128" w:type="dxa"/>
            <w:shd w:val="clear" w:color="auto" w:fill="auto"/>
            <w:vAlign w:val="center"/>
          </w:tcPr>
          <w:p>
            <w:pPr>
              <w:widowControl/>
              <w:jc w:val="center"/>
              <w:rPr>
                <w:rFonts w:ascii="Times New Roman" w:hAnsi="Times New Roman"/>
                <w:szCs w:val="21"/>
                <w:u w:val="single"/>
              </w:rPr>
            </w:pPr>
            <w:r>
              <w:rPr>
                <w:rFonts w:hint="eastAsia" w:ascii="Times New Roman" w:hAnsi="Times New Roman"/>
                <w:szCs w:val="21"/>
                <w:u w:val="single"/>
                <w:lang w:val="en-US" w:eastAsia="zh-CN"/>
              </w:rPr>
              <w:t>60</w:t>
            </w:r>
          </w:p>
        </w:tc>
        <w:tc>
          <w:tcPr>
            <w:tcW w:w="1018" w:type="dxa"/>
            <w:gridSpan w:val="2"/>
            <w:shd w:val="clear" w:color="auto" w:fill="auto"/>
            <w:vAlign w:val="center"/>
          </w:tcPr>
          <w:p>
            <w:pPr>
              <w:widowControl/>
              <w:jc w:val="center"/>
              <w:rPr>
                <w:rFonts w:ascii="Times New Roman" w:hAnsi="Times New Roman"/>
                <w:szCs w:val="21"/>
                <w:u w:val="single"/>
              </w:rPr>
            </w:pPr>
            <w:r>
              <w:rPr>
                <w:rFonts w:hint="eastAsia" w:ascii="Times New Roman" w:hAnsi="Times New Roman"/>
                <w:kern w:val="0"/>
                <w:szCs w:val="21"/>
                <w:u w:val="single"/>
                <w:lang w:val="en-US" w:eastAsia="zh-CN"/>
              </w:rPr>
              <w:t>8</w:t>
            </w:r>
            <w:r>
              <w:rPr>
                <w:rFonts w:ascii="Times New Roman" w:hAnsi="Times New Roman"/>
                <w:kern w:val="0"/>
                <w:szCs w:val="21"/>
                <w:u w:val="single"/>
              </w:rPr>
              <w:t>.0</w:t>
            </w:r>
          </w:p>
        </w:tc>
        <w:tc>
          <w:tcPr>
            <w:tcW w:w="1479" w:type="dxa"/>
            <w:gridSpan w:val="2"/>
            <w:shd w:val="clear" w:color="auto" w:fill="auto"/>
            <w:vAlign w:val="center"/>
          </w:tcPr>
          <w:p>
            <w:pPr>
              <w:widowControl/>
              <w:jc w:val="center"/>
              <w:rPr>
                <w:rFonts w:ascii="Times New Roman" w:hAnsi="Times New Roman"/>
                <w:szCs w:val="21"/>
                <w:u w:val="single"/>
              </w:rPr>
            </w:pPr>
            <w:r>
              <w:rPr>
                <w:rFonts w:ascii="Times New Roman" w:hAnsi="Times New Roman"/>
                <w:szCs w:val="21"/>
                <w:u w:val="single"/>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476" w:type="pct"/>
            <w:gridSpan w:val="5"/>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标准限值mg/L</w:t>
            </w:r>
          </w:p>
        </w:tc>
        <w:tc>
          <w:tcPr>
            <w:tcW w:w="1399" w:type="pct"/>
            <w:gridSpan w:val="4"/>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w:t>
            </w:r>
          </w:p>
        </w:tc>
        <w:tc>
          <w:tcPr>
            <w:tcW w:w="661" w:type="pct"/>
            <w:shd w:val="clear" w:color="auto" w:fill="auto"/>
            <w:vAlign w:val="center"/>
          </w:tcPr>
          <w:p>
            <w:pPr>
              <w:widowControl/>
              <w:jc w:val="center"/>
              <w:rPr>
                <w:rFonts w:hint="default" w:ascii="Times New Roman" w:hAnsi="Times New Roman" w:eastAsia="宋体"/>
                <w:szCs w:val="21"/>
                <w:u w:val="single"/>
                <w:lang w:val="en-US" w:eastAsia="zh-CN"/>
              </w:rPr>
            </w:pPr>
            <w:r>
              <w:rPr>
                <w:rFonts w:hint="eastAsia" w:ascii="Times New Roman" w:hAnsi="Times New Roman"/>
                <w:szCs w:val="21"/>
                <w:u w:val="single"/>
                <w:lang w:val="en-US" w:eastAsia="zh-CN"/>
              </w:rPr>
              <w:t>60</w:t>
            </w:r>
          </w:p>
        </w:tc>
        <w:tc>
          <w:tcPr>
            <w:tcW w:w="597" w:type="pct"/>
            <w:gridSpan w:val="2"/>
            <w:shd w:val="clear" w:color="auto" w:fill="auto"/>
            <w:vAlign w:val="center"/>
          </w:tcPr>
          <w:p>
            <w:pPr>
              <w:widowControl/>
              <w:jc w:val="center"/>
              <w:rPr>
                <w:rFonts w:ascii="Times New Roman" w:hAnsi="Times New Roman"/>
                <w:szCs w:val="21"/>
                <w:u w:val="single"/>
              </w:rPr>
            </w:pPr>
            <w:r>
              <w:rPr>
                <w:rFonts w:hint="eastAsia" w:ascii="Times New Roman" w:hAnsi="Times New Roman"/>
                <w:kern w:val="0"/>
                <w:szCs w:val="21"/>
                <w:u w:val="single"/>
                <w:lang w:val="en-US" w:eastAsia="zh-CN"/>
              </w:rPr>
              <w:t>8</w:t>
            </w:r>
            <w:r>
              <w:rPr>
                <w:rFonts w:ascii="Times New Roman" w:hAnsi="Times New Roman"/>
                <w:kern w:val="0"/>
                <w:szCs w:val="21"/>
                <w:u w:val="single"/>
              </w:rPr>
              <w:t>.0</w:t>
            </w:r>
          </w:p>
        </w:tc>
        <w:tc>
          <w:tcPr>
            <w:tcW w:w="865" w:type="pct"/>
            <w:gridSpan w:val="2"/>
            <w:shd w:val="clear" w:color="auto" w:fill="auto"/>
            <w:vAlign w:val="center"/>
          </w:tcPr>
          <w:p>
            <w:pPr>
              <w:widowControl/>
              <w:jc w:val="center"/>
              <w:rPr>
                <w:rFonts w:ascii="Times New Roman" w:hAnsi="Times New Roman"/>
                <w:szCs w:val="21"/>
                <w:u w:val="single"/>
              </w:rPr>
            </w:pPr>
            <w:r>
              <w:rPr>
                <w:rFonts w:ascii="Times New Roman" w:hAnsi="Times New Roman"/>
                <w:szCs w:val="21"/>
                <w:u w:val="single"/>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476" w:type="pct"/>
            <w:gridSpan w:val="5"/>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处理效率</w:t>
            </w:r>
          </w:p>
        </w:tc>
        <w:tc>
          <w:tcPr>
            <w:tcW w:w="1399" w:type="pct"/>
            <w:gridSpan w:val="4"/>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w:t>
            </w:r>
          </w:p>
        </w:tc>
        <w:tc>
          <w:tcPr>
            <w:tcW w:w="661" w:type="pct"/>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8</w:t>
            </w:r>
            <w:r>
              <w:rPr>
                <w:rFonts w:hint="eastAsia" w:ascii="Times New Roman" w:hAnsi="Times New Roman"/>
                <w:kern w:val="0"/>
                <w:szCs w:val="21"/>
                <w:u w:val="single"/>
                <w:lang w:val="en-US" w:eastAsia="zh-CN"/>
              </w:rPr>
              <w:t>0.6</w:t>
            </w:r>
            <w:r>
              <w:rPr>
                <w:rFonts w:ascii="Times New Roman" w:hAnsi="Times New Roman"/>
                <w:kern w:val="0"/>
                <w:szCs w:val="21"/>
                <w:u w:val="single"/>
              </w:rPr>
              <w:t>%</w:t>
            </w:r>
          </w:p>
        </w:tc>
        <w:tc>
          <w:tcPr>
            <w:tcW w:w="597" w:type="pct"/>
            <w:gridSpan w:val="2"/>
            <w:shd w:val="clear" w:color="auto" w:fill="auto"/>
            <w:vAlign w:val="center"/>
          </w:tcPr>
          <w:p>
            <w:pPr>
              <w:widowControl/>
              <w:jc w:val="center"/>
              <w:rPr>
                <w:rFonts w:ascii="Times New Roman" w:hAnsi="Times New Roman"/>
                <w:szCs w:val="21"/>
                <w:u w:val="single"/>
              </w:rPr>
            </w:pPr>
            <w:r>
              <w:rPr>
                <w:rFonts w:hint="eastAsia" w:ascii="Times New Roman" w:hAnsi="Times New Roman"/>
                <w:kern w:val="0"/>
                <w:szCs w:val="21"/>
                <w:u w:val="single"/>
                <w:lang w:val="en-US" w:eastAsia="zh-CN"/>
              </w:rPr>
              <w:t>82.2</w:t>
            </w:r>
            <w:r>
              <w:rPr>
                <w:rFonts w:ascii="Times New Roman" w:hAnsi="Times New Roman"/>
                <w:kern w:val="0"/>
                <w:szCs w:val="21"/>
                <w:u w:val="single"/>
              </w:rPr>
              <w:t>%</w:t>
            </w:r>
          </w:p>
        </w:tc>
        <w:tc>
          <w:tcPr>
            <w:tcW w:w="865" w:type="pct"/>
            <w:gridSpan w:val="2"/>
            <w:shd w:val="clear" w:color="auto" w:fill="auto"/>
            <w:vAlign w:val="center"/>
          </w:tcPr>
          <w:p>
            <w:pPr>
              <w:widowControl/>
              <w:jc w:val="center"/>
              <w:rPr>
                <w:rFonts w:ascii="Times New Roman" w:hAnsi="Times New Roman"/>
                <w:szCs w:val="21"/>
                <w:u w:val="single"/>
              </w:rPr>
            </w:pPr>
            <w:r>
              <w:rPr>
                <w:rFonts w:hint="eastAsia" w:ascii="Times New Roman" w:hAnsi="Times New Roman"/>
                <w:kern w:val="0"/>
                <w:szCs w:val="21"/>
                <w:u w:val="single"/>
                <w:lang w:val="en-US" w:eastAsia="zh-CN"/>
              </w:rPr>
              <w:t>6</w:t>
            </w:r>
            <w:r>
              <w:rPr>
                <w:rFonts w:ascii="Times New Roman" w:hAnsi="Times New Roman"/>
                <w:kern w:val="0"/>
                <w:szCs w:val="21"/>
                <w:u w:val="single"/>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1476" w:type="pct"/>
            <w:gridSpan w:val="5"/>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排放量(t/a)</w:t>
            </w:r>
          </w:p>
        </w:tc>
        <w:tc>
          <w:tcPr>
            <w:tcW w:w="1399" w:type="pct"/>
            <w:gridSpan w:val="4"/>
            <w:shd w:val="clear" w:color="auto" w:fill="auto"/>
            <w:vAlign w:val="center"/>
          </w:tcPr>
          <w:p>
            <w:pPr>
              <w:widowControl/>
              <w:jc w:val="center"/>
              <w:rPr>
                <w:rFonts w:ascii="Times New Roman" w:hAnsi="Times New Roman"/>
                <w:szCs w:val="21"/>
                <w:u w:val="single"/>
              </w:rPr>
            </w:pPr>
            <w:r>
              <w:rPr>
                <w:rFonts w:ascii="Times New Roman" w:hAnsi="Times New Roman"/>
                <w:kern w:val="0"/>
                <w:szCs w:val="21"/>
                <w:u w:val="single"/>
              </w:rPr>
              <w:t>/</w:t>
            </w:r>
          </w:p>
        </w:tc>
        <w:tc>
          <w:tcPr>
            <w:tcW w:w="661" w:type="pct"/>
            <w:shd w:val="clear" w:color="auto" w:fill="auto"/>
            <w:vAlign w:val="center"/>
          </w:tcPr>
          <w:p>
            <w:pPr>
              <w:snapToGrid w:val="0"/>
              <w:spacing w:before="12" w:beforeLines="5" w:after="12" w:afterLines="5" w:line="240" w:lineRule="exact"/>
              <w:jc w:val="center"/>
              <w:rPr>
                <w:rFonts w:hint="default" w:ascii="Times New Roman" w:hAnsi="Times New Roman" w:eastAsia="宋体"/>
                <w:szCs w:val="21"/>
                <w:u w:val="single"/>
                <w:lang w:val="en-US" w:eastAsia="zh-CN"/>
              </w:rPr>
            </w:pPr>
            <w:r>
              <w:rPr>
                <w:rFonts w:ascii="Times New Roman" w:hAnsi="Times New Roman"/>
                <w:szCs w:val="21"/>
                <w:u w:val="single"/>
              </w:rPr>
              <w:t>0.</w:t>
            </w:r>
            <w:r>
              <w:rPr>
                <w:rFonts w:hint="eastAsia" w:ascii="Times New Roman" w:hAnsi="Times New Roman"/>
                <w:szCs w:val="21"/>
                <w:u w:val="single"/>
                <w:lang w:val="en-US" w:eastAsia="zh-CN"/>
              </w:rPr>
              <w:t>69</w:t>
            </w:r>
          </w:p>
        </w:tc>
        <w:tc>
          <w:tcPr>
            <w:tcW w:w="597" w:type="pct"/>
            <w:gridSpan w:val="2"/>
            <w:shd w:val="clear" w:color="auto" w:fill="auto"/>
            <w:vAlign w:val="center"/>
          </w:tcPr>
          <w:p>
            <w:pPr>
              <w:snapToGrid w:val="0"/>
              <w:spacing w:before="12" w:beforeLines="5" w:after="12" w:afterLines="5" w:line="240" w:lineRule="exact"/>
              <w:jc w:val="center"/>
              <w:rPr>
                <w:rFonts w:hint="eastAsia" w:ascii="Times New Roman" w:hAnsi="Times New Roman" w:eastAsia="宋体"/>
                <w:szCs w:val="21"/>
                <w:u w:val="single"/>
                <w:lang w:eastAsia="zh-CN"/>
              </w:rPr>
            </w:pPr>
            <w:r>
              <w:rPr>
                <w:rFonts w:ascii="Times New Roman" w:hAnsi="Times New Roman"/>
                <w:szCs w:val="21"/>
                <w:u w:val="single"/>
              </w:rPr>
              <w:t>0.0</w:t>
            </w:r>
            <w:r>
              <w:rPr>
                <w:rFonts w:hint="eastAsia" w:ascii="Times New Roman" w:hAnsi="Times New Roman"/>
                <w:szCs w:val="21"/>
                <w:u w:val="single"/>
                <w:lang w:val="en-US" w:eastAsia="zh-CN"/>
              </w:rPr>
              <w:t>9</w:t>
            </w:r>
          </w:p>
        </w:tc>
        <w:tc>
          <w:tcPr>
            <w:tcW w:w="865" w:type="pct"/>
            <w:gridSpan w:val="2"/>
            <w:shd w:val="clear" w:color="auto" w:fill="auto"/>
            <w:vAlign w:val="center"/>
          </w:tcPr>
          <w:p>
            <w:pPr>
              <w:snapToGrid w:val="0"/>
              <w:spacing w:before="12" w:beforeLines="5" w:after="12" w:afterLines="5" w:line="240" w:lineRule="exact"/>
              <w:jc w:val="center"/>
              <w:rPr>
                <w:rFonts w:hint="default" w:ascii="Times New Roman" w:hAnsi="Times New Roman" w:eastAsia="宋体"/>
                <w:szCs w:val="21"/>
                <w:u w:val="single"/>
                <w:lang w:val="en-US" w:eastAsia="zh-CN"/>
              </w:rPr>
            </w:pPr>
            <w:r>
              <w:rPr>
                <w:rFonts w:ascii="Times New Roman" w:hAnsi="Times New Roman"/>
                <w:szCs w:val="21"/>
                <w:u w:val="single"/>
              </w:rPr>
              <w:t>0.</w:t>
            </w:r>
            <w:r>
              <w:rPr>
                <w:rFonts w:hint="eastAsia" w:ascii="Times New Roman" w:hAnsi="Times New Roman"/>
                <w:szCs w:val="21"/>
                <w:u w:val="single"/>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5000" w:type="pct"/>
            <w:gridSpan w:val="14"/>
            <w:shd w:val="clear" w:color="auto" w:fill="auto"/>
            <w:vAlign w:val="center"/>
          </w:tcPr>
          <w:p>
            <w:pPr>
              <w:snapToGrid w:val="0"/>
              <w:spacing w:before="12" w:beforeLines="5" w:after="12" w:afterLines="5" w:line="240" w:lineRule="exact"/>
              <w:jc w:val="center"/>
              <w:rPr>
                <w:rFonts w:ascii="Times New Roman" w:hAnsi="Times New Roman"/>
                <w:b/>
                <w:bCs/>
                <w:sz w:val="24"/>
                <w:u w:val="single"/>
              </w:rPr>
            </w:pPr>
            <w:r>
              <w:rPr>
                <w:rFonts w:ascii="Times New Roman" w:hAnsi="Times New Roman"/>
                <w:b/>
                <w:bCs/>
                <w:sz w:val="24"/>
                <w:u w:val="single"/>
              </w:rPr>
              <w:t>固体废物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项目</w:t>
            </w:r>
          </w:p>
        </w:tc>
        <w:tc>
          <w:tcPr>
            <w:tcW w:w="323"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类别</w:t>
            </w:r>
          </w:p>
        </w:tc>
        <w:tc>
          <w:tcPr>
            <w:tcW w:w="433"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废物名称</w:t>
            </w:r>
          </w:p>
        </w:tc>
        <w:tc>
          <w:tcPr>
            <w:tcW w:w="1130"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产生量(t/a)</w:t>
            </w:r>
          </w:p>
        </w:tc>
        <w:tc>
          <w:tcPr>
            <w:tcW w:w="1389" w:type="pct"/>
            <w:gridSpan w:val="5"/>
            <w:shd w:val="clear" w:color="auto" w:fill="auto"/>
            <w:vAlign w:val="center"/>
          </w:tcPr>
          <w:p>
            <w:pPr>
              <w:snapToGrid w:val="0"/>
              <w:spacing w:before="12" w:beforeLines="5" w:after="12" w:afterLines="5" w:line="240" w:lineRule="exact"/>
              <w:jc w:val="center"/>
              <w:rPr>
                <w:rFonts w:ascii="Times New Roman" w:hAnsi="Times New Roman"/>
                <w:b/>
                <w:bCs/>
                <w:szCs w:val="21"/>
                <w:u w:val="single"/>
              </w:rPr>
            </w:pPr>
            <w:r>
              <w:rPr>
                <w:rFonts w:ascii="Times New Roman" w:hAnsi="Times New Roman"/>
                <w:szCs w:val="21"/>
                <w:u w:val="single"/>
              </w:rPr>
              <w:t>处理处置量(t/a)</w:t>
            </w:r>
          </w:p>
        </w:tc>
        <w:tc>
          <w:tcPr>
            <w:tcW w:w="820" w:type="pct"/>
            <w:vMerge w:val="restart"/>
            <w:shd w:val="clear" w:color="auto" w:fill="auto"/>
            <w:vAlign w:val="center"/>
          </w:tcPr>
          <w:p>
            <w:pPr>
              <w:snapToGrid w:val="0"/>
              <w:spacing w:before="12" w:beforeLines="5" w:after="12" w:afterLines="5" w:line="240" w:lineRule="exact"/>
              <w:jc w:val="center"/>
              <w:rPr>
                <w:rFonts w:ascii="Times New Roman" w:hAnsi="Times New Roman"/>
                <w:b/>
                <w:bCs/>
                <w:szCs w:val="21"/>
                <w:u w:val="single"/>
              </w:rPr>
            </w:pPr>
            <w:r>
              <w:rPr>
                <w:rFonts w:ascii="Times New Roman" w:hAnsi="Times New Roman"/>
                <w:szCs w:val="21"/>
                <w:u w:val="single"/>
              </w:rPr>
              <w:t>外排量(t/a)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90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32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43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1130"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746"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处理处置</w:t>
            </w:r>
          </w:p>
        </w:tc>
        <w:tc>
          <w:tcPr>
            <w:tcW w:w="642"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回收利用</w:t>
            </w:r>
          </w:p>
        </w:tc>
        <w:tc>
          <w:tcPr>
            <w:tcW w:w="820" w:type="pct"/>
            <w:vMerge w:val="continue"/>
            <w:shd w:val="clear" w:color="auto" w:fill="auto"/>
            <w:vAlign w:val="center"/>
          </w:tcPr>
          <w:p>
            <w:pPr>
              <w:snapToGrid w:val="0"/>
              <w:spacing w:before="12" w:beforeLines="5" w:after="12" w:afterLines="5" w:line="240" w:lineRule="exact"/>
              <w:jc w:val="center"/>
              <w:rPr>
                <w:rFonts w:ascii="Times New Roman" w:hAnsi="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现有CFB锅炉</w:t>
            </w:r>
          </w:p>
        </w:tc>
        <w:tc>
          <w:tcPr>
            <w:tcW w:w="323"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一般工业固废</w:t>
            </w:r>
          </w:p>
        </w:tc>
        <w:tc>
          <w:tcPr>
            <w:tcW w:w="433"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炉灰</w:t>
            </w:r>
          </w:p>
        </w:tc>
        <w:tc>
          <w:tcPr>
            <w:tcW w:w="1130"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47130</w:t>
            </w:r>
          </w:p>
        </w:tc>
        <w:tc>
          <w:tcPr>
            <w:tcW w:w="746"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47130</w:t>
            </w:r>
          </w:p>
        </w:tc>
        <w:tc>
          <w:tcPr>
            <w:tcW w:w="642"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0</w:t>
            </w:r>
          </w:p>
        </w:tc>
        <w:tc>
          <w:tcPr>
            <w:tcW w:w="820" w:type="pct"/>
            <w:shd w:val="clear" w:color="auto" w:fill="auto"/>
            <w:vAlign w:val="center"/>
          </w:tcPr>
          <w:p>
            <w:pPr>
              <w:snapToGrid w:val="0"/>
              <w:spacing w:before="12" w:beforeLines="5" w:after="12" w:afterLines="5" w:line="240" w:lineRule="exact"/>
              <w:jc w:val="center"/>
              <w:rPr>
                <w:rFonts w:ascii="Times New Roman" w:hAnsi="Times New Roman"/>
                <w:bCs/>
                <w:szCs w:val="21"/>
                <w:u w:val="single"/>
              </w:rPr>
            </w:pPr>
            <w:r>
              <w:rPr>
                <w:rFonts w:ascii="Times New Roman" w:hAnsi="Times New Roman"/>
                <w:bCs/>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32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433"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炉渣</w:t>
            </w:r>
          </w:p>
        </w:tc>
        <w:tc>
          <w:tcPr>
            <w:tcW w:w="1130"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11466</w:t>
            </w:r>
          </w:p>
        </w:tc>
        <w:tc>
          <w:tcPr>
            <w:tcW w:w="746"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11466</w:t>
            </w:r>
          </w:p>
        </w:tc>
        <w:tc>
          <w:tcPr>
            <w:tcW w:w="642" w:type="pct"/>
            <w:gridSpan w:val="3"/>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0</w:t>
            </w:r>
          </w:p>
        </w:tc>
        <w:tc>
          <w:tcPr>
            <w:tcW w:w="820" w:type="pct"/>
            <w:shd w:val="clear" w:color="auto" w:fill="auto"/>
            <w:vAlign w:val="center"/>
          </w:tcPr>
          <w:p>
            <w:pPr>
              <w:snapToGrid w:val="0"/>
              <w:spacing w:before="12" w:beforeLines="5" w:after="12" w:afterLines="5" w:line="240" w:lineRule="exact"/>
              <w:jc w:val="center"/>
              <w:rPr>
                <w:rFonts w:ascii="Times New Roman" w:hAnsi="Times New Roman"/>
                <w:bCs/>
                <w:szCs w:val="21"/>
                <w:u w:val="single"/>
              </w:rPr>
            </w:pPr>
            <w:r>
              <w:rPr>
                <w:rFonts w:ascii="Times New Roman" w:hAnsi="Times New Roman"/>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32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433"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石膏</w:t>
            </w:r>
          </w:p>
        </w:tc>
        <w:tc>
          <w:tcPr>
            <w:tcW w:w="1130"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4440</w:t>
            </w:r>
          </w:p>
        </w:tc>
        <w:tc>
          <w:tcPr>
            <w:tcW w:w="746"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4440</w:t>
            </w:r>
          </w:p>
        </w:tc>
        <w:tc>
          <w:tcPr>
            <w:tcW w:w="642" w:type="pct"/>
            <w:gridSpan w:val="3"/>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0</w:t>
            </w:r>
          </w:p>
        </w:tc>
        <w:tc>
          <w:tcPr>
            <w:tcW w:w="820" w:type="pct"/>
            <w:shd w:val="clear" w:color="auto" w:fill="auto"/>
            <w:vAlign w:val="center"/>
          </w:tcPr>
          <w:p>
            <w:pPr>
              <w:snapToGrid w:val="0"/>
              <w:spacing w:before="12" w:beforeLines="5" w:after="12" w:afterLines="5" w:line="240" w:lineRule="exact"/>
              <w:jc w:val="center"/>
              <w:rPr>
                <w:rFonts w:ascii="Times New Roman" w:hAnsi="Times New Roman"/>
                <w:bCs/>
                <w:szCs w:val="21"/>
                <w:u w:val="single"/>
              </w:rPr>
            </w:pPr>
            <w:r>
              <w:rPr>
                <w:rFonts w:ascii="Times New Roman" w:hAnsi="Times New Roman"/>
                <w:szCs w:val="21"/>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323"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p>
        </w:tc>
        <w:tc>
          <w:tcPr>
            <w:tcW w:w="433"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合计</w:t>
            </w:r>
          </w:p>
        </w:tc>
        <w:tc>
          <w:tcPr>
            <w:tcW w:w="1130"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63030</w:t>
            </w:r>
          </w:p>
        </w:tc>
        <w:tc>
          <w:tcPr>
            <w:tcW w:w="746"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63030</w:t>
            </w:r>
          </w:p>
        </w:tc>
        <w:tc>
          <w:tcPr>
            <w:tcW w:w="642" w:type="pct"/>
            <w:gridSpan w:val="3"/>
            <w:shd w:val="clear" w:color="auto" w:fill="auto"/>
            <w:vAlign w:val="center"/>
          </w:tcPr>
          <w:p>
            <w:pPr>
              <w:snapToGrid w:val="0"/>
              <w:spacing w:before="12" w:beforeLines="5" w:after="12" w:afterLines="5" w:line="240" w:lineRule="exact"/>
              <w:jc w:val="center"/>
              <w:rPr>
                <w:rFonts w:ascii="Times New Roman" w:hAnsi="Times New Roman"/>
                <w:szCs w:val="21"/>
                <w:u w:val="single"/>
              </w:rPr>
            </w:pPr>
            <w:r>
              <w:rPr>
                <w:rFonts w:ascii="Times New Roman" w:hAnsi="Times New Roman"/>
                <w:szCs w:val="21"/>
                <w:u w:val="single"/>
              </w:rPr>
              <w:t>0</w:t>
            </w:r>
          </w:p>
        </w:tc>
        <w:tc>
          <w:tcPr>
            <w:tcW w:w="820" w:type="pct"/>
            <w:shd w:val="clear" w:color="auto" w:fill="auto"/>
            <w:vAlign w:val="center"/>
          </w:tcPr>
          <w:p>
            <w:pPr>
              <w:snapToGrid w:val="0"/>
              <w:spacing w:before="12" w:beforeLines="5" w:after="12" w:afterLines="5" w:line="240" w:lineRule="exact"/>
              <w:jc w:val="center"/>
              <w:rPr>
                <w:rFonts w:ascii="Times New Roman" w:hAnsi="Times New Roman"/>
                <w:bCs/>
                <w:szCs w:val="21"/>
                <w:u w:val="single"/>
              </w:rPr>
            </w:pPr>
            <w:r>
              <w:rPr>
                <w:rFonts w:ascii="Times New Roman" w:hAnsi="Times New Roman"/>
                <w:szCs w:val="21"/>
                <w:u w:val="single"/>
              </w:rPr>
              <w:t>0</w:t>
            </w:r>
          </w:p>
        </w:tc>
      </w:tr>
    </w:tbl>
    <w:p>
      <w:pPr>
        <w:spacing w:line="360" w:lineRule="auto"/>
        <w:ind w:firstLine="360" w:firstLineChars="150"/>
        <w:rPr>
          <w:rFonts w:ascii="Times New Roman" w:hAnsi="Times New Roman"/>
          <w:sz w:val="24"/>
          <w:szCs w:val="24"/>
          <w:u w:val="single"/>
        </w:rPr>
      </w:pPr>
      <w:r>
        <w:rPr>
          <w:rFonts w:ascii="Times New Roman" w:hAnsi="Times New Roman"/>
          <w:sz w:val="24"/>
          <w:u w:val="single"/>
        </w:rPr>
        <w:t>由上表可知20</w:t>
      </w:r>
      <w:r>
        <w:rPr>
          <w:rFonts w:ascii="Times New Roman" w:hAnsi="Times New Roman"/>
          <w:sz w:val="24"/>
          <w:szCs w:val="24"/>
          <w:u w:val="single"/>
        </w:rPr>
        <w:t>19年CFB锅炉污染物废水经公司污水处理场处理后能达标排放、废气经除尘脱硫脱硝处理后，能够满足《火电厂大气污染物排放标准》GB 13223-2011表1排放限值要求、《全面实施燃煤电厂超低排放和节能改造工作方案》要求。固体废物能够得到有效处置，实现零排放。</w:t>
      </w:r>
    </w:p>
    <w:p>
      <w:pPr>
        <w:spacing w:line="360" w:lineRule="auto"/>
        <w:ind w:firstLine="360" w:firstLineChars="150"/>
        <w:rPr>
          <w:rFonts w:ascii="Times New Roman" w:hAnsi="Times New Roman"/>
          <w:sz w:val="24"/>
          <w:szCs w:val="24"/>
        </w:rPr>
      </w:pPr>
    </w:p>
    <w:p>
      <w:pPr>
        <w:pStyle w:val="2"/>
        <w:ind w:left="0" w:leftChars="0" w:firstLine="0" w:firstLineChars="0"/>
        <w:rPr>
          <w:sz w:val="24"/>
        </w:rPr>
      </w:pPr>
    </w:p>
    <w:p>
      <w:pPr>
        <w:pStyle w:val="4"/>
        <w:numPr>
          <w:ilvl w:val="0"/>
          <w:numId w:val="0"/>
        </w:numPr>
        <w:spacing w:before="0" w:after="0"/>
      </w:pPr>
      <w:bookmarkStart w:id="160" w:name="_Toc350417513"/>
      <w:bookmarkStart w:id="161" w:name="_Toc319002905"/>
      <w:bookmarkStart w:id="162" w:name="_Toc328677285"/>
      <w:bookmarkStart w:id="163" w:name="_Toc484073413"/>
      <w:bookmarkStart w:id="164" w:name="_Toc275282669"/>
      <w:bookmarkStart w:id="165" w:name="_Toc486403311"/>
      <w:bookmarkStart w:id="166" w:name="_Toc4809"/>
      <w:bookmarkStart w:id="167" w:name="_Toc8962"/>
      <w:bookmarkStart w:id="168" w:name="_Toc14582"/>
      <w:bookmarkStart w:id="169" w:name="_Toc19187"/>
      <w:bookmarkStart w:id="170" w:name="_Toc4940"/>
      <w:bookmarkStart w:id="171" w:name="_Toc484073414"/>
      <w:bookmarkStart w:id="172" w:name="_Toc350417508"/>
      <w:bookmarkStart w:id="173" w:name="_Toc25401"/>
      <w:bookmarkStart w:id="174" w:name="_Toc486403312"/>
      <w:bookmarkStart w:id="175" w:name="_Toc29874"/>
      <w:bookmarkStart w:id="176" w:name="_Toc25997"/>
      <w:bookmarkStart w:id="177" w:name="_Toc2532"/>
      <w:bookmarkStart w:id="178" w:name="_Toc24539"/>
      <w:r>
        <w:t>3.</w:t>
      </w:r>
      <w:bookmarkEnd w:id="160"/>
      <w:bookmarkEnd w:id="161"/>
      <w:bookmarkEnd w:id="162"/>
      <w:bookmarkEnd w:id="163"/>
      <w:bookmarkEnd w:id="164"/>
      <w:r>
        <w:t>建设项目工程分析</w:t>
      </w:r>
      <w:bookmarkEnd w:id="165"/>
      <w:bookmarkEnd w:id="166"/>
      <w:bookmarkEnd w:id="167"/>
      <w:bookmarkEnd w:id="168"/>
      <w:bookmarkEnd w:id="169"/>
      <w:bookmarkEnd w:id="170"/>
    </w:p>
    <w:p>
      <w:pPr>
        <w:pStyle w:val="6"/>
        <w:numPr>
          <w:ilvl w:val="1"/>
          <w:numId w:val="0"/>
        </w:numPr>
        <w:spacing w:before="240" w:beforeLines="100" w:after="240" w:afterLines="100"/>
        <w:textAlignment w:val="baseline"/>
        <w:rPr>
          <w:szCs w:val="30"/>
        </w:rPr>
      </w:pPr>
      <w:r>
        <w:rPr>
          <w:szCs w:val="30"/>
        </w:rPr>
        <w:t>3.1</w:t>
      </w:r>
      <w:bookmarkEnd w:id="171"/>
      <w:bookmarkEnd w:id="172"/>
      <w:r>
        <w:rPr>
          <w:szCs w:val="30"/>
        </w:rPr>
        <w:t>建设项目概况</w:t>
      </w:r>
      <w:bookmarkEnd w:id="173"/>
      <w:bookmarkEnd w:id="174"/>
      <w:bookmarkEnd w:id="175"/>
      <w:bookmarkEnd w:id="176"/>
      <w:bookmarkEnd w:id="177"/>
      <w:bookmarkEnd w:id="178"/>
    </w:p>
    <w:p>
      <w:pPr>
        <w:pStyle w:val="7"/>
        <w:numPr>
          <w:ilvl w:val="2"/>
          <w:numId w:val="0"/>
        </w:numPr>
        <w:spacing w:before="120" w:after="120"/>
        <w:ind w:left="142"/>
        <w:textAlignment w:val="baseline"/>
        <w:rPr>
          <w:szCs w:val="24"/>
        </w:rPr>
      </w:pPr>
      <w:bookmarkStart w:id="179" w:name="_Toc486403313"/>
      <w:bookmarkStart w:id="180" w:name="_Toc11246"/>
      <w:bookmarkStart w:id="181" w:name="_Toc16892"/>
      <w:bookmarkStart w:id="182" w:name="_Toc1154"/>
      <w:r>
        <w:rPr>
          <w:szCs w:val="24"/>
        </w:rPr>
        <w:t>3.1.1项目基本情况</w:t>
      </w:r>
      <w:bookmarkEnd w:id="179"/>
      <w:bookmarkEnd w:id="180"/>
      <w:bookmarkEnd w:id="181"/>
      <w:bookmarkEnd w:id="182"/>
    </w:p>
    <w:p>
      <w:pPr>
        <w:spacing w:line="360" w:lineRule="auto"/>
        <w:ind w:firstLine="480" w:firstLineChars="200"/>
        <w:rPr>
          <w:rFonts w:ascii="Times New Roman" w:hAnsi="Times New Roman"/>
          <w:sz w:val="24"/>
        </w:rPr>
      </w:pPr>
      <w:r>
        <w:rPr>
          <w:rFonts w:ascii="Times New Roman" w:hAnsi="Times New Roman"/>
          <w:sz w:val="24"/>
        </w:rPr>
        <w:t>本项目基本信息见表3.1-1</w:t>
      </w:r>
    </w:p>
    <w:p>
      <w:pPr>
        <w:jc w:val="center"/>
        <w:rPr>
          <w:rFonts w:ascii="Times New Roman" w:hAnsi="Times New Roman"/>
          <w:b/>
          <w:sz w:val="24"/>
          <w:szCs w:val="24"/>
        </w:rPr>
      </w:pPr>
      <w:r>
        <w:rPr>
          <w:rFonts w:ascii="Times New Roman" w:hAnsi="Times New Roman"/>
          <w:b/>
          <w:sz w:val="24"/>
          <w:szCs w:val="24"/>
        </w:rPr>
        <w:t>表3.1-1  本项目基本信息概况</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6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b/>
                <w:kern w:val="0"/>
                <w:szCs w:val="21"/>
              </w:rPr>
            </w:pPr>
            <w:r>
              <w:rPr>
                <w:rFonts w:ascii="Times New Roman" w:hAnsi="Times New Roman"/>
                <w:b/>
                <w:kern w:val="0"/>
                <w:szCs w:val="21"/>
              </w:rPr>
              <w:t>项目名称</w:t>
            </w:r>
          </w:p>
        </w:tc>
        <w:tc>
          <w:tcPr>
            <w:tcW w:w="6719" w:type="dxa"/>
            <w:vAlign w:val="center"/>
          </w:tcPr>
          <w:p>
            <w:pPr>
              <w:widowControl/>
              <w:jc w:val="center"/>
              <w:rPr>
                <w:rFonts w:ascii="Times New Roman" w:hAnsi="Times New Roman"/>
                <w:b/>
                <w:kern w:val="0"/>
                <w:szCs w:val="21"/>
                <w:lang w:val="zh-CN"/>
              </w:rPr>
            </w:pPr>
            <w:r>
              <w:rPr>
                <w:rFonts w:ascii="Times New Roman" w:hAnsi="Times New Roman"/>
              </w:rPr>
              <w:t>1.2万吨/年油泥浮渣资源化利用项目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建设单位</w:t>
            </w:r>
          </w:p>
        </w:tc>
        <w:tc>
          <w:tcPr>
            <w:tcW w:w="6719" w:type="dxa"/>
            <w:vAlign w:val="center"/>
          </w:tcPr>
          <w:p>
            <w:pPr>
              <w:widowControl/>
              <w:jc w:val="center"/>
              <w:rPr>
                <w:rFonts w:ascii="Times New Roman" w:hAnsi="Times New Roman"/>
                <w:kern w:val="0"/>
                <w:szCs w:val="21"/>
                <w:lang w:val="zh-CN"/>
              </w:rPr>
            </w:pPr>
            <w:r>
              <w:rPr>
                <w:rFonts w:ascii="Times New Roman" w:hAnsi="Times New Roman"/>
                <w:szCs w:val="24"/>
              </w:rPr>
              <w:t>中国石油化工股份分有限公司长岭分公司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建设项目性质</w:t>
            </w:r>
          </w:p>
        </w:tc>
        <w:tc>
          <w:tcPr>
            <w:tcW w:w="6719" w:type="dxa"/>
            <w:vAlign w:val="center"/>
          </w:tcPr>
          <w:p>
            <w:pPr>
              <w:widowControl/>
              <w:jc w:val="center"/>
              <w:rPr>
                <w:rFonts w:ascii="Times New Roman" w:hAnsi="Times New Roman"/>
                <w:kern w:val="0"/>
                <w:szCs w:val="21"/>
              </w:rPr>
            </w:pPr>
            <w:r>
              <w:rPr>
                <w:rFonts w:ascii="Times New Roman" w:hAnsi="Times New Roman"/>
                <w:kern w:val="0"/>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建设地点</w:t>
            </w:r>
          </w:p>
        </w:tc>
        <w:tc>
          <w:tcPr>
            <w:tcW w:w="6719" w:type="dxa"/>
            <w:vAlign w:val="center"/>
          </w:tcPr>
          <w:p>
            <w:pPr>
              <w:widowControl/>
              <w:jc w:val="center"/>
              <w:rPr>
                <w:rFonts w:ascii="Times New Roman" w:hAnsi="Times New Roman"/>
                <w:kern w:val="0"/>
                <w:szCs w:val="21"/>
              </w:rPr>
            </w:pPr>
            <w:r>
              <w:rPr>
                <w:rFonts w:ascii="Times New Roman" w:hAnsi="Times New Roman"/>
                <w:szCs w:val="24"/>
              </w:rPr>
              <w:t>中国石油化工股份分有限公司长岭分公司厂区内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建设规模</w:t>
            </w:r>
          </w:p>
        </w:tc>
        <w:tc>
          <w:tcPr>
            <w:tcW w:w="6719" w:type="dxa"/>
            <w:vAlign w:val="center"/>
          </w:tcPr>
          <w:p>
            <w:pPr>
              <w:widowControl/>
              <w:jc w:val="center"/>
              <w:rPr>
                <w:rFonts w:ascii="Times New Roman" w:hAnsi="Times New Roman"/>
                <w:kern w:val="0"/>
                <w:szCs w:val="21"/>
              </w:rPr>
            </w:pPr>
            <w:r>
              <w:rPr>
                <w:rFonts w:ascii="Times New Roman" w:hAnsi="Times New Roman"/>
                <w:kern w:val="0"/>
                <w:szCs w:val="21"/>
              </w:rPr>
              <w:t>年处理油泥浮渣1.2万吨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Merge w:val="restart"/>
            <w:vAlign w:val="center"/>
          </w:tcPr>
          <w:p>
            <w:pPr>
              <w:widowControl/>
              <w:jc w:val="center"/>
              <w:rPr>
                <w:rFonts w:ascii="Times New Roman" w:hAnsi="Times New Roman"/>
                <w:kern w:val="0"/>
                <w:szCs w:val="21"/>
              </w:rPr>
            </w:pPr>
            <w:r>
              <w:rPr>
                <w:rFonts w:ascii="Times New Roman" w:hAnsi="Times New Roman"/>
                <w:kern w:val="0"/>
                <w:szCs w:val="21"/>
              </w:rPr>
              <w:t>项目组成</w:t>
            </w:r>
          </w:p>
        </w:tc>
        <w:tc>
          <w:tcPr>
            <w:tcW w:w="6719" w:type="dxa"/>
            <w:vAlign w:val="center"/>
          </w:tcPr>
          <w:p>
            <w:pPr>
              <w:widowControl/>
              <w:jc w:val="center"/>
              <w:rPr>
                <w:rFonts w:ascii="Times New Roman" w:hAnsi="Times New Roman"/>
                <w:kern w:val="0"/>
                <w:szCs w:val="21"/>
              </w:rPr>
            </w:pPr>
            <w:r>
              <w:rPr>
                <w:rFonts w:ascii="Times New Roman" w:hAnsi="Times New Roman"/>
                <w:kern w:val="0"/>
                <w:szCs w:val="21"/>
              </w:rPr>
              <w:t>主体工程：CFB锅炉（依托）、油泥泵输系统（新增一台泵）</w:t>
            </w:r>
          </w:p>
          <w:p>
            <w:pPr>
              <w:widowControl/>
              <w:jc w:val="center"/>
              <w:rPr>
                <w:rFonts w:ascii="Times New Roman" w:hAnsi="Times New Roman"/>
                <w:kern w:val="0"/>
                <w:szCs w:val="21"/>
              </w:rPr>
            </w:pPr>
            <w:r>
              <w:rPr>
                <w:rFonts w:ascii="Times New Roman" w:hAnsi="Times New Roman"/>
                <w:kern w:val="0"/>
                <w:szCs w:val="21"/>
              </w:rPr>
              <w:t>储运工程：煤棚（依托）、油泥罐（依托）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widowControl/>
              <w:jc w:val="center"/>
              <w:rPr>
                <w:rFonts w:ascii="Times New Roman" w:hAnsi="Times New Roman"/>
                <w:kern w:val="0"/>
                <w:szCs w:val="21"/>
              </w:rPr>
            </w:pPr>
          </w:p>
        </w:tc>
        <w:tc>
          <w:tcPr>
            <w:tcW w:w="6719" w:type="dxa"/>
            <w:vAlign w:val="center"/>
          </w:tcPr>
          <w:p>
            <w:pPr>
              <w:widowControl/>
              <w:jc w:val="center"/>
              <w:rPr>
                <w:rFonts w:ascii="Times New Roman" w:hAnsi="Times New Roman"/>
                <w:kern w:val="0"/>
                <w:szCs w:val="21"/>
              </w:rPr>
            </w:pPr>
            <w:r>
              <w:rPr>
                <w:rFonts w:ascii="Times New Roman" w:hAnsi="Times New Roman"/>
                <w:kern w:val="0"/>
                <w:szCs w:val="21"/>
              </w:rPr>
              <w:t>水电气等公辅工程及烟气治理等环保工程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工程总投资</w:t>
            </w:r>
          </w:p>
        </w:tc>
        <w:tc>
          <w:tcPr>
            <w:tcW w:w="6719" w:type="dxa"/>
            <w:vAlign w:val="center"/>
          </w:tcPr>
          <w:p>
            <w:pPr>
              <w:widowControl/>
              <w:jc w:val="center"/>
              <w:rPr>
                <w:rFonts w:ascii="Times New Roman" w:hAnsi="Times New Roman"/>
                <w:kern w:val="0"/>
                <w:szCs w:val="21"/>
                <w:lang w:val="zh-CN"/>
              </w:rPr>
            </w:pPr>
            <w:r>
              <w:rPr>
                <w:rFonts w:ascii="Times New Roman" w:hAnsi="Times New Roman"/>
                <w:kern w:val="0"/>
                <w:szCs w:val="21"/>
                <w:lang w:val="zh-CN"/>
              </w:rPr>
              <w:t>本项目总投资为90.01万元，全部为环保投资，占项目总投资的100%。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建设期限</w:t>
            </w:r>
          </w:p>
        </w:tc>
        <w:tc>
          <w:tcPr>
            <w:tcW w:w="6719" w:type="dxa"/>
            <w:vAlign w:val="center"/>
          </w:tcPr>
          <w:p>
            <w:pPr>
              <w:widowControl/>
              <w:jc w:val="center"/>
              <w:rPr>
                <w:rFonts w:ascii="Times New Roman" w:hAnsi="Times New Roman"/>
                <w:kern w:val="0"/>
                <w:szCs w:val="21"/>
                <w:lang w:val="zh-CN"/>
              </w:rPr>
            </w:pPr>
            <w:r>
              <w:rPr>
                <w:rFonts w:ascii="Times New Roman" w:hAnsi="Times New Roman"/>
                <w:kern w:val="0"/>
                <w:szCs w:val="21"/>
                <w:lang w:val="zh-CN"/>
              </w:rPr>
              <w:t>20</w:t>
            </w:r>
            <w:r>
              <w:rPr>
                <w:rFonts w:ascii="Times New Roman" w:hAnsi="Times New Roman"/>
                <w:kern w:val="0"/>
                <w:szCs w:val="21"/>
              </w:rPr>
              <w:t>20</w:t>
            </w:r>
            <w:r>
              <w:rPr>
                <w:rFonts w:ascii="Times New Roman" w:hAnsi="Times New Roman"/>
                <w:kern w:val="0"/>
                <w:szCs w:val="21"/>
                <w:lang w:val="zh-CN"/>
              </w:rPr>
              <w:t>年</w:t>
            </w:r>
            <w:r>
              <w:rPr>
                <w:rFonts w:ascii="Times New Roman" w:hAnsi="Times New Roman"/>
                <w:kern w:val="0"/>
                <w:szCs w:val="21"/>
              </w:rPr>
              <w:t>5</w:t>
            </w:r>
            <w:r>
              <w:rPr>
                <w:rFonts w:ascii="Times New Roman" w:hAnsi="Times New Roman"/>
                <w:kern w:val="0"/>
                <w:szCs w:val="21"/>
                <w:lang w:val="zh-CN"/>
              </w:rPr>
              <w:t>月至20</w:t>
            </w:r>
            <w:r>
              <w:rPr>
                <w:rFonts w:ascii="Times New Roman" w:hAnsi="Times New Roman"/>
                <w:kern w:val="0"/>
                <w:szCs w:val="21"/>
              </w:rPr>
              <w:t>20</w:t>
            </w:r>
            <w:r>
              <w:rPr>
                <w:rFonts w:ascii="Times New Roman" w:hAnsi="Times New Roman"/>
                <w:kern w:val="0"/>
                <w:szCs w:val="21"/>
                <w:lang w:val="zh-CN"/>
              </w:rPr>
              <w:t>年</w:t>
            </w:r>
            <w:r>
              <w:rPr>
                <w:rFonts w:ascii="Times New Roman" w:hAnsi="Times New Roman"/>
                <w:kern w:val="0"/>
                <w:szCs w:val="21"/>
              </w:rPr>
              <w:t>8</w:t>
            </w:r>
            <w:r>
              <w:rPr>
                <w:rFonts w:ascii="Times New Roman" w:hAnsi="Times New Roman"/>
                <w:kern w:val="0"/>
                <w:szCs w:val="21"/>
                <w:lang w:val="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9" w:type="dxa"/>
            <w:vAlign w:val="center"/>
          </w:tcPr>
          <w:p>
            <w:pPr>
              <w:widowControl/>
              <w:jc w:val="center"/>
              <w:rPr>
                <w:rFonts w:ascii="Times New Roman" w:hAnsi="Times New Roman"/>
                <w:kern w:val="0"/>
                <w:szCs w:val="21"/>
              </w:rPr>
            </w:pPr>
            <w:r>
              <w:rPr>
                <w:rFonts w:ascii="Times New Roman" w:hAnsi="Times New Roman"/>
                <w:kern w:val="0"/>
                <w:szCs w:val="21"/>
              </w:rPr>
              <w:t>运行时间</w:t>
            </w:r>
          </w:p>
        </w:tc>
        <w:tc>
          <w:tcPr>
            <w:tcW w:w="6719" w:type="dxa"/>
            <w:vAlign w:val="center"/>
          </w:tcPr>
          <w:p>
            <w:pPr>
              <w:widowControl/>
              <w:jc w:val="center"/>
              <w:rPr>
                <w:rFonts w:ascii="Times New Roman" w:hAnsi="Times New Roman"/>
                <w:kern w:val="0"/>
                <w:szCs w:val="21"/>
              </w:rPr>
            </w:pPr>
            <w:r>
              <w:rPr>
                <w:rFonts w:ascii="Times New Roman" w:hAnsi="Times New Roman"/>
                <w:kern w:val="0"/>
                <w:szCs w:val="21"/>
              </w:rPr>
              <w:t>年工作时间</w:t>
            </w:r>
            <w:r>
              <w:rPr>
                <w:rFonts w:ascii="Times New Roman" w:hAnsi="Times New Roman"/>
                <w:kern w:val="0"/>
                <w:szCs w:val="21"/>
                <w:lang w:val="zh-CN"/>
              </w:rPr>
              <w:t>按</w:t>
            </w:r>
            <w:r>
              <w:rPr>
                <w:rFonts w:ascii="Times New Roman" w:hAnsi="Times New Roman"/>
                <w:kern w:val="0"/>
                <w:szCs w:val="21"/>
              </w:rPr>
              <w:t>8760小时计</w:t>
            </w:r>
          </w:p>
        </w:tc>
      </w:tr>
    </w:tbl>
    <w:p>
      <w:pPr>
        <w:rPr>
          <w:rFonts w:ascii="Times New Roman" w:hAnsi="Times New Roman"/>
          <w:b/>
          <w:sz w:val="24"/>
          <w:szCs w:val="24"/>
        </w:rPr>
      </w:pPr>
    </w:p>
    <w:p>
      <w:pPr>
        <w:pStyle w:val="281"/>
        <w:tabs>
          <w:tab w:val="left" w:pos="3600"/>
        </w:tabs>
        <w:spacing w:line="360" w:lineRule="auto"/>
        <w:ind w:firstLine="0"/>
        <w:outlineLvl w:val="3"/>
        <w:rPr>
          <w:rFonts w:ascii="Times New Roman" w:hAnsi="Times New Roman" w:cs="Times New Roman"/>
          <w:bCs/>
          <w:sz w:val="24"/>
          <w:szCs w:val="24"/>
        </w:rPr>
      </w:pPr>
      <w:r>
        <w:rPr>
          <w:rFonts w:ascii="Times New Roman" w:hAnsi="Times New Roman" w:cs="Times New Roman"/>
          <w:bCs/>
          <w:sz w:val="24"/>
          <w:szCs w:val="24"/>
        </w:rPr>
        <w:t>3.1.2工程组成</w:t>
      </w:r>
    </w:p>
    <w:p>
      <w:pPr>
        <w:pStyle w:val="281"/>
        <w:tabs>
          <w:tab w:val="left" w:pos="3600"/>
        </w:tabs>
        <w:spacing w:line="360" w:lineRule="auto"/>
        <w:ind w:firstLine="0"/>
        <w:outlineLvl w:val="3"/>
        <w:rPr>
          <w:rFonts w:ascii="Times New Roman" w:hAnsi="Times New Roman" w:cs="Times New Roman"/>
          <w:bCs/>
          <w:sz w:val="24"/>
          <w:szCs w:val="24"/>
        </w:rPr>
      </w:pPr>
      <w:r>
        <w:rPr>
          <w:rFonts w:ascii="Times New Roman" w:hAnsi="Times New Roman" w:cs="Times New Roman"/>
          <w:bCs/>
          <w:sz w:val="24"/>
          <w:szCs w:val="24"/>
        </w:rPr>
        <w:t>3.1.2.1工程组成</w:t>
      </w:r>
    </w:p>
    <w:p>
      <w:pPr>
        <w:spacing w:line="360" w:lineRule="auto"/>
        <w:ind w:firstLine="510"/>
        <w:rPr>
          <w:rFonts w:ascii="Times New Roman" w:hAnsi="Times New Roman"/>
          <w:sz w:val="24"/>
        </w:rPr>
      </w:pPr>
      <w:r>
        <w:rPr>
          <w:rFonts w:ascii="Times New Roman" w:hAnsi="Times New Roman"/>
          <w:sz w:val="24"/>
        </w:rPr>
        <w:t>本项目涉及的装置主要为CFB锅炉。主要包括煤棚、给煤系统、CFB锅炉、烟气处理设施（石灰石—石膏法湿法脱硫、SCR脱硝、布袋除尘）等。本项目不新建装置及构筑物，均依托厂区现有装置，</w:t>
      </w:r>
      <w:r>
        <w:rPr>
          <w:rFonts w:ascii="Times New Roman" w:hAnsi="Times New Roman"/>
          <w:kern w:val="0"/>
          <w:sz w:val="24"/>
          <w:szCs w:val="24"/>
        </w:rPr>
        <w:t>对原有油泥掺烧装置进行改造，新增一台油泥泵，利旧一台油泥泵，两台泵互为备用，并对油泥浮渣喷枪进行改造，增设阀门仪表及联锁等控制措施，确保油泥输送流程连续运行。</w:t>
      </w:r>
      <w:r>
        <w:rPr>
          <w:rFonts w:ascii="Times New Roman" w:hAnsi="Times New Roman"/>
          <w:sz w:val="24"/>
        </w:rPr>
        <w:t>详细情况见表3.1.2-1。</w:t>
      </w:r>
    </w:p>
    <w:p>
      <w:pPr>
        <w:jc w:val="center"/>
        <w:rPr>
          <w:rFonts w:ascii="Times New Roman" w:hAnsi="Times New Roman"/>
        </w:rPr>
      </w:pPr>
      <w:r>
        <w:rPr>
          <w:rFonts w:ascii="Times New Roman" w:hAnsi="Times New Roman"/>
          <w:b/>
          <w:sz w:val="24"/>
          <w:szCs w:val="24"/>
        </w:rPr>
        <w:t>表3.1.2-1 本项目工程内容及依托关系一览表</w:t>
      </w:r>
    </w:p>
    <w:tbl>
      <w:tblPr>
        <w:tblStyle w:val="4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6"/>
        <w:gridCol w:w="1686"/>
        <w:gridCol w:w="3486"/>
        <w:gridCol w:w="2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42" w:type="dxa"/>
            <w:gridSpan w:val="2"/>
            <w:vAlign w:val="center"/>
          </w:tcPr>
          <w:p>
            <w:pPr>
              <w:jc w:val="center"/>
              <w:rPr>
                <w:rFonts w:ascii="Times New Roman" w:hAnsi="Times New Roman"/>
                <w:b/>
                <w:bCs/>
                <w:szCs w:val="21"/>
              </w:rPr>
            </w:pPr>
            <w:r>
              <w:rPr>
                <w:rFonts w:ascii="Times New Roman" w:hAnsi="Times New Roman"/>
                <w:b/>
                <w:bCs/>
                <w:szCs w:val="21"/>
              </w:rPr>
              <w:t>工程类别</w:t>
            </w:r>
          </w:p>
        </w:tc>
        <w:tc>
          <w:tcPr>
            <w:tcW w:w="3486" w:type="dxa"/>
          </w:tcPr>
          <w:p>
            <w:pPr>
              <w:jc w:val="center"/>
              <w:rPr>
                <w:rFonts w:ascii="Times New Roman" w:hAnsi="Times New Roman"/>
                <w:b/>
                <w:bCs/>
                <w:szCs w:val="21"/>
              </w:rPr>
            </w:pPr>
            <w:r>
              <w:rPr>
                <w:rFonts w:ascii="Times New Roman" w:hAnsi="Times New Roman"/>
                <w:b/>
                <w:bCs/>
                <w:szCs w:val="21"/>
              </w:rPr>
              <w:t>建设内容</w:t>
            </w:r>
          </w:p>
        </w:tc>
        <w:tc>
          <w:tcPr>
            <w:tcW w:w="2301" w:type="dxa"/>
          </w:tcPr>
          <w:p>
            <w:pPr>
              <w:jc w:val="center"/>
              <w:rPr>
                <w:rFonts w:ascii="Times New Roman" w:hAnsi="Times New Roman"/>
                <w:b/>
                <w:bCs/>
                <w:szCs w:val="21"/>
              </w:rPr>
            </w:pPr>
            <w:r>
              <w:rPr>
                <w:rFonts w:ascii="Times New Roman" w:hAnsi="Times New Roman"/>
                <w:b/>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restart"/>
            <w:vAlign w:val="center"/>
          </w:tcPr>
          <w:p>
            <w:pPr>
              <w:rPr>
                <w:rFonts w:ascii="Times New Roman" w:hAnsi="Times New Roman"/>
                <w:szCs w:val="21"/>
              </w:rPr>
            </w:pPr>
            <w:r>
              <w:rPr>
                <w:rFonts w:ascii="Times New Roman" w:hAnsi="Times New Roman"/>
                <w:szCs w:val="21"/>
              </w:rPr>
              <w:t>主体工程</w:t>
            </w:r>
          </w:p>
        </w:tc>
        <w:tc>
          <w:tcPr>
            <w:tcW w:w="1686" w:type="dxa"/>
            <w:vMerge w:val="restart"/>
            <w:vAlign w:val="center"/>
          </w:tcPr>
          <w:p>
            <w:pPr>
              <w:rPr>
                <w:rFonts w:ascii="Times New Roman" w:hAnsi="Times New Roman"/>
                <w:szCs w:val="21"/>
              </w:rPr>
            </w:pPr>
            <w:r>
              <w:rPr>
                <w:rFonts w:ascii="Times New Roman" w:hAnsi="Times New Roman"/>
                <w:szCs w:val="21"/>
              </w:rPr>
              <w:t>油泥浮渣直接掺烧部分</w:t>
            </w:r>
          </w:p>
        </w:tc>
        <w:tc>
          <w:tcPr>
            <w:tcW w:w="3486" w:type="dxa"/>
            <w:vAlign w:val="center"/>
          </w:tcPr>
          <w:p>
            <w:pPr>
              <w:rPr>
                <w:rFonts w:ascii="Times New Roman" w:hAnsi="Times New Roman"/>
                <w:szCs w:val="21"/>
              </w:rPr>
            </w:pPr>
            <w:r>
              <w:rPr>
                <w:rFonts w:ascii="Times New Roman" w:hAnsi="Times New Roman"/>
                <w:szCs w:val="21"/>
              </w:rPr>
              <w:t>CFB锅炉（油泥浮渣喷枪）</w:t>
            </w:r>
          </w:p>
        </w:tc>
        <w:tc>
          <w:tcPr>
            <w:tcW w:w="2301" w:type="dxa"/>
          </w:tcPr>
          <w:p>
            <w:pPr>
              <w:widowControl/>
              <w:jc w:val="left"/>
              <w:rPr>
                <w:rFonts w:ascii="Times New Roman" w:hAnsi="Times New Roman"/>
                <w:szCs w:val="21"/>
              </w:rPr>
            </w:pPr>
            <w:r>
              <w:rPr>
                <w:rFonts w:ascii="Times New Roman" w:hAnsi="Times New Roman"/>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continue"/>
            <w:vAlign w:val="center"/>
          </w:tcPr>
          <w:p>
            <w:pPr>
              <w:rPr>
                <w:rFonts w:ascii="Times New Roman" w:hAnsi="Times New Roman"/>
                <w:szCs w:val="21"/>
              </w:rPr>
            </w:pPr>
          </w:p>
        </w:tc>
        <w:tc>
          <w:tcPr>
            <w:tcW w:w="1686" w:type="dxa"/>
            <w:vMerge w:val="continue"/>
            <w:vAlign w:val="center"/>
          </w:tcPr>
          <w:p>
            <w:pPr>
              <w:rPr>
                <w:rFonts w:ascii="Times New Roman" w:hAnsi="Times New Roman"/>
                <w:szCs w:val="21"/>
              </w:rPr>
            </w:pPr>
          </w:p>
        </w:tc>
        <w:tc>
          <w:tcPr>
            <w:tcW w:w="3486" w:type="dxa"/>
            <w:vAlign w:val="center"/>
          </w:tcPr>
          <w:p>
            <w:pPr>
              <w:rPr>
                <w:rFonts w:ascii="Times New Roman" w:hAnsi="Times New Roman"/>
                <w:szCs w:val="21"/>
              </w:rPr>
            </w:pPr>
            <w:r>
              <w:rPr>
                <w:rFonts w:ascii="Times New Roman" w:hAnsi="Times New Roman"/>
                <w:szCs w:val="21"/>
              </w:rPr>
              <w:t>油泥浮渣泵送系统</w:t>
            </w:r>
          </w:p>
        </w:tc>
        <w:tc>
          <w:tcPr>
            <w:tcW w:w="2301" w:type="dxa"/>
          </w:tcPr>
          <w:p>
            <w:pPr>
              <w:widowControl/>
              <w:jc w:val="left"/>
              <w:rPr>
                <w:rFonts w:ascii="Times New Roman" w:hAnsi="Times New Roman"/>
                <w:szCs w:val="21"/>
              </w:rPr>
            </w:pPr>
            <w:r>
              <w:rPr>
                <w:rFonts w:ascii="Times New Roman" w:hAnsi="Times New Roman"/>
                <w:szCs w:val="21"/>
              </w:rPr>
              <w:t>部分依托部分新增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trPr>
        <w:tc>
          <w:tcPr>
            <w:tcW w:w="1056" w:type="dxa"/>
            <w:vMerge w:val="continue"/>
            <w:vAlign w:val="center"/>
          </w:tcPr>
          <w:p>
            <w:pPr>
              <w:rPr>
                <w:rFonts w:ascii="Times New Roman" w:hAnsi="Times New Roman"/>
                <w:szCs w:val="21"/>
              </w:rPr>
            </w:pPr>
          </w:p>
        </w:tc>
        <w:tc>
          <w:tcPr>
            <w:tcW w:w="1686" w:type="dxa"/>
            <w:vMerge w:val="restart"/>
            <w:vAlign w:val="center"/>
          </w:tcPr>
          <w:p>
            <w:pPr>
              <w:rPr>
                <w:rFonts w:ascii="Times New Roman" w:hAnsi="Times New Roman"/>
                <w:szCs w:val="21"/>
              </w:rPr>
            </w:pPr>
            <w:r>
              <w:rPr>
                <w:rFonts w:ascii="Times New Roman" w:hAnsi="Times New Roman"/>
                <w:szCs w:val="21"/>
              </w:rPr>
              <w:t>干泥混烧部分</w:t>
            </w: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干泥掺混区</w:t>
            </w:r>
          </w:p>
        </w:tc>
        <w:tc>
          <w:tcPr>
            <w:tcW w:w="2301" w:type="dxa"/>
          </w:tcPr>
          <w:p>
            <w:pPr>
              <w:widowControl/>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6" w:type="dxa"/>
            <w:vMerge w:val="continue"/>
            <w:vAlign w:val="center"/>
          </w:tcPr>
          <w:p>
            <w:pPr>
              <w:rPr>
                <w:rFonts w:ascii="Times New Roman" w:hAnsi="Times New Roman"/>
                <w:szCs w:val="21"/>
              </w:rPr>
            </w:pPr>
          </w:p>
        </w:tc>
        <w:tc>
          <w:tcPr>
            <w:tcW w:w="1686" w:type="dxa"/>
            <w:vMerge w:val="continue"/>
            <w:vAlign w:val="center"/>
          </w:tcPr>
          <w:p>
            <w:pPr>
              <w:rPr>
                <w:rFonts w:ascii="Times New Roman" w:hAnsi="Times New Roman"/>
                <w:szCs w:val="21"/>
              </w:rPr>
            </w:pP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CFB锅炉</w:t>
            </w:r>
          </w:p>
        </w:tc>
        <w:tc>
          <w:tcPr>
            <w:tcW w:w="2301" w:type="dxa"/>
          </w:tcPr>
          <w:p>
            <w:pPr>
              <w:widowControl/>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1056" w:type="dxa"/>
            <w:vMerge w:val="continue"/>
            <w:vAlign w:val="center"/>
          </w:tcPr>
          <w:p>
            <w:pPr>
              <w:rPr>
                <w:rFonts w:ascii="Times New Roman" w:hAnsi="Times New Roman"/>
                <w:szCs w:val="21"/>
              </w:rPr>
            </w:pPr>
          </w:p>
        </w:tc>
        <w:tc>
          <w:tcPr>
            <w:tcW w:w="1686" w:type="dxa"/>
            <w:vMerge w:val="continue"/>
            <w:vAlign w:val="center"/>
          </w:tcPr>
          <w:p>
            <w:pPr>
              <w:rPr>
                <w:rFonts w:ascii="Times New Roman" w:hAnsi="Times New Roman"/>
                <w:szCs w:val="21"/>
              </w:rPr>
            </w:pP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给煤系统</w:t>
            </w:r>
          </w:p>
        </w:tc>
        <w:tc>
          <w:tcPr>
            <w:tcW w:w="2301" w:type="dxa"/>
          </w:tcPr>
          <w:p>
            <w:pPr>
              <w:widowControl/>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1056" w:type="dxa"/>
            <w:vMerge w:val="restart"/>
            <w:vAlign w:val="center"/>
          </w:tcPr>
          <w:p>
            <w:pPr>
              <w:rPr>
                <w:rFonts w:ascii="Times New Roman" w:hAnsi="Times New Roman"/>
                <w:szCs w:val="21"/>
              </w:rPr>
            </w:pPr>
            <w:r>
              <w:rPr>
                <w:rFonts w:ascii="Times New Roman" w:hAnsi="Times New Roman"/>
                <w:szCs w:val="21"/>
              </w:rPr>
              <w:t>储运工程</w:t>
            </w:r>
          </w:p>
        </w:tc>
        <w:tc>
          <w:tcPr>
            <w:tcW w:w="1686" w:type="dxa"/>
            <w:vAlign w:val="center"/>
          </w:tcPr>
          <w:p>
            <w:pPr>
              <w:snapToGrid w:val="0"/>
              <w:spacing w:line="216" w:lineRule="auto"/>
              <w:jc w:val="left"/>
              <w:rPr>
                <w:rFonts w:ascii="Times New Roman" w:hAnsi="Times New Roman"/>
                <w:szCs w:val="21"/>
              </w:rPr>
            </w:pPr>
            <w:r>
              <w:rPr>
                <w:rFonts w:ascii="Times New Roman" w:hAnsi="Times New Roman"/>
                <w:szCs w:val="21"/>
              </w:rPr>
              <w:t>燃料煤储存</w:t>
            </w: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煤棚</w:t>
            </w:r>
          </w:p>
        </w:tc>
        <w:tc>
          <w:tcPr>
            <w:tcW w:w="2301" w:type="dxa"/>
          </w:tcPr>
          <w:p>
            <w:pPr>
              <w:snapToGrid w:val="0"/>
              <w:spacing w:line="216" w:lineRule="auto"/>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炉灰储存</w:t>
            </w: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灰库</w:t>
            </w:r>
          </w:p>
        </w:tc>
        <w:tc>
          <w:tcPr>
            <w:tcW w:w="2301" w:type="dxa"/>
          </w:tcPr>
          <w:p>
            <w:pPr>
              <w:widowControl/>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炉渣储存</w:t>
            </w: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渣库</w:t>
            </w:r>
          </w:p>
        </w:tc>
        <w:tc>
          <w:tcPr>
            <w:tcW w:w="2301" w:type="dxa"/>
          </w:tcPr>
          <w:p>
            <w:pPr>
              <w:widowControl/>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石膏储存</w:t>
            </w: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石膏库</w:t>
            </w:r>
          </w:p>
        </w:tc>
        <w:tc>
          <w:tcPr>
            <w:tcW w:w="2301" w:type="dxa"/>
          </w:tcPr>
          <w:p>
            <w:pPr>
              <w:widowControl/>
              <w:jc w:val="left"/>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原料罐储存</w:t>
            </w:r>
          </w:p>
        </w:tc>
        <w:tc>
          <w:tcPr>
            <w:tcW w:w="3486" w:type="dxa"/>
            <w:vAlign w:val="center"/>
          </w:tcPr>
          <w:p>
            <w:pPr>
              <w:snapToGrid w:val="0"/>
              <w:spacing w:line="216" w:lineRule="auto"/>
              <w:jc w:val="left"/>
              <w:rPr>
                <w:rFonts w:ascii="Times New Roman" w:hAnsi="Times New Roman"/>
                <w:szCs w:val="21"/>
              </w:rPr>
            </w:pPr>
            <w:r>
              <w:rPr>
                <w:rFonts w:ascii="Times New Roman" w:hAnsi="Times New Roman"/>
                <w:szCs w:val="21"/>
              </w:rPr>
              <w:t>原料罐</w:t>
            </w:r>
          </w:p>
        </w:tc>
        <w:tc>
          <w:tcPr>
            <w:tcW w:w="2301" w:type="dxa"/>
          </w:tcPr>
          <w:p>
            <w:pPr>
              <w:widowControl/>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restart"/>
            <w:vAlign w:val="center"/>
          </w:tcPr>
          <w:p>
            <w:pPr>
              <w:rPr>
                <w:rFonts w:ascii="Times New Roman" w:hAnsi="Times New Roman"/>
                <w:szCs w:val="21"/>
              </w:rPr>
            </w:pPr>
            <w:r>
              <w:rPr>
                <w:rFonts w:ascii="Times New Roman" w:hAnsi="Times New Roman"/>
                <w:szCs w:val="21"/>
              </w:rPr>
              <w:t>公用工程</w:t>
            </w:r>
          </w:p>
        </w:tc>
        <w:tc>
          <w:tcPr>
            <w:tcW w:w="1686" w:type="dxa"/>
            <w:vAlign w:val="center"/>
          </w:tcPr>
          <w:p>
            <w:pPr>
              <w:rPr>
                <w:rFonts w:ascii="Times New Roman" w:hAnsi="Times New Roman"/>
                <w:szCs w:val="21"/>
              </w:rPr>
            </w:pPr>
            <w:r>
              <w:rPr>
                <w:rFonts w:ascii="Times New Roman" w:hAnsi="Times New Roman"/>
                <w:szCs w:val="21"/>
              </w:rPr>
              <w:t>给水</w:t>
            </w:r>
          </w:p>
        </w:tc>
        <w:tc>
          <w:tcPr>
            <w:tcW w:w="3486" w:type="dxa"/>
          </w:tcPr>
          <w:p>
            <w:pPr>
              <w:rPr>
                <w:rFonts w:ascii="Times New Roman" w:hAnsi="Times New Roman"/>
                <w:szCs w:val="21"/>
              </w:rPr>
            </w:pPr>
            <w:r>
              <w:rPr>
                <w:rFonts w:ascii="Times New Roman" w:hAnsi="Times New Roman"/>
                <w:szCs w:val="21"/>
              </w:rPr>
              <w:t>项目依托全厂给水管网。</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排水</w:t>
            </w:r>
          </w:p>
        </w:tc>
        <w:tc>
          <w:tcPr>
            <w:tcW w:w="3486" w:type="dxa"/>
          </w:tcPr>
          <w:p>
            <w:pPr>
              <w:rPr>
                <w:rFonts w:ascii="Times New Roman" w:hAnsi="Times New Roman"/>
                <w:szCs w:val="21"/>
              </w:rPr>
            </w:pPr>
            <w:r>
              <w:rPr>
                <w:rFonts w:ascii="Times New Roman" w:hAnsi="Times New Roman"/>
                <w:szCs w:val="21"/>
              </w:rPr>
              <w:t>依托全厂排水管网。</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供电</w:t>
            </w:r>
          </w:p>
        </w:tc>
        <w:tc>
          <w:tcPr>
            <w:tcW w:w="3486" w:type="dxa"/>
          </w:tcPr>
          <w:p>
            <w:pPr>
              <w:rPr>
                <w:rFonts w:ascii="Times New Roman" w:hAnsi="Times New Roman"/>
                <w:szCs w:val="21"/>
              </w:rPr>
            </w:pPr>
            <w:r>
              <w:rPr>
                <w:rFonts w:ascii="Times New Roman" w:hAnsi="Times New Roman"/>
                <w:szCs w:val="21"/>
              </w:rPr>
              <w:t>依托现有供电系统</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循环水</w:t>
            </w:r>
          </w:p>
        </w:tc>
        <w:tc>
          <w:tcPr>
            <w:tcW w:w="3486" w:type="dxa"/>
          </w:tcPr>
          <w:p>
            <w:pPr>
              <w:rPr>
                <w:rFonts w:ascii="Times New Roman" w:hAnsi="Times New Roman"/>
                <w:szCs w:val="21"/>
              </w:rPr>
            </w:pPr>
            <w:r>
              <w:rPr>
                <w:rFonts w:ascii="Times New Roman" w:hAnsi="Times New Roman"/>
                <w:szCs w:val="21"/>
              </w:rPr>
              <w:t>项目循环水由热电部循环水场供给。</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蒸汽</w:t>
            </w:r>
          </w:p>
        </w:tc>
        <w:tc>
          <w:tcPr>
            <w:tcW w:w="3486" w:type="dxa"/>
          </w:tcPr>
          <w:p>
            <w:pPr>
              <w:rPr>
                <w:rFonts w:ascii="Times New Roman" w:hAnsi="Times New Roman"/>
                <w:szCs w:val="21"/>
              </w:rPr>
            </w:pPr>
            <w:r>
              <w:rPr>
                <w:rFonts w:ascii="Times New Roman" w:hAnsi="Times New Roman"/>
                <w:szCs w:val="21"/>
              </w:rPr>
              <w:t>2台260t/hCFB锅炉提供蒸汽。项目依托全厂蒸汽管网。</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 w:type="dxa"/>
            <w:vMerge w:val="restart"/>
            <w:vAlign w:val="center"/>
          </w:tcPr>
          <w:p>
            <w:pPr>
              <w:rPr>
                <w:rFonts w:ascii="Times New Roman" w:hAnsi="Times New Roman"/>
                <w:szCs w:val="21"/>
              </w:rPr>
            </w:pPr>
            <w:r>
              <w:rPr>
                <w:rFonts w:ascii="Times New Roman" w:hAnsi="Times New Roman"/>
                <w:szCs w:val="21"/>
              </w:rPr>
              <w:t>环保工程</w:t>
            </w:r>
          </w:p>
        </w:tc>
        <w:tc>
          <w:tcPr>
            <w:tcW w:w="1686" w:type="dxa"/>
            <w:vAlign w:val="center"/>
          </w:tcPr>
          <w:p>
            <w:pPr>
              <w:rPr>
                <w:rFonts w:ascii="Times New Roman" w:hAnsi="Times New Roman"/>
                <w:szCs w:val="21"/>
              </w:rPr>
            </w:pPr>
            <w:r>
              <w:rPr>
                <w:rFonts w:ascii="Times New Roman" w:hAnsi="Times New Roman"/>
                <w:szCs w:val="21"/>
              </w:rPr>
              <w:t>废水处理</w:t>
            </w:r>
          </w:p>
        </w:tc>
        <w:tc>
          <w:tcPr>
            <w:tcW w:w="3486" w:type="dxa"/>
            <w:vAlign w:val="center"/>
          </w:tcPr>
          <w:p>
            <w:pPr>
              <w:rPr>
                <w:rFonts w:ascii="Times New Roman" w:hAnsi="Times New Roman"/>
                <w:szCs w:val="21"/>
              </w:rPr>
            </w:pPr>
            <w:r>
              <w:rPr>
                <w:rFonts w:ascii="Times New Roman" w:hAnsi="Times New Roman"/>
                <w:szCs w:val="21"/>
              </w:rPr>
              <w:t>污水送厂区污水处理厂处理</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废气处理</w:t>
            </w:r>
          </w:p>
        </w:tc>
        <w:tc>
          <w:tcPr>
            <w:tcW w:w="3486" w:type="dxa"/>
            <w:vAlign w:val="center"/>
          </w:tcPr>
          <w:p>
            <w:pPr>
              <w:rPr>
                <w:rFonts w:ascii="Times New Roman" w:hAnsi="Times New Roman"/>
                <w:szCs w:val="21"/>
              </w:rPr>
            </w:pPr>
            <w:r>
              <w:rPr>
                <w:rFonts w:ascii="Times New Roman" w:hAnsi="Times New Roman"/>
              </w:rPr>
              <w:t>燃烧炉炉内脱硫，SCR烟气脱硝+布 袋除尘+石灰石—石膏法湿法脱硫后经脱硫塔烟囱（100m）高空排放</w:t>
            </w:r>
          </w:p>
        </w:tc>
        <w:tc>
          <w:tcPr>
            <w:tcW w:w="2301" w:type="dxa"/>
            <w:vAlign w:val="center"/>
          </w:tcPr>
          <w:p>
            <w:pPr>
              <w:rPr>
                <w:rFonts w:ascii="Times New Roman" w:hAnsi="Times New Roman"/>
                <w:szCs w:val="21"/>
              </w:rPr>
            </w:pPr>
            <w:r>
              <w:rPr>
                <w:rFonts w:ascii="Times New Roman" w:hAnsi="Times New Roman"/>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6" w:type="dxa"/>
            <w:vMerge w:val="continue"/>
            <w:vAlign w:val="center"/>
          </w:tcPr>
          <w:p>
            <w:pPr>
              <w:rPr>
                <w:rFonts w:ascii="Times New Roman" w:hAnsi="Times New Roman"/>
                <w:szCs w:val="21"/>
              </w:rPr>
            </w:pPr>
          </w:p>
        </w:tc>
        <w:tc>
          <w:tcPr>
            <w:tcW w:w="1686" w:type="dxa"/>
            <w:vAlign w:val="center"/>
          </w:tcPr>
          <w:p>
            <w:pPr>
              <w:rPr>
                <w:rFonts w:ascii="Times New Roman" w:hAnsi="Times New Roman"/>
                <w:szCs w:val="21"/>
              </w:rPr>
            </w:pPr>
            <w:r>
              <w:rPr>
                <w:rFonts w:ascii="Times New Roman" w:hAnsi="Times New Roman"/>
                <w:szCs w:val="21"/>
              </w:rPr>
              <w:t>固体废物处理</w:t>
            </w:r>
          </w:p>
        </w:tc>
        <w:tc>
          <w:tcPr>
            <w:tcW w:w="3486" w:type="dxa"/>
            <w:vAlign w:val="center"/>
          </w:tcPr>
          <w:p>
            <w:pPr>
              <w:rPr>
                <w:rFonts w:ascii="Times New Roman" w:hAnsi="Times New Roman"/>
                <w:szCs w:val="21"/>
              </w:rPr>
            </w:pPr>
            <w:r>
              <w:rPr>
                <w:rFonts w:ascii="Times New Roman" w:hAnsi="Times New Roman"/>
                <w:szCs w:val="21"/>
              </w:rPr>
              <w:t>外售给水泥厂综合利用</w:t>
            </w:r>
          </w:p>
        </w:tc>
        <w:tc>
          <w:tcPr>
            <w:tcW w:w="2301" w:type="dxa"/>
            <w:vAlign w:val="center"/>
          </w:tcPr>
          <w:p>
            <w:pPr>
              <w:rPr>
                <w:rFonts w:ascii="Times New Roman" w:hAnsi="Times New Roman"/>
                <w:szCs w:val="21"/>
              </w:rPr>
            </w:pPr>
            <w:r>
              <w:rPr>
                <w:rFonts w:ascii="Times New Roman" w:hAnsi="Times New Roman"/>
                <w:szCs w:val="21"/>
              </w:rPr>
              <w:t>依托</w:t>
            </w:r>
          </w:p>
        </w:tc>
      </w:tr>
    </w:tbl>
    <w:p>
      <w:pPr>
        <w:pStyle w:val="281"/>
        <w:tabs>
          <w:tab w:val="left" w:pos="3600"/>
        </w:tabs>
        <w:spacing w:line="360" w:lineRule="auto"/>
        <w:ind w:firstLine="0"/>
        <w:outlineLvl w:val="3"/>
        <w:rPr>
          <w:rFonts w:ascii="Times New Roman" w:hAnsi="Times New Roman" w:cs="Times New Roman"/>
          <w:bCs/>
          <w:sz w:val="24"/>
          <w:szCs w:val="24"/>
        </w:rPr>
      </w:pPr>
    </w:p>
    <w:p>
      <w:pPr>
        <w:pStyle w:val="281"/>
        <w:tabs>
          <w:tab w:val="left" w:pos="3600"/>
        </w:tabs>
        <w:spacing w:line="360" w:lineRule="auto"/>
        <w:ind w:firstLine="0"/>
        <w:outlineLvl w:val="3"/>
        <w:rPr>
          <w:rFonts w:ascii="Times New Roman" w:hAnsi="Times New Roman" w:cs="Times New Roman"/>
          <w:bCs/>
          <w:sz w:val="24"/>
          <w:szCs w:val="24"/>
        </w:rPr>
      </w:pPr>
      <w:r>
        <w:rPr>
          <w:rFonts w:ascii="Times New Roman" w:hAnsi="Times New Roman" w:cs="Times New Roman"/>
          <w:bCs/>
          <w:sz w:val="24"/>
          <w:szCs w:val="24"/>
        </w:rPr>
        <w:t>3.1.2.2依托可行性分析</w:t>
      </w:r>
    </w:p>
    <w:p>
      <w:pPr>
        <w:spacing w:line="360" w:lineRule="auto"/>
        <w:ind w:firstLine="510"/>
        <w:rPr>
          <w:rFonts w:ascii="Times New Roman" w:hAnsi="Times New Roman"/>
          <w:sz w:val="24"/>
        </w:rPr>
      </w:pPr>
      <w:r>
        <w:rPr>
          <w:rFonts w:ascii="Times New Roman" w:hAnsi="Times New Roman"/>
          <w:sz w:val="24"/>
        </w:rPr>
        <w:t>（1）油泥储存及掺混</w:t>
      </w:r>
    </w:p>
    <w:p>
      <w:pPr>
        <w:pStyle w:val="259"/>
        <w:spacing w:line="360" w:lineRule="auto"/>
        <w:ind w:firstLine="480"/>
        <w:rPr>
          <w:rFonts w:ascii="Times New Roman" w:hAnsi="Times New Roman" w:cs="Times New Roman"/>
        </w:rPr>
      </w:pPr>
      <w:r>
        <w:rPr>
          <w:rFonts w:ascii="Times New Roman" w:hAnsi="Times New Roman" w:cs="Times New Roman"/>
          <w:szCs w:val="24"/>
          <w:u w:val="single"/>
        </w:rPr>
        <w:t>本项目直接掺烧的油泥浮渣，通过管线送到热电部油泥原料罐，然后用泵经过喷枪送到燃烧火嘴进入CFB锅炉炉膛直接掺烧，热电部油泥浮渣罐容积为120m³，油泥浮渣掺烧量为1～2t/h。罐区</w:t>
      </w:r>
      <w:r>
        <w:rPr>
          <w:rFonts w:ascii="Times New Roman" w:hAnsi="Times New Roman" w:cs="Times New Roman"/>
          <w:u w:val="single"/>
        </w:rPr>
        <w:t>依据防火规范的要求，设置有防火堤，储罐及设施发生泄漏事故时，泄漏物料可以控制在防火堤内。防火堤内地面也是混凝土硬化地面，可以阻止泄漏至地面的烃类物质向土壤及地下水的分散过程。</w:t>
      </w:r>
      <w:r>
        <w:rPr>
          <w:rFonts w:ascii="Times New Roman" w:hAnsi="Times New Roman" w:cs="Times New Roman"/>
        </w:rPr>
        <w:t>油泥干化所在地也位于长岭分公司厂区内，距离本项目约500米远，干泥装袋后运送至煤棚后，在现有煤棚北面划出一块区域与煤进行掺混。煤棚地面已做混凝土防渗处理。</w:t>
      </w:r>
    </w:p>
    <w:p>
      <w:pPr>
        <w:spacing w:line="360" w:lineRule="auto"/>
        <w:ind w:firstLine="510"/>
        <w:rPr>
          <w:rFonts w:ascii="Times New Roman" w:hAnsi="Times New Roman"/>
          <w:sz w:val="24"/>
        </w:rPr>
      </w:pPr>
      <w:r>
        <w:rPr>
          <w:rFonts w:ascii="Times New Roman" w:hAnsi="Times New Roman"/>
          <w:sz w:val="24"/>
        </w:rPr>
        <w:t>（2）废水处理设施</w:t>
      </w:r>
    </w:p>
    <w:p>
      <w:pPr>
        <w:pStyle w:val="5"/>
        <w:spacing w:line="480" w:lineRule="exact"/>
        <w:ind w:firstLine="480"/>
        <w:rPr>
          <w:rFonts w:ascii="Times New Roman" w:hAnsi="Times New Roman" w:cs="Times New Roman"/>
        </w:rPr>
      </w:pPr>
      <w:r>
        <w:rPr>
          <w:rFonts w:ascii="Times New Roman" w:hAnsi="Times New Roman" w:cs="Times New Roman"/>
        </w:rPr>
        <w:t>长岭分公司现有 2 座污水处理场，分别为第一污水处理场和第二污水处理场，第一污水处理场负责对全公司废水进行隔油、气浮等预处理以满足二污进水水质标准，分为含油污水、含盐污水两个处理系统。含油、含盐污水分别经过隔油和浮选后，送第二污水处场处理。第一污水处理场总处理能力为850m</w:t>
      </w:r>
      <w:r>
        <w:rPr>
          <w:rFonts w:ascii="Times New Roman" w:hAnsi="Times New Roman" w:cs="Times New Roman"/>
          <w:vertAlign w:val="superscript"/>
        </w:rPr>
        <w:t>3</w:t>
      </w:r>
      <w:r>
        <w:rPr>
          <w:rFonts w:ascii="Times New Roman" w:hAnsi="Times New Roman" w:cs="Times New Roman"/>
        </w:rPr>
        <w:t>/h，其中含油污水处理能力为600m</w:t>
      </w:r>
      <w:r>
        <w:rPr>
          <w:rFonts w:ascii="Times New Roman" w:hAnsi="Times New Roman" w:cs="Times New Roman"/>
          <w:vertAlign w:val="superscript"/>
        </w:rPr>
        <w:t>3</w:t>
      </w:r>
      <w:r>
        <w:rPr>
          <w:rFonts w:ascii="Times New Roman" w:hAnsi="Times New Roman" w:cs="Times New Roman"/>
        </w:rPr>
        <w:t>/h，含盐污水处理能力为250m</w:t>
      </w:r>
      <w:r>
        <w:rPr>
          <w:rFonts w:ascii="Times New Roman" w:hAnsi="Times New Roman" w:cs="Times New Roman"/>
          <w:vertAlign w:val="superscript"/>
        </w:rPr>
        <w:t>3</w:t>
      </w:r>
      <w:r>
        <w:rPr>
          <w:rFonts w:ascii="Times New Roman" w:hAnsi="Times New Roman" w:cs="Times New Roman"/>
        </w:rPr>
        <w:t>/h，本项目</w:t>
      </w:r>
      <w:r>
        <w:rPr>
          <w:rFonts w:ascii="Times New Roman" w:hAnsi="Times New Roman" w:cs="Times New Roman"/>
          <w:szCs w:val="24"/>
        </w:rPr>
        <w:t>最大污水处理量1.3t/h</w:t>
      </w:r>
      <w:r>
        <w:rPr>
          <w:rFonts w:ascii="Times New Roman" w:hAnsi="Times New Roman" w:cs="Times New Roman"/>
        </w:rPr>
        <w:t>。 第二污水处理场位于长岭分公司现有厂区西北侧6.5km，采取生化方式处理一污的来水以满足全厂废水达标外排的要求。经第一污水处理场预处理后的含油污水，进入第二污水处理场调节池，调节池出水经计量后自流经配水井、混合井进入接触氧化池进行一级生化处理，再通过中间沉淀池沉淀、消氧后进入水解酸化池，在无氧或缺氧的条件下发生厌氧水解酸化反应以提高污水的可生化性。然后进入氧化沟进行二级生化处理，出水进入二沉池进行泥水分离后进入提升水池，经泵提升后进入砂滤池，降低悬浮物后进入内循环曝气生物滤池（BAF）进行三级生化处理，处理后的合格出水经反洗水池溢流至待滤水池。炼油装置区的含油废水设计拟经处理达标后 75%经进一步净化后回用于装置区，因目前废水回用设施处于调试状态，回用率约50%，不能回用的部分通过待滤水池后与含盐废水一起外排长江。含盐污水通过调节罐后进入MBBR池，出水进短程生物池进一步生化处理，短程生物池出水经二沉池进行泥水分离，经提升泵提升至高效沉淀池，</w:t>
      </w:r>
      <w:r>
        <w:rPr>
          <w:rFonts w:ascii="Times New Roman" w:hAnsi="Times New Roman" w:cs="Times New Roman"/>
          <w:lang w:val="en-GB"/>
        </w:rPr>
        <w:t>高效沉淀池出水自流至臭氧催化氧化池，并通入臭氧，在催化剂的作用下进行化学高级氧化处理，出水自流至EM-BAF池进一步处理，合格后经泵排放至长江。</w:t>
      </w:r>
    </w:p>
    <w:p>
      <w:pPr>
        <w:pStyle w:val="5"/>
        <w:spacing w:line="480" w:lineRule="exact"/>
        <w:ind w:firstLine="0" w:firstLineChars="0"/>
        <w:jc w:val="left"/>
        <w:rPr>
          <w:rFonts w:ascii="Times New Roman" w:hAnsi="Times New Roman" w:cs="Times New Roman"/>
        </w:rPr>
      </w:pPr>
      <w:r>
        <w:rPr>
          <w:rFonts w:ascii="Times New Roman" w:hAnsi="Times New Roman" w:cs="Times New Roman"/>
        </w:rPr>
        <w:drawing>
          <wp:anchor distT="0" distB="0" distL="0" distR="0" simplePos="0" relativeHeight="486704128" behindDoc="1" locked="0" layoutInCell="1" allowOverlap="1">
            <wp:simplePos x="0" y="0"/>
            <wp:positionH relativeFrom="margin">
              <wp:posOffset>99695</wp:posOffset>
            </wp:positionH>
            <wp:positionV relativeFrom="paragraph">
              <wp:posOffset>240665</wp:posOffset>
            </wp:positionV>
            <wp:extent cx="5372100" cy="1120140"/>
            <wp:effectExtent l="0" t="0" r="0" b="3810"/>
            <wp:wrapNone/>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23" cstate="print"/>
                    <a:srcRect/>
                    <a:stretch>
                      <a:fillRect/>
                    </a:stretch>
                  </pic:blipFill>
                  <pic:spPr>
                    <a:xfrm>
                      <a:off x="0" y="0"/>
                      <a:ext cx="5372100" cy="1120140"/>
                    </a:xfrm>
                    <a:prstGeom prst="rect">
                      <a:avLst/>
                    </a:prstGeom>
                    <a:ln>
                      <a:noFill/>
                    </a:ln>
                  </pic:spPr>
                </pic:pic>
              </a:graphicData>
            </a:graphic>
          </wp:anchor>
        </w:drawing>
      </w:r>
      <w:r>
        <w:rPr>
          <w:rFonts w:ascii="Times New Roman" w:hAnsi="Times New Roman" w:cs="Times New Roman"/>
        </w:rPr>
        <w:t xml:space="preserve">污水处理场工艺流程简图详见图 </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1.2</w:t>
      </w:r>
      <w:r>
        <w:rPr>
          <w:rFonts w:ascii="Times New Roman" w:hAnsi="Times New Roman" w:cs="Times New Roman"/>
        </w:rPr>
        <w:t>-1~</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1.2</w:t>
      </w:r>
      <w:r>
        <w:rPr>
          <w:rFonts w:ascii="Times New Roman" w:hAnsi="Times New Roman" w:cs="Times New Roman"/>
        </w:rPr>
        <w:t>-3。</w:t>
      </w: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0" w:firstLineChars="0"/>
        <w:rPr>
          <w:rFonts w:ascii="Times New Roman" w:hAnsi="Times New Roman" w:cs="Times New Roman"/>
        </w:rPr>
      </w:pPr>
    </w:p>
    <w:p>
      <w:pPr>
        <w:pStyle w:val="5"/>
        <w:spacing w:line="480" w:lineRule="exact"/>
        <w:ind w:firstLine="0" w:firstLineChars="0"/>
        <w:rPr>
          <w:rFonts w:ascii="Times New Roman" w:hAnsi="Times New Roman" w:cs="Times New Roman"/>
          <w:b/>
          <w:bCs/>
        </w:rPr>
      </w:pPr>
      <w:r>
        <w:rPr>
          <w:rFonts w:ascii="Times New Roman" w:hAnsi="Times New Roman" w:cs="Times New Roman"/>
          <w:b/>
          <w:bCs/>
        </w:rPr>
        <w:t>图 3.1.2-1 长岭分公司第一污水处理场含油（含盐）污水处理工艺简要流程</w:t>
      </w:r>
    </w:p>
    <w:p>
      <w:pPr>
        <w:pStyle w:val="5"/>
        <w:spacing w:line="480" w:lineRule="exact"/>
        <w:ind w:firstLine="480"/>
        <w:rPr>
          <w:rFonts w:ascii="Times New Roman" w:hAnsi="Times New Roman" w:cs="Times New Roman"/>
        </w:rPr>
      </w:pPr>
      <w:r>
        <w:rPr>
          <w:rFonts w:ascii="Times New Roman" w:hAnsi="Times New Roman" w:cs="Times New Roman"/>
        </w:rPr>
        <w:drawing>
          <wp:anchor distT="0" distB="0" distL="0" distR="0" simplePos="0" relativeHeight="486705152" behindDoc="0" locked="0" layoutInCell="1" allowOverlap="1">
            <wp:simplePos x="0" y="0"/>
            <wp:positionH relativeFrom="column">
              <wp:posOffset>125095</wp:posOffset>
            </wp:positionH>
            <wp:positionV relativeFrom="paragraph">
              <wp:posOffset>37465</wp:posOffset>
            </wp:positionV>
            <wp:extent cx="5273040" cy="1479550"/>
            <wp:effectExtent l="0" t="0" r="3810" b="6350"/>
            <wp:wrapNone/>
            <wp:docPr id="1029" name="图片 21"/>
            <wp:cNvGraphicFramePr/>
            <a:graphic xmlns:a="http://schemas.openxmlformats.org/drawingml/2006/main">
              <a:graphicData uri="http://schemas.openxmlformats.org/drawingml/2006/picture">
                <pic:pic xmlns:pic="http://schemas.openxmlformats.org/drawingml/2006/picture">
                  <pic:nvPicPr>
                    <pic:cNvPr id="1029" name="图片 21"/>
                    <pic:cNvPicPr/>
                  </pic:nvPicPr>
                  <pic:blipFill>
                    <a:blip r:embed="rId24" cstate="print"/>
                    <a:srcRect b="10316"/>
                    <a:stretch>
                      <a:fillRect/>
                    </a:stretch>
                  </pic:blipFill>
                  <pic:spPr>
                    <a:xfrm>
                      <a:off x="0" y="0"/>
                      <a:ext cx="5273040" cy="1479550"/>
                    </a:xfrm>
                    <a:prstGeom prst="rect">
                      <a:avLst/>
                    </a:prstGeom>
                    <a:ln>
                      <a:noFill/>
                    </a:ln>
                  </pic:spPr>
                </pic:pic>
              </a:graphicData>
            </a:graphic>
          </wp:anchor>
        </w:drawing>
      </w: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0" w:firstLineChars="0"/>
        <w:jc w:val="center"/>
        <w:rPr>
          <w:rFonts w:ascii="Times New Roman" w:hAnsi="Times New Roman" w:cs="Times New Roman"/>
          <w:b/>
          <w:bCs/>
        </w:rPr>
      </w:pPr>
      <w:r>
        <w:rPr>
          <w:rFonts w:ascii="Times New Roman" w:hAnsi="Times New Roman" w:cs="Times New Roman"/>
          <w:b/>
          <w:bCs/>
        </w:rPr>
        <w:t>图 3.1.2-</w:t>
      </w:r>
      <w:r>
        <w:rPr>
          <w:rFonts w:hint="eastAsia" w:ascii="Times New Roman" w:hAnsi="Times New Roman" w:cs="Times New Roman"/>
          <w:b/>
          <w:bCs/>
        </w:rPr>
        <w:t>2</w:t>
      </w:r>
      <w:r>
        <w:rPr>
          <w:rFonts w:ascii="Times New Roman" w:hAnsi="Times New Roman" w:cs="Times New Roman"/>
          <w:b/>
          <w:bCs/>
        </w:rPr>
        <w:t xml:space="preserve"> 长岭分公司第二污水处理场含油污水处理工艺简要流程</w:t>
      </w:r>
    </w:p>
    <w:p>
      <w:pPr>
        <w:pStyle w:val="5"/>
        <w:spacing w:line="480" w:lineRule="exact"/>
        <w:ind w:firstLine="0" w:firstLineChars="0"/>
        <w:rPr>
          <w:rFonts w:ascii="Times New Roman" w:hAnsi="Times New Roman" w:cs="Times New Roman"/>
        </w:rPr>
      </w:pPr>
    </w:p>
    <w:p>
      <w:pPr>
        <w:pStyle w:val="5"/>
        <w:spacing w:line="480" w:lineRule="exact"/>
        <w:ind w:firstLine="0" w:firstLineChars="0"/>
        <w:rPr>
          <w:rFonts w:ascii="Times New Roman" w:hAnsi="Times New Roman" w:cs="Times New Roman"/>
        </w:rPr>
      </w:pPr>
      <w:r>
        <w:rPr>
          <w:rFonts w:ascii="Times New Roman" w:hAnsi="Times New Roman" w:cs="Times New Roman"/>
          <w:szCs w:val="24"/>
        </w:rPr>
        <w:drawing>
          <wp:anchor distT="0" distB="0" distL="0" distR="0" simplePos="0" relativeHeight="486706176" behindDoc="0" locked="0" layoutInCell="1" allowOverlap="1">
            <wp:simplePos x="0" y="0"/>
            <wp:positionH relativeFrom="column">
              <wp:posOffset>183515</wp:posOffset>
            </wp:positionH>
            <wp:positionV relativeFrom="paragraph">
              <wp:posOffset>52070</wp:posOffset>
            </wp:positionV>
            <wp:extent cx="5271135" cy="393700"/>
            <wp:effectExtent l="0" t="0" r="5715" b="6350"/>
            <wp:wrapNone/>
            <wp:docPr id="11" name="图片 22"/>
            <wp:cNvGraphicFramePr/>
            <a:graphic xmlns:a="http://schemas.openxmlformats.org/drawingml/2006/main">
              <a:graphicData uri="http://schemas.openxmlformats.org/drawingml/2006/picture">
                <pic:pic xmlns:pic="http://schemas.openxmlformats.org/drawingml/2006/picture">
                  <pic:nvPicPr>
                    <pic:cNvPr id="11" name="图片 22"/>
                    <pic:cNvPicPr/>
                  </pic:nvPicPr>
                  <pic:blipFill>
                    <a:blip r:embed="rId25" cstate="print"/>
                    <a:srcRect b="37872"/>
                    <a:stretch>
                      <a:fillRect/>
                    </a:stretch>
                  </pic:blipFill>
                  <pic:spPr>
                    <a:xfrm>
                      <a:off x="0" y="0"/>
                      <a:ext cx="5271135" cy="393700"/>
                    </a:xfrm>
                    <a:prstGeom prst="rect">
                      <a:avLst/>
                    </a:prstGeom>
                    <a:ln>
                      <a:noFill/>
                    </a:ln>
                  </pic:spPr>
                </pic:pic>
              </a:graphicData>
            </a:graphic>
          </wp:anchor>
        </w:drawing>
      </w:r>
    </w:p>
    <w:p>
      <w:pPr>
        <w:pStyle w:val="5"/>
        <w:spacing w:line="480" w:lineRule="exact"/>
        <w:ind w:firstLine="0" w:firstLineChars="0"/>
        <w:rPr>
          <w:rFonts w:ascii="Times New Roman" w:hAnsi="Times New Roman" w:cs="Times New Roman"/>
        </w:rPr>
      </w:pPr>
    </w:p>
    <w:p>
      <w:pPr>
        <w:pStyle w:val="5"/>
        <w:ind w:firstLine="482"/>
        <w:jc w:val="center"/>
        <w:rPr>
          <w:rFonts w:ascii="Times New Roman" w:hAnsi="Times New Roman" w:cs="Times New Roman"/>
          <w:b/>
          <w:bCs/>
        </w:rPr>
      </w:pPr>
      <w:r>
        <w:rPr>
          <w:rFonts w:ascii="Times New Roman" w:hAnsi="Times New Roman" w:cs="Times New Roman"/>
          <w:b/>
          <w:bCs/>
        </w:rPr>
        <w:t>图 3.1.2-</w:t>
      </w:r>
      <w:r>
        <w:rPr>
          <w:rFonts w:hint="eastAsia" w:ascii="Times New Roman" w:hAnsi="Times New Roman" w:cs="Times New Roman"/>
          <w:b/>
          <w:bCs/>
        </w:rPr>
        <w:t>3</w:t>
      </w:r>
      <w:r>
        <w:rPr>
          <w:rFonts w:ascii="Times New Roman" w:hAnsi="Times New Roman" w:cs="Times New Roman"/>
          <w:b/>
          <w:bCs/>
        </w:rPr>
        <w:t xml:space="preserve"> 长岭分公司第二污水处理场含盐污水处理工艺简要流程</w:t>
      </w:r>
    </w:p>
    <w:p>
      <w:pPr>
        <w:spacing w:line="360" w:lineRule="auto"/>
        <w:ind w:firstLine="510"/>
        <w:rPr>
          <w:rFonts w:ascii="Times New Roman" w:hAnsi="Times New Roman"/>
          <w:sz w:val="24"/>
        </w:rPr>
      </w:pPr>
      <w:r>
        <w:rPr>
          <w:rFonts w:ascii="Times New Roman" w:hAnsi="Times New Roman"/>
          <w:sz w:val="24"/>
        </w:rPr>
        <w:t>项目废水主要是CFB锅炉排污水与CFB烟脱废水，均进污水处理厂含盐污水处理系统。</w:t>
      </w:r>
    </w:p>
    <w:p>
      <w:pPr>
        <w:spacing w:line="360" w:lineRule="auto"/>
        <w:ind w:firstLine="510"/>
        <w:rPr>
          <w:rFonts w:ascii="Times New Roman" w:hAnsi="Times New Roman"/>
          <w:sz w:val="24"/>
        </w:rPr>
      </w:pPr>
      <w:r>
        <w:rPr>
          <w:rFonts w:ascii="Times New Roman" w:hAnsi="Times New Roman"/>
          <w:sz w:val="24"/>
        </w:rPr>
        <w:t>（3）废气处理设施</w:t>
      </w:r>
    </w:p>
    <w:p>
      <w:pPr>
        <w:spacing w:line="360" w:lineRule="auto"/>
        <w:ind w:firstLine="510"/>
        <w:rPr>
          <w:rFonts w:ascii="Times New Roman" w:hAnsi="Times New Roman"/>
          <w:sz w:val="24"/>
        </w:rPr>
      </w:pPr>
      <w:r>
        <w:rPr>
          <w:rFonts w:ascii="Times New Roman" w:hAnsi="Times New Roman"/>
          <w:sz w:val="24"/>
        </w:rPr>
        <w:t>项目CFB锅炉掺烧油泥烟气依托锅炉现有烟气治理措施，采取燃烧炉炉内脱硫，SCR烟气脱硝+布袋除尘+石灰石—石膏法湿法脱硫后经脱硫塔烟囱（100m）高空排放</w:t>
      </w:r>
      <w:r>
        <w:rPr>
          <w:rFonts w:ascii="Times New Roman" w:hAnsi="Times New Roman"/>
          <w:sz w:val="24"/>
          <w:szCs w:val="24"/>
        </w:rPr>
        <w:t>。根据CFB锅炉污染物监测报告显示锅炉烟气中烟尘、SO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二噁英、重金属（Hg、Cd、As+Ni、Pb、Cr+Sn+Sb+Cu+Mn）排放浓度能够满足《火电厂大气污染物排放标准》GB13223-2011表1排放限值、《全面实施燃煤电厂超低排放和节能改造工作方案》要求和《危险废物焚烧污染物控制标准》GB18484-2001限值要求，项目实施后废气依托现有治理措施可保证废气达标排放。</w:t>
      </w:r>
    </w:p>
    <w:p>
      <w:pPr>
        <w:pStyle w:val="7"/>
        <w:numPr>
          <w:ilvl w:val="2"/>
          <w:numId w:val="0"/>
        </w:numPr>
        <w:spacing w:before="120" w:after="120"/>
        <w:ind w:left="142"/>
        <w:textAlignment w:val="baseline"/>
        <w:rPr>
          <w:szCs w:val="24"/>
        </w:rPr>
      </w:pPr>
      <w:bookmarkStart w:id="183" w:name="_Toc17580"/>
      <w:bookmarkStart w:id="184" w:name="_Toc486403315"/>
      <w:bookmarkStart w:id="185" w:name="_Toc484073417"/>
      <w:bookmarkStart w:id="186" w:name="_Toc3499"/>
      <w:bookmarkStart w:id="187" w:name="_Toc27476"/>
      <w:bookmarkStart w:id="188" w:name="_Toc31729"/>
      <w:r>
        <w:rPr>
          <w:szCs w:val="24"/>
        </w:rPr>
        <w:t>3.1.3</w:t>
      </w:r>
      <w:bookmarkEnd w:id="183"/>
      <w:bookmarkEnd w:id="184"/>
      <w:bookmarkEnd w:id="185"/>
      <w:bookmarkEnd w:id="186"/>
      <w:bookmarkEnd w:id="187"/>
      <w:bookmarkEnd w:id="188"/>
      <w:r>
        <w:rPr>
          <w:szCs w:val="24"/>
        </w:rPr>
        <w:t>掺烧方案及油泥浮渣特性</w:t>
      </w:r>
    </w:p>
    <w:p>
      <w:pPr>
        <w:spacing w:line="360" w:lineRule="auto"/>
        <w:ind w:firstLine="480" w:firstLineChars="200"/>
        <w:rPr>
          <w:rFonts w:ascii="Times New Roman" w:hAnsi="Times New Roman"/>
          <w:sz w:val="24"/>
          <w:u w:val="single"/>
        </w:rPr>
      </w:pPr>
      <w:r>
        <w:rPr>
          <w:rFonts w:ascii="Times New Roman" w:hAnsi="Times New Roman"/>
          <w:sz w:val="24"/>
        </w:rPr>
        <w:t>生产规模及产品方</w:t>
      </w:r>
      <w:r>
        <w:rPr>
          <w:rFonts w:ascii="Times New Roman" w:hAnsi="Times New Roman"/>
          <w:sz w:val="24"/>
          <w:u w:val="single"/>
        </w:rPr>
        <w:t>案：将长岭分公司清罐油泥及污水处理场产生的油泥浮渣送入公司CFB锅炉装置掺烧，CFB锅炉可单炉运行，也可双炉运行，主要以单炉运行。掺烧可进任何一台CFB炉。油泥浮渣掺烧量为1～2t/h，根据锅炉运行负荷调整，掺烧分两种方式：一是含水率约90%的油泥浮渣用泵经过喷枪送到燃烧火嘴进入CFB锅炉炉膛直接掺烧，掺烧量为0.9万吨/年；二是将干化后的3000吨油泥浮渣，含水率30%（干化预处理部分外委给长岭设备研究所有限公司处理，已单独立项进行环评）与CFB锅炉燃煤混合后进行掺烧。</w:t>
      </w:r>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长岭分公司</w:t>
      </w:r>
      <w:r>
        <w:rPr>
          <w:rFonts w:ascii="Times New Roman" w:hAnsi="Times New Roman"/>
          <w:sz w:val="24"/>
        </w:rPr>
        <w:t>热电部</w:t>
      </w:r>
      <w:r>
        <w:rPr>
          <w:rFonts w:ascii="Times New Roman" w:hAnsi="Times New Roman"/>
          <w:kern w:val="0"/>
          <w:sz w:val="24"/>
          <w:szCs w:val="24"/>
        </w:rPr>
        <w:t>现有2台HM260-9.8/540-A循环流化床锅炉，燃料为煤和石油焦。CFB锅炉掺烧油泥浮渣部分主要原辅材料见下表。</w:t>
      </w:r>
    </w:p>
    <w:p>
      <w:pPr>
        <w:spacing w:line="360" w:lineRule="auto"/>
        <w:ind w:firstLine="510"/>
        <w:jc w:val="center"/>
        <w:rPr>
          <w:rFonts w:ascii="Times New Roman" w:hAnsi="Times New Roman"/>
          <w:b/>
          <w:kern w:val="0"/>
          <w:sz w:val="24"/>
          <w:szCs w:val="24"/>
        </w:rPr>
      </w:pPr>
      <w:r>
        <w:rPr>
          <w:rFonts w:ascii="Times New Roman" w:hAnsi="Times New Roman"/>
          <w:b/>
          <w:kern w:val="0"/>
          <w:sz w:val="24"/>
          <w:szCs w:val="24"/>
        </w:rPr>
        <w:t>表3.1.3-1  CFB锅炉掺烧油泥主要原辅材料</w:t>
      </w:r>
    </w:p>
    <w:tbl>
      <w:tblPr>
        <w:tblStyle w:val="45"/>
        <w:tblW w:w="85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3498"/>
        <w:gridCol w:w="709"/>
        <w:gridCol w:w="1134"/>
        <w:gridCol w:w="2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b/>
                <w:szCs w:val="21"/>
              </w:rPr>
            </w:pPr>
            <w:r>
              <w:rPr>
                <w:rFonts w:ascii="Times New Roman" w:hAnsi="Times New Roman"/>
                <w:b/>
                <w:szCs w:val="21"/>
              </w:rPr>
              <w:t>序号</w:t>
            </w:r>
          </w:p>
        </w:tc>
        <w:tc>
          <w:tcPr>
            <w:tcW w:w="3498" w:type="dxa"/>
            <w:shd w:val="clear" w:color="auto" w:fill="auto"/>
            <w:vAlign w:val="center"/>
          </w:tcPr>
          <w:p>
            <w:pPr>
              <w:jc w:val="center"/>
              <w:rPr>
                <w:rFonts w:ascii="Times New Roman" w:hAnsi="Times New Roman"/>
                <w:b/>
                <w:szCs w:val="21"/>
              </w:rPr>
            </w:pPr>
            <w:r>
              <w:rPr>
                <w:rFonts w:ascii="Times New Roman" w:hAnsi="Times New Roman"/>
                <w:b/>
                <w:szCs w:val="21"/>
              </w:rPr>
              <w:t>指标名称</w:t>
            </w:r>
          </w:p>
        </w:tc>
        <w:tc>
          <w:tcPr>
            <w:tcW w:w="709" w:type="dxa"/>
            <w:shd w:val="clear" w:color="auto" w:fill="auto"/>
            <w:vAlign w:val="center"/>
          </w:tcPr>
          <w:p>
            <w:pPr>
              <w:jc w:val="center"/>
              <w:rPr>
                <w:rFonts w:ascii="Times New Roman" w:hAnsi="Times New Roman"/>
                <w:b/>
                <w:szCs w:val="21"/>
              </w:rPr>
            </w:pPr>
            <w:r>
              <w:rPr>
                <w:rFonts w:ascii="Times New Roman" w:hAnsi="Times New Roman"/>
                <w:b/>
                <w:szCs w:val="21"/>
              </w:rPr>
              <w:t>单位</w:t>
            </w:r>
          </w:p>
        </w:tc>
        <w:tc>
          <w:tcPr>
            <w:tcW w:w="1134" w:type="dxa"/>
            <w:shd w:val="clear" w:color="auto" w:fill="auto"/>
            <w:vAlign w:val="center"/>
          </w:tcPr>
          <w:p>
            <w:pPr>
              <w:jc w:val="center"/>
              <w:rPr>
                <w:rFonts w:ascii="Times New Roman" w:hAnsi="Times New Roman"/>
                <w:b/>
                <w:szCs w:val="21"/>
              </w:rPr>
            </w:pPr>
            <w:r>
              <w:rPr>
                <w:rFonts w:ascii="Times New Roman" w:hAnsi="Times New Roman"/>
                <w:b/>
                <w:szCs w:val="21"/>
              </w:rPr>
              <w:t>数量</w:t>
            </w:r>
          </w:p>
        </w:tc>
        <w:tc>
          <w:tcPr>
            <w:tcW w:w="2438" w:type="dxa"/>
            <w:shd w:val="clear" w:color="auto" w:fill="auto"/>
            <w:vAlign w:val="center"/>
          </w:tcPr>
          <w:p>
            <w:pPr>
              <w:jc w:val="center"/>
              <w:rPr>
                <w:rFonts w:ascii="Times New Roman" w:hAnsi="Times New Roman"/>
                <w:b/>
                <w:szCs w:val="21"/>
              </w:rPr>
            </w:pPr>
            <w:r>
              <w:rPr>
                <w:rFonts w:ascii="Times New Roman" w:hAnsi="Times New Roman"/>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1</w:t>
            </w:r>
          </w:p>
        </w:tc>
        <w:tc>
          <w:tcPr>
            <w:tcW w:w="3498"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直接掺烧的油泥浮渣（含水率90%）</w:t>
            </w:r>
          </w:p>
        </w:tc>
        <w:tc>
          <w:tcPr>
            <w:tcW w:w="709"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t/a</w:t>
            </w:r>
          </w:p>
        </w:tc>
        <w:tc>
          <w:tcPr>
            <w:tcW w:w="1134"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9000（换算成含水率30%为1286 t/a）</w:t>
            </w:r>
          </w:p>
        </w:tc>
        <w:tc>
          <w:tcPr>
            <w:tcW w:w="2438" w:type="dxa"/>
            <w:vMerge w:val="restart"/>
            <w:shd w:val="clear" w:color="auto" w:fill="auto"/>
            <w:vAlign w:val="center"/>
          </w:tcPr>
          <w:p>
            <w:pPr>
              <w:jc w:val="center"/>
              <w:rPr>
                <w:rFonts w:ascii="Times New Roman" w:hAnsi="Times New Roman"/>
                <w:szCs w:val="21"/>
                <w:u w:val="single"/>
              </w:rPr>
            </w:pPr>
            <w:r>
              <w:rPr>
                <w:rFonts w:ascii="Times New Roman" w:hAnsi="Times New Roman"/>
                <w:szCs w:val="21"/>
                <w:u w:val="single"/>
              </w:rPr>
              <w:t>油泥浮渣换算成30%含水率共计4286 t/a，热值2.18*10</w:t>
            </w:r>
            <w:r>
              <w:rPr>
                <w:rFonts w:ascii="Times New Roman" w:hAnsi="Times New Roman"/>
                <w:szCs w:val="21"/>
                <w:u w:val="single"/>
                <w:vertAlign w:val="superscript"/>
              </w:rPr>
              <w:t>7</w:t>
            </w:r>
            <w:r>
              <w:rPr>
                <w:rFonts w:ascii="Times New Roman" w:hAnsi="Times New Roman"/>
                <w:sz w:val="24"/>
                <w:u w:val="single"/>
              </w:rPr>
              <w:t>J/kg，</w:t>
            </w:r>
            <w:r>
              <w:rPr>
                <w:rFonts w:ascii="Times New Roman" w:hAnsi="Times New Roman"/>
                <w:szCs w:val="21"/>
                <w:u w:val="single"/>
              </w:rPr>
              <w:t>燃烧总热量为93434800MJ，9000吨90％含水率的油泥干化成30％含水率的干泥需要消耗热量21970080 MJ（水的汽化热常温常压下为2441.12焦耳/克），两者相减剩余热值为71464720MJ，经换算，可节省煤的用量为2464吨（烟煤的热值按2.9*10</w:t>
            </w:r>
            <w:r>
              <w:rPr>
                <w:rFonts w:ascii="Times New Roman" w:hAnsi="Times New Roman"/>
                <w:szCs w:val="21"/>
                <w:u w:val="single"/>
                <w:vertAlign w:val="superscript"/>
              </w:rPr>
              <w:t>7</w:t>
            </w:r>
            <w:r>
              <w:rPr>
                <w:rFonts w:ascii="Times New Roman" w:hAnsi="Times New Roman"/>
                <w:sz w:val="24"/>
                <w:u w:val="single"/>
              </w:rPr>
              <w:t>J/kg计算</w:t>
            </w:r>
            <w:r>
              <w:rPr>
                <w:rFonts w:ascii="Times New Roman" w:hAnsi="Times New Roman"/>
                <w:szCs w:val="21"/>
                <w:u w:val="singl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2</w:t>
            </w:r>
          </w:p>
        </w:tc>
        <w:tc>
          <w:tcPr>
            <w:tcW w:w="3498"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干化油泥浮渣（含水率30%）</w:t>
            </w:r>
          </w:p>
        </w:tc>
        <w:tc>
          <w:tcPr>
            <w:tcW w:w="709"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t/a</w:t>
            </w:r>
          </w:p>
        </w:tc>
        <w:tc>
          <w:tcPr>
            <w:tcW w:w="1134"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3000</w:t>
            </w:r>
          </w:p>
        </w:tc>
        <w:tc>
          <w:tcPr>
            <w:tcW w:w="2438" w:type="dxa"/>
            <w:vMerge w:val="continue"/>
            <w:shd w:val="clear" w:color="auto" w:fill="auto"/>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3</w:t>
            </w:r>
          </w:p>
        </w:tc>
        <w:tc>
          <w:tcPr>
            <w:tcW w:w="3498"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燃煤</w:t>
            </w:r>
          </w:p>
        </w:tc>
        <w:tc>
          <w:tcPr>
            <w:tcW w:w="709"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t/a</w:t>
            </w:r>
          </w:p>
        </w:tc>
        <w:tc>
          <w:tcPr>
            <w:tcW w:w="1134"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150926.2</w:t>
            </w:r>
          </w:p>
        </w:tc>
        <w:tc>
          <w:tcPr>
            <w:tcW w:w="2438" w:type="dxa"/>
            <w:vMerge w:val="continue"/>
            <w:shd w:val="clear" w:color="auto" w:fill="auto"/>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4</w:t>
            </w:r>
          </w:p>
        </w:tc>
        <w:tc>
          <w:tcPr>
            <w:tcW w:w="3498"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石油焦</w:t>
            </w:r>
          </w:p>
        </w:tc>
        <w:tc>
          <w:tcPr>
            <w:tcW w:w="709"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t/a</w:t>
            </w:r>
          </w:p>
        </w:tc>
        <w:tc>
          <w:tcPr>
            <w:tcW w:w="1134"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80792.66</w:t>
            </w:r>
          </w:p>
        </w:tc>
        <w:tc>
          <w:tcPr>
            <w:tcW w:w="2438" w:type="dxa"/>
            <w:vMerge w:val="continue"/>
            <w:shd w:val="clear" w:color="auto" w:fill="auto"/>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5</w:t>
            </w:r>
          </w:p>
        </w:tc>
        <w:tc>
          <w:tcPr>
            <w:tcW w:w="3498"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石灰石</w:t>
            </w:r>
            <w:r>
              <w:rPr>
                <w:rFonts w:ascii="Times New Roman" w:hAnsi="Times New Roman"/>
                <w:u w:val="single"/>
              </w:rPr>
              <w:t>（用于烟气脱硫）</w:t>
            </w:r>
          </w:p>
        </w:tc>
        <w:tc>
          <w:tcPr>
            <w:tcW w:w="709"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t/a</w:t>
            </w:r>
          </w:p>
        </w:tc>
        <w:tc>
          <w:tcPr>
            <w:tcW w:w="1134"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26877.76</w:t>
            </w:r>
          </w:p>
        </w:tc>
        <w:tc>
          <w:tcPr>
            <w:tcW w:w="2438" w:type="dxa"/>
            <w:vMerge w:val="continue"/>
            <w:shd w:val="clear" w:color="auto" w:fill="auto"/>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750"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6</w:t>
            </w:r>
          </w:p>
        </w:tc>
        <w:tc>
          <w:tcPr>
            <w:tcW w:w="3498"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氨水</w:t>
            </w:r>
          </w:p>
        </w:tc>
        <w:tc>
          <w:tcPr>
            <w:tcW w:w="709"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t/a</w:t>
            </w:r>
          </w:p>
        </w:tc>
        <w:tc>
          <w:tcPr>
            <w:tcW w:w="1134" w:type="dxa"/>
            <w:shd w:val="clear" w:color="auto" w:fill="auto"/>
            <w:vAlign w:val="center"/>
          </w:tcPr>
          <w:p>
            <w:pPr>
              <w:jc w:val="center"/>
              <w:rPr>
                <w:rFonts w:ascii="Times New Roman" w:hAnsi="Times New Roman"/>
                <w:szCs w:val="21"/>
                <w:u w:val="single"/>
              </w:rPr>
            </w:pPr>
            <w:r>
              <w:rPr>
                <w:rFonts w:ascii="Times New Roman" w:hAnsi="Times New Roman"/>
                <w:szCs w:val="21"/>
                <w:u w:val="single"/>
              </w:rPr>
              <w:t>1.8</w:t>
            </w:r>
          </w:p>
        </w:tc>
        <w:tc>
          <w:tcPr>
            <w:tcW w:w="2438" w:type="dxa"/>
            <w:vMerge w:val="continue"/>
            <w:shd w:val="clear" w:color="auto" w:fill="auto"/>
            <w:vAlign w:val="center"/>
          </w:tcPr>
          <w:p>
            <w:pPr>
              <w:jc w:val="center"/>
              <w:rPr>
                <w:rFonts w:ascii="Times New Roman" w:hAnsi="Times New Roman"/>
                <w:szCs w:val="21"/>
              </w:rPr>
            </w:pPr>
          </w:p>
        </w:tc>
      </w:tr>
    </w:tbl>
    <w:p>
      <w:pPr>
        <w:spacing w:line="360" w:lineRule="auto"/>
        <w:rPr>
          <w:rFonts w:ascii="Times New Roman" w:hAnsi="Times New Roman"/>
          <w:kern w:val="0"/>
          <w:sz w:val="24"/>
          <w:szCs w:val="24"/>
        </w:rPr>
      </w:pPr>
    </w:p>
    <w:p>
      <w:pPr>
        <w:spacing w:line="360" w:lineRule="auto"/>
        <w:ind w:firstLine="480" w:firstLineChars="200"/>
        <w:rPr>
          <w:rFonts w:ascii="Times New Roman" w:hAnsi="Times New Roman"/>
          <w:b/>
          <w:kern w:val="0"/>
          <w:szCs w:val="24"/>
          <w:u w:val="single"/>
        </w:rPr>
      </w:pPr>
      <w:bookmarkStart w:id="189" w:name="_Toc484073420"/>
      <w:bookmarkStart w:id="190" w:name="_Toc25874"/>
      <w:bookmarkStart w:id="191" w:name="_Toc486403317"/>
      <w:bookmarkStart w:id="192" w:name="_Toc30117"/>
      <w:bookmarkStart w:id="193" w:name="_Toc13144"/>
      <w:bookmarkStart w:id="194" w:name="_Toc8601"/>
      <w:r>
        <w:rPr>
          <w:rFonts w:ascii="Times New Roman" w:hAnsi="Times New Roman"/>
          <w:kern w:val="0"/>
          <w:sz w:val="24"/>
          <w:szCs w:val="24"/>
          <w:u w:val="single"/>
        </w:rPr>
        <w:t>掺烧原料全部是长岭分公司自身生产过程中产生的油泥浮渣，来源单一，长岭分公司委托湖南长岭石化科技开发有限公司于2020年5月12日对长岭分公司油泥浮渣成分进行了检测，具体成分见下表。</w:t>
      </w:r>
    </w:p>
    <w:p>
      <w:pPr>
        <w:pStyle w:val="259"/>
        <w:spacing w:line="360" w:lineRule="auto"/>
        <w:ind w:firstLine="482"/>
        <w:jc w:val="center"/>
        <w:rPr>
          <w:rFonts w:ascii="Times New Roman" w:hAnsi="Times New Roman" w:cs="Times New Roman"/>
          <w:b/>
          <w:u w:val="single"/>
        </w:rPr>
      </w:pPr>
      <w:r>
        <w:rPr>
          <w:rFonts w:ascii="Times New Roman" w:hAnsi="Times New Roman" w:cs="Times New Roman"/>
          <w:b/>
          <w:kern w:val="0"/>
          <w:szCs w:val="24"/>
          <w:u w:val="single"/>
        </w:rPr>
        <w:t>表3.1.3-2 长岭分公司油泥浮渣</w:t>
      </w:r>
      <w:r>
        <w:rPr>
          <w:rFonts w:ascii="Times New Roman" w:hAnsi="Times New Roman" w:cs="Times New Roman"/>
          <w:b/>
          <w:u w:val="single"/>
        </w:rPr>
        <w:t>成分检测结果一览表</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82"/>
        <w:gridCol w:w="2104"/>
        <w:gridCol w:w="2154"/>
        <w:gridCol w:w="2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2182" w:type="dxa"/>
            <w:vAlign w:val="center"/>
          </w:tcPr>
          <w:p>
            <w:pPr>
              <w:pStyle w:val="65"/>
              <w:spacing w:line="312" w:lineRule="auto"/>
              <w:rPr>
                <w:b/>
                <w:sz w:val="21"/>
                <w:szCs w:val="21"/>
                <w:u w:val="single"/>
              </w:rPr>
            </w:pPr>
            <w:r>
              <w:rPr>
                <w:b/>
                <w:sz w:val="21"/>
                <w:szCs w:val="21"/>
                <w:u w:val="single"/>
              </w:rPr>
              <w:t>项目</w:t>
            </w:r>
          </w:p>
        </w:tc>
        <w:tc>
          <w:tcPr>
            <w:tcW w:w="2104" w:type="dxa"/>
            <w:vAlign w:val="center"/>
          </w:tcPr>
          <w:p>
            <w:pPr>
              <w:pStyle w:val="65"/>
              <w:spacing w:line="312" w:lineRule="auto"/>
              <w:rPr>
                <w:b/>
                <w:sz w:val="21"/>
                <w:szCs w:val="21"/>
                <w:u w:val="single"/>
              </w:rPr>
            </w:pPr>
            <w:r>
              <w:rPr>
                <w:b/>
                <w:sz w:val="21"/>
                <w:szCs w:val="21"/>
                <w:u w:val="single"/>
              </w:rPr>
              <w:t>数值</w:t>
            </w:r>
          </w:p>
        </w:tc>
        <w:tc>
          <w:tcPr>
            <w:tcW w:w="2154" w:type="dxa"/>
            <w:vAlign w:val="center"/>
          </w:tcPr>
          <w:p>
            <w:pPr>
              <w:pStyle w:val="65"/>
              <w:spacing w:line="312" w:lineRule="auto"/>
              <w:rPr>
                <w:b/>
                <w:sz w:val="21"/>
                <w:szCs w:val="21"/>
                <w:u w:val="single"/>
              </w:rPr>
            </w:pPr>
            <w:r>
              <w:rPr>
                <w:b/>
                <w:sz w:val="21"/>
                <w:szCs w:val="21"/>
                <w:u w:val="single"/>
              </w:rPr>
              <w:t>项目</w:t>
            </w:r>
          </w:p>
        </w:tc>
        <w:tc>
          <w:tcPr>
            <w:tcW w:w="2089" w:type="dxa"/>
            <w:vAlign w:val="center"/>
          </w:tcPr>
          <w:p>
            <w:pPr>
              <w:pStyle w:val="65"/>
              <w:spacing w:line="312" w:lineRule="auto"/>
              <w:rPr>
                <w:b/>
                <w:sz w:val="21"/>
                <w:szCs w:val="21"/>
                <w:u w:val="single"/>
              </w:rPr>
            </w:pPr>
            <w:r>
              <w:rPr>
                <w:b/>
                <w:sz w:val="21"/>
                <w:szCs w:val="21"/>
                <w:u w:val="single"/>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Al（%）</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0.44</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Zn（µg/g）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Ca（%）</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1.05</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Mn（µg/g）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Fe（%）</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0.58</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Na（µg/g）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Mg（%）</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0.13</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Ni（µg/g）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Cr（µg/g）</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13.9</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Pb（µg/g）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Cu（µg/g）</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15.6</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V（µg/g）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K（µg/g）</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504</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S（mg/kg)</w:t>
            </w:r>
          </w:p>
        </w:tc>
        <w:tc>
          <w:tcPr>
            <w:tcW w:w="2089" w:type="dxa"/>
            <w:vAlign w:val="center"/>
          </w:tcPr>
          <w:p>
            <w:pPr>
              <w:jc w:val="center"/>
              <w:rPr>
                <w:rFonts w:ascii="Times New Roman" w:hAnsi="Times New Roman"/>
                <w:szCs w:val="21"/>
                <w:u w:val="single"/>
              </w:rPr>
            </w:pPr>
            <w:r>
              <w:rPr>
                <w:rFonts w:ascii="Times New Roman" w:hAnsi="Times New Roman"/>
                <w:szCs w:val="21"/>
                <w:u w:val="single"/>
              </w:rPr>
              <w:t>6099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2" w:type="dxa"/>
            <w:vAlign w:val="center"/>
          </w:tcPr>
          <w:p>
            <w:pPr>
              <w:jc w:val="center"/>
              <w:rPr>
                <w:rFonts w:ascii="Times New Roman" w:hAnsi="Times New Roman"/>
                <w:szCs w:val="21"/>
                <w:u w:val="single"/>
              </w:rPr>
            </w:pPr>
            <w:r>
              <w:rPr>
                <w:rFonts w:ascii="Times New Roman" w:hAnsi="Times New Roman"/>
                <w:szCs w:val="21"/>
                <w:u w:val="single"/>
              </w:rPr>
              <w:t>N（mg/kg)</w:t>
            </w:r>
          </w:p>
        </w:tc>
        <w:tc>
          <w:tcPr>
            <w:tcW w:w="2104" w:type="dxa"/>
            <w:vAlign w:val="center"/>
          </w:tcPr>
          <w:p>
            <w:pPr>
              <w:jc w:val="center"/>
              <w:rPr>
                <w:rFonts w:ascii="Times New Roman" w:hAnsi="Times New Roman"/>
                <w:szCs w:val="21"/>
                <w:u w:val="single"/>
              </w:rPr>
            </w:pPr>
            <w:r>
              <w:rPr>
                <w:rFonts w:ascii="Times New Roman" w:hAnsi="Times New Roman"/>
                <w:szCs w:val="21"/>
                <w:u w:val="single"/>
              </w:rPr>
              <w:t>1679</w:t>
            </w:r>
          </w:p>
        </w:tc>
        <w:tc>
          <w:tcPr>
            <w:tcW w:w="2154" w:type="dxa"/>
            <w:vAlign w:val="center"/>
          </w:tcPr>
          <w:p>
            <w:pPr>
              <w:jc w:val="center"/>
              <w:rPr>
                <w:rFonts w:ascii="Times New Roman" w:hAnsi="Times New Roman"/>
                <w:szCs w:val="21"/>
                <w:u w:val="single"/>
              </w:rPr>
            </w:pPr>
            <w:r>
              <w:rPr>
                <w:rFonts w:ascii="Times New Roman" w:hAnsi="Times New Roman"/>
                <w:szCs w:val="21"/>
                <w:u w:val="single"/>
              </w:rPr>
              <w:t>Cl（mg/kg)</w:t>
            </w:r>
          </w:p>
        </w:tc>
        <w:tc>
          <w:tcPr>
            <w:tcW w:w="2089" w:type="dxa"/>
            <w:vAlign w:val="center"/>
          </w:tcPr>
          <w:p>
            <w:pPr>
              <w:jc w:val="center"/>
              <w:rPr>
                <w:rFonts w:hint="eastAsia" w:ascii="Times New Roman" w:hAnsi="Times New Roman" w:eastAsia="宋体"/>
                <w:szCs w:val="21"/>
                <w:u w:val="single"/>
                <w:lang w:eastAsia="zh-CN"/>
              </w:rPr>
            </w:pPr>
            <w:r>
              <w:rPr>
                <w:rFonts w:hint="eastAsia" w:ascii="Times New Roman" w:hAnsi="Times New Roman"/>
                <w:szCs w:val="21"/>
                <w:u w:val="single"/>
                <w:lang w:val="en-US" w:eastAsia="zh-CN"/>
              </w:rPr>
              <w:t>/</w:t>
            </w:r>
          </w:p>
        </w:tc>
      </w:tr>
    </w:tbl>
    <w:p>
      <w:pPr>
        <w:pStyle w:val="7"/>
        <w:numPr>
          <w:ilvl w:val="2"/>
          <w:numId w:val="0"/>
        </w:numPr>
        <w:spacing w:before="120" w:after="120"/>
        <w:ind w:firstLine="241" w:firstLineChars="100"/>
        <w:textAlignment w:val="baseline"/>
        <w:rPr>
          <w:kern w:val="0"/>
          <w:szCs w:val="24"/>
        </w:rPr>
      </w:pPr>
      <w:r>
        <w:rPr>
          <w:szCs w:val="24"/>
        </w:rPr>
        <w:t>3.1.4生产设备</w:t>
      </w:r>
      <w:bookmarkEnd w:id="189"/>
      <w:bookmarkEnd w:id="190"/>
      <w:bookmarkEnd w:id="191"/>
      <w:bookmarkEnd w:id="192"/>
      <w:bookmarkEnd w:id="193"/>
      <w:bookmarkEnd w:id="194"/>
    </w:p>
    <w:p>
      <w:pPr>
        <w:spacing w:line="360" w:lineRule="auto"/>
        <w:ind w:firstLine="510"/>
        <w:rPr>
          <w:rFonts w:ascii="Times New Roman" w:hAnsi="Times New Roman"/>
          <w:kern w:val="0"/>
          <w:sz w:val="24"/>
          <w:szCs w:val="24"/>
        </w:rPr>
      </w:pPr>
      <w:r>
        <w:rPr>
          <w:rFonts w:ascii="Times New Roman" w:hAnsi="Times New Roman"/>
          <w:kern w:val="0"/>
          <w:sz w:val="24"/>
          <w:szCs w:val="24"/>
        </w:rPr>
        <w:t>CFB锅炉掺烧油泥部分涉及到的主要生产设备见下表。</w:t>
      </w:r>
    </w:p>
    <w:p>
      <w:pPr>
        <w:adjustRightInd w:val="0"/>
        <w:ind w:firstLine="420"/>
        <w:jc w:val="center"/>
        <w:rPr>
          <w:rFonts w:ascii="Times New Roman" w:hAnsi="Times New Roman"/>
          <w:b/>
          <w:sz w:val="24"/>
          <w:szCs w:val="24"/>
        </w:rPr>
      </w:pPr>
      <w:r>
        <w:rPr>
          <w:rFonts w:ascii="Times New Roman" w:hAnsi="Times New Roman"/>
          <w:b/>
          <w:sz w:val="24"/>
          <w:szCs w:val="24"/>
        </w:rPr>
        <w:t>表3.1.4.-1CFB锅炉掺烧油泥主要设备一览表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99" w:type="dxa"/>
          <w:bottom w:w="0" w:type="dxa"/>
          <w:right w:w="99" w:type="dxa"/>
        </w:tblCellMar>
      </w:tblPr>
      <w:tblGrid>
        <w:gridCol w:w="910"/>
        <w:gridCol w:w="1762"/>
        <w:gridCol w:w="1640"/>
        <w:gridCol w:w="2586"/>
        <w:gridCol w:w="13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b/>
                <w:bCs/>
                <w:szCs w:val="21"/>
              </w:rPr>
            </w:pPr>
            <w:r>
              <w:rPr>
                <w:rFonts w:ascii="Times New Roman" w:hAnsi="Times New Roman"/>
                <w:b/>
                <w:bCs/>
                <w:szCs w:val="21"/>
              </w:rPr>
              <w:t>序号</w:t>
            </w:r>
          </w:p>
        </w:tc>
        <w:tc>
          <w:tcPr>
            <w:tcW w:w="1762" w:type="dxa"/>
            <w:vAlign w:val="center"/>
          </w:tcPr>
          <w:p>
            <w:pPr>
              <w:jc w:val="center"/>
              <w:rPr>
                <w:rFonts w:ascii="Times New Roman" w:hAnsi="Times New Roman"/>
                <w:b/>
                <w:bCs/>
                <w:szCs w:val="21"/>
              </w:rPr>
            </w:pPr>
            <w:r>
              <w:rPr>
                <w:rFonts w:ascii="Times New Roman" w:hAnsi="Times New Roman"/>
                <w:b/>
                <w:bCs/>
                <w:szCs w:val="21"/>
              </w:rPr>
              <w:t>设备名称</w:t>
            </w:r>
          </w:p>
        </w:tc>
        <w:tc>
          <w:tcPr>
            <w:tcW w:w="1640" w:type="dxa"/>
            <w:vAlign w:val="center"/>
          </w:tcPr>
          <w:p>
            <w:pPr>
              <w:jc w:val="center"/>
              <w:rPr>
                <w:rFonts w:ascii="Times New Roman" w:hAnsi="Times New Roman"/>
                <w:b/>
                <w:bCs/>
                <w:szCs w:val="21"/>
              </w:rPr>
            </w:pPr>
            <w:r>
              <w:rPr>
                <w:rFonts w:ascii="Times New Roman" w:hAnsi="Times New Roman"/>
                <w:b/>
                <w:bCs/>
                <w:szCs w:val="21"/>
              </w:rPr>
              <w:t>设备数量/台</w:t>
            </w:r>
          </w:p>
        </w:tc>
        <w:tc>
          <w:tcPr>
            <w:tcW w:w="2586" w:type="dxa"/>
            <w:vAlign w:val="center"/>
          </w:tcPr>
          <w:p>
            <w:pPr>
              <w:jc w:val="center"/>
              <w:rPr>
                <w:rFonts w:ascii="Times New Roman" w:hAnsi="Times New Roman"/>
                <w:b/>
                <w:bCs/>
                <w:szCs w:val="21"/>
              </w:rPr>
            </w:pPr>
            <w:r>
              <w:rPr>
                <w:rFonts w:ascii="Times New Roman" w:hAnsi="Times New Roman"/>
                <w:b/>
                <w:bCs/>
                <w:szCs w:val="21"/>
              </w:rPr>
              <w:t>设备规格</w:t>
            </w:r>
          </w:p>
        </w:tc>
        <w:tc>
          <w:tcPr>
            <w:tcW w:w="1308" w:type="dxa"/>
            <w:vAlign w:val="center"/>
          </w:tcPr>
          <w:p>
            <w:pPr>
              <w:jc w:val="center"/>
              <w:rPr>
                <w:rFonts w:ascii="Times New Roman" w:hAnsi="Times New Roman"/>
                <w:b/>
                <w:bCs/>
                <w:szCs w:val="21"/>
              </w:rPr>
            </w:pPr>
            <w:r>
              <w:rPr>
                <w:rFonts w:ascii="Times New Roman" w:hAnsi="Times New Roman"/>
                <w:b/>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w:t>
            </w:r>
          </w:p>
        </w:tc>
        <w:tc>
          <w:tcPr>
            <w:tcW w:w="1762" w:type="dxa"/>
            <w:vAlign w:val="center"/>
          </w:tcPr>
          <w:p>
            <w:pPr>
              <w:jc w:val="center"/>
              <w:rPr>
                <w:rFonts w:ascii="Times New Roman" w:hAnsi="Times New Roman"/>
                <w:szCs w:val="21"/>
              </w:rPr>
            </w:pPr>
            <w:r>
              <w:rPr>
                <w:rFonts w:ascii="Times New Roman" w:hAnsi="Times New Roman"/>
                <w:szCs w:val="21"/>
              </w:rPr>
              <w:t>煤棚</w:t>
            </w:r>
          </w:p>
        </w:tc>
        <w:tc>
          <w:tcPr>
            <w:tcW w:w="1640" w:type="dxa"/>
            <w:vAlign w:val="center"/>
          </w:tcPr>
          <w:p>
            <w:pPr>
              <w:jc w:val="center"/>
              <w:rPr>
                <w:rFonts w:ascii="Times New Roman" w:hAnsi="Times New Roman"/>
                <w:szCs w:val="21"/>
              </w:rPr>
            </w:pPr>
            <w:r>
              <w:rPr>
                <w:rFonts w:ascii="Times New Roman" w:hAnsi="Times New Roman"/>
                <w:szCs w:val="21"/>
              </w:rPr>
              <w:t>1</w:t>
            </w: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2</w:t>
            </w:r>
          </w:p>
        </w:tc>
        <w:tc>
          <w:tcPr>
            <w:tcW w:w="1762" w:type="dxa"/>
            <w:vAlign w:val="center"/>
          </w:tcPr>
          <w:p>
            <w:pPr>
              <w:jc w:val="center"/>
              <w:rPr>
                <w:rFonts w:ascii="Times New Roman" w:hAnsi="Times New Roman"/>
                <w:szCs w:val="21"/>
              </w:rPr>
            </w:pPr>
            <w:r>
              <w:rPr>
                <w:rFonts w:ascii="Times New Roman" w:hAnsi="Times New Roman"/>
                <w:szCs w:val="21"/>
              </w:rPr>
              <w:t>掺混区</w:t>
            </w:r>
          </w:p>
        </w:tc>
        <w:tc>
          <w:tcPr>
            <w:tcW w:w="1640" w:type="dxa"/>
            <w:vAlign w:val="center"/>
          </w:tcPr>
          <w:p>
            <w:pPr>
              <w:jc w:val="center"/>
              <w:rPr>
                <w:rFonts w:ascii="Times New Roman" w:hAnsi="Times New Roman"/>
                <w:szCs w:val="21"/>
              </w:rPr>
            </w:pP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3</w:t>
            </w:r>
          </w:p>
        </w:tc>
        <w:tc>
          <w:tcPr>
            <w:tcW w:w="1762" w:type="dxa"/>
            <w:vAlign w:val="center"/>
          </w:tcPr>
          <w:p>
            <w:pPr>
              <w:jc w:val="center"/>
              <w:rPr>
                <w:rFonts w:ascii="Times New Roman" w:hAnsi="Times New Roman"/>
                <w:szCs w:val="21"/>
              </w:rPr>
            </w:pPr>
            <w:r>
              <w:rPr>
                <w:rFonts w:ascii="Times New Roman" w:hAnsi="Times New Roman"/>
                <w:szCs w:val="21"/>
              </w:rPr>
              <w:t>皮带传输机</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两条输煤皮带，100t/h</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4</w:t>
            </w:r>
          </w:p>
        </w:tc>
        <w:tc>
          <w:tcPr>
            <w:tcW w:w="1762" w:type="dxa"/>
            <w:vAlign w:val="center"/>
          </w:tcPr>
          <w:p>
            <w:pPr>
              <w:jc w:val="center"/>
              <w:rPr>
                <w:rFonts w:ascii="Times New Roman" w:hAnsi="Times New Roman"/>
                <w:szCs w:val="21"/>
              </w:rPr>
            </w:pPr>
            <w:r>
              <w:rPr>
                <w:rFonts w:ascii="Times New Roman" w:hAnsi="Times New Roman"/>
                <w:szCs w:val="21"/>
              </w:rPr>
              <w:t>气动阀</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5</w:t>
            </w:r>
          </w:p>
        </w:tc>
        <w:tc>
          <w:tcPr>
            <w:tcW w:w="1762" w:type="dxa"/>
            <w:vAlign w:val="center"/>
          </w:tcPr>
          <w:p>
            <w:pPr>
              <w:jc w:val="center"/>
              <w:rPr>
                <w:rFonts w:ascii="Times New Roman" w:hAnsi="Times New Roman"/>
                <w:szCs w:val="21"/>
              </w:rPr>
            </w:pPr>
            <w:r>
              <w:rPr>
                <w:rFonts w:ascii="Times New Roman" w:hAnsi="Times New Roman"/>
                <w:szCs w:val="21"/>
              </w:rPr>
              <w:t>现场压力表</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6</w:t>
            </w:r>
          </w:p>
        </w:tc>
        <w:tc>
          <w:tcPr>
            <w:tcW w:w="1762" w:type="dxa"/>
            <w:vAlign w:val="center"/>
          </w:tcPr>
          <w:p>
            <w:pPr>
              <w:jc w:val="center"/>
              <w:rPr>
                <w:rFonts w:ascii="Times New Roman" w:hAnsi="Times New Roman"/>
                <w:szCs w:val="21"/>
              </w:rPr>
            </w:pPr>
            <w:r>
              <w:rPr>
                <w:rFonts w:ascii="Times New Roman" w:hAnsi="Times New Roman"/>
                <w:szCs w:val="21"/>
              </w:rPr>
              <w:t>现场温度表</w:t>
            </w:r>
          </w:p>
        </w:tc>
        <w:tc>
          <w:tcPr>
            <w:tcW w:w="1640" w:type="dxa"/>
            <w:vAlign w:val="center"/>
          </w:tcPr>
          <w:p>
            <w:pPr>
              <w:jc w:val="center"/>
              <w:rPr>
                <w:rFonts w:ascii="Times New Roman" w:hAnsi="Times New Roman"/>
                <w:szCs w:val="21"/>
              </w:rPr>
            </w:pPr>
            <w:r>
              <w:rPr>
                <w:rFonts w:ascii="Times New Roman" w:hAnsi="Times New Roman"/>
                <w:szCs w:val="21"/>
              </w:rPr>
              <w:t>1</w:t>
            </w: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7</w:t>
            </w:r>
          </w:p>
        </w:tc>
        <w:tc>
          <w:tcPr>
            <w:tcW w:w="1762" w:type="dxa"/>
            <w:vAlign w:val="center"/>
          </w:tcPr>
          <w:p>
            <w:pPr>
              <w:jc w:val="center"/>
              <w:rPr>
                <w:rFonts w:ascii="Times New Roman" w:hAnsi="Times New Roman"/>
                <w:szCs w:val="21"/>
              </w:rPr>
            </w:pPr>
            <w:r>
              <w:rPr>
                <w:rFonts w:ascii="Times New Roman" w:hAnsi="Times New Roman"/>
                <w:szCs w:val="21"/>
              </w:rPr>
              <w:t>部分管线</w:t>
            </w:r>
          </w:p>
        </w:tc>
        <w:tc>
          <w:tcPr>
            <w:tcW w:w="1640" w:type="dxa"/>
            <w:vAlign w:val="center"/>
          </w:tcPr>
          <w:p>
            <w:pPr>
              <w:jc w:val="center"/>
              <w:rPr>
                <w:rFonts w:ascii="Times New Roman" w:hAnsi="Times New Roman"/>
                <w:szCs w:val="21"/>
              </w:rPr>
            </w:pPr>
            <w:r>
              <w:rPr>
                <w:rFonts w:ascii="Times New Roman" w:hAnsi="Times New Roman"/>
                <w:szCs w:val="21"/>
              </w:rPr>
              <w:t>/</w:t>
            </w: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8</w:t>
            </w:r>
          </w:p>
        </w:tc>
        <w:tc>
          <w:tcPr>
            <w:tcW w:w="1762" w:type="dxa"/>
            <w:vAlign w:val="center"/>
          </w:tcPr>
          <w:p>
            <w:pPr>
              <w:jc w:val="center"/>
              <w:rPr>
                <w:rFonts w:ascii="Times New Roman" w:hAnsi="Times New Roman"/>
                <w:szCs w:val="21"/>
              </w:rPr>
            </w:pPr>
            <w:r>
              <w:rPr>
                <w:rFonts w:ascii="Times New Roman" w:hAnsi="Times New Roman"/>
                <w:szCs w:val="21"/>
              </w:rPr>
              <w:t>油泥泵</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w:t>
            </w:r>
          </w:p>
        </w:tc>
        <w:tc>
          <w:tcPr>
            <w:tcW w:w="1308" w:type="dxa"/>
            <w:vAlign w:val="center"/>
          </w:tcPr>
          <w:p>
            <w:pPr>
              <w:jc w:val="center"/>
              <w:rPr>
                <w:rFonts w:ascii="Times New Roman" w:hAnsi="Times New Roman"/>
                <w:szCs w:val="21"/>
              </w:rPr>
            </w:pPr>
            <w:r>
              <w:rPr>
                <w:rFonts w:ascii="Times New Roman" w:hAnsi="Times New Roman"/>
                <w:szCs w:val="21"/>
              </w:rPr>
              <w:t>一台新增一台利旧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9</w:t>
            </w:r>
          </w:p>
        </w:tc>
        <w:tc>
          <w:tcPr>
            <w:tcW w:w="1762" w:type="dxa"/>
            <w:vAlign w:val="center"/>
          </w:tcPr>
          <w:p>
            <w:pPr>
              <w:jc w:val="center"/>
              <w:rPr>
                <w:rFonts w:ascii="Times New Roman" w:hAnsi="Times New Roman"/>
                <w:szCs w:val="21"/>
              </w:rPr>
            </w:pPr>
            <w:r>
              <w:rPr>
                <w:rFonts w:ascii="Times New Roman" w:hAnsi="Times New Roman"/>
                <w:szCs w:val="21"/>
              </w:rPr>
              <w:t>热电油泥浮渣罐</w:t>
            </w:r>
          </w:p>
        </w:tc>
        <w:tc>
          <w:tcPr>
            <w:tcW w:w="1640" w:type="dxa"/>
            <w:vAlign w:val="center"/>
          </w:tcPr>
          <w:p>
            <w:pPr>
              <w:jc w:val="center"/>
              <w:rPr>
                <w:rFonts w:ascii="Times New Roman" w:hAnsi="Times New Roman"/>
                <w:szCs w:val="21"/>
              </w:rPr>
            </w:pPr>
            <w:r>
              <w:rPr>
                <w:rFonts w:ascii="Times New Roman" w:hAnsi="Times New Roman"/>
                <w:szCs w:val="21"/>
              </w:rPr>
              <w:t>1</w:t>
            </w:r>
          </w:p>
        </w:tc>
        <w:tc>
          <w:tcPr>
            <w:tcW w:w="2586" w:type="dxa"/>
            <w:vAlign w:val="center"/>
          </w:tcPr>
          <w:p>
            <w:pPr>
              <w:jc w:val="center"/>
              <w:rPr>
                <w:rFonts w:ascii="Times New Roman" w:hAnsi="Times New Roman"/>
                <w:szCs w:val="21"/>
              </w:rPr>
            </w:pPr>
            <w:r>
              <w:rPr>
                <w:rFonts w:ascii="Times New Roman" w:hAnsi="Times New Roman"/>
              </w:rPr>
              <w:t>120m</w:t>
            </w:r>
            <w:r>
              <w:rPr>
                <w:rFonts w:ascii="Times New Roman" w:hAnsi="Times New Roman"/>
                <w:vertAlign w:val="superscript"/>
              </w:rPr>
              <w:t>3</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10</w:t>
            </w:r>
          </w:p>
        </w:tc>
        <w:tc>
          <w:tcPr>
            <w:tcW w:w="1762" w:type="dxa"/>
            <w:vAlign w:val="center"/>
          </w:tcPr>
          <w:p>
            <w:pPr>
              <w:jc w:val="center"/>
              <w:rPr>
                <w:rFonts w:ascii="Times New Roman" w:hAnsi="Times New Roman"/>
                <w:szCs w:val="21"/>
              </w:rPr>
            </w:pPr>
            <w:r>
              <w:rPr>
                <w:rFonts w:ascii="Times New Roman" w:hAnsi="Times New Roman"/>
                <w:szCs w:val="21"/>
              </w:rPr>
              <w:t>料仓</w:t>
            </w:r>
          </w:p>
        </w:tc>
        <w:tc>
          <w:tcPr>
            <w:tcW w:w="1640" w:type="dxa"/>
            <w:vAlign w:val="center"/>
          </w:tcPr>
          <w:p>
            <w:pPr>
              <w:jc w:val="center"/>
              <w:rPr>
                <w:rFonts w:ascii="Times New Roman" w:hAnsi="Times New Roman"/>
                <w:szCs w:val="21"/>
              </w:rPr>
            </w:pPr>
            <w:r>
              <w:rPr>
                <w:rFonts w:ascii="Times New Roman" w:hAnsi="Times New Roman"/>
                <w:szCs w:val="21"/>
              </w:rPr>
              <w:t>4</w:t>
            </w:r>
          </w:p>
        </w:tc>
        <w:tc>
          <w:tcPr>
            <w:tcW w:w="2586" w:type="dxa"/>
            <w:vAlign w:val="center"/>
          </w:tcPr>
          <w:p>
            <w:pPr>
              <w:jc w:val="center"/>
              <w:rPr>
                <w:rFonts w:ascii="Times New Roman" w:hAnsi="Times New Roman"/>
                <w:szCs w:val="21"/>
              </w:rPr>
            </w:pPr>
            <w:r>
              <w:rPr>
                <w:rFonts w:ascii="Times New Roman" w:hAnsi="Times New Roman"/>
                <w:szCs w:val="21"/>
              </w:rPr>
              <w:t>共四台煤仓</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11</w:t>
            </w:r>
          </w:p>
        </w:tc>
        <w:tc>
          <w:tcPr>
            <w:tcW w:w="1762" w:type="dxa"/>
            <w:vAlign w:val="center"/>
          </w:tcPr>
          <w:p>
            <w:pPr>
              <w:jc w:val="center"/>
              <w:rPr>
                <w:rFonts w:ascii="Times New Roman" w:hAnsi="Times New Roman"/>
                <w:szCs w:val="21"/>
              </w:rPr>
            </w:pPr>
            <w:r>
              <w:rPr>
                <w:rFonts w:ascii="Times New Roman" w:hAnsi="Times New Roman"/>
                <w:szCs w:val="21"/>
              </w:rPr>
              <w:t>炉膛</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32000（高）×10966宽）×5290（深）</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12</w:t>
            </w:r>
          </w:p>
        </w:tc>
        <w:tc>
          <w:tcPr>
            <w:tcW w:w="1762" w:type="dxa"/>
            <w:vAlign w:val="center"/>
          </w:tcPr>
          <w:p>
            <w:pPr>
              <w:jc w:val="center"/>
              <w:rPr>
                <w:rFonts w:ascii="Times New Roman" w:hAnsi="Times New Roman"/>
                <w:szCs w:val="21"/>
              </w:rPr>
            </w:pPr>
            <w:r>
              <w:rPr>
                <w:rFonts w:ascii="Times New Roman" w:hAnsi="Times New Roman"/>
                <w:szCs w:val="21"/>
              </w:rPr>
              <w:t>吹灰器</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激波吹灰器</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13</w:t>
            </w:r>
          </w:p>
        </w:tc>
        <w:tc>
          <w:tcPr>
            <w:tcW w:w="1762" w:type="dxa"/>
            <w:vAlign w:val="center"/>
          </w:tcPr>
          <w:p>
            <w:pPr>
              <w:jc w:val="center"/>
              <w:rPr>
                <w:rFonts w:ascii="Times New Roman" w:hAnsi="Times New Roman"/>
                <w:szCs w:val="21"/>
              </w:rPr>
            </w:pPr>
            <w:r>
              <w:rPr>
                <w:rFonts w:ascii="Times New Roman" w:hAnsi="Times New Roman"/>
                <w:szCs w:val="21"/>
              </w:rPr>
              <w:t>汽包</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总长度6400，工作压力10.99MPa，汽包内径1600</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14</w:t>
            </w:r>
          </w:p>
        </w:tc>
        <w:tc>
          <w:tcPr>
            <w:tcW w:w="1762" w:type="dxa"/>
            <w:vAlign w:val="center"/>
          </w:tcPr>
          <w:p>
            <w:pPr>
              <w:jc w:val="center"/>
              <w:rPr>
                <w:rFonts w:ascii="Times New Roman" w:hAnsi="Times New Roman"/>
                <w:szCs w:val="21"/>
              </w:rPr>
            </w:pPr>
            <w:r>
              <w:rPr>
                <w:rFonts w:ascii="Times New Roman" w:hAnsi="Times New Roman"/>
                <w:szCs w:val="21"/>
              </w:rPr>
              <w:t>SCR脱硝</w:t>
            </w:r>
          </w:p>
        </w:tc>
        <w:tc>
          <w:tcPr>
            <w:tcW w:w="1640" w:type="dxa"/>
            <w:vAlign w:val="center"/>
          </w:tcPr>
          <w:p>
            <w:pPr>
              <w:jc w:val="center"/>
              <w:rPr>
                <w:rFonts w:ascii="Times New Roman" w:hAnsi="Times New Roman"/>
                <w:szCs w:val="21"/>
              </w:rPr>
            </w:pPr>
            <w:r>
              <w:rPr>
                <w:rFonts w:ascii="Times New Roman" w:hAnsi="Times New Roman"/>
                <w:szCs w:val="21"/>
              </w:rPr>
              <w:t>1</w:t>
            </w:r>
          </w:p>
        </w:tc>
        <w:tc>
          <w:tcPr>
            <w:tcW w:w="2586" w:type="dxa"/>
            <w:vAlign w:val="center"/>
          </w:tcPr>
          <w:p>
            <w:pPr>
              <w:jc w:val="center"/>
              <w:rPr>
                <w:rFonts w:ascii="Times New Roman" w:hAnsi="Times New Roman"/>
                <w:szCs w:val="21"/>
              </w:rPr>
            </w:pPr>
            <w:r>
              <w:rPr>
                <w:rFonts w:ascii="Times New Roman" w:hAnsi="Times New Roman"/>
                <w:szCs w:val="21"/>
              </w:rPr>
              <w:t>5%-8%的氨水</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15</w:t>
            </w:r>
          </w:p>
        </w:tc>
        <w:tc>
          <w:tcPr>
            <w:tcW w:w="1762" w:type="dxa"/>
            <w:vAlign w:val="center"/>
          </w:tcPr>
          <w:p>
            <w:pPr>
              <w:jc w:val="center"/>
              <w:rPr>
                <w:rFonts w:ascii="Times New Roman" w:hAnsi="Times New Roman"/>
                <w:szCs w:val="21"/>
              </w:rPr>
            </w:pPr>
            <w:r>
              <w:rPr>
                <w:rFonts w:ascii="Times New Roman" w:hAnsi="Times New Roman"/>
                <w:szCs w:val="21"/>
              </w:rPr>
              <w:t>脱硫</w:t>
            </w:r>
          </w:p>
        </w:tc>
        <w:tc>
          <w:tcPr>
            <w:tcW w:w="1640" w:type="dxa"/>
            <w:vAlign w:val="center"/>
          </w:tcPr>
          <w:p>
            <w:pPr>
              <w:jc w:val="center"/>
              <w:rPr>
                <w:rFonts w:ascii="Times New Roman" w:hAnsi="Times New Roman"/>
                <w:szCs w:val="21"/>
              </w:rPr>
            </w:pPr>
            <w:r>
              <w:rPr>
                <w:rFonts w:ascii="Times New Roman" w:hAnsi="Times New Roman"/>
                <w:szCs w:val="21"/>
              </w:rPr>
              <w:t>1</w:t>
            </w:r>
          </w:p>
        </w:tc>
        <w:tc>
          <w:tcPr>
            <w:tcW w:w="2586" w:type="dxa"/>
            <w:vAlign w:val="center"/>
          </w:tcPr>
          <w:p>
            <w:pPr>
              <w:jc w:val="center"/>
              <w:rPr>
                <w:rFonts w:ascii="Times New Roman" w:hAnsi="Times New Roman"/>
                <w:szCs w:val="21"/>
              </w:rPr>
            </w:pPr>
            <w:r>
              <w:rPr>
                <w:rFonts w:ascii="Times New Roman" w:hAnsi="Times New Roman"/>
                <w:szCs w:val="21"/>
              </w:rPr>
              <w:t>炉内石灰石及石膏法湿法脱硫</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16</w:t>
            </w:r>
          </w:p>
        </w:tc>
        <w:tc>
          <w:tcPr>
            <w:tcW w:w="1762" w:type="dxa"/>
            <w:vAlign w:val="center"/>
          </w:tcPr>
          <w:p>
            <w:pPr>
              <w:jc w:val="center"/>
              <w:rPr>
                <w:rFonts w:ascii="Times New Roman" w:hAnsi="Times New Roman"/>
                <w:szCs w:val="21"/>
              </w:rPr>
            </w:pPr>
            <w:r>
              <w:rPr>
                <w:rFonts w:ascii="Times New Roman" w:hAnsi="Times New Roman"/>
                <w:szCs w:val="21"/>
              </w:rPr>
              <w:t>布袋除尘器</w:t>
            </w:r>
          </w:p>
        </w:tc>
        <w:tc>
          <w:tcPr>
            <w:tcW w:w="1640" w:type="dxa"/>
            <w:vAlign w:val="center"/>
          </w:tcPr>
          <w:p>
            <w:pPr>
              <w:jc w:val="center"/>
              <w:rPr>
                <w:rFonts w:ascii="Times New Roman" w:hAnsi="Times New Roman"/>
                <w:szCs w:val="21"/>
              </w:rPr>
            </w:pPr>
            <w:r>
              <w:rPr>
                <w:rFonts w:ascii="Times New Roman" w:hAnsi="Times New Roman"/>
                <w:szCs w:val="21"/>
              </w:rPr>
              <w:t>2</w:t>
            </w:r>
          </w:p>
        </w:tc>
        <w:tc>
          <w:tcPr>
            <w:tcW w:w="2586" w:type="dxa"/>
            <w:vAlign w:val="center"/>
          </w:tcPr>
          <w:p>
            <w:pPr>
              <w:jc w:val="center"/>
              <w:rPr>
                <w:rFonts w:ascii="Times New Roman" w:hAnsi="Times New Roman"/>
                <w:szCs w:val="21"/>
              </w:rPr>
            </w:pPr>
            <w:r>
              <w:rPr>
                <w:rFonts w:ascii="Times New Roman" w:hAnsi="Times New Roman"/>
                <w:szCs w:val="21"/>
              </w:rPr>
              <w:t>每台CFB锅炉二布袋</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99" w:type="dxa"/>
            <w:bottom w:w="0" w:type="dxa"/>
            <w:right w:w="99" w:type="dxa"/>
          </w:tblCellMar>
        </w:tblPrEx>
        <w:trPr>
          <w:cantSplit/>
          <w:trHeight w:val="284" w:hRule="atLeast"/>
          <w:jc w:val="center"/>
        </w:trPr>
        <w:tc>
          <w:tcPr>
            <w:tcW w:w="910" w:type="dxa"/>
            <w:vAlign w:val="center"/>
          </w:tcPr>
          <w:p>
            <w:pPr>
              <w:jc w:val="center"/>
              <w:rPr>
                <w:rFonts w:ascii="Times New Roman" w:hAnsi="Times New Roman"/>
                <w:szCs w:val="21"/>
              </w:rPr>
            </w:pPr>
            <w:r>
              <w:rPr>
                <w:rFonts w:ascii="Times New Roman" w:hAnsi="Times New Roman"/>
                <w:szCs w:val="21"/>
              </w:rPr>
              <w:t>17</w:t>
            </w:r>
          </w:p>
        </w:tc>
        <w:tc>
          <w:tcPr>
            <w:tcW w:w="1762" w:type="dxa"/>
            <w:vAlign w:val="center"/>
          </w:tcPr>
          <w:p>
            <w:pPr>
              <w:jc w:val="center"/>
              <w:rPr>
                <w:rFonts w:ascii="Times New Roman" w:hAnsi="Times New Roman"/>
                <w:szCs w:val="21"/>
              </w:rPr>
            </w:pPr>
            <w:r>
              <w:rPr>
                <w:rFonts w:ascii="Times New Roman" w:hAnsi="Times New Roman"/>
                <w:szCs w:val="21"/>
              </w:rPr>
              <w:t>脱硫塔烟囱</w:t>
            </w:r>
          </w:p>
        </w:tc>
        <w:tc>
          <w:tcPr>
            <w:tcW w:w="1640" w:type="dxa"/>
            <w:vAlign w:val="center"/>
          </w:tcPr>
          <w:p>
            <w:pPr>
              <w:jc w:val="center"/>
              <w:rPr>
                <w:rFonts w:ascii="Times New Roman" w:hAnsi="Times New Roman"/>
                <w:szCs w:val="21"/>
              </w:rPr>
            </w:pPr>
            <w:r>
              <w:rPr>
                <w:rFonts w:ascii="Times New Roman" w:hAnsi="Times New Roman"/>
                <w:szCs w:val="21"/>
              </w:rPr>
              <w:t>1</w:t>
            </w:r>
          </w:p>
        </w:tc>
        <w:tc>
          <w:tcPr>
            <w:tcW w:w="2586" w:type="dxa"/>
            <w:vAlign w:val="center"/>
          </w:tcPr>
          <w:p>
            <w:pPr>
              <w:jc w:val="center"/>
              <w:rPr>
                <w:rFonts w:ascii="Times New Roman" w:hAnsi="Times New Roman"/>
                <w:szCs w:val="21"/>
              </w:rPr>
            </w:pPr>
            <w:r>
              <w:rPr>
                <w:rFonts w:ascii="Times New Roman" w:hAnsi="Times New Roman"/>
                <w:szCs w:val="21"/>
              </w:rPr>
              <w:t>2台CFB锅炉共用一个烟囱</w:t>
            </w:r>
          </w:p>
        </w:tc>
        <w:tc>
          <w:tcPr>
            <w:tcW w:w="1308" w:type="dxa"/>
            <w:vAlign w:val="center"/>
          </w:tcPr>
          <w:p>
            <w:pPr>
              <w:jc w:val="center"/>
              <w:rPr>
                <w:rFonts w:ascii="Times New Roman" w:hAnsi="Times New Roman"/>
                <w:szCs w:val="21"/>
              </w:rPr>
            </w:pPr>
            <w:r>
              <w:rPr>
                <w:rFonts w:ascii="Times New Roman" w:hAnsi="Times New Roman"/>
                <w:szCs w:val="21"/>
              </w:rPr>
              <w:t>利用现有</w:t>
            </w:r>
          </w:p>
        </w:tc>
      </w:tr>
    </w:tbl>
    <w:p>
      <w:pPr>
        <w:adjustRightInd w:val="0"/>
        <w:ind w:firstLine="420"/>
        <w:rPr>
          <w:rFonts w:ascii="Times New Roman" w:hAnsi="Times New Roman"/>
          <w:b/>
          <w:sz w:val="24"/>
          <w:szCs w:val="24"/>
        </w:rPr>
      </w:pPr>
    </w:p>
    <w:p>
      <w:pPr>
        <w:pStyle w:val="7"/>
        <w:numPr>
          <w:ilvl w:val="2"/>
          <w:numId w:val="0"/>
        </w:numPr>
        <w:spacing w:before="120" w:after="120"/>
        <w:ind w:left="142"/>
        <w:textAlignment w:val="baseline"/>
        <w:rPr>
          <w:szCs w:val="24"/>
        </w:rPr>
      </w:pPr>
      <w:bookmarkStart w:id="195" w:name="_Toc22281"/>
      <w:bookmarkStart w:id="196" w:name="_Toc486403318"/>
      <w:bookmarkStart w:id="197" w:name="_Toc30043"/>
      <w:bookmarkStart w:id="198" w:name="_Toc25164"/>
      <w:bookmarkStart w:id="199" w:name="_Toc31549"/>
      <w:r>
        <w:rPr>
          <w:szCs w:val="24"/>
        </w:rPr>
        <w:t>3.1.5总投资</w:t>
      </w:r>
      <w:bookmarkEnd w:id="195"/>
      <w:bookmarkEnd w:id="196"/>
      <w:bookmarkEnd w:id="197"/>
      <w:bookmarkEnd w:id="198"/>
      <w:bookmarkEnd w:id="199"/>
    </w:p>
    <w:p>
      <w:pPr>
        <w:pStyle w:val="67"/>
        <w:ind w:firstLine="360" w:firstLineChars="150"/>
        <w:jc w:val="left"/>
        <w:rPr>
          <w:rFonts w:ascii="Times New Roman" w:hAnsi="Times New Roman" w:eastAsia="宋体" w:cs="Times New Roman"/>
          <w:kern w:val="0"/>
          <w:sz w:val="24"/>
          <w:szCs w:val="24"/>
          <w:lang w:val="en-US"/>
        </w:rPr>
      </w:pPr>
      <w:r>
        <w:rPr>
          <w:rFonts w:ascii="Times New Roman" w:hAnsi="Times New Roman" w:eastAsia="宋体" w:cs="Times New Roman"/>
          <w:kern w:val="0"/>
          <w:sz w:val="24"/>
          <w:szCs w:val="24"/>
          <w:lang w:val="en-US"/>
        </w:rPr>
        <w:t>本项目为环保项目，项目总投资90.01万元，全部为环保投资。</w:t>
      </w:r>
    </w:p>
    <w:p>
      <w:pPr>
        <w:pStyle w:val="7"/>
        <w:numPr>
          <w:ilvl w:val="2"/>
          <w:numId w:val="0"/>
        </w:numPr>
        <w:spacing w:before="120" w:after="120"/>
        <w:ind w:left="142"/>
        <w:textAlignment w:val="baseline"/>
        <w:rPr>
          <w:szCs w:val="24"/>
        </w:rPr>
      </w:pPr>
      <w:bookmarkStart w:id="200" w:name="_Toc4493"/>
      <w:bookmarkStart w:id="201" w:name="_Toc20604"/>
      <w:bookmarkStart w:id="202" w:name="_Toc486403319"/>
      <w:bookmarkStart w:id="203" w:name="_Toc19154"/>
      <w:bookmarkStart w:id="204" w:name="_Toc479599514"/>
      <w:bookmarkStart w:id="205" w:name="_Toc15703"/>
      <w:bookmarkStart w:id="206" w:name="_Toc365735259"/>
      <w:bookmarkStart w:id="207" w:name="_Toc484073424"/>
      <w:r>
        <w:rPr>
          <w:szCs w:val="24"/>
        </w:rPr>
        <w:t>3.1.6劳动定员与工作日安排</w:t>
      </w:r>
      <w:bookmarkEnd w:id="200"/>
      <w:bookmarkEnd w:id="201"/>
      <w:bookmarkEnd w:id="202"/>
      <w:bookmarkEnd w:id="203"/>
      <w:bookmarkEnd w:id="204"/>
      <w:bookmarkEnd w:id="205"/>
      <w:bookmarkEnd w:id="206"/>
      <w:bookmarkEnd w:id="207"/>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项目不新增定员，所需员工从厂内调剂，项目油泥掺烧年运行</w:t>
      </w:r>
      <w:r>
        <w:rPr>
          <w:rFonts w:ascii="Times New Roman" w:hAnsi="Times New Roman"/>
          <w:sz w:val="24"/>
        </w:rPr>
        <w:t>8760</w:t>
      </w:r>
      <w:r>
        <w:rPr>
          <w:rFonts w:ascii="Times New Roman" w:hAnsi="Times New Roman"/>
          <w:kern w:val="0"/>
          <w:sz w:val="24"/>
          <w:szCs w:val="24"/>
        </w:rPr>
        <w:t>h。</w:t>
      </w:r>
    </w:p>
    <w:p>
      <w:pPr>
        <w:pStyle w:val="7"/>
        <w:numPr>
          <w:ilvl w:val="2"/>
          <w:numId w:val="0"/>
        </w:numPr>
        <w:spacing w:before="120" w:after="120"/>
        <w:ind w:left="142"/>
        <w:textAlignment w:val="baseline"/>
        <w:rPr>
          <w:szCs w:val="24"/>
        </w:rPr>
      </w:pPr>
      <w:bookmarkStart w:id="208" w:name="_Toc6443"/>
      <w:bookmarkStart w:id="209" w:name="_Toc24708"/>
      <w:bookmarkStart w:id="210" w:name="_Toc486403320"/>
      <w:bookmarkStart w:id="211" w:name="_Toc9724"/>
      <w:bookmarkStart w:id="212" w:name="_Toc2819"/>
      <w:r>
        <w:rPr>
          <w:szCs w:val="24"/>
        </w:rPr>
        <w:t>3.1.7项目平面布置</w:t>
      </w:r>
      <w:bookmarkEnd w:id="208"/>
      <w:bookmarkEnd w:id="209"/>
      <w:bookmarkEnd w:id="210"/>
      <w:bookmarkEnd w:id="211"/>
      <w:bookmarkEnd w:id="212"/>
    </w:p>
    <w:p>
      <w:pPr>
        <w:spacing w:line="360" w:lineRule="auto"/>
        <w:ind w:firstLine="480" w:firstLineChars="200"/>
        <w:rPr>
          <w:rFonts w:ascii="Times New Roman" w:hAnsi="Times New Roman"/>
          <w:sz w:val="24"/>
          <w:szCs w:val="24"/>
        </w:rPr>
        <w:sectPr>
          <w:headerReference r:id="rId12" w:type="default"/>
          <w:footerReference r:id="rId13" w:type="default"/>
          <w:pgSz w:w="11907" w:h="16840"/>
          <w:pgMar w:top="1440" w:right="1797" w:bottom="1440" w:left="1797" w:header="851" w:footer="1077" w:gutter="0"/>
          <w:cols w:space="720" w:num="1"/>
          <w:docGrid w:linePitch="312" w:charSpace="0"/>
        </w:sectPr>
      </w:pPr>
      <w:r>
        <w:rPr>
          <w:rFonts w:ascii="Times New Roman" w:hAnsi="Times New Roman"/>
          <w:sz w:val="24"/>
          <w:szCs w:val="24"/>
        </w:rPr>
        <w:t>本项目位于中石化长岭分公司现有厂区内，CFB锅炉掺烧油泥布置在厂区</w:t>
      </w:r>
      <w:bookmarkStart w:id="213" w:name="_Hlk31928709"/>
      <w:r>
        <w:rPr>
          <w:rFonts w:ascii="Times New Roman" w:hAnsi="Times New Roman"/>
          <w:sz w:val="24"/>
        </w:rPr>
        <w:t>热电部</w:t>
      </w:r>
      <w:r>
        <w:rPr>
          <w:rFonts w:ascii="Times New Roman" w:hAnsi="Times New Roman"/>
          <w:sz w:val="24"/>
          <w:szCs w:val="24"/>
        </w:rPr>
        <w:t>范围内</w:t>
      </w:r>
      <w:bookmarkEnd w:id="213"/>
      <w:r>
        <w:rPr>
          <w:rFonts w:ascii="Times New Roman" w:hAnsi="Times New Roman"/>
          <w:sz w:val="24"/>
          <w:szCs w:val="24"/>
        </w:rPr>
        <w:t>，涉及的装置包括煤棚、给煤系统、油泥浮渣罐及泵送系统、CFB锅炉、SCR脱硝系统、</w:t>
      </w:r>
      <w:r>
        <w:rPr>
          <w:rFonts w:ascii="Times New Roman" w:hAnsi="Times New Roman"/>
          <w:sz w:val="24"/>
        </w:rPr>
        <w:t>石灰石—石膏法湿法脱硫、</w:t>
      </w:r>
      <w:r>
        <w:rPr>
          <w:rFonts w:ascii="Times New Roman" w:hAnsi="Times New Roman"/>
          <w:sz w:val="24"/>
          <w:szCs w:val="24"/>
        </w:rPr>
        <w:t>布袋除尘系统，依次布置在热电部范围内。本项目所涉及的装置及设施均依托厂区现有设施，平面布置合理。</w:t>
      </w:r>
    </w:p>
    <w:p>
      <w:pPr>
        <w:pStyle w:val="6"/>
        <w:numPr>
          <w:ilvl w:val="1"/>
          <w:numId w:val="0"/>
        </w:numPr>
        <w:spacing w:before="240" w:beforeLines="100" w:after="240" w:afterLines="100"/>
        <w:textAlignment w:val="baseline"/>
        <w:rPr>
          <w:szCs w:val="30"/>
        </w:rPr>
      </w:pPr>
      <w:bookmarkStart w:id="214" w:name="_Toc484073426"/>
      <w:bookmarkStart w:id="215" w:name="_Toc19681"/>
      <w:bookmarkStart w:id="216" w:name="_Toc486403324"/>
      <w:bookmarkStart w:id="217" w:name="_Toc13124"/>
      <w:bookmarkStart w:id="218" w:name="_Toc10392"/>
      <w:bookmarkStart w:id="219" w:name="_Toc24879"/>
      <w:bookmarkStart w:id="220" w:name="_Toc1851"/>
      <w:bookmarkStart w:id="221" w:name="_Toc350417535"/>
      <w:r>
        <w:rPr>
          <w:szCs w:val="30"/>
        </w:rPr>
        <w:t>3.2 工程分析</w:t>
      </w:r>
      <w:bookmarkEnd w:id="214"/>
      <w:bookmarkEnd w:id="215"/>
      <w:bookmarkEnd w:id="216"/>
      <w:bookmarkEnd w:id="217"/>
      <w:bookmarkEnd w:id="218"/>
      <w:bookmarkEnd w:id="219"/>
      <w:bookmarkEnd w:id="220"/>
    </w:p>
    <w:p>
      <w:pPr>
        <w:pStyle w:val="7"/>
        <w:numPr>
          <w:ilvl w:val="2"/>
          <w:numId w:val="0"/>
        </w:numPr>
        <w:spacing w:before="120" w:after="120"/>
        <w:ind w:left="142"/>
        <w:textAlignment w:val="baseline"/>
        <w:rPr>
          <w:szCs w:val="24"/>
        </w:rPr>
      </w:pPr>
      <w:bookmarkStart w:id="222" w:name="_Toc484073427"/>
      <w:bookmarkStart w:id="223" w:name="_Toc3098"/>
      <w:bookmarkStart w:id="224" w:name="_Toc6464"/>
      <w:bookmarkStart w:id="225" w:name="_Toc8691"/>
      <w:bookmarkStart w:id="226" w:name="_Toc12609"/>
      <w:bookmarkStart w:id="227" w:name="_Toc486403325"/>
      <w:r>
        <w:rPr>
          <w:szCs w:val="24"/>
        </w:rPr>
        <w:t>3.2.1 项目工艺流程</w:t>
      </w:r>
      <w:bookmarkEnd w:id="222"/>
      <w:r>
        <w:rPr>
          <w:szCs w:val="24"/>
        </w:rPr>
        <w:t>及产排污节点</w:t>
      </w:r>
      <w:bookmarkEnd w:id="223"/>
      <w:bookmarkEnd w:id="224"/>
      <w:bookmarkEnd w:id="225"/>
      <w:bookmarkEnd w:id="226"/>
      <w:bookmarkEnd w:id="227"/>
    </w:p>
    <w:p>
      <w:pPr>
        <w:pStyle w:val="281"/>
        <w:tabs>
          <w:tab w:val="left" w:pos="3600"/>
        </w:tabs>
        <w:spacing w:line="360" w:lineRule="auto"/>
        <w:ind w:firstLine="241" w:firstLineChars="100"/>
        <w:outlineLvl w:val="3"/>
        <w:rPr>
          <w:rFonts w:ascii="Times New Roman" w:hAnsi="Times New Roman" w:cs="Times New Roman"/>
          <w:bCs/>
          <w:sz w:val="24"/>
          <w:szCs w:val="24"/>
        </w:rPr>
      </w:pPr>
      <w:bookmarkStart w:id="228" w:name="_Toc484073429"/>
      <w:r>
        <w:rPr>
          <w:rFonts w:ascii="Times New Roman" w:hAnsi="Times New Roman" w:cs="Times New Roman"/>
          <w:bCs/>
          <w:sz w:val="24"/>
          <w:szCs w:val="24"/>
        </w:rPr>
        <w:t>3.2.1.1 项目工艺流程分析</w:t>
      </w:r>
      <w:bookmarkEnd w:id="228"/>
    </w:p>
    <w:p>
      <w:pPr>
        <w:pStyle w:val="281"/>
        <w:spacing w:line="360" w:lineRule="auto"/>
        <w:ind w:firstLine="482" w:firstLineChars="200"/>
        <w:rPr>
          <w:rFonts w:ascii="Times New Roman" w:hAnsi="Times New Roman" w:cs="Times New Roman"/>
          <w:b w:val="0"/>
          <w:sz w:val="24"/>
          <w:szCs w:val="24"/>
        </w:rPr>
      </w:pPr>
      <w:r>
        <w:rPr>
          <w:rFonts w:ascii="Times New Roman" w:hAnsi="Times New Roman" w:cs="Times New Roman"/>
          <w:kern w:val="0"/>
          <w:sz w:val="24"/>
          <w:szCs w:val="24"/>
        </w:rPr>
        <w:t>（1）工艺流程描述</w:t>
      </w:r>
    </w:p>
    <w:p>
      <w:pPr>
        <w:pStyle w:val="239"/>
        <w:spacing w:line="360" w:lineRule="auto"/>
        <w:ind w:firstLine="480"/>
        <w:jc w:val="left"/>
        <w:rPr>
          <w:rFonts w:ascii="Times New Roman"/>
          <w:sz w:val="24"/>
          <w:szCs w:val="24"/>
          <w:u w:val="single"/>
        </w:rPr>
      </w:pPr>
      <w:r>
        <w:rPr>
          <w:rFonts w:ascii="Times New Roman"/>
          <w:sz w:val="24"/>
          <w:szCs w:val="24"/>
          <w:u w:val="single"/>
        </w:rPr>
        <w:t>参照中国石化资产经营管理有限公司荆门分公司CFB锅炉焚烧油泥项目，长岭分公司现有2×260t/h CFB 锅炉（型号：HM260-9.8/540-A）是由烟台现代冰轮重工有限公司设计并制造的循环流化床锅炉，配套脱硫脱硝除尘设施，主要用于向</w:t>
      </w:r>
      <w:r>
        <w:rPr>
          <w:rFonts w:ascii="Times New Roman"/>
          <w:sz w:val="24"/>
          <w:u w:val="single"/>
        </w:rPr>
        <w:t>中石化长岭分公司生产设施提供蒸汽。</w:t>
      </w:r>
    </w:p>
    <w:p>
      <w:pPr>
        <w:spacing w:line="360" w:lineRule="auto"/>
        <w:ind w:firstLine="480" w:firstLineChars="200"/>
        <w:rPr>
          <w:rFonts w:ascii="Times New Roman" w:hAnsi="Times New Roman"/>
          <w:kern w:val="0"/>
          <w:sz w:val="24"/>
          <w:szCs w:val="24"/>
          <w:u w:val="single"/>
        </w:rPr>
      </w:pPr>
      <w:r>
        <w:rPr>
          <w:rFonts w:ascii="Times New Roman" w:hAnsi="Times New Roman"/>
          <w:sz w:val="24"/>
          <w:szCs w:val="24"/>
          <w:u w:val="single"/>
        </w:rPr>
        <w:t>CFB锅炉可单炉运行，也可双炉运行，主要以单炉运行。掺烧可进任何一台CFB炉。油泥浮渣掺烧量为1～2t/h，根据锅炉运行负荷调整，油泥浮渣进CFB锅炉处理方式有两种：</w:t>
      </w:r>
      <w:r>
        <w:rPr>
          <w:rFonts w:ascii="Times New Roman" w:hAnsi="Times New Roman"/>
          <w:kern w:val="0"/>
          <w:sz w:val="24"/>
          <w:szCs w:val="24"/>
          <w:u w:val="single"/>
        </w:rPr>
        <w:t>一是含水率约90%的油泥浮渣用泵经过喷枪送到燃烧火嘴进入CFB锅炉炉膛直接掺烧，掺烧量为0.9万吨/年，换算成含水率30%的干泥为1286吨/年；二是将干化后的3000吨油泥浮渣，含水率30%（干化预处理部分外委给长岭设备研究所有限公司处理，已单独立项进行环评）与CFB锅炉燃煤混合后进行掺烧。参照2019年煤焦耗量设计掺烧比例为1：54，设计年开工时间为8760h。</w:t>
      </w:r>
    </w:p>
    <w:p>
      <w:pPr>
        <w:pStyle w:val="239"/>
        <w:spacing w:line="360" w:lineRule="auto"/>
        <w:ind w:firstLine="480"/>
        <w:jc w:val="left"/>
        <w:rPr>
          <w:rFonts w:ascii="Times New Roman"/>
          <w:sz w:val="24"/>
          <w:szCs w:val="24"/>
          <w:u w:val="single"/>
        </w:rPr>
      </w:pPr>
      <w:r>
        <w:rPr>
          <w:rFonts w:ascii="Times New Roman"/>
          <w:sz w:val="24"/>
          <w:szCs w:val="24"/>
          <w:u w:val="single"/>
        </w:rPr>
        <w:t>1）直接掺烧</w:t>
      </w:r>
    </w:p>
    <w:p>
      <w:pPr>
        <w:pStyle w:val="239"/>
        <w:spacing w:line="360" w:lineRule="auto"/>
        <w:ind w:firstLine="480"/>
        <w:jc w:val="left"/>
        <w:rPr>
          <w:rFonts w:ascii="Times New Roman"/>
          <w:sz w:val="24"/>
          <w:szCs w:val="24"/>
          <w:u w:val="single"/>
        </w:rPr>
      </w:pPr>
      <w:r>
        <w:rPr>
          <w:rFonts w:ascii="Times New Roman"/>
          <w:sz w:val="24"/>
          <w:szCs w:val="24"/>
          <w:u w:val="single"/>
        </w:rPr>
        <w:t>在热电部现有油泥泵送系统增加一台油泥泵，形成一开一备，增加部分管线，将CFB锅炉喷油雾化喷枪改成喷油泥浮渣的喷枪，用于部分油泥浮渣直接掺烧至CFB锅炉，掺烧方式为公司第一污水处理场收集的油泥浮渣通过泵送至热电部油泥原料罐（含水率约90%、固含量约3%、油含量约7%），用泵经喷枪送到燃烧火嘴进入CFB锅炉炉膛直接掺烧，掺烧量约为0.9万吨/年。</w:t>
      </w:r>
    </w:p>
    <w:p>
      <w:pPr>
        <w:pStyle w:val="239"/>
        <w:spacing w:line="360" w:lineRule="auto"/>
        <w:ind w:firstLine="480"/>
        <w:jc w:val="center"/>
        <w:rPr>
          <w:rFonts w:ascii="Times New Roman"/>
          <w:sz w:val="24"/>
          <w:szCs w:val="24"/>
          <w:u w:val="single"/>
        </w:rPr>
      </w:pPr>
      <w:r>
        <w:rPr>
          <w:rFonts w:ascii="Times New Roman"/>
          <w:sz w:val="24"/>
          <w:szCs w:val="24"/>
          <w:u w:val="single"/>
        </w:rPr>
        <mc:AlternateContent>
          <mc:Choice Requires="wpg">
            <w:drawing>
              <wp:anchor distT="0" distB="0" distL="114300" distR="114300" simplePos="0" relativeHeight="486735872" behindDoc="0" locked="0" layoutInCell="1" allowOverlap="1">
                <wp:simplePos x="0" y="0"/>
                <wp:positionH relativeFrom="column">
                  <wp:posOffset>3930015</wp:posOffset>
                </wp:positionH>
                <wp:positionV relativeFrom="paragraph">
                  <wp:posOffset>450850</wp:posOffset>
                </wp:positionV>
                <wp:extent cx="1671955" cy="438785"/>
                <wp:effectExtent l="1270" t="0" r="0" b="0"/>
                <wp:wrapNone/>
                <wp:docPr id="1028" name="组合 1028"/>
                <wp:cNvGraphicFramePr/>
                <a:graphic xmlns:a="http://schemas.openxmlformats.org/drawingml/2006/main">
                  <a:graphicData uri="http://schemas.microsoft.com/office/word/2010/wordprocessingGroup">
                    <wpg:wgp>
                      <wpg:cNvGrpSpPr/>
                      <wpg:grpSpPr>
                        <a:xfrm>
                          <a:off x="0" y="0"/>
                          <a:ext cx="1672155" cy="438514"/>
                          <a:chOff x="76212" y="-43788"/>
                          <a:chExt cx="1672155" cy="438514"/>
                        </a:xfrm>
                      </wpg:grpSpPr>
                      <wps:wsp>
                        <wps:cNvPr id="1024" name="直接箭头连接符 1024"/>
                        <wps:cNvCnPr/>
                        <wps:spPr>
                          <a:xfrm flipV="1">
                            <a:off x="76212" y="145960"/>
                            <a:ext cx="673180" cy="1948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25" name="文本框 1025"/>
                        <wps:cNvSpPr txBox="1"/>
                        <wps:spPr>
                          <a:xfrm>
                            <a:off x="668736" y="-43788"/>
                            <a:ext cx="1079631" cy="438514"/>
                          </a:xfrm>
                          <a:prstGeom prst="rect">
                            <a:avLst/>
                          </a:prstGeom>
                          <a:noFill/>
                          <a:ln w="6350">
                            <a:noFill/>
                          </a:ln>
                        </wps:spPr>
                        <wps:txbx>
                          <w:txbxContent>
                            <w:p>
                              <w:r>
                                <w:t>A1、B1、</w:t>
                              </w:r>
                            </w:p>
                            <w:p>
                              <w:r>
                                <w:t>C1</w:t>
                              </w:r>
                              <w:r>
                                <w:rPr>
                                  <w:rFonts w:hint="eastAsia"/>
                                </w:rPr>
                                <w:t>、</w:t>
                              </w:r>
                              <w:r>
                                <w:rPr>
                                  <w:rFonts w:hint="eastAsia" w:ascii="Times New Roman" w:hAnsi="Times New Roman"/>
                                  <w:szCs w:val="21"/>
                                </w:rPr>
                                <w:t>D1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9.45pt;margin-top:35.5pt;height:34.55pt;width:131.65pt;z-index:486735872;mso-width-relative:page;mso-height-relative:page;" coordorigin="76212,-43788" coordsize="1672155,438514" o:gfxdata="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P+wo2tkAAAAKAQAADwAAAAAAAAABACAAAAAiAAAA&#10;ZHJzL2Rvd25yZXYueG1sUEsBAhQAFAAAAAgAh07iQMJN64tcAwAAbgcAAA4AAAAAAAAAAQAgAAAA&#10;KAEAAGRycy9lMm9Eb2MueG1sUEsFBgAAAAAGAAYAWQEAAPYGAAAAAA==&#10;">
                <o:lock v:ext="edit" aspectratio="f"/>
                <v:shape id="_x0000_s1026" o:spid="_x0000_s1026" o:spt="32" type="#_x0000_t32" style="position:absolute;left:76212;top:145960;flip:y;height:194825;width:673180;" filled="f" stroked="t" coordsize="21600,21600" o:gfxdata="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625AAAA3QAA&#10;AA8AAAAAAAAAAQAgAAAAIgAAAGRycy9kb3ducmV2LnhtbFBLAQIUABQAAAAIAIdO4kAzLwWeOwAA&#10;ADkAAAAQAAAAAAAAAAEAIAAAAAgBAABkcnMvc2hhcGV4bWwueG1sUEsFBgAAAAAGAAYAWwEAALID&#10;AAAAAA==&#10;">
                  <v:fill on="f" focussize="0,0"/>
                  <v:stroke color="#000000 [3213]" joinstyle="round" dashstyle="dash" endarrow="block"/>
                  <v:imagedata o:title=""/>
                  <o:lock v:ext="edit" aspectratio="f"/>
                </v:shape>
                <v:shape id="_x0000_s1026" o:spid="_x0000_s1026" o:spt="202" type="#_x0000_t202" style="position:absolute;left:668736;top:-43788;height:438514;width:1079631;" filled="f" stroked="f" coordsize="21600,21600" o:gfxdata="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pIzy/&#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t>A1、B1、</w:t>
                        </w:r>
                      </w:p>
                      <w:p>
                        <w:r>
                          <w:t>C1</w:t>
                        </w:r>
                        <w:r>
                          <w:rPr>
                            <w:rFonts w:hint="eastAsia"/>
                          </w:rPr>
                          <w:t>、</w:t>
                        </w:r>
                        <w:r>
                          <w:rPr>
                            <w:rFonts w:hint="eastAsia" w:ascii="Times New Roman" w:hAnsi="Times New Roman"/>
                            <w:szCs w:val="21"/>
                          </w:rPr>
                          <w:t>D1</w:t>
                        </w:r>
                      </w:p>
                    </w:txbxContent>
                  </v:textbox>
                </v:shape>
              </v:group>
            </w:pict>
          </mc:Fallback>
        </mc:AlternateContent>
      </w:r>
      <w:r>
        <w:rPr>
          <w:rFonts w:ascii="Times New Roman"/>
          <w:sz w:val="24"/>
          <w:szCs w:val="24"/>
          <w:u w:val="single"/>
        </w:rPr>
        <w:drawing>
          <wp:inline distT="0" distB="0" distL="0" distR="0">
            <wp:extent cx="4973320" cy="1289685"/>
            <wp:effectExtent l="0" t="0" r="0" b="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noChangeArrowheads="1"/>
                    </pic:cNvPicPr>
                  </pic:nvPicPr>
                  <pic:blipFill>
                    <a:blip r:embed="rId26" cstate="print"/>
                    <a:srcRect l="25613" t="35456" r="21626" b="41402"/>
                    <a:stretch>
                      <a:fillRect/>
                    </a:stretch>
                  </pic:blipFill>
                  <pic:spPr>
                    <a:xfrm>
                      <a:off x="0" y="0"/>
                      <a:ext cx="4973781" cy="1289685"/>
                    </a:xfrm>
                    <a:prstGeom prst="rect">
                      <a:avLst/>
                    </a:prstGeom>
                    <a:noFill/>
                    <a:ln w="9525">
                      <a:noFill/>
                      <a:miter lim="800000"/>
                      <a:headEnd/>
                      <a:tailEnd/>
                    </a:ln>
                  </pic:spPr>
                </pic:pic>
              </a:graphicData>
            </a:graphic>
          </wp:inline>
        </w:drawing>
      </w:r>
    </w:p>
    <w:p>
      <w:pPr>
        <w:pStyle w:val="239"/>
        <w:spacing w:line="360" w:lineRule="auto"/>
        <w:ind w:firstLine="480"/>
        <w:jc w:val="center"/>
        <w:rPr>
          <w:rFonts w:ascii="Times New Roman"/>
          <w:sz w:val="24"/>
          <w:szCs w:val="24"/>
          <w:u w:val="single"/>
        </w:rPr>
      </w:pPr>
      <w:r>
        <w:rPr>
          <w:rFonts w:ascii="Times New Roman"/>
          <w:sz w:val="24"/>
          <w:szCs w:val="24"/>
          <w:u w:val="single"/>
        </w:rPr>
        <w:t>油泥浮渣直接掺烧流程简图</w:t>
      </w:r>
    </w:p>
    <w:p>
      <w:pPr>
        <w:pStyle w:val="239"/>
        <w:spacing w:line="360" w:lineRule="auto"/>
        <w:ind w:firstLine="480"/>
        <w:jc w:val="left"/>
        <w:rPr>
          <w:rFonts w:ascii="Times New Roman"/>
          <w:sz w:val="24"/>
          <w:szCs w:val="24"/>
          <w:u w:val="single"/>
        </w:rPr>
      </w:pPr>
      <w:r>
        <w:rPr>
          <w:rFonts w:ascii="Times New Roman"/>
          <w:sz w:val="24"/>
          <w:szCs w:val="24"/>
          <w:u w:val="single"/>
        </w:rPr>
        <w:t>2）干化后油泥掺烧</w:t>
      </w:r>
    </w:p>
    <w:p>
      <w:pPr>
        <w:spacing w:line="360" w:lineRule="auto"/>
        <w:ind w:firstLine="510"/>
        <w:rPr>
          <w:rFonts w:ascii="Times New Roman" w:hAnsi="Times New Roman"/>
          <w:sz w:val="24"/>
          <w:szCs w:val="24"/>
          <w:u w:val="single"/>
        </w:rPr>
      </w:pPr>
      <w:r>
        <w:rPr>
          <w:rFonts w:ascii="Times New Roman" w:hAnsi="Times New Roman"/>
          <w:sz w:val="24"/>
          <w:szCs w:val="24"/>
          <w:u w:val="single"/>
        </w:rPr>
        <w:t>油泥干化所在地也位于长岭分公司厂区内，距离本项目约500米远，干化脱水后的油泥，用货车运输至热电部煤堆场，经与煤混合后粉碎输送至料仓，进入CFB锅炉进行掺烧。掺烧干泥量约为0.3万吨/年（含水率30%）。</w:t>
      </w:r>
    </w:p>
    <w:p>
      <w:pPr>
        <w:pStyle w:val="239"/>
        <w:spacing w:line="360" w:lineRule="auto"/>
        <w:ind w:firstLine="420"/>
        <w:jc w:val="right"/>
        <w:rPr>
          <w:rFonts w:ascii="Times New Roman"/>
          <w:sz w:val="24"/>
          <w:szCs w:val="24"/>
          <w:u w:val="single"/>
        </w:rPr>
      </w:pPr>
      <w:r>
        <w:rPr>
          <w:rFonts w:ascii="Times New Roman"/>
          <w:u w:val="single"/>
        </w:rPr>
        <mc:AlternateContent>
          <mc:Choice Requires="wpg">
            <w:drawing>
              <wp:anchor distT="0" distB="0" distL="114300" distR="114300" simplePos="0" relativeHeight="486757376" behindDoc="0" locked="0" layoutInCell="1" allowOverlap="1">
                <wp:simplePos x="0" y="0"/>
                <wp:positionH relativeFrom="column">
                  <wp:posOffset>-887095</wp:posOffset>
                </wp:positionH>
                <wp:positionV relativeFrom="paragraph">
                  <wp:posOffset>8890</wp:posOffset>
                </wp:positionV>
                <wp:extent cx="2064385" cy="655320"/>
                <wp:effectExtent l="4445" t="4445" r="7620" b="6985"/>
                <wp:wrapNone/>
                <wp:docPr id="58" name="组合 58"/>
                <wp:cNvGraphicFramePr/>
                <a:graphic xmlns:a="http://schemas.openxmlformats.org/drawingml/2006/main">
                  <a:graphicData uri="http://schemas.microsoft.com/office/word/2010/wordprocessingGroup">
                    <wpg:wgp>
                      <wpg:cNvGrpSpPr/>
                      <wpg:grpSpPr>
                        <a:xfrm>
                          <a:off x="0" y="0"/>
                          <a:ext cx="2064385" cy="655320"/>
                          <a:chOff x="5368" y="19487"/>
                          <a:chExt cx="3251" cy="1032"/>
                        </a:xfrm>
                      </wpg:grpSpPr>
                      <wps:wsp>
                        <wps:cNvPr id="42" name="文本框 42"/>
                        <wps:cNvSpPr txBox="1"/>
                        <wps:spPr>
                          <a:xfrm>
                            <a:off x="7870" y="19637"/>
                            <a:ext cx="749" cy="56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干化</w:t>
                              </w:r>
                            </w:p>
                          </w:txbxContent>
                        </wps:txbx>
                        <wps:bodyPr upright="1"/>
                      </wps:wsp>
                      <wpg:grpSp>
                        <wpg:cNvPr id="56" name="组合 56"/>
                        <wpg:cNvGrpSpPr/>
                        <wpg:grpSpPr>
                          <a:xfrm>
                            <a:off x="5368" y="19487"/>
                            <a:ext cx="2586" cy="1032"/>
                            <a:chOff x="5368" y="19487"/>
                            <a:chExt cx="2586" cy="1032"/>
                          </a:xfrm>
                        </wpg:grpSpPr>
                        <wps:wsp>
                          <wps:cNvPr id="46" name="文本框 46"/>
                          <wps:cNvSpPr txBox="1"/>
                          <wps:spPr>
                            <a:xfrm>
                              <a:off x="6348" y="19571"/>
                              <a:ext cx="985"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油泥浮</w:t>
                                </w:r>
                              </w:p>
                              <w:p>
                                <w:r>
                                  <w:rPr>
                                    <w:rFonts w:hint="eastAsia"/>
                                  </w:rPr>
                                  <w:t>渣罐</w:t>
                                </w:r>
                              </w:p>
                            </w:txbxContent>
                          </wps:txbx>
                          <wps:bodyPr upright="1"/>
                        </wps:wsp>
                        <wps:wsp>
                          <wps:cNvPr id="49" name="文本框 49"/>
                          <wps:cNvSpPr txBox="1"/>
                          <wps:spPr>
                            <a:xfrm>
                              <a:off x="5368" y="19487"/>
                              <a:ext cx="494" cy="103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一污</w:t>
                                </w:r>
                              </w:p>
                              <w:p>
                                <w:pPr>
                                  <w:pStyle w:val="2"/>
                                  <w:ind w:left="420" w:firstLine="420"/>
                                </w:pPr>
                              </w:p>
                              <w:p/>
                              <w:p>
                                <w:pPr>
                                  <w:pStyle w:val="2"/>
                                  <w:ind w:left="420" w:firstLine="420"/>
                                </w:pPr>
                              </w:p>
                            </w:txbxContent>
                          </wps:txbx>
                          <wps:bodyPr upright="1"/>
                        </wps:wsp>
                        <wps:wsp>
                          <wps:cNvPr id="50" name="直接箭头连接符 50"/>
                          <wps:cNvCnPr/>
                          <wps:spPr>
                            <a:xfrm>
                              <a:off x="7351" y="19926"/>
                              <a:ext cx="603" cy="1"/>
                            </a:xfrm>
                            <a:prstGeom prst="straightConnector1">
                              <a:avLst/>
                            </a:prstGeom>
                            <a:ln w="9525" cap="flat" cmpd="sng">
                              <a:solidFill>
                                <a:srgbClr val="000000"/>
                              </a:solidFill>
                              <a:prstDash val="solid"/>
                              <a:headEnd type="none" w="med" len="med"/>
                              <a:tailEnd type="triangle" w="med" len="med"/>
                            </a:ln>
                          </wps:spPr>
                          <wps:bodyPr/>
                        </wps:wsp>
                        <wps:wsp>
                          <wps:cNvPr id="51" name="直接箭头连接符 51"/>
                          <wps:cNvCnPr/>
                          <wps:spPr>
                            <a:xfrm>
                              <a:off x="5928" y="19961"/>
                              <a:ext cx="449" cy="0"/>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69.85pt;margin-top:0.7pt;height:51.6pt;width:162.55pt;z-index:486757376;mso-width-relative:page;mso-height-relative:page;" coordorigin="5368,19487" coordsize="3251,1032" o:gfxdata="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B55UsR2gAAAAoBAAAPAAAAAAAAAAEAIAAAACIAAABkcnMvZG93bnJldi54bWxQ&#10;SwECFAAUAAAACACHTuJAoJzxgYQDAAA5DwAADgAAAAAAAAABACAAAAApAQAAZHJzL2Uyb0RvYy54&#10;bWxQSwUGAAAAAAYABgBZAQAAHwcAAAAA&#10;">
                <o:lock v:ext="edit" aspectratio="f"/>
                <v:shape id="_x0000_s1026" o:spid="_x0000_s1026" o:spt="202" type="#_x0000_t202" style="position:absolute;left:7870;top:19637;height:566;width:749;"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干化</w:t>
                        </w:r>
                      </w:p>
                    </w:txbxContent>
                  </v:textbox>
                </v:shape>
                <v:group id="_x0000_s1026" o:spid="_x0000_s1026" o:spt="203" style="position:absolute;left:5368;top:19487;height:1032;width:2586;" coordorigin="5368,19487" coordsize="2586,1032"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348;top:19571;height:782;width:985;"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油泥浮</w:t>
                          </w:r>
                        </w:p>
                        <w:p>
                          <w:r>
                            <w:rPr>
                              <w:rFonts w:hint="eastAsia"/>
                            </w:rPr>
                            <w:t>渣罐</w:t>
                          </w:r>
                        </w:p>
                      </w:txbxContent>
                    </v:textbox>
                  </v:shape>
                  <v:shape id="_x0000_s1026" o:spid="_x0000_s1026" o:spt="202" type="#_x0000_t202" style="position:absolute;left:5368;top:19487;height:1032;width:494;"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一污</w:t>
                          </w:r>
                        </w:p>
                        <w:p>
                          <w:pPr>
                            <w:pStyle w:val="2"/>
                            <w:ind w:left="420" w:firstLine="420"/>
                          </w:pPr>
                        </w:p>
                        <w:p/>
                        <w:p>
                          <w:pPr>
                            <w:pStyle w:val="2"/>
                            <w:ind w:left="420" w:firstLine="420"/>
                          </w:pPr>
                        </w:p>
                      </w:txbxContent>
                    </v:textbox>
                  </v:shape>
                  <v:shape id="_x0000_s1026" o:spid="_x0000_s1026" o:spt="32" type="#_x0000_t32" style="position:absolute;left:7351;top:19926;height:1;width:603;"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28;top:19961;height:0;width:449;"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w:pict>
          </mc:Fallback>
        </mc:AlternateContent>
      </w:r>
      <w:r>
        <w:rPr>
          <w:rFonts w:ascii="Times New Roman"/>
          <w:u w:val="single"/>
        </w:rPr>
        <mc:AlternateContent>
          <mc:Choice Requires="wps">
            <w:drawing>
              <wp:anchor distT="0" distB="0" distL="114300" distR="114300" simplePos="0" relativeHeight="486758400" behindDoc="0" locked="0" layoutInCell="1" allowOverlap="1">
                <wp:simplePos x="0" y="0"/>
                <wp:positionH relativeFrom="column">
                  <wp:posOffset>939800</wp:posOffset>
                </wp:positionH>
                <wp:positionV relativeFrom="paragraph">
                  <wp:posOffset>463550</wp:posOffset>
                </wp:positionV>
                <wp:extent cx="1270" cy="538480"/>
                <wp:effectExtent l="48260" t="0" r="64770" b="13970"/>
                <wp:wrapNone/>
                <wp:docPr id="59" name="直接箭头连接符 59"/>
                <wp:cNvGraphicFramePr/>
                <a:graphic xmlns:a="http://schemas.openxmlformats.org/drawingml/2006/main">
                  <a:graphicData uri="http://schemas.microsoft.com/office/word/2010/wordprocessingShape">
                    <wps:wsp>
                      <wps:cNvCnPr/>
                      <wps:spPr>
                        <a:xfrm>
                          <a:off x="2113280" y="2860040"/>
                          <a:ext cx="1270" cy="53848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4pt;margin-top:36.5pt;height:42.4pt;width:0.1pt;z-index:486758400;mso-width-relative:page;mso-height-relative:page;" filled="f" stroked="t" coordsize="21600,21600" o:gfxdata="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pIL32AAAAAoBAAAPAAAAAAAAAAEAIAAAACIAAABkcnMvZG93bnJldi54bWxQ&#10;SwECFAAUAAAACACHTuJADdlOKfcBAACbAwAADgAAAAAAAAABACAAAAAnAQAAZHJzL2Uyb0RvYy54&#10;bWxQSwUGAAAAAAYABgBZAQAAkAUAAAAA&#10;">
                <v:fill on="f" focussize="0,0"/>
                <v:stroke color="#000000 [3213]" joinstyle="round" endarrow="open"/>
                <v:imagedata o:title=""/>
                <o:lock v:ext="edit" aspectratio="f"/>
              </v:shape>
            </w:pict>
          </mc:Fallback>
        </mc:AlternateContent>
      </w:r>
      <w:r>
        <w:rPr>
          <w:rFonts w:ascii="Times New Roman"/>
          <w:sz w:val="24"/>
          <w:szCs w:val="24"/>
          <w:u w:val="single"/>
        </w:rPr>
        <w:drawing>
          <wp:inline distT="0" distB="0" distL="0" distR="0">
            <wp:extent cx="5313045" cy="1644015"/>
            <wp:effectExtent l="0" t="0" r="0" b="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noChangeArrowheads="1"/>
                    </pic:cNvPicPr>
                  </pic:nvPicPr>
                  <pic:blipFill>
                    <a:blip r:embed="rId27" cstate="print"/>
                    <a:srcRect l="24847" t="36943" r="21626" b="42250"/>
                    <a:stretch>
                      <a:fillRect/>
                    </a:stretch>
                  </pic:blipFill>
                  <pic:spPr>
                    <a:xfrm>
                      <a:off x="0" y="0"/>
                      <a:ext cx="5313045" cy="1644015"/>
                    </a:xfrm>
                    <a:prstGeom prst="rect">
                      <a:avLst/>
                    </a:prstGeom>
                    <a:noFill/>
                    <a:ln w="9525">
                      <a:noFill/>
                      <a:miter lim="800000"/>
                      <a:headEnd/>
                      <a:tailEnd/>
                    </a:ln>
                  </pic:spPr>
                </pic:pic>
              </a:graphicData>
            </a:graphic>
          </wp:inline>
        </w:drawing>
      </w:r>
      <w:r>
        <w:rPr>
          <w:rFonts w:ascii="Times New Roman"/>
          <w:sz w:val="24"/>
          <w:szCs w:val="24"/>
          <w:u w:val="single"/>
        </w:rPr>
        <mc:AlternateContent>
          <mc:Choice Requires="wpg">
            <w:drawing>
              <wp:anchor distT="0" distB="0" distL="114300" distR="114300" simplePos="0" relativeHeight="486737920" behindDoc="0" locked="0" layoutInCell="1" allowOverlap="1">
                <wp:simplePos x="0" y="0"/>
                <wp:positionH relativeFrom="page">
                  <wp:posOffset>5501005</wp:posOffset>
                </wp:positionH>
                <wp:positionV relativeFrom="paragraph">
                  <wp:posOffset>640080</wp:posOffset>
                </wp:positionV>
                <wp:extent cx="1774190" cy="421005"/>
                <wp:effectExtent l="1270" t="0" r="0" b="17780"/>
                <wp:wrapNone/>
                <wp:docPr id="1030" name="组合 1030"/>
                <wp:cNvGraphicFramePr/>
                <a:graphic xmlns:a="http://schemas.openxmlformats.org/drawingml/2006/main">
                  <a:graphicData uri="http://schemas.microsoft.com/office/word/2010/wordprocessingGroup">
                    <wpg:wgp>
                      <wpg:cNvGrpSpPr/>
                      <wpg:grpSpPr>
                        <a:xfrm>
                          <a:off x="0" y="0"/>
                          <a:ext cx="1774405" cy="420744"/>
                          <a:chOff x="-147338" y="-17134"/>
                          <a:chExt cx="1774405" cy="420744"/>
                        </a:xfrm>
                      </wpg:grpSpPr>
                      <wps:wsp>
                        <wps:cNvPr id="1031" name="直接箭头连接符 1031"/>
                        <wps:cNvCnPr/>
                        <wps:spPr>
                          <a:xfrm flipV="1">
                            <a:off x="-147338" y="171344"/>
                            <a:ext cx="673182" cy="194824"/>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32" name="文本框 1032"/>
                        <wps:cNvSpPr txBox="1"/>
                        <wps:spPr>
                          <a:xfrm>
                            <a:off x="547436" y="-17134"/>
                            <a:ext cx="1079631" cy="420744"/>
                          </a:xfrm>
                          <a:prstGeom prst="rect">
                            <a:avLst/>
                          </a:prstGeom>
                          <a:noFill/>
                          <a:ln w="6350">
                            <a:noFill/>
                          </a:ln>
                        </wps:spPr>
                        <wps:txbx>
                          <w:txbxContent>
                            <w:p>
                              <w:r>
                                <w:t>A1、B1、</w:t>
                              </w:r>
                            </w:p>
                            <w:p>
                              <w:r>
                                <w:t>C1</w:t>
                              </w:r>
                              <w:r>
                                <w:rPr>
                                  <w:rFonts w:hint="eastAsia"/>
                                </w:rPr>
                                <w:t>、</w:t>
                              </w:r>
                              <w:r>
                                <w:rPr>
                                  <w:rFonts w:hint="eastAsia" w:ascii="Times New Roman" w:hAnsi="Times New Roman"/>
                                  <w:szCs w:val="21"/>
                                </w:rPr>
                                <w:t>D1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3.15pt;margin-top:50.4pt;height:33.15pt;width:139.7pt;mso-position-horizontal-relative:page;z-index:486737920;mso-width-relative:page;mso-height-relative:page;" coordorigin="-147338,-17134" coordsize="1774405,420744" o:gfxdata="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IL9y+2wAAAAwBAAAPAAAAAAAAAAEAIAAA&#10;ACIAAABkcnMvZG93bnJldi54bWxQSwECFAAUAAAACACHTuJAPClVAF8DAAByBwAADgAAAAAAAAAB&#10;ACAAAAAqAQAAZHJzL2Uyb0RvYy54bWxQSwUGAAAAAAYABgBZAQAA+wYAAAAA&#10;">
                <o:lock v:ext="edit" aspectratio="f"/>
                <v:shape id="_x0000_s1026" o:spid="_x0000_s1026" o:spt="32" type="#_x0000_t32" style="position:absolute;left:-147338;top:171344;flip:y;height:194824;width:673182;" filled="f" stroked="t" coordsize="21600,21600" o:gfxdata="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QUui5AAAA3QAA&#10;AA8AAAAAAAAAAQAgAAAAIgAAAGRycy9kb3ducmV2LnhtbFBLAQIUABQAAAAIAIdO4kAzLwWeOwAA&#10;ADkAAAAQAAAAAAAAAAEAIAAAAAgBAABkcnMvc2hhcGV4bWwueG1sUEsFBgAAAAAGAAYAWwEAALID&#10;AAAAAA==&#10;">
                  <v:fill on="f" focussize="0,0"/>
                  <v:stroke color="#000000 [3213]" joinstyle="round" dashstyle="dash" endarrow="block"/>
                  <v:imagedata o:title=""/>
                  <o:lock v:ext="edit" aspectratio="f"/>
                </v:shape>
                <v:shape id="_x0000_s1026" o:spid="_x0000_s1026" o:spt="202" type="#_x0000_t202" style="position:absolute;left:547436;top:-17134;height:420744;width:1079631;" filled="f" stroked="f" coordsize="21600,21600" o:gfxdata="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S2V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t>A1、B1、</w:t>
                        </w:r>
                      </w:p>
                      <w:p>
                        <w:r>
                          <w:t>C1</w:t>
                        </w:r>
                        <w:r>
                          <w:rPr>
                            <w:rFonts w:hint="eastAsia"/>
                          </w:rPr>
                          <w:t>、</w:t>
                        </w:r>
                        <w:r>
                          <w:rPr>
                            <w:rFonts w:hint="eastAsia" w:ascii="Times New Roman" w:hAnsi="Times New Roman"/>
                            <w:szCs w:val="21"/>
                          </w:rPr>
                          <w:t>D1</w:t>
                        </w:r>
                      </w:p>
                    </w:txbxContent>
                  </v:textbox>
                </v:shape>
              </v:group>
            </w:pict>
          </mc:Fallback>
        </mc:AlternateContent>
      </w:r>
    </w:p>
    <w:p>
      <w:pPr>
        <w:pStyle w:val="239"/>
        <w:spacing w:line="360" w:lineRule="auto"/>
        <w:ind w:firstLine="480"/>
        <w:jc w:val="center"/>
        <w:rPr>
          <w:rFonts w:ascii="Times New Roman"/>
          <w:sz w:val="24"/>
          <w:szCs w:val="24"/>
          <w:u w:val="single"/>
        </w:rPr>
      </w:pPr>
      <w:r>
        <w:rPr>
          <w:rFonts w:ascii="Times New Roman"/>
          <w:sz w:val="24"/>
          <w:szCs w:val="24"/>
          <w:u w:val="single"/>
        </w:rPr>
        <w:t>干泥掺烧流程简图</w:t>
      </w:r>
    </w:p>
    <w:p>
      <w:pPr>
        <w:pStyle w:val="239"/>
        <w:spacing w:line="360" w:lineRule="auto"/>
        <w:ind w:firstLine="480"/>
        <w:rPr>
          <w:rFonts w:ascii="Times New Roman"/>
          <w:sz w:val="24"/>
          <w:szCs w:val="24"/>
          <w:u w:val="single"/>
        </w:rPr>
      </w:pPr>
      <w:r>
        <w:rPr>
          <w:rFonts w:ascii="Times New Roman"/>
          <w:sz w:val="24"/>
          <w:szCs w:val="24"/>
          <w:u w:val="single"/>
        </w:rPr>
        <w:t>在煤棚内进行燃煤与干泥的掺混，通过铲车将干泥运至煤堆与燃煤按一定比例进行多次翻铲混合均匀，再铲入料仓内，通过重式全封闭胶带给煤机输送至炉膛，同时炉膛内脱硫，烟气通过烟道，在烟道中喷入氨水进行脱硝，再进入布袋除尘器进行除尘后排入大气。</w:t>
      </w:r>
    </w:p>
    <w:p>
      <w:pPr>
        <w:pStyle w:val="239"/>
        <w:spacing w:line="360" w:lineRule="auto"/>
        <w:ind w:firstLine="482"/>
        <w:rPr>
          <w:rFonts w:ascii="Times New Roman"/>
          <w:b/>
          <w:sz w:val="24"/>
          <w:szCs w:val="24"/>
          <w:u w:val="single"/>
        </w:rPr>
      </w:pPr>
      <w:r>
        <w:rPr>
          <w:rFonts w:ascii="Times New Roman"/>
          <w:b/>
          <w:sz w:val="24"/>
          <w:szCs w:val="24"/>
          <w:u w:val="single"/>
        </w:rPr>
        <w:t>1）CFB锅炉给煤系统</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热电部CFB锅炉给煤系统采用称重式全封闭胶带给煤机，其输送原理是利用胶带运转，进行输送原煤。当原煤落在胶带上后，不再有其它形式的流动，在胶带的带动下，靠原煤自重与胶带之间的磨擦力平衡向前移动，从而实现连续均匀地给煤。</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它主要由进煤斗、滚筒、胶带、托辊组、张紧装置、称重系统、驱动装置、落煤斗、底部清扫系统、封闭壳体等组成。在胶带的下方，安装有托辊组、滚筒、称重桥架、称重传感器等。装有称重传感器的称重桥架安装于输送机的纵梁上，称重桥架支承着称重托辊，以检测皮带上的物料重量，产生一个正比于皮带载荷的电气信号，送给积算器。</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连接在滚筒上的速度传感器，提供一系列脉冲，每个脉冲表示一个皮带运动单元，脉冲的频率正比于皮带速度。积算器接收这两种信号后，通过处理、计算，在积算器的显示器上分别显示输送原煤的累计重量和瞬时流量，工作原理如下图：</w:t>
      </w:r>
    </w:p>
    <w:p>
      <w:pPr>
        <w:pStyle w:val="239"/>
        <w:spacing w:line="360" w:lineRule="auto"/>
        <w:ind w:firstLine="0" w:firstLineChars="0"/>
        <w:rPr>
          <w:rFonts w:ascii="Times New Roman"/>
          <w:sz w:val="24"/>
          <w:szCs w:val="24"/>
          <w:u w:val="single"/>
        </w:rPr>
      </w:pPr>
      <w:r>
        <w:rPr>
          <w:rFonts w:ascii="Times New Roman"/>
          <w:szCs w:val="21"/>
          <w:u w:val="single"/>
        </w:rPr>
        <w:drawing>
          <wp:inline distT="0" distB="0" distL="114300" distR="114300">
            <wp:extent cx="5029200" cy="2246630"/>
            <wp:effectExtent l="0" t="0" r="0" b="127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8"/>
                    <a:stretch>
                      <a:fillRect/>
                    </a:stretch>
                  </pic:blipFill>
                  <pic:spPr>
                    <a:xfrm>
                      <a:off x="0" y="0"/>
                      <a:ext cx="5029200" cy="2246630"/>
                    </a:xfrm>
                    <a:prstGeom prst="rect">
                      <a:avLst/>
                    </a:prstGeom>
                    <a:noFill/>
                    <a:ln>
                      <a:noFill/>
                    </a:ln>
                  </pic:spPr>
                </pic:pic>
              </a:graphicData>
            </a:graphic>
          </wp:inline>
        </w:drawing>
      </w:r>
    </w:p>
    <w:p>
      <w:pPr>
        <w:pStyle w:val="239"/>
        <w:spacing w:line="360" w:lineRule="auto"/>
        <w:ind w:firstLine="482"/>
        <w:jc w:val="center"/>
        <w:rPr>
          <w:rFonts w:ascii="Times New Roman"/>
          <w:b/>
          <w:sz w:val="24"/>
          <w:szCs w:val="24"/>
          <w:u w:val="single"/>
        </w:rPr>
      </w:pPr>
    </w:p>
    <w:p>
      <w:pPr>
        <w:pStyle w:val="239"/>
        <w:spacing w:line="360" w:lineRule="auto"/>
        <w:ind w:firstLine="482"/>
        <w:jc w:val="center"/>
        <w:rPr>
          <w:rFonts w:ascii="Times New Roman"/>
          <w:b/>
          <w:sz w:val="24"/>
          <w:szCs w:val="24"/>
          <w:u w:val="single"/>
        </w:rPr>
      </w:pPr>
      <w:r>
        <w:rPr>
          <w:rFonts w:ascii="Times New Roman"/>
          <w:b/>
          <w:sz w:val="24"/>
          <w:szCs w:val="24"/>
          <w:u w:val="single"/>
        </w:rPr>
        <w:t>图4.2-3CFB锅炉给煤系统</w:t>
      </w:r>
    </w:p>
    <w:p>
      <w:pPr>
        <w:pStyle w:val="239"/>
        <w:spacing w:line="360" w:lineRule="auto"/>
        <w:ind w:firstLine="482"/>
        <w:jc w:val="left"/>
        <w:rPr>
          <w:rFonts w:ascii="Times New Roman"/>
          <w:b/>
          <w:sz w:val="24"/>
          <w:szCs w:val="24"/>
          <w:u w:val="single"/>
        </w:rPr>
      </w:pPr>
      <w:r>
        <w:rPr>
          <w:rFonts w:ascii="Times New Roman"/>
          <w:b/>
          <w:sz w:val="24"/>
          <w:szCs w:val="24"/>
          <w:u w:val="single"/>
        </w:rPr>
        <w:t>2）循环流化床锅炉工作原理</w:t>
      </w:r>
    </w:p>
    <w:p>
      <w:pPr>
        <w:pStyle w:val="262"/>
        <w:tabs>
          <w:tab w:val="left" w:pos="1680"/>
        </w:tabs>
        <w:spacing w:before="120" w:after="120" w:line="360" w:lineRule="auto"/>
        <w:ind w:firstLine="480" w:firstLineChars="200"/>
        <w:outlineLvl w:val="9"/>
        <w:rPr>
          <w:rFonts w:ascii="Times New Roman" w:eastAsia="宋体"/>
          <w:sz w:val="24"/>
          <w:szCs w:val="24"/>
          <w:u w:val="single"/>
        </w:rPr>
      </w:pPr>
      <w:bookmarkStart w:id="229" w:name="_Toc24981"/>
      <w:bookmarkStart w:id="230" w:name="_Toc159939327"/>
      <w:bookmarkStart w:id="231" w:name="_Toc5597"/>
      <w:bookmarkStart w:id="232" w:name="_Toc154979900"/>
      <w:bookmarkStart w:id="233" w:name="_Toc9311"/>
      <w:bookmarkStart w:id="234" w:name="_Toc1454"/>
      <w:r>
        <w:rPr>
          <w:rFonts w:ascii="Times New Roman" w:eastAsia="宋体"/>
          <w:sz w:val="24"/>
          <w:szCs w:val="24"/>
          <w:u w:val="single"/>
        </w:rPr>
        <w:t>循环流化床锅炉的主要组成部份如下：</w:t>
      </w:r>
      <w:bookmarkEnd w:id="229"/>
      <w:bookmarkEnd w:id="230"/>
      <w:bookmarkEnd w:id="231"/>
      <w:bookmarkEnd w:id="232"/>
      <w:bookmarkEnd w:id="233"/>
      <w:bookmarkEnd w:id="234"/>
    </w:p>
    <w:p>
      <w:pPr>
        <w:pStyle w:val="239"/>
        <w:numPr>
          <w:ilvl w:val="0"/>
          <w:numId w:val="11"/>
        </w:numPr>
        <w:spacing w:line="360" w:lineRule="auto"/>
        <w:ind w:left="0" w:firstLine="480"/>
        <w:rPr>
          <w:rFonts w:ascii="Times New Roman"/>
          <w:sz w:val="24"/>
          <w:szCs w:val="24"/>
          <w:u w:val="single"/>
        </w:rPr>
      </w:pPr>
      <w:r>
        <w:rPr>
          <w:rFonts w:ascii="Times New Roman"/>
          <w:sz w:val="24"/>
          <w:szCs w:val="24"/>
          <w:u w:val="single"/>
        </w:rPr>
        <w:t>固体粒子循环主回路包括炉膛，旋风分离器以及回料器</w:t>
      </w:r>
    </w:p>
    <w:p>
      <w:pPr>
        <w:pStyle w:val="239"/>
        <w:numPr>
          <w:ilvl w:val="0"/>
          <w:numId w:val="11"/>
        </w:numPr>
        <w:spacing w:line="360" w:lineRule="auto"/>
        <w:ind w:left="0" w:firstLine="480"/>
        <w:rPr>
          <w:rFonts w:ascii="Times New Roman"/>
          <w:sz w:val="24"/>
          <w:szCs w:val="24"/>
          <w:u w:val="single"/>
        </w:rPr>
      </w:pPr>
      <w:r>
        <w:rPr>
          <w:rFonts w:ascii="Times New Roman"/>
          <w:sz w:val="24"/>
          <w:szCs w:val="24"/>
          <w:u w:val="single"/>
        </w:rPr>
        <w:t>尾部竖井（包括高温过热器，低温过热器，省煤器以及空气预热器）</w:t>
      </w:r>
    </w:p>
    <w:p>
      <w:pPr>
        <w:pStyle w:val="239"/>
        <w:spacing w:line="360" w:lineRule="auto"/>
        <w:ind w:firstLine="480"/>
        <w:jc w:val="left"/>
        <w:rPr>
          <w:rFonts w:ascii="Times New Roman"/>
          <w:sz w:val="24"/>
          <w:szCs w:val="24"/>
          <w:u w:val="single"/>
        </w:rPr>
      </w:pPr>
      <w:r>
        <w:rPr>
          <w:rFonts w:ascii="Times New Roman"/>
          <w:sz w:val="24"/>
          <w:szCs w:val="24"/>
          <w:u w:val="single"/>
        </w:rPr>
        <w:t>煤、油泥和脱硫剂被送入炉膛后，迅速被炉膛内存在的高温物料包围，着火燃烧，发生脱硫反应，并在上升烟气流作用下向炉膛上部运动，对水冷壁和炉内布置的其他受热面放热。粗颗粒在被上升气流带入悬浮区后，在重力及其他外力作用下不断减速偏离主气流，并最终形成附壁下降粒子流。被夹带出炉膛的粒子气固混合物进入高温分离器，大量固体物料，包括煤粒和脱硫剂，被分离出来回送炉膛，进行循环燃烧和脱硫。未被分离的极细粒子随烟气进入尾部烟道，喷入氨水脱硝，进一步对受热面、空气预热器等放热冷却，经除尘器后，由引风机送入烟囱排入大气。燃料燃烧所需要的空气被送风机升压后通过空气预热器加热，再送入炉膛。上述设备和系统构成锅炉燃烧系统。燃烧系统的主要任务是保证燃料燃烧放热。与燃烧系统同时工作的还有汽水系统；由给水泵来的水经省煤器加热后进入汽包，然后经下降管，下联箱进入水冷壁，吸热汽化后又回到汽包，从汽包分离出来的饱和蒸汽沿蒸汽管进入旋风分离器、包墙过热器、低温过热器、一级减温器、屏式过热器、二级减温器、高温过热器，被加热成一定温度和压力的过热蒸汽后送入汽轮机做功或送入蒸汽管网。汽水系统的主要任务是尽可能有效吸热。</w:t>
      </w:r>
    </w:p>
    <w:p>
      <w:pPr>
        <w:pStyle w:val="281"/>
        <w:spacing w:line="360" w:lineRule="auto"/>
        <w:ind w:firstLine="482" w:firstLineChars="200"/>
        <w:rPr>
          <w:rFonts w:ascii="Times New Roman" w:hAnsi="Times New Roman" w:cs="Times New Roman"/>
          <w:kern w:val="0"/>
          <w:sz w:val="24"/>
          <w:szCs w:val="24"/>
          <w:u w:val="single"/>
        </w:rPr>
      </w:pPr>
      <w:r>
        <w:rPr>
          <w:rFonts w:ascii="Times New Roman" w:hAnsi="Times New Roman" w:cs="Times New Roman"/>
          <w:kern w:val="0"/>
          <w:sz w:val="24"/>
          <w:szCs w:val="24"/>
          <w:u w:val="single"/>
        </w:rPr>
        <w:t>（2）排污节点分析</w:t>
      </w:r>
    </w:p>
    <w:p>
      <w:pPr>
        <w:pStyle w:val="239"/>
        <w:spacing w:line="360" w:lineRule="auto"/>
        <w:ind w:firstLine="480"/>
        <w:jc w:val="left"/>
        <w:rPr>
          <w:rFonts w:ascii="Times New Roman"/>
          <w:sz w:val="24"/>
          <w:szCs w:val="24"/>
          <w:u w:val="single"/>
        </w:rPr>
      </w:pPr>
      <w:r>
        <w:rPr>
          <w:rFonts w:ascii="Times New Roman"/>
          <w:sz w:val="24"/>
          <w:szCs w:val="24"/>
          <w:u w:val="single"/>
        </w:rPr>
        <w:t>CFB锅炉掺烧油泥主要污染物为锅炉烟气、锅炉排污水、CFB锅炉烟脱废水、锅炉炉渣、</w:t>
      </w:r>
      <w:bookmarkStart w:id="235" w:name="_Hlk35357792"/>
      <w:r>
        <w:rPr>
          <w:rFonts w:ascii="Times New Roman"/>
          <w:sz w:val="24"/>
          <w:szCs w:val="24"/>
          <w:u w:val="single"/>
        </w:rPr>
        <w:t>炉灰和石膏</w:t>
      </w:r>
      <w:bookmarkEnd w:id="235"/>
      <w:r>
        <w:rPr>
          <w:rFonts w:ascii="Times New Roman"/>
          <w:sz w:val="24"/>
          <w:szCs w:val="24"/>
          <w:u w:val="single"/>
        </w:rPr>
        <w:t>。</w:t>
      </w:r>
    </w:p>
    <w:p>
      <w:pPr>
        <w:pStyle w:val="239"/>
        <w:spacing w:line="360" w:lineRule="auto"/>
        <w:ind w:firstLine="480"/>
        <w:jc w:val="left"/>
        <w:rPr>
          <w:rFonts w:ascii="Times New Roman"/>
          <w:sz w:val="24"/>
          <w:szCs w:val="24"/>
          <w:u w:val="single"/>
        </w:rPr>
      </w:pPr>
      <w:r>
        <w:rPr>
          <w:rFonts w:ascii="Times New Roman"/>
          <w:sz w:val="24"/>
          <w:szCs w:val="24"/>
          <w:u w:val="single"/>
        </w:rPr>
        <w:t>A1：长岭分公司污水处理等产生的油泥浮渣送入公司CFB锅炉装置掺烧，分两种方式：一是含水率约90%的油泥浮渣用泵经过喷枪送到燃烧火嘴进入CFB锅炉炉膛直接掺烧，掺烧量为0.9万吨/年；二是将干化后的3000吨油泥，含水率30%（干化预处理部分外委给长岭设备研究所有限公司处理，已单独立项进行环评）与CFB锅炉燃煤混合后进行掺烧（掺烧比例1:54）</w:t>
      </w:r>
      <w:r>
        <w:rPr>
          <w:rFonts w:ascii="Times New Roman"/>
          <w:sz w:val="24"/>
          <w:u w:val="single"/>
        </w:rPr>
        <w:t>，掺烧时间为8760h。项目运行后CFB锅炉烟气污染物包括烟尘、SO</w:t>
      </w:r>
      <w:r>
        <w:rPr>
          <w:rFonts w:ascii="Times New Roman"/>
          <w:sz w:val="24"/>
          <w:u w:val="single"/>
          <w:vertAlign w:val="subscript"/>
        </w:rPr>
        <w:t>2</w:t>
      </w:r>
      <w:r>
        <w:rPr>
          <w:rFonts w:ascii="Times New Roman"/>
          <w:sz w:val="24"/>
          <w:u w:val="single"/>
        </w:rPr>
        <w:t>、NO</w:t>
      </w:r>
      <w:r>
        <w:rPr>
          <w:rFonts w:ascii="Times New Roman"/>
          <w:sz w:val="24"/>
          <w:u w:val="single"/>
          <w:vertAlign w:val="subscript"/>
        </w:rPr>
        <w:t>X</w:t>
      </w:r>
      <w:r>
        <w:rPr>
          <w:rFonts w:ascii="Times New Roman"/>
          <w:sz w:val="24"/>
          <w:u w:val="single"/>
        </w:rPr>
        <w:t>、二噁英、重金属，污染物排放浓度和排放速率基本不发生变化。CFB锅炉烟气经燃烧炉炉内脱硫，SCR烟气脱硝+布袋除尘 +石灰石—石膏法湿法脱硫后排放</w:t>
      </w:r>
      <w:r>
        <w:rPr>
          <w:rFonts w:ascii="Times New Roman"/>
          <w:sz w:val="24"/>
          <w:szCs w:val="24"/>
          <w:u w:val="single"/>
        </w:rPr>
        <w:t>。</w:t>
      </w:r>
    </w:p>
    <w:p>
      <w:pPr>
        <w:pStyle w:val="239"/>
        <w:spacing w:line="360" w:lineRule="auto"/>
        <w:ind w:firstLine="480"/>
        <w:jc w:val="left"/>
        <w:rPr>
          <w:rFonts w:ascii="Times New Roman"/>
          <w:sz w:val="24"/>
          <w:szCs w:val="24"/>
          <w:u w:val="single"/>
        </w:rPr>
      </w:pPr>
      <w:r>
        <w:rPr>
          <w:rFonts w:ascii="Times New Roman"/>
          <w:sz w:val="24"/>
          <w:szCs w:val="24"/>
          <w:u w:val="single"/>
        </w:rPr>
        <w:t>B1：长岭分公司热电部2台循环流化床锅炉生产过程有少量锅炉排污水，主要污染物因子为少量SS、盐分，进污水处理厂含盐污水处理系统。</w:t>
      </w:r>
    </w:p>
    <w:p>
      <w:pPr>
        <w:pStyle w:val="239"/>
        <w:spacing w:line="360" w:lineRule="auto"/>
        <w:ind w:firstLine="480"/>
        <w:jc w:val="left"/>
        <w:rPr>
          <w:rFonts w:ascii="Times New Roman"/>
          <w:sz w:val="24"/>
          <w:szCs w:val="24"/>
          <w:u w:val="single"/>
        </w:rPr>
      </w:pPr>
      <w:r>
        <w:rPr>
          <w:rFonts w:ascii="Times New Roman"/>
          <w:sz w:val="24"/>
          <w:szCs w:val="24"/>
          <w:u w:val="single"/>
        </w:rPr>
        <w:t>C1：CFB锅炉烟脱废水，主要污染物因子为COD、NH</w:t>
      </w:r>
      <w:r>
        <w:rPr>
          <w:rFonts w:ascii="Times New Roman"/>
          <w:sz w:val="24"/>
          <w:szCs w:val="24"/>
          <w:u w:val="single"/>
          <w:vertAlign w:val="subscript"/>
        </w:rPr>
        <w:t>4</w:t>
      </w:r>
      <w:r>
        <w:rPr>
          <w:rFonts w:ascii="Times New Roman"/>
          <w:sz w:val="24"/>
          <w:szCs w:val="24"/>
          <w:u w:val="single"/>
        </w:rPr>
        <w:t>、SS，进污水处理厂含盐污水处理系统。</w:t>
      </w:r>
    </w:p>
    <w:p>
      <w:pPr>
        <w:pStyle w:val="239"/>
        <w:spacing w:line="360" w:lineRule="auto"/>
        <w:ind w:firstLine="480"/>
        <w:jc w:val="left"/>
        <w:rPr>
          <w:rFonts w:ascii="Times New Roman"/>
          <w:sz w:val="24"/>
          <w:szCs w:val="24"/>
          <w:u w:val="single"/>
        </w:rPr>
      </w:pPr>
      <w:r>
        <w:rPr>
          <w:rFonts w:ascii="Times New Roman"/>
          <w:sz w:val="24"/>
          <w:szCs w:val="24"/>
          <w:u w:val="single"/>
        </w:rPr>
        <w:t>D1：锅炉炉渣、炉灰和石膏储存在现有灰渣库内，外售水泥厂综合利用。</w:t>
      </w:r>
    </w:p>
    <w:p>
      <w:pPr>
        <w:pStyle w:val="281"/>
        <w:tabs>
          <w:tab w:val="left" w:pos="3600"/>
        </w:tabs>
        <w:spacing w:line="360" w:lineRule="auto"/>
        <w:ind w:firstLine="0"/>
        <w:outlineLvl w:val="3"/>
        <w:rPr>
          <w:rFonts w:ascii="Times New Roman" w:hAnsi="Times New Roman" w:cs="Times New Roman"/>
          <w:kern w:val="0"/>
          <w:sz w:val="24"/>
          <w:szCs w:val="24"/>
          <w:u w:val="single"/>
        </w:rPr>
      </w:pPr>
      <w:r>
        <w:rPr>
          <w:rFonts w:ascii="Times New Roman" w:hAnsi="Times New Roman" w:cs="Times New Roman"/>
          <w:kern w:val="0"/>
          <w:sz w:val="24"/>
          <w:szCs w:val="24"/>
          <w:u w:val="single"/>
        </w:rPr>
        <w:t>3.2.1.2 项目产污节点统计</w:t>
      </w:r>
    </w:p>
    <w:p>
      <w:pPr>
        <w:pStyle w:val="66"/>
        <w:tabs>
          <w:tab w:val="left" w:pos="360"/>
          <w:tab w:val="left" w:pos="6300"/>
        </w:tabs>
        <w:spacing w:before="120" w:after="120"/>
        <w:ind w:firstLine="480"/>
        <w:rPr>
          <w:rFonts w:ascii="Times New Roman" w:eastAsia="宋体"/>
          <w:sz w:val="24"/>
          <w:szCs w:val="24"/>
          <w:u w:val="single"/>
          <w:shd w:val="clear" w:color="auto" w:fill="auto"/>
        </w:rPr>
      </w:pPr>
      <w:r>
        <w:rPr>
          <w:rFonts w:ascii="Times New Roman" w:eastAsia="宋体"/>
          <w:sz w:val="24"/>
          <w:szCs w:val="24"/>
          <w:u w:val="single"/>
          <w:shd w:val="clear" w:color="auto" w:fill="auto"/>
        </w:rPr>
        <w:t>由上述分析可知，项目生产工序污染物产生情况分析见下表。</w:t>
      </w:r>
    </w:p>
    <w:p>
      <w:pPr>
        <w:pStyle w:val="66"/>
        <w:tabs>
          <w:tab w:val="left" w:pos="360"/>
          <w:tab w:val="left" w:pos="6300"/>
        </w:tabs>
        <w:spacing w:before="120" w:after="120"/>
        <w:ind w:firstLine="480"/>
        <w:rPr>
          <w:rFonts w:ascii="Times New Roman" w:eastAsia="宋体"/>
          <w:b/>
          <w:bCs/>
          <w:sz w:val="24"/>
          <w:szCs w:val="24"/>
          <w:u w:val="single"/>
        </w:rPr>
      </w:pPr>
      <w:r>
        <w:rPr>
          <w:rFonts w:ascii="Times New Roman" w:eastAsia="宋体"/>
          <w:b/>
          <w:bCs/>
          <w:sz w:val="24"/>
          <w:szCs w:val="24"/>
          <w:u w:val="single"/>
        </w:rPr>
        <w:t>表</w:t>
      </w:r>
      <w:r>
        <w:rPr>
          <w:rFonts w:ascii="Times New Roman" w:eastAsia="宋体"/>
          <w:b/>
          <w:bCs/>
          <w:kern w:val="0"/>
          <w:sz w:val="24"/>
          <w:szCs w:val="24"/>
          <w:u w:val="single"/>
        </w:rPr>
        <w:t>3.2.1.2</w:t>
      </w:r>
      <w:r>
        <w:rPr>
          <w:rFonts w:ascii="Times New Roman" w:eastAsia="宋体"/>
          <w:b/>
          <w:bCs/>
          <w:sz w:val="24"/>
          <w:szCs w:val="24"/>
          <w:u w:val="single"/>
        </w:rPr>
        <w:t>-1项目生产工序污染节点分析一览表</w:t>
      </w:r>
    </w:p>
    <w:tbl>
      <w:tblPr>
        <w:tblStyle w:val="45"/>
        <w:tblW w:w="83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1"/>
        <w:gridCol w:w="2130"/>
        <w:gridCol w:w="3590"/>
        <w:gridCol w:w="1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1" w:type="dxa"/>
            <w:vAlign w:val="center"/>
          </w:tcPr>
          <w:p>
            <w:pPr>
              <w:rPr>
                <w:rFonts w:ascii="Times New Roman" w:hAnsi="Times New Roman"/>
                <w:b/>
                <w:u w:val="single"/>
              </w:rPr>
            </w:pPr>
            <w:r>
              <w:rPr>
                <w:rFonts w:ascii="Times New Roman" w:hAnsi="Times New Roman"/>
                <w:b/>
                <w:u w:val="single"/>
              </w:rPr>
              <w:t>类别</w:t>
            </w:r>
          </w:p>
        </w:tc>
        <w:tc>
          <w:tcPr>
            <w:tcW w:w="2130" w:type="dxa"/>
            <w:vAlign w:val="center"/>
          </w:tcPr>
          <w:p>
            <w:pPr>
              <w:rPr>
                <w:rFonts w:ascii="Times New Roman" w:hAnsi="Times New Roman"/>
                <w:b/>
                <w:u w:val="single"/>
              </w:rPr>
            </w:pPr>
            <w:r>
              <w:rPr>
                <w:rFonts w:ascii="Times New Roman" w:hAnsi="Times New Roman"/>
                <w:b/>
                <w:u w:val="single"/>
              </w:rPr>
              <w:t>污染工序（污染源）</w:t>
            </w:r>
          </w:p>
        </w:tc>
        <w:tc>
          <w:tcPr>
            <w:tcW w:w="3590" w:type="dxa"/>
            <w:vAlign w:val="center"/>
          </w:tcPr>
          <w:p>
            <w:pPr>
              <w:rPr>
                <w:rFonts w:ascii="Times New Roman" w:hAnsi="Times New Roman"/>
                <w:b/>
                <w:u w:val="single"/>
              </w:rPr>
            </w:pPr>
            <w:r>
              <w:rPr>
                <w:rFonts w:ascii="Times New Roman" w:hAnsi="Times New Roman"/>
                <w:b/>
                <w:u w:val="single"/>
              </w:rPr>
              <w:t>所产生污染物</w:t>
            </w:r>
          </w:p>
        </w:tc>
        <w:tc>
          <w:tcPr>
            <w:tcW w:w="1090" w:type="dxa"/>
            <w:vAlign w:val="center"/>
          </w:tcPr>
          <w:p>
            <w:pPr>
              <w:rPr>
                <w:rFonts w:ascii="Times New Roman" w:hAnsi="Times New Roman"/>
                <w:b/>
                <w:u w:val="single"/>
              </w:rPr>
            </w:pPr>
            <w:r>
              <w:rPr>
                <w:rFonts w:ascii="Times New Roman" w:hAnsi="Times New Roman"/>
                <w:b/>
                <w:u w:val="single"/>
              </w:rPr>
              <w:t>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511" w:type="dxa"/>
            <w:vAlign w:val="center"/>
          </w:tcPr>
          <w:p>
            <w:pPr>
              <w:jc w:val="center"/>
              <w:rPr>
                <w:rFonts w:ascii="Times New Roman" w:hAnsi="Times New Roman"/>
                <w:u w:val="single"/>
              </w:rPr>
            </w:pPr>
            <w:r>
              <w:rPr>
                <w:rFonts w:ascii="Times New Roman" w:hAnsi="Times New Roman"/>
                <w:u w:val="single"/>
              </w:rPr>
              <w:t>无组织废气</w:t>
            </w:r>
          </w:p>
        </w:tc>
        <w:tc>
          <w:tcPr>
            <w:tcW w:w="2130" w:type="dxa"/>
            <w:vAlign w:val="center"/>
          </w:tcPr>
          <w:p>
            <w:pPr>
              <w:rPr>
                <w:rFonts w:ascii="Times New Roman" w:hAnsi="Times New Roman"/>
                <w:szCs w:val="21"/>
                <w:u w:val="single"/>
              </w:rPr>
            </w:pPr>
            <w:r>
              <w:rPr>
                <w:rFonts w:ascii="Times New Roman" w:hAnsi="Times New Roman"/>
                <w:szCs w:val="21"/>
                <w:u w:val="single"/>
              </w:rPr>
              <w:t>煤棚干化油泥掺混</w:t>
            </w:r>
          </w:p>
        </w:tc>
        <w:tc>
          <w:tcPr>
            <w:tcW w:w="3590" w:type="dxa"/>
            <w:vAlign w:val="center"/>
          </w:tcPr>
          <w:p>
            <w:pPr>
              <w:rPr>
                <w:rFonts w:ascii="Times New Roman" w:hAnsi="Times New Roman"/>
                <w:szCs w:val="21"/>
                <w:u w:val="single"/>
              </w:rPr>
            </w:pPr>
            <w:r>
              <w:rPr>
                <w:rFonts w:ascii="Times New Roman" w:hAnsi="Times New Roman"/>
                <w:szCs w:val="21"/>
                <w:u w:val="single"/>
              </w:rPr>
              <w:t>NH</w:t>
            </w:r>
            <w:r>
              <w:rPr>
                <w:rFonts w:ascii="Times New Roman" w:hAnsi="Times New Roman"/>
                <w:szCs w:val="21"/>
                <w:u w:val="single"/>
                <w:vertAlign w:val="subscript"/>
              </w:rPr>
              <w:t>3</w:t>
            </w:r>
            <w:r>
              <w:rPr>
                <w:rFonts w:ascii="Times New Roman" w:hAnsi="Times New Roman"/>
                <w:szCs w:val="21"/>
                <w:u w:val="single"/>
              </w:rPr>
              <w:t>、H</w:t>
            </w:r>
            <w:r>
              <w:rPr>
                <w:rFonts w:ascii="Times New Roman" w:hAnsi="Times New Roman"/>
                <w:szCs w:val="21"/>
                <w:u w:val="single"/>
                <w:vertAlign w:val="subscript"/>
              </w:rPr>
              <w:t>2</w:t>
            </w:r>
            <w:r>
              <w:rPr>
                <w:rFonts w:ascii="Times New Roman" w:hAnsi="Times New Roman"/>
                <w:szCs w:val="21"/>
                <w:u w:val="single"/>
              </w:rPr>
              <w:t>S</w:t>
            </w:r>
          </w:p>
        </w:tc>
        <w:tc>
          <w:tcPr>
            <w:tcW w:w="1090" w:type="dxa"/>
            <w:vAlign w:val="center"/>
          </w:tcPr>
          <w:p>
            <w:pPr>
              <w:rPr>
                <w:rFonts w:ascii="Times New Roman" w:hAnsi="Times New Roman"/>
                <w:szCs w:val="21"/>
                <w:u w:val="single"/>
              </w:rPr>
            </w:pPr>
            <w:r>
              <w:rPr>
                <w:rFonts w:ascii="Times New Roman" w:hAnsi="Times New Roman"/>
                <w:szCs w:val="21"/>
                <w:u w:val="single"/>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511" w:type="dxa"/>
            <w:vAlign w:val="center"/>
          </w:tcPr>
          <w:p>
            <w:pPr>
              <w:jc w:val="center"/>
              <w:rPr>
                <w:rFonts w:ascii="Times New Roman" w:hAnsi="Times New Roman"/>
                <w:u w:val="single"/>
              </w:rPr>
            </w:pPr>
            <w:r>
              <w:rPr>
                <w:rFonts w:ascii="Times New Roman" w:hAnsi="Times New Roman"/>
                <w:u w:val="single"/>
              </w:rPr>
              <w:t>有组织废气</w:t>
            </w:r>
          </w:p>
        </w:tc>
        <w:tc>
          <w:tcPr>
            <w:tcW w:w="2130" w:type="dxa"/>
            <w:vAlign w:val="center"/>
          </w:tcPr>
          <w:p>
            <w:pPr>
              <w:rPr>
                <w:rFonts w:ascii="Times New Roman" w:hAnsi="Times New Roman"/>
                <w:szCs w:val="21"/>
                <w:u w:val="single"/>
              </w:rPr>
            </w:pPr>
            <w:r>
              <w:rPr>
                <w:rFonts w:ascii="Times New Roman" w:hAnsi="Times New Roman"/>
                <w:szCs w:val="21"/>
                <w:u w:val="single"/>
              </w:rPr>
              <w:t>CFB锅炉烟气</w:t>
            </w:r>
          </w:p>
        </w:tc>
        <w:tc>
          <w:tcPr>
            <w:tcW w:w="3590" w:type="dxa"/>
            <w:vAlign w:val="center"/>
          </w:tcPr>
          <w:p>
            <w:pPr>
              <w:rPr>
                <w:rFonts w:ascii="Times New Roman" w:hAnsi="Times New Roman"/>
                <w:szCs w:val="21"/>
                <w:u w:val="single"/>
              </w:rPr>
            </w:pPr>
            <w:r>
              <w:rPr>
                <w:rFonts w:ascii="Times New Roman" w:hAnsi="Times New Roman"/>
                <w:szCs w:val="21"/>
                <w:u w:val="single"/>
              </w:rPr>
              <w:t>烟尘、SO</w:t>
            </w:r>
            <w:r>
              <w:rPr>
                <w:rFonts w:ascii="Times New Roman" w:hAnsi="Times New Roman"/>
                <w:szCs w:val="21"/>
                <w:u w:val="single"/>
                <w:vertAlign w:val="subscript"/>
              </w:rPr>
              <w:t>2</w:t>
            </w:r>
            <w:r>
              <w:rPr>
                <w:rFonts w:ascii="Times New Roman" w:hAnsi="Times New Roman"/>
                <w:szCs w:val="21"/>
                <w:u w:val="single"/>
              </w:rPr>
              <w:t>、NO</w:t>
            </w:r>
            <w:r>
              <w:rPr>
                <w:rFonts w:ascii="Times New Roman" w:hAnsi="Times New Roman"/>
                <w:szCs w:val="21"/>
                <w:u w:val="single"/>
                <w:vertAlign w:val="subscript"/>
              </w:rPr>
              <w:t>X</w:t>
            </w:r>
            <w:r>
              <w:rPr>
                <w:rFonts w:ascii="Times New Roman" w:hAnsi="Times New Roman"/>
                <w:szCs w:val="21"/>
                <w:u w:val="single"/>
              </w:rPr>
              <w:t>、二噁英、重金属</w:t>
            </w:r>
          </w:p>
        </w:tc>
        <w:tc>
          <w:tcPr>
            <w:tcW w:w="1090" w:type="dxa"/>
            <w:vAlign w:val="center"/>
          </w:tcPr>
          <w:p>
            <w:pPr>
              <w:rPr>
                <w:rFonts w:ascii="Times New Roman" w:hAnsi="Times New Roman"/>
                <w:szCs w:val="21"/>
                <w:u w:val="single"/>
              </w:rPr>
            </w:pPr>
            <w:r>
              <w:rPr>
                <w:rFonts w:ascii="Times New Roman" w:hAnsi="Times New Roman"/>
                <w:szCs w:val="21"/>
                <w:u w:val="single"/>
              </w:rPr>
              <w:t>A1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511" w:type="dxa"/>
            <w:vMerge w:val="restart"/>
            <w:vAlign w:val="center"/>
          </w:tcPr>
          <w:p>
            <w:pPr>
              <w:jc w:val="center"/>
              <w:rPr>
                <w:rFonts w:ascii="Times New Roman" w:hAnsi="Times New Roman"/>
                <w:u w:val="single"/>
              </w:rPr>
            </w:pPr>
            <w:r>
              <w:rPr>
                <w:rFonts w:ascii="Times New Roman" w:hAnsi="Times New Roman"/>
                <w:u w:val="single"/>
              </w:rPr>
              <w:t>废水</w:t>
            </w:r>
          </w:p>
        </w:tc>
        <w:tc>
          <w:tcPr>
            <w:tcW w:w="2130" w:type="dxa"/>
            <w:vAlign w:val="center"/>
          </w:tcPr>
          <w:p>
            <w:pPr>
              <w:rPr>
                <w:rFonts w:ascii="Times New Roman" w:hAnsi="Times New Roman"/>
                <w:u w:val="single"/>
              </w:rPr>
            </w:pPr>
            <w:r>
              <w:rPr>
                <w:rFonts w:ascii="Times New Roman" w:hAnsi="Times New Roman"/>
                <w:u w:val="single"/>
              </w:rPr>
              <w:t>锅炉排污水</w:t>
            </w:r>
          </w:p>
        </w:tc>
        <w:tc>
          <w:tcPr>
            <w:tcW w:w="3590" w:type="dxa"/>
            <w:vAlign w:val="center"/>
          </w:tcPr>
          <w:p>
            <w:pPr>
              <w:rPr>
                <w:rFonts w:ascii="Times New Roman" w:hAnsi="Times New Roman"/>
                <w:u w:val="single"/>
              </w:rPr>
            </w:pPr>
            <w:r>
              <w:rPr>
                <w:rFonts w:ascii="Times New Roman" w:hAnsi="Times New Roman"/>
                <w:u w:val="single"/>
              </w:rPr>
              <w:t>仅有少量SS和盐含量</w:t>
            </w:r>
          </w:p>
        </w:tc>
        <w:tc>
          <w:tcPr>
            <w:tcW w:w="1090" w:type="dxa"/>
            <w:vAlign w:val="center"/>
          </w:tcPr>
          <w:p>
            <w:pPr>
              <w:rPr>
                <w:rFonts w:ascii="Times New Roman" w:hAnsi="Times New Roman"/>
                <w:u w:val="single"/>
              </w:rPr>
            </w:pPr>
            <w:r>
              <w:rPr>
                <w:rFonts w:ascii="Times New Roman" w:hAnsi="Times New Roman"/>
                <w:u w:val="single"/>
              </w:rPr>
              <w:t>B1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511" w:type="dxa"/>
            <w:vMerge w:val="continue"/>
            <w:vAlign w:val="center"/>
          </w:tcPr>
          <w:p>
            <w:pPr>
              <w:jc w:val="center"/>
              <w:rPr>
                <w:rFonts w:ascii="Times New Roman" w:hAnsi="Times New Roman"/>
                <w:u w:val="single"/>
              </w:rPr>
            </w:pPr>
          </w:p>
        </w:tc>
        <w:tc>
          <w:tcPr>
            <w:tcW w:w="2130" w:type="dxa"/>
            <w:vAlign w:val="center"/>
          </w:tcPr>
          <w:p>
            <w:pPr>
              <w:rPr>
                <w:rFonts w:ascii="Times New Roman" w:hAnsi="Times New Roman"/>
                <w:u w:val="single"/>
              </w:rPr>
            </w:pPr>
            <w:r>
              <w:rPr>
                <w:rFonts w:ascii="Times New Roman" w:hAnsi="Times New Roman"/>
                <w:u w:val="single"/>
              </w:rPr>
              <w:t>CFB锅炉烟脱废水</w:t>
            </w:r>
          </w:p>
        </w:tc>
        <w:tc>
          <w:tcPr>
            <w:tcW w:w="3590" w:type="dxa"/>
            <w:vAlign w:val="center"/>
          </w:tcPr>
          <w:p>
            <w:pPr>
              <w:rPr>
                <w:rFonts w:ascii="Times New Roman" w:hAnsi="Times New Roman"/>
                <w:u w:val="single"/>
              </w:rPr>
            </w:pPr>
            <w:r>
              <w:rPr>
                <w:rFonts w:ascii="Times New Roman" w:hAnsi="Times New Roman"/>
                <w:u w:val="single"/>
              </w:rPr>
              <w:t>COD、NH</w:t>
            </w:r>
            <w:r>
              <w:rPr>
                <w:rFonts w:ascii="Times New Roman" w:hAnsi="Times New Roman"/>
                <w:u w:val="single"/>
                <w:vertAlign w:val="subscript"/>
              </w:rPr>
              <w:t>4</w:t>
            </w:r>
            <w:r>
              <w:rPr>
                <w:rFonts w:ascii="Times New Roman" w:hAnsi="Times New Roman"/>
                <w:u w:val="single"/>
              </w:rPr>
              <w:t>、SS</w:t>
            </w:r>
          </w:p>
        </w:tc>
        <w:tc>
          <w:tcPr>
            <w:tcW w:w="1090" w:type="dxa"/>
            <w:vAlign w:val="center"/>
          </w:tcPr>
          <w:p>
            <w:pPr>
              <w:rPr>
                <w:rFonts w:ascii="Times New Roman" w:hAnsi="Times New Roman"/>
                <w:u w:val="single"/>
              </w:rPr>
            </w:pPr>
            <w:r>
              <w:rPr>
                <w:rFonts w:ascii="Times New Roman" w:hAnsi="Times New Roman"/>
                <w:szCs w:val="21"/>
                <w:u w:val="single"/>
              </w:rPr>
              <w:t>C1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511" w:type="dxa"/>
            <w:vAlign w:val="center"/>
          </w:tcPr>
          <w:p>
            <w:pPr>
              <w:jc w:val="center"/>
              <w:rPr>
                <w:rFonts w:ascii="Times New Roman" w:hAnsi="Times New Roman"/>
                <w:u w:val="single"/>
              </w:rPr>
            </w:pPr>
            <w:r>
              <w:rPr>
                <w:rFonts w:ascii="Times New Roman" w:hAnsi="Times New Roman"/>
                <w:u w:val="single"/>
              </w:rPr>
              <w:t>固体废物</w:t>
            </w:r>
          </w:p>
        </w:tc>
        <w:tc>
          <w:tcPr>
            <w:tcW w:w="2130" w:type="dxa"/>
            <w:vAlign w:val="center"/>
          </w:tcPr>
          <w:p>
            <w:pPr>
              <w:rPr>
                <w:rFonts w:ascii="Times New Roman" w:hAnsi="Times New Roman"/>
                <w:szCs w:val="21"/>
                <w:u w:val="single"/>
              </w:rPr>
            </w:pPr>
            <w:r>
              <w:rPr>
                <w:rFonts w:ascii="Times New Roman" w:hAnsi="Times New Roman"/>
                <w:u w:val="single"/>
              </w:rPr>
              <w:t>锅炉炉渣、炉灰、石膏</w:t>
            </w:r>
          </w:p>
        </w:tc>
        <w:tc>
          <w:tcPr>
            <w:tcW w:w="3590" w:type="dxa"/>
            <w:vAlign w:val="center"/>
          </w:tcPr>
          <w:p>
            <w:pPr>
              <w:rPr>
                <w:rFonts w:ascii="Times New Roman" w:hAnsi="Times New Roman"/>
                <w:szCs w:val="21"/>
                <w:u w:val="single"/>
              </w:rPr>
            </w:pPr>
            <w:r>
              <w:rPr>
                <w:rFonts w:ascii="Times New Roman" w:hAnsi="Times New Roman"/>
                <w:szCs w:val="21"/>
                <w:u w:val="single"/>
              </w:rPr>
              <w:t>一般固废</w:t>
            </w:r>
          </w:p>
        </w:tc>
        <w:tc>
          <w:tcPr>
            <w:tcW w:w="1090" w:type="dxa"/>
            <w:vAlign w:val="center"/>
          </w:tcPr>
          <w:p>
            <w:pPr>
              <w:rPr>
                <w:rFonts w:ascii="Times New Roman" w:hAnsi="Times New Roman"/>
                <w:szCs w:val="21"/>
                <w:u w:val="single"/>
              </w:rPr>
            </w:pPr>
            <w:r>
              <w:rPr>
                <w:rFonts w:ascii="Times New Roman" w:hAnsi="Times New Roman"/>
                <w:szCs w:val="21"/>
                <w:u w:val="single"/>
              </w:rPr>
              <w:t>D1</w:t>
            </w:r>
          </w:p>
        </w:tc>
      </w:tr>
    </w:tbl>
    <w:p>
      <w:pPr>
        <w:pStyle w:val="7"/>
        <w:numPr>
          <w:ilvl w:val="2"/>
          <w:numId w:val="0"/>
        </w:numPr>
        <w:spacing w:before="120" w:after="120"/>
        <w:ind w:left="142"/>
        <w:textAlignment w:val="baseline"/>
        <w:rPr>
          <w:bCs w:val="0"/>
          <w:kern w:val="0"/>
          <w:szCs w:val="24"/>
          <w:u w:val="single"/>
        </w:rPr>
      </w:pPr>
      <w:bookmarkStart w:id="236" w:name="_Toc32559"/>
      <w:bookmarkStart w:id="237" w:name="_Toc25281"/>
      <w:bookmarkStart w:id="238" w:name="_Toc7725"/>
      <w:bookmarkStart w:id="239" w:name="_Toc486403327"/>
      <w:bookmarkStart w:id="240" w:name="_Toc484073433"/>
      <w:bookmarkStart w:id="241" w:name="_Toc19943"/>
      <w:r>
        <w:rPr>
          <w:bCs w:val="0"/>
          <w:kern w:val="0"/>
          <w:szCs w:val="24"/>
          <w:u w:val="single"/>
        </w:rPr>
        <w:t>3.2.1.3油泥浮渣收集、转运、贮存方式</w:t>
      </w:r>
    </w:p>
    <w:p>
      <w:pPr>
        <w:pStyle w:val="239"/>
        <w:spacing w:line="360" w:lineRule="auto"/>
        <w:ind w:firstLine="480"/>
        <w:jc w:val="left"/>
        <w:rPr>
          <w:rFonts w:ascii="Times New Roman"/>
          <w:sz w:val="24"/>
          <w:u w:val="single"/>
        </w:rPr>
      </w:pPr>
      <w:r>
        <w:rPr>
          <w:rFonts w:ascii="Times New Roman"/>
          <w:sz w:val="24"/>
          <w:u w:val="single"/>
        </w:rPr>
        <w:t>3.2.1.3.1油泥浮渣的贮存</w:t>
      </w:r>
    </w:p>
    <w:p>
      <w:pPr>
        <w:pStyle w:val="239"/>
        <w:spacing w:line="360" w:lineRule="auto"/>
        <w:ind w:firstLine="480"/>
        <w:jc w:val="left"/>
        <w:rPr>
          <w:rFonts w:ascii="Times New Roman"/>
          <w:sz w:val="24"/>
          <w:u w:val="single"/>
        </w:rPr>
      </w:pPr>
      <w:r>
        <w:rPr>
          <w:rFonts w:ascii="Times New Roman"/>
          <w:sz w:val="24"/>
          <w:u w:val="single"/>
        </w:rPr>
        <w:t>本项目直接掺烧的油泥浮渣，通过管线送到热电部油泥原料罐，然后用泵经过喷枪送到燃烧火嘴进入CFB锅炉炉膛直接掺烧，热电部油泥浮渣罐容积为120m³，油泥浮渣掺烧量为1～2t/h。油泥干化所在地也位于长岭分公司厂区内，距离本项目约500米远，干泥装袋后运送至煤棚后，在现有煤棚北面划出一块区域与煤进行掺混。油泥浮渣储存区设明显站立标示牌，在储存区周围设置围堰，并严格按有关要求进行防渗处理。储存区采用水泥基渗透结晶型抗渗混凝土(厚度≥150mm)+水泥基渗透结晶型防滲涂层结构形式(厚度≥0.8mm)，防渗结构层渗透系数≤1.0×10</w:t>
      </w:r>
      <w:r>
        <w:rPr>
          <w:rFonts w:ascii="Times New Roman"/>
          <w:sz w:val="24"/>
          <w:u w:val="single"/>
          <w:vertAlign w:val="superscript"/>
        </w:rPr>
        <w:t>-10</w:t>
      </w:r>
      <w:r>
        <w:rPr>
          <w:rFonts w:ascii="Times New Roman"/>
          <w:sz w:val="24"/>
          <w:u w:val="single"/>
        </w:rPr>
        <w:t>cm/s；车辆通道及装卸区地面采取粘土铺底、再在上层铺10～15cm的水泥进行硬化，防滲结构层滲透系数≤1.0×10</w:t>
      </w:r>
      <w:r>
        <w:rPr>
          <w:rFonts w:ascii="Times New Roman"/>
          <w:sz w:val="24"/>
          <w:u w:val="single"/>
          <w:vertAlign w:val="superscript"/>
        </w:rPr>
        <w:t>-8</w:t>
      </w:r>
      <w:r>
        <w:rPr>
          <w:rFonts w:ascii="Times New Roman"/>
          <w:sz w:val="24"/>
          <w:u w:val="single"/>
        </w:rPr>
        <w:t>cm/s。</w:t>
      </w:r>
    </w:p>
    <w:p>
      <w:pPr>
        <w:pStyle w:val="239"/>
        <w:spacing w:line="360" w:lineRule="auto"/>
        <w:ind w:firstLine="480"/>
        <w:jc w:val="left"/>
        <w:rPr>
          <w:rFonts w:ascii="Times New Roman"/>
          <w:sz w:val="24"/>
          <w:u w:val="single"/>
        </w:rPr>
      </w:pPr>
      <w:r>
        <w:rPr>
          <w:rFonts w:ascii="Times New Roman"/>
          <w:sz w:val="24"/>
          <w:u w:val="single"/>
        </w:rPr>
        <w:t>根据《危险废物贮存污染控制标准》(GB18597-2001)及其2013年修改单，对本项目废矿物油贮存设施的具体要求如下</w:t>
      </w:r>
    </w:p>
    <w:p>
      <w:pPr>
        <w:pStyle w:val="239"/>
        <w:spacing w:line="360" w:lineRule="auto"/>
        <w:ind w:firstLine="480"/>
        <w:jc w:val="left"/>
        <w:rPr>
          <w:rFonts w:ascii="Times New Roman"/>
          <w:sz w:val="24"/>
          <w:u w:val="single"/>
        </w:rPr>
      </w:pPr>
      <w:r>
        <w:rPr>
          <w:rFonts w:ascii="Times New Roman"/>
          <w:sz w:val="24"/>
          <w:u w:val="single"/>
        </w:rPr>
        <w:t>(1)一般要求</w:t>
      </w:r>
    </w:p>
    <w:p>
      <w:pPr>
        <w:pStyle w:val="239"/>
        <w:spacing w:line="360" w:lineRule="auto"/>
        <w:ind w:firstLine="480"/>
        <w:jc w:val="left"/>
        <w:rPr>
          <w:rFonts w:ascii="Times New Roman"/>
          <w:sz w:val="24"/>
          <w:u w:val="single"/>
        </w:rPr>
      </w:pPr>
      <w:r>
        <w:rPr>
          <w:rFonts w:ascii="Times New Roman"/>
          <w:sz w:val="24"/>
          <w:u w:val="single"/>
        </w:rPr>
        <w:t>①所有危险废物经营者应该建造专用的危险废物贮存设施，也可利用原有构建物改建危险废物贮存设施。②在常温常压下易爆、易燃及排除有毒气体的危险废物必须进行预处理，使之稳定后贮存，否则按易爆、易燃危险品贮存。③常温常压下不水解、不挥发的固体废物可在贮存设施内分别堆放。④在第③点规定外、必须将危险废物装入容器内。⑤装载液体、半固体危险废物的容器内须留足够空间，容器顶部与液体表面之间保留100mm以上的空间。⑥盛装危险废物的容器上必须粘贴符合本标准附录A所示的标签。</w:t>
      </w:r>
    </w:p>
    <w:p>
      <w:pPr>
        <w:pStyle w:val="239"/>
        <w:spacing w:line="360" w:lineRule="auto"/>
        <w:ind w:firstLine="480"/>
        <w:jc w:val="left"/>
        <w:rPr>
          <w:rFonts w:ascii="Times New Roman"/>
          <w:sz w:val="24"/>
          <w:u w:val="single"/>
        </w:rPr>
      </w:pPr>
      <w:r>
        <w:rPr>
          <w:rFonts w:ascii="Times New Roman"/>
          <w:sz w:val="24"/>
          <w:u w:val="single"/>
        </w:rPr>
        <w:t>(2)选址要求</w:t>
      </w:r>
    </w:p>
    <w:p>
      <w:pPr>
        <w:pStyle w:val="239"/>
        <w:spacing w:line="360" w:lineRule="auto"/>
        <w:ind w:firstLine="480"/>
        <w:jc w:val="left"/>
        <w:rPr>
          <w:rFonts w:ascii="Times New Roman"/>
          <w:sz w:val="24"/>
          <w:u w:val="single"/>
        </w:rPr>
      </w:pPr>
      <w:r>
        <w:rPr>
          <w:rFonts w:ascii="Times New Roman"/>
          <w:sz w:val="24"/>
          <w:u w:val="single"/>
        </w:rPr>
        <w:t>①地质结构稳定，地震烈度不超过7度的区域内。②设施底部必须高于地下水最高水位。③应避免建在溶洞区或易遭受严重自然灾害影响的地区。④应建在易燃、易爆等危险仓库外、高压输电线防护区域以外。⑤基础必须防渗，防滲层为至少1m厚粘土层(滲透系数小于＜10</w:t>
      </w:r>
      <w:r>
        <w:rPr>
          <w:rFonts w:ascii="Times New Roman"/>
          <w:sz w:val="24"/>
          <w:u w:val="single"/>
          <w:vertAlign w:val="superscript"/>
        </w:rPr>
        <w:t>-7</w:t>
      </w:r>
      <w:r>
        <w:rPr>
          <w:rFonts w:ascii="Times New Roman"/>
          <w:sz w:val="24"/>
          <w:u w:val="single"/>
        </w:rPr>
        <w:t>cm/s)，或2mm厚高密度聚乙烯，或至少2mm厚的其它人工材料，渗透系数＜10</w:t>
      </w:r>
      <w:r>
        <w:rPr>
          <w:rFonts w:ascii="Times New Roman"/>
          <w:sz w:val="24"/>
          <w:u w:val="single"/>
          <w:vertAlign w:val="superscript"/>
        </w:rPr>
        <w:t>-10</w:t>
      </w:r>
      <w:r>
        <w:rPr>
          <w:rFonts w:ascii="Times New Roman"/>
          <w:sz w:val="24"/>
          <w:u w:val="single"/>
        </w:rPr>
        <w:t>cm/s。</w:t>
      </w:r>
    </w:p>
    <w:p>
      <w:pPr>
        <w:pStyle w:val="239"/>
        <w:spacing w:line="360" w:lineRule="auto"/>
        <w:ind w:firstLine="480"/>
        <w:jc w:val="left"/>
        <w:rPr>
          <w:rFonts w:ascii="Times New Roman"/>
          <w:sz w:val="24"/>
          <w:u w:val="single"/>
        </w:rPr>
      </w:pPr>
      <w:r>
        <w:rPr>
          <w:rFonts w:ascii="Times New Roman"/>
          <w:sz w:val="24"/>
          <w:u w:val="single"/>
        </w:rPr>
        <w:t>(3)贮存设施设计要求</w:t>
      </w:r>
    </w:p>
    <w:p>
      <w:pPr>
        <w:pStyle w:val="239"/>
        <w:spacing w:line="360" w:lineRule="auto"/>
        <w:ind w:firstLine="480"/>
        <w:jc w:val="left"/>
        <w:rPr>
          <w:rFonts w:ascii="Times New Roman"/>
          <w:sz w:val="24"/>
          <w:u w:val="single"/>
        </w:rPr>
      </w:pPr>
      <w:r>
        <w:rPr>
          <w:rFonts w:ascii="Times New Roman"/>
          <w:sz w:val="24"/>
          <w:u w:val="single"/>
        </w:rPr>
        <w:t>①地面与裙脚要用坚固、防渗的材料建造，建筑材料必须与危险废物相容。②必须有泄漏液体收集装置，气体导出口及气体浄化装置。③设施内要有安全照明设施和观察窗口。④用以存放装载液体、半固体危险废物容器的地方，必须有耐腐蚀的硬化地面，且表面无裂痕。⑤应设计堵截泄露的裙脚，地面与裙脚所围建的容积不小于堵截最大容器的最大储存量或总储量的1/4。⑥不相容的的危险废物必须分开存放，并设有隔离间隔断。</w:t>
      </w:r>
    </w:p>
    <w:p>
      <w:pPr>
        <w:pStyle w:val="239"/>
        <w:spacing w:line="360" w:lineRule="auto"/>
        <w:ind w:firstLine="480"/>
        <w:jc w:val="left"/>
        <w:rPr>
          <w:rFonts w:ascii="Times New Roman"/>
          <w:sz w:val="24"/>
          <w:u w:val="single"/>
        </w:rPr>
      </w:pPr>
      <w:r>
        <w:rPr>
          <w:rFonts w:ascii="Times New Roman"/>
          <w:sz w:val="24"/>
          <w:u w:val="single"/>
        </w:rPr>
        <w:t>(4)贮存设施安全防护要求</w:t>
      </w:r>
    </w:p>
    <w:p>
      <w:pPr>
        <w:pStyle w:val="239"/>
        <w:spacing w:line="360" w:lineRule="auto"/>
        <w:ind w:firstLine="480"/>
        <w:jc w:val="left"/>
        <w:rPr>
          <w:rFonts w:ascii="Times New Roman"/>
          <w:sz w:val="24"/>
          <w:u w:val="single"/>
        </w:rPr>
      </w:pPr>
      <w:r>
        <w:rPr>
          <w:rFonts w:ascii="Times New Roman"/>
          <w:sz w:val="24"/>
          <w:u w:val="single"/>
        </w:rPr>
        <w:t>①贮存设施都必须按《环境保护图形标志-固体废物贮存(处置)场》(GB15562.2-1995)的规定设置警示标志。②贮存场所及设施周围应设置围墙或其它防护栅栏。③贮存场所及设施应配备通讯设备、照明设施、安全防护服装及工具，并设有应急防护设施。④贮存场所及设施内清理出来的泄漏物，一律按危险废物处理。</w:t>
      </w:r>
    </w:p>
    <w:p>
      <w:pPr>
        <w:pStyle w:val="239"/>
        <w:spacing w:line="360" w:lineRule="auto"/>
        <w:ind w:firstLine="480"/>
        <w:jc w:val="left"/>
        <w:rPr>
          <w:rFonts w:ascii="Times New Roman"/>
          <w:sz w:val="24"/>
          <w:u w:val="single"/>
        </w:rPr>
      </w:pPr>
      <w:r>
        <w:rPr>
          <w:rFonts w:ascii="Times New Roman"/>
          <w:sz w:val="24"/>
          <w:u w:val="single"/>
        </w:rPr>
        <w:t>(5)区域划分</w:t>
      </w:r>
    </w:p>
    <w:p>
      <w:pPr>
        <w:pStyle w:val="239"/>
        <w:spacing w:line="360" w:lineRule="auto"/>
        <w:ind w:firstLine="480"/>
        <w:jc w:val="left"/>
        <w:rPr>
          <w:rFonts w:ascii="Times New Roman"/>
          <w:sz w:val="24"/>
          <w:u w:val="single"/>
        </w:rPr>
      </w:pPr>
      <w:r>
        <w:rPr>
          <w:rFonts w:ascii="Times New Roman"/>
          <w:sz w:val="24"/>
          <w:u w:val="single"/>
        </w:rPr>
        <w:t>根据本项目生产要求，需要对厂内油泥浮渣的装卸区、暂存区及办公区、物流通道等区域进行划分。厂区内除了油泥浮渣罐及煤棚暂存区外，其他区域划分均利用地面标识进行区分，不设置房间。</w:t>
      </w:r>
    </w:p>
    <w:p>
      <w:pPr>
        <w:pStyle w:val="239"/>
        <w:spacing w:line="360" w:lineRule="auto"/>
        <w:ind w:firstLine="480"/>
        <w:jc w:val="left"/>
        <w:rPr>
          <w:rFonts w:ascii="Times New Roman"/>
          <w:sz w:val="24"/>
          <w:u w:val="single"/>
        </w:rPr>
      </w:pPr>
      <w:r>
        <w:rPr>
          <w:rFonts w:ascii="Times New Roman"/>
          <w:sz w:val="24"/>
          <w:u w:val="single"/>
        </w:rPr>
        <w:t>(6)围堰、集水沟及防火堤</w:t>
      </w:r>
    </w:p>
    <w:p>
      <w:pPr>
        <w:pStyle w:val="239"/>
        <w:spacing w:line="360" w:lineRule="auto"/>
        <w:ind w:firstLine="480"/>
        <w:jc w:val="left"/>
        <w:rPr>
          <w:rFonts w:ascii="Times New Roman"/>
          <w:sz w:val="24"/>
          <w:u w:val="single"/>
        </w:rPr>
      </w:pPr>
      <w:r>
        <w:rPr>
          <w:rFonts w:ascii="Times New Roman"/>
          <w:sz w:val="24"/>
          <w:u w:val="single"/>
        </w:rPr>
        <w:t>本项目各装置区均设置了高不低于15cm的围堰或环绕装置的水泥硬化的集水沟，发生泄漏事故时泄漏物料可以控制在围堰内及集水沟内，泄漏物料不会穿透混凝土地面，向土壤及地下水中扩散。罐区则依据防火规范的要求，设置有防火堤，储罐及设施发生泄漏事故时，泄漏物料可以控制在防火堤内。防火堤内地面也是混凝土硬化地面，可以阻止泄漏至地面的烃类物质向土壤及地下水的分散过程。</w:t>
      </w:r>
    </w:p>
    <w:p>
      <w:pPr>
        <w:pStyle w:val="239"/>
        <w:spacing w:line="360" w:lineRule="auto"/>
        <w:ind w:firstLine="480"/>
        <w:jc w:val="left"/>
        <w:rPr>
          <w:rFonts w:ascii="Times New Roman"/>
          <w:sz w:val="24"/>
          <w:u w:val="single"/>
        </w:rPr>
      </w:pPr>
      <w:r>
        <w:rPr>
          <w:rFonts w:ascii="Times New Roman"/>
          <w:sz w:val="24"/>
          <w:u w:val="single"/>
        </w:rPr>
        <w:t>3.2.1.3.2油泥的收集及转运方式</w:t>
      </w:r>
    </w:p>
    <w:p>
      <w:pPr>
        <w:pStyle w:val="239"/>
        <w:spacing w:line="360" w:lineRule="auto"/>
        <w:ind w:firstLine="480"/>
        <w:jc w:val="left"/>
        <w:rPr>
          <w:rFonts w:ascii="Times New Roman"/>
          <w:sz w:val="24"/>
          <w:u w:val="single"/>
        </w:rPr>
      </w:pPr>
      <w:r>
        <w:rPr>
          <w:rFonts w:ascii="Times New Roman"/>
          <w:sz w:val="24"/>
          <w:u w:val="single"/>
        </w:rPr>
        <w:t>干化脱水后的油泥，用货车运输至热电部煤堆场，油泥干化所在地也位于长岭分公司厂区内，距离本项目约500米远，厂内运输主要采取以下防范措施：</w:t>
      </w:r>
    </w:p>
    <w:p>
      <w:pPr>
        <w:pStyle w:val="239"/>
        <w:spacing w:line="360" w:lineRule="auto"/>
        <w:ind w:firstLine="480"/>
        <w:jc w:val="left"/>
        <w:rPr>
          <w:rFonts w:ascii="Times New Roman"/>
          <w:sz w:val="24"/>
          <w:u w:val="single"/>
        </w:rPr>
      </w:pPr>
      <w:r>
        <w:rPr>
          <w:rFonts w:ascii="Times New Roman"/>
          <w:sz w:val="24"/>
          <w:u w:val="single"/>
        </w:rPr>
        <w:t>①危险化学品储运系统的设计严格按照《石油化工储运系统罐区设计规范》、《石油化工企业防火设计规范》、《石油库设计规范》的要求进行设计和施工，确保防火间距、消防通道、消防设施等满足规定要求；</w:t>
      </w:r>
    </w:p>
    <w:p>
      <w:pPr>
        <w:pStyle w:val="239"/>
        <w:spacing w:line="360" w:lineRule="auto"/>
        <w:ind w:firstLine="480"/>
        <w:jc w:val="left"/>
        <w:rPr>
          <w:rFonts w:ascii="Times New Roman"/>
          <w:sz w:val="24"/>
          <w:u w:val="single"/>
        </w:rPr>
      </w:pPr>
      <w:r>
        <w:rPr>
          <w:rFonts w:ascii="Times New Roman"/>
          <w:sz w:val="24"/>
          <w:u w:val="single"/>
        </w:rPr>
        <w:t>②罐区及油泥储存区严格按照《建筑物防雷设计规范》、《工业与民用电力装置的接地设计规范》设置防雷击、防静电系统；</w:t>
      </w:r>
    </w:p>
    <w:p>
      <w:pPr>
        <w:pStyle w:val="239"/>
        <w:spacing w:line="360" w:lineRule="auto"/>
        <w:ind w:firstLine="480"/>
        <w:jc w:val="left"/>
        <w:rPr>
          <w:rFonts w:ascii="Times New Roman"/>
          <w:sz w:val="24"/>
          <w:u w:val="single"/>
        </w:rPr>
      </w:pPr>
      <w:r>
        <w:rPr>
          <w:rFonts w:ascii="Times New Roman"/>
          <w:sz w:val="24"/>
          <w:u w:val="single"/>
        </w:rPr>
        <w:t>③按照《石油化工企业可燃气体和有毒气体检测报警设计规范》在罐区设置自动报警设施；</w:t>
      </w:r>
    </w:p>
    <w:p>
      <w:pPr>
        <w:pStyle w:val="239"/>
        <w:spacing w:line="360" w:lineRule="auto"/>
        <w:ind w:firstLine="480"/>
        <w:jc w:val="left"/>
        <w:rPr>
          <w:rFonts w:ascii="Times New Roman"/>
          <w:sz w:val="24"/>
          <w:u w:val="single"/>
        </w:rPr>
      </w:pPr>
      <w:r>
        <w:rPr>
          <w:rFonts w:ascii="Times New Roman"/>
          <w:sz w:val="24"/>
          <w:u w:val="single"/>
        </w:rPr>
        <w:t>④在干泥储运过程控制采用DCS系统，并设有高、低液位报警和连锁保护系统，确保在误操作或非正常工况下，对危险物料的安全控制。</w:t>
      </w:r>
    </w:p>
    <w:p>
      <w:pPr>
        <w:pStyle w:val="239"/>
        <w:spacing w:line="360" w:lineRule="auto"/>
        <w:ind w:firstLine="480"/>
        <w:jc w:val="left"/>
        <w:rPr>
          <w:rFonts w:ascii="Times New Roman"/>
          <w:sz w:val="24"/>
          <w:u w:val="single"/>
        </w:rPr>
      </w:pPr>
      <w:r>
        <w:rPr>
          <w:rFonts w:ascii="Times New Roman"/>
          <w:sz w:val="24"/>
          <w:u w:val="single"/>
        </w:rPr>
        <w:t>⑤与大容量储罐相连接的泵，其紧急截止阀安装在泵及设备的安全距离之外，并可在发生火灾时进行远程紧急制动切断可燃物料。</w:t>
      </w:r>
    </w:p>
    <w:p>
      <w:pPr>
        <w:pStyle w:val="239"/>
        <w:spacing w:line="360" w:lineRule="auto"/>
        <w:ind w:firstLine="480"/>
        <w:jc w:val="left"/>
        <w:rPr>
          <w:rFonts w:ascii="Times New Roman"/>
          <w:sz w:val="24"/>
          <w:u w:val="single"/>
        </w:rPr>
      </w:pPr>
      <w:r>
        <w:rPr>
          <w:rFonts w:ascii="Times New Roman"/>
          <w:sz w:val="24"/>
          <w:u w:val="single"/>
        </w:rPr>
        <w:t>⑥可燃液体罐区以及装置区分别设有防火堤和围堰，防火堤、围堰的设计均执行国家及行业标准，同时罐区采用防滑防渗硬化处理。</w:t>
      </w:r>
    </w:p>
    <w:p>
      <w:pPr>
        <w:pStyle w:val="239"/>
        <w:spacing w:line="360" w:lineRule="auto"/>
        <w:ind w:firstLine="480"/>
        <w:jc w:val="left"/>
        <w:rPr>
          <w:rFonts w:ascii="Times New Roman"/>
          <w:sz w:val="24"/>
          <w:u w:val="single"/>
        </w:rPr>
      </w:pPr>
      <w:r>
        <w:rPr>
          <w:rFonts w:ascii="Times New Roman"/>
          <w:sz w:val="24"/>
          <w:u w:val="single"/>
        </w:rPr>
        <w:t>⑦储罐防火设施，包括储罐基础、罐体、保温层等采用不燃材料；易燃液体储罐配备液面计、呼吸阀和阻火器。</w:t>
      </w:r>
    </w:p>
    <w:p>
      <w:pPr>
        <w:pStyle w:val="239"/>
        <w:spacing w:line="360" w:lineRule="auto"/>
        <w:ind w:firstLine="480"/>
        <w:jc w:val="left"/>
        <w:rPr>
          <w:rFonts w:ascii="Times New Roman"/>
          <w:sz w:val="24"/>
          <w:u w:val="single"/>
        </w:rPr>
      </w:pPr>
      <w:r>
        <w:rPr>
          <w:rFonts w:ascii="Times New Roman"/>
          <w:sz w:val="24"/>
          <w:u w:val="single"/>
        </w:rPr>
        <w:t>⑧加强操作人员业务培训，岗位人员必须熟悉罐区布置、管线分布和阀门用途；定期检查管道密封性能，保持呼吸阀工作正常；罐内油泥按规定控制温度；油罐清理和检修必须按操作规程执行，认真清洗和吹扫，取样分析合格，确认无爆炸危险后进行操作。工作人员应熟悉事故应急设备的使用和维护，了解应急手册应急处理流程，一旦发生意外，在采取应急处理的同时，迅速报告交通部门和环保等有关部门，必要时疏散群众，防止事态进一步扩大和恶化。</w:t>
      </w:r>
    </w:p>
    <w:p>
      <w:pPr>
        <w:pStyle w:val="239"/>
        <w:spacing w:line="360" w:lineRule="auto"/>
        <w:ind w:firstLine="480"/>
        <w:jc w:val="left"/>
        <w:rPr>
          <w:rFonts w:ascii="Times New Roman"/>
          <w:sz w:val="24"/>
          <w:u w:val="single"/>
        </w:rPr>
      </w:pPr>
      <w:r>
        <w:rPr>
          <w:rFonts w:ascii="Times New Roman"/>
          <w:sz w:val="24"/>
          <w:u w:val="single"/>
        </w:rPr>
        <w:t>⑨公路运输应严格遵守《道路危险货物运输管理规定》、《汽车运输货物规则》、《汽车运输液体危险货物常压容器(罐体)通用技术条件》等相关规定。</w:t>
      </w:r>
    </w:p>
    <w:p>
      <w:pPr>
        <w:pStyle w:val="7"/>
        <w:numPr>
          <w:ilvl w:val="2"/>
          <w:numId w:val="0"/>
        </w:numPr>
        <w:spacing w:before="120" w:after="120"/>
        <w:ind w:left="142"/>
        <w:textAlignment w:val="baseline"/>
        <w:rPr>
          <w:szCs w:val="24"/>
        </w:rPr>
      </w:pPr>
      <w:r>
        <w:rPr>
          <w:szCs w:val="24"/>
        </w:rPr>
        <w:t>3.2.3项目污染物产生及排放情况</w:t>
      </w:r>
      <w:bookmarkEnd w:id="236"/>
      <w:bookmarkEnd w:id="237"/>
      <w:bookmarkEnd w:id="238"/>
      <w:bookmarkEnd w:id="239"/>
      <w:bookmarkEnd w:id="240"/>
      <w:bookmarkEnd w:id="241"/>
    </w:p>
    <w:p>
      <w:pPr>
        <w:pStyle w:val="281"/>
        <w:tabs>
          <w:tab w:val="left" w:pos="3600"/>
        </w:tabs>
        <w:spacing w:line="360" w:lineRule="auto"/>
        <w:ind w:firstLine="241" w:firstLineChars="100"/>
        <w:outlineLvl w:val="3"/>
        <w:rPr>
          <w:rFonts w:ascii="Times New Roman" w:hAnsi="Times New Roman" w:cs="Times New Roman"/>
          <w:kern w:val="0"/>
          <w:sz w:val="24"/>
          <w:szCs w:val="24"/>
        </w:rPr>
      </w:pPr>
      <w:bookmarkStart w:id="242" w:name="_Toc484073434"/>
      <w:r>
        <w:rPr>
          <w:rFonts w:ascii="Times New Roman" w:hAnsi="Times New Roman" w:cs="Times New Roman"/>
          <w:kern w:val="0"/>
          <w:sz w:val="24"/>
          <w:szCs w:val="24"/>
        </w:rPr>
        <w:t>3.2.3.1废气</w:t>
      </w:r>
      <w:bookmarkEnd w:id="242"/>
    </w:p>
    <w:p>
      <w:pPr>
        <w:spacing w:line="360" w:lineRule="auto"/>
        <w:ind w:firstLine="510"/>
        <w:rPr>
          <w:rFonts w:ascii="Times New Roman" w:hAnsi="Times New Roman"/>
          <w:sz w:val="24"/>
          <w:szCs w:val="24"/>
        </w:rPr>
      </w:pPr>
      <w:r>
        <w:rPr>
          <w:rFonts w:ascii="Times New Roman" w:hAnsi="Times New Roman"/>
          <w:sz w:val="24"/>
          <w:szCs w:val="24"/>
        </w:rPr>
        <w:t>本项目产生的废气主要为掺烧油泥烟气中增加的污染物以及干化油泥掺混挥发的少量恶臭气体。</w:t>
      </w:r>
    </w:p>
    <w:p>
      <w:pPr>
        <w:spacing w:line="360" w:lineRule="auto"/>
        <w:ind w:firstLine="510"/>
        <w:rPr>
          <w:rFonts w:ascii="Times New Roman" w:hAnsi="Times New Roman"/>
          <w:b/>
          <w:sz w:val="24"/>
          <w:szCs w:val="24"/>
        </w:rPr>
      </w:pPr>
      <w:r>
        <w:rPr>
          <w:rFonts w:ascii="Times New Roman" w:hAnsi="Times New Roman"/>
          <w:b/>
          <w:sz w:val="24"/>
          <w:szCs w:val="24"/>
        </w:rPr>
        <w:t>（1）煤棚无组织废气</w:t>
      </w:r>
    </w:p>
    <w:p>
      <w:pPr>
        <w:spacing w:line="360" w:lineRule="auto"/>
        <w:ind w:right="-113" w:firstLine="504" w:firstLineChars="200"/>
        <w:jc w:val="left"/>
        <w:rPr>
          <w:rFonts w:ascii="Times New Roman" w:hAnsi="Times New Roman"/>
          <w:spacing w:val="6"/>
          <w:kern w:val="0"/>
          <w:sz w:val="24"/>
          <w:szCs w:val="24"/>
        </w:rPr>
      </w:pPr>
      <w:r>
        <w:rPr>
          <w:rFonts w:ascii="Times New Roman" w:hAnsi="Times New Roman"/>
          <w:spacing w:val="6"/>
          <w:kern w:val="0"/>
          <w:sz w:val="24"/>
          <w:szCs w:val="24"/>
        </w:rPr>
        <w:t>油泥浮渣存储区的恶臭产生量类比中石化荆门分公司CFB锅炉焚烧油泥项目，其排放情况见下表：</w:t>
      </w:r>
    </w:p>
    <w:p>
      <w:pPr>
        <w:spacing w:line="360" w:lineRule="auto"/>
        <w:ind w:firstLine="510"/>
        <w:jc w:val="center"/>
        <w:rPr>
          <w:rFonts w:ascii="Times New Roman" w:hAnsi="Times New Roman"/>
          <w:b/>
          <w:sz w:val="24"/>
          <w:szCs w:val="24"/>
        </w:rPr>
      </w:pPr>
      <w:r>
        <w:rPr>
          <w:rFonts w:ascii="Times New Roman" w:hAnsi="Times New Roman"/>
          <w:b/>
          <w:sz w:val="24"/>
          <w:szCs w:val="24"/>
        </w:rPr>
        <w:t>表3.2.3.1-1 项目废气无组织排放情况一览表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320"/>
        <w:gridCol w:w="1044"/>
        <w:gridCol w:w="1173"/>
        <w:gridCol w:w="1175"/>
        <w:gridCol w:w="1173"/>
        <w:gridCol w:w="88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pPr>
              <w:jc w:val="center"/>
              <w:rPr>
                <w:rFonts w:ascii="Times New Roman" w:hAnsi="Times New Roman"/>
                <w:b/>
                <w:bCs/>
                <w:szCs w:val="21"/>
              </w:rPr>
            </w:pPr>
            <w:r>
              <w:rPr>
                <w:rFonts w:ascii="Times New Roman" w:hAnsi="Times New Roman"/>
                <w:b/>
                <w:bCs/>
              </w:rPr>
              <w:t>无组织排放源</w:t>
            </w:r>
          </w:p>
        </w:tc>
        <w:tc>
          <w:tcPr>
            <w:tcW w:w="2763" w:type="pct"/>
            <w:gridSpan w:val="4"/>
            <w:vAlign w:val="center"/>
          </w:tcPr>
          <w:p>
            <w:pPr>
              <w:jc w:val="center"/>
              <w:rPr>
                <w:rFonts w:ascii="Times New Roman" w:hAnsi="Times New Roman"/>
                <w:b/>
                <w:bCs/>
                <w:szCs w:val="21"/>
              </w:rPr>
            </w:pPr>
            <w:r>
              <w:rPr>
                <w:rFonts w:ascii="Times New Roman" w:hAnsi="Times New Roman"/>
                <w:b/>
                <w:bCs/>
              </w:rPr>
              <w:t>污染物排放量</w:t>
            </w:r>
          </w:p>
        </w:tc>
        <w:tc>
          <w:tcPr>
            <w:tcW w:w="688" w:type="pct"/>
            <w:vMerge w:val="restart"/>
            <w:vAlign w:val="center"/>
          </w:tcPr>
          <w:p>
            <w:pPr>
              <w:jc w:val="center"/>
              <w:rPr>
                <w:rFonts w:ascii="Times New Roman" w:hAnsi="Times New Roman"/>
                <w:b/>
                <w:bCs/>
                <w:szCs w:val="21"/>
              </w:rPr>
            </w:pPr>
            <w:r>
              <w:rPr>
                <w:rFonts w:ascii="Times New Roman" w:hAnsi="Times New Roman"/>
                <w:b/>
                <w:bCs/>
              </w:rPr>
              <w:t>排放高度（m）</w:t>
            </w:r>
          </w:p>
        </w:tc>
        <w:tc>
          <w:tcPr>
            <w:tcW w:w="517" w:type="pct"/>
            <w:vMerge w:val="restart"/>
            <w:vAlign w:val="center"/>
          </w:tcPr>
          <w:p>
            <w:pPr>
              <w:jc w:val="center"/>
              <w:rPr>
                <w:rFonts w:ascii="Times New Roman" w:hAnsi="Times New Roman"/>
                <w:b/>
                <w:bCs/>
                <w:szCs w:val="21"/>
              </w:rPr>
            </w:pPr>
            <w:r>
              <w:rPr>
                <w:rFonts w:ascii="Times New Roman" w:hAnsi="Times New Roman"/>
                <w:b/>
                <w:bCs/>
              </w:rPr>
              <w:t>面源长（m）</w:t>
            </w:r>
          </w:p>
        </w:tc>
        <w:tc>
          <w:tcPr>
            <w:tcW w:w="516" w:type="pct"/>
            <w:vMerge w:val="restart"/>
            <w:vAlign w:val="center"/>
          </w:tcPr>
          <w:p>
            <w:pPr>
              <w:jc w:val="center"/>
              <w:rPr>
                <w:rFonts w:ascii="Times New Roman" w:hAnsi="Times New Roman"/>
                <w:b/>
                <w:bCs/>
                <w:szCs w:val="21"/>
              </w:rPr>
            </w:pPr>
            <w:r>
              <w:rPr>
                <w:rFonts w:ascii="Times New Roman" w:hAnsi="Times New Roman"/>
                <w:b/>
                <w:bCs/>
              </w:rPr>
              <w:t>面源宽（m）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widowControl/>
              <w:jc w:val="left"/>
              <w:rPr>
                <w:rFonts w:ascii="Times New Roman" w:hAnsi="Times New Roman"/>
                <w:b/>
                <w:bCs/>
                <w:szCs w:val="21"/>
              </w:rPr>
            </w:pPr>
          </w:p>
        </w:tc>
        <w:tc>
          <w:tcPr>
            <w:tcW w:w="1386" w:type="pct"/>
            <w:gridSpan w:val="2"/>
            <w:vAlign w:val="center"/>
          </w:tcPr>
          <w:p>
            <w:pPr>
              <w:jc w:val="center"/>
              <w:rPr>
                <w:rFonts w:ascii="Times New Roman" w:hAnsi="Times New Roman"/>
                <w:b/>
                <w:bCs/>
                <w:szCs w:val="21"/>
              </w:rPr>
            </w:pPr>
            <w:r>
              <w:rPr>
                <w:rFonts w:ascii="Times New Roman" w:hAnsi="Times New Roman"/>
                <w:b/>
                <w:bCs/>
              </w:rPr>
              <w:t>NH</w:t>
            </w:r>
            <w:r>
              <w:rPr>
                <w:rFonts w:ascii="Times New Roman" w:hAnsi="Times New Roman"/>
                <w:b/>
                <w:bCs/>
                <w:vertAlign w:val="subscript"/>
              </w:rPr>
              <w:t>3</w:t>
            </w:r>
          </w:p>
        </w:tc>
        <w:tc>
          <w:tcPr>
            <w:tcW w:w="1377" w:type="pct"/>
            <w:gridSpan w:val="2"/>
            <w:vAlign w:val="center"/>
          </w:tcPr>
          <w:p>
            <w:pPr>
              <w:jc w:val="center"/>
              <w:rPr>
                <w:rFonts w:ascii="Times New Roman" w:hAnsi="Times New Roman"/>
                <w:b/>
                <w:bCs/>
                <w:szCs w:val="21"/>
              </w:rPr>
            </w:pPr>
            <w:r>
              <w:rPr>
                <w:rFonts w:ascii="Times New Roman" w:hAnsi="Times New Roman"/>
                <w:b/>
                <w:bCs/>
              </w:rPr>
              <w:t>H</w:t>
            </w:r>
            <w:r>
              <w:rPr>
                <w:rFonts w:ascii="Times New Roman" w:hAnsi="Times New Roman"/>
                <w:b/>
                <w:bCs/>
                <w:vertAlign w:val="subscript"/>
              </w:rPr>
              <w:t>2</w:t>
            </w:r>
            <w:r>
              <w:rPr>
                <w:rFonts w:ascii="Times New Roman" w:hAnsi="Times New Roman"/>
                <w:b/>
                <w:bCs/>
              </w:rPr>
              <w:t>S</w:t>
            </w:r>
          </w:p>
        </w:tc>
        <w:tc>
          <w:tcPr>
            <w:tcW w:w="688" w:type="pct"/>
            <w:vMerge w:val="continue"/>
            <w:vAlign w:val="center"/>
          </w:tcPr>
          <w:p>
            <w:pPr>
              <w:widowControl/>
              <w:jc w:val="left"/>
              <w:rPr>
                <w:rFonts w:ascii="Times New Roman" w:hAnsi="Times New Roman"/>
                <w:b/>
                <w:bCs/>
                <w:szCs w:val="21"/>
              </w:rPr>
            </w:pPr>
          </w:p>
        </w:tc>
        <w:tc>
          <w:tcPr>
            <w:tcW w:w="517" w:type="pct"/>
            <w:vMerge w:val="continue"/>
            <w:vAlign w:val="center"/>
          </w:tcPr>
          <w:p>
            <w:pPr>
              <w:widowControl/>
              <w:jc w:val="left"/>
              <w:rPr>
                <w:rFonts w:ascii="Times New Roman" w:hAnsi="Times New Roman"/>
                <w:b/>
                <w:bCs/>
                <w:szCs w:val="21"/>
              </w:rPr>
            </w:pPr>
          </w:p>
        </w:tc>
        <w:tc>
          <w:tcPr>
            <w:tcW w:w="516" w:type="pct"/>
            <w:vMerge w:val="continue"/>
            <w:vAlign w:val="center"/>
          </w:tcPr>
          <w:p>
            <w:pPr>
              <w:widowControl/>
              <w:jc w:val="left"/>
              <w:rPr>
                <w:rFonts w:ascii="Times New Roman" w:hAnsi="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widowControl/>
              <w:jc w:val="left"/>
              <w:rPr>
                <w:rFonts w:ascii="Times New Roman" w:hAnsi="Times New Roman"/>
                <w:b/>
                <w:bCs/>
                <w:szCs w:val="21"/>
              </w:rPr>
            </w:pPr>
          </w:p>
        </w:tc>
        <w:tc>
          <w:tcPr>
            <w:tcW w:w="774" w:type="pct"/>
            <w:vAlign w:val="center"/>
          </w:tcPr>
          <w:p>
            <w:pPr>
              <w:jc w:val="center"/>
              <w:rPr>
                <w:rFonts w:ascii="Times New Roman" w:hAnsi="Times New Roman"/>
                <w:b/>
                <w:bCs/>
                <w:szCs w:val="21"/>
              </w:rPr>
            </w:pPr>
            <w:r>
              <w:rPr>
                <w:rFonts w:ascii="Times New Roman" w:hAnsi="Times New Roman"/>
                <w:b/>
                <w:bCs/>
              </w:rPr>
              <w:t>kg/h</w:t>
            </w:r>
          </w:p>
        </w:tc>
        <w:tc>
          <w:tcPr>
            <w:tcW w:w="612" w:type="pct"/>
            <w:vAlign w:val="center"/>
          </w:tcPr>
          <w:p>
            <w:pPr>
              <w:jc w:val="center"/>
              <w:rPr>
                <w:rFonts w:ascii="Times New Roman" w:hAnsi="Times New Roman"/>
                <w:b/>
                <w:bCs/>
                <w:szCs w:val="21"/>
              </w:rPr>
            </w:pPr>
            <w:r>
              <w:rPr>
                <w:rFonts w:ascii="Times New Roman" w:hAnsi="Times New Roman"/>
                <w:b/>
                <w:bCs/>
              </w:rPr>
              <w:t>t/a</w:t>
            </w:r>
          </w:p>
        </w:tc>
        <w:tc>
          <w:tcPr>
            <w:tcW w:w="688" w:type="pct"/>
            <w:vAlign w:val="center"/>
          </w:tcPr>
          <w:p>
            <w:pPr>
              <w:jc w:val="center"/>
              <w:rPr>
                <w:rFonts w:ascii="Times New Roman" w:hAnsi="Times New Roman"/>
                <w:b/>
                <w:bCs/>
                <w:szCs w:val="21"/>
              </w:rPr>
            </w:pPr>
            <w:r>
              <w:rPr>
                <w:rFonts w:ascii="Times New Roman" w:hAnsi="Times New Roman"/>
                <w:b/>
                <w:bCs/>
              </w:rPr>
              <w:t>kg/h</w:t>
            </w:r>
          </w:p>
        </w:tc>
        <w:tc>
          <w:tcPr>
            <w:tcW w:w="688" w:type="pct"/>
            <w:vAlign w:val="center"/>
          </w:tcPr>
          <w:p>
            <w:pPr>
              <w:jc w:val="center"/>
              <w:rPr>
                <w:rFonts w:ascii="Times New Roman" w:hAnsi="Times New Roman"/>
                <w:b/>
                <w:bCs/>
                <w:szCs w:val="21"/>
              </w:rPr>
            </w:pPr>
            <w:r>
              <w:rPr>
                <w:rFonts w:ascii="Times New Roman" w:hAnsi="Times New Roman"/>
                <w:b/>
                <w:bCs/>
              </w:rPr>
              <w:t>t/a</w:t>
            </w:r>
          </w:p>
        </w:tc>
        <w:tc>
          <w:tcPr>
            <w:tcW w:w="688" w:type="pct"/>
            <w:vMerge w:val="continue"/>
            <w:vAlign w:val="center"/>
          </w:tcPr>
          <w:p>
            <w:pPr>
              <w:widowControl/>
              <w:jc w:val="left"/>
              <w:rPr>
                <w:rFonts w:ascii="Times New Roman" w:hAnsi="Times New Roman"/>
                <w:b/>
                <w:bCs/>
                <w:szCs w:val="21"/>
              </w:rPr>
            </w:pPr>
          </w:p>
        </w:tc>
        <w:tc>
          <w:tcPr>
            <w:tcW w:w="517" w:type="pct"/>
            <w:vMerge w:val="continue"/>
            <w:vAlign w:val="center"/>
          </w:tcPr>
          <w:p>
            <w:pPr>
              <w:widowControl/>
              <w:jc w:val="left"/>
              <w:rPr>
                <w:rFonts w:ascii="Times New Roman" w:hAnsi="Times New Roman"/>
                <w:b/>
                <w:bCs/>
                <w:szCs w:val="21"/>
              </w:rPr>
            </w:pPr>
          </w:p>
        </w:tc>
        <w:tc>
          <w:tcPr>
            <w:tcW w:w="516" w:type="pct"/>
            <w:vMerge w:val="continue"/>
            <w:vAlign w:val="center"/>
          </w:tcPr>
          <w:p>
            <w:pPr>
              <w:widowControl/>
              <w:jc w:val="left"/>
              <w:rPr>
                <w:rFonts w:ascii="Times New Roman" w:hAnsi="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Align w:val="center"/>
          </w:tcPr>
          <w:p>
            <w:pPr>
              <w:jc w:val="center"/>
              <w:rPr>
                <w:rFonts w:ascii="Times New Roman" w:hAnsi="Times New Roman"/>
                <w:szCs w:val="21"/>
              </w:rPr>
            </w:pPr>
            <w:r>
              <w:rPr>
                <w:rFonts w:ascii="Times New Roman" w:hAnsi="Times New Roman"/>
              </w:rPr>
              <w:t>煤棚</w:t>
            </w:r>
          </w:p>
        </w:tc>
        <w:tc>
          <w:tcPr>
            <w:tcW w:w="774" w:type="pct"/>
            <w:vAlign w:val="center"/>
          </w:tcPr>
          <w:p>
            <w:pPr>
              <w:jc w:val="center"/>
              <w:rPr>
                <w:rFonts w:ascii="Times New Roman" w:hAnsi="Times New Roman"/>
                <w:szCs w:val="21"/>
              </w:rPr>
            </w:pPr>
            <w:r>
              <w:rPr>
                <w:rFonts w:ascii="Times New Roman" w:hAnsi="Times New Roman"/>
              </w:rPr>
              <w:t>0.0002</w:t>
            </w:r>
          </w:p>
        </w:tc>
        <w:tc>
          <w:tcPr>
            <w:tcW w:w="612" w:type="pct"/>
            <w:vAlign w:val="center"/>
          </w:tcPr>
          <w:p>
            <w:pPr>
              <w:jc w:val="center"/>
              <w:rPr>
                <w:rFonts w:ascii="Times New Roman" w:hAnsi="Times New Roman"/>
                <w:szCs w:val="21"/>
              </w:rPr>
            </w:pPr>
            <w:r>
              <w:rPr>
                <w:rFonts w:ascii="Times New Roman" w:hAnsi="Times New Roman"/>
              </w:rPr>
              <w:t>0.0017</w:t>
            </w:r>
          </w:p>
        </w:tc>
        <w:tc>
          <w:tcPr>
            <w:tcW w:w="688" w:type="pct"/>
            <w:vAlign w:val="center"/>
          </w:tcPr>
          <w:p>
            <w:pPr>
              <w:jc w:val="center"/>
              <w:rPr>
                <w:rFonts w:ascii="Times New Roman" w:hAnsi="Times New Roman"/>
                <w:szCs w:val="21"/>
              </w:rPr>
            </w:pPr>
            <w:r>
              <w:rPr>
                <w:rFonts w:ascii="Times New Roman" w:hAnsi="Times New Roman"/>
              </w:rPr>
              <w:t>0.0004</w:t>
            </w:r>
          </w:p>
        </w:tc>
        <w:tc>
          <w:tcPr>
            <w:tcW w:w="688" w:type="pct"/>
            <w:vAlign w:val="center"/>
          </w:tcPr>
          <w:p>
            <w:pPr>
              <w:jc w:val="center"/>
              <w:rPr>
                <w:rFonts w:ascii="Times New Roman" w:hAnsi="Times New Roman"/>
                <w:szCs w:val="21"/>
              </w:rPr>
            </w:pPr>
            <w:r>
              <w:rPr>
                <w:rFonts w:ascii="Times New Roman" w:hAnsi="Times New Roman"/>
              </w:rPr>
              <w:t>0.0035</w:t>
            </w:r>
          </w:p>
        </w:tc>
        <w:tc>
          <w:tcPr>
            <w:tcW w:w="688" w:type="pct"/>
            <w:vAlign w:val="center"/>
          </w:tcPr>
          <w:p>
            <w:pPr>
              <w:jc w:val="center"/>
              <w:rPr>
                <w:rFonts w:ascii="Times New Roman" w:hAnsi="Times New Roman"/>
                <w:szCs w:val="21"/>
              </w:rPr>
            </w:pPr>
            <w:r>
              <w:rPr>
                <w:rFonts w:ascii="Times New Roman" w:hAnsi="Times New Roman"/>
              </w:rPr>
              <w:t>15</w:t>
            </w:r>
          </w:p>
        </w:tc>
        <w:tc>
          <w:tcPr>
            <w:tcW w:w="517" w:type="pct"/>
            <w:vAlign w:val="center"/>
          </w:tcPr>
          <w:p>
            <w:pPr>
              <w:jc w:val="center"/>
              <w:rPr>
                <w:rFonts w:ascii="Times New Roman" w:hAnsi="Times New Roman"/>
                <w:szCs w:val="21"/>
              </w:rPr>
            </w:pPr>
            <w:r>
              <w:rPr>
                <w:rFonts w:ascii="Times New Roman" w:hAnsi="Times New Roman"/>
              </w:rPr>
              <w:t>15</w:t>
            </w:r>
          </w:p>
        </w:tc>
        <w:tc>
          <w:tcPr>
            <w:tcW w:w="516" w:type="pct"/>
            <w:vAlign w:val="center"/>
          </w:tcPr>
          <w:p>
            <w:pPr>
              <w:jc w:val="center"/>
              <w:rPr>
                <w:rFonts w:ascii="Times New Roman" w:hAnsi="Times New Roman"/>
                <w:szCs w:val="21"/>
              </w:rPr>
            </w:pPr>
            <w:r>
              <w:rPr>
                <w:rFonts w:ascii="Times New Roman" w:hAnsi="Times New Roman"/>
              </w:rPr>
              <w:t>12</w:t>
            </w:r>
          </w:p>
        </w:tc>
      </w:tr>
    </w:tbl>
    <w:p>
      <w:pPr>
        <w:spacing w:line="360" w:lineRule="auto"/>
        <w:ind w:firstLine="510"/>
        <w:rPr>
          <w:rFonts w:ascii="Times New Roman" w:hAnsi="Times New Roman"/>
          <w:sz w:val="24"/>
          <w:szCs w:val="24"/>
        </w:rPr>
      </w:pPr>
      <w:r>
        <w:rPr>
          <w:rFonts w:ascii="Times New Roman" w:hAnsi="Times New Roman"/>
          <w:sz w:val="24"/>
          <w:szCs w:val="24"/>
        </w:rPr>
        <w:t>项目无组织废气硫化氢、氨符合《恶臭污染物排放标准》（GB14554-93）表1恶臭污染物厂界标准值（二级新扩改建）标准限值。</w:t>
      </w:r>
    </w:p>
    <w:p>
      <w:pPr>
        <w:spacing w:line="360" w:lineRule="auto"/>
        <w:ind w:firstLine="482" w:firstLineChars="200"/>
        <w:rPr>
          <w:rFonts w:ascii="Times New Roman" w:hAnsi="Times New Roman"/>
          <w:b/>
          <w:sz w:val="24"/>
          <w:szCs w:val="24"/>
          <w:u w:val="single"/>
        </w:rPr>
      </w:pPr>
      <w:bookmarkStart w:id="243" w:name="_Toc484073435"/>
      <w:r>
        <w:rPr>
          <w:rFonts w:ascii="Times New Roman" w:hAnsi="Times New Roman"/>
          <w:b/>
          <w:sz w:val="24"/>
          <w:szCs w:val="24"/>
          <w:u w:val="single"/>
        </w:rPr>
        <w:t>（2）掺烧油泥烟气</w:t>
      </w:r>
    </w:p>
    <w:p>
      <w:pPr>
        <w:spacing w:line="360" w:lineRule="auto"/>
        <w:ind w:firstLine="480" w:firstLineChars="200"/>
        <w:rPr>
          <w:rFonts w:ascii="Times New Roman" w:hAnsi="Times New Roman"/>
          <w:sz w:val="24"/>
          <w:szCs w:val="24"/>
          <w:u w:val="single"/>
        </w:rPr>
      </w:pPr>
      <w:r>
        <w:rPr>
          <w:rFonts w:ascii="Times New Roman" w:hAnsi="Times New Roman"/>
          <w:sz w:val="24"/>
          <w:u w:val="single"/>
        </w:rPr>
        <w:t>2020年3月份长岭分公司实行油泥试掺烧，并在岳阳市生态环境局进行了报备，2020年3月19日，长岭分公司委托湖南昌旭环保科技有限公司对烟气中烟尘、SO</w:t>
      </w:r>
      <w:r>
        <w:rPr>
          <w:rFonts w:ascii="Times New Roman" w:hAnsi="Times New Roman"/>
          <w:sz w:val="24"/>
          <w:u w:val="single"/>
          <w:vertAlign w:val="subscript"/>
        </w:rPr>
        <w:t>2</w:t>
      </w:r>
      <w:r>
        <w:rPr>
          <w:rFonts w:ascii="Times New Roman" w:hAnsi="Times New Roman"/>
          <w:sz w:val="24"/>
          <w:u w:val="single"/>
        </w:rPr>
        <w:t>、NO</w:t>
      </w:r>
      <w:r>
        <w:rPr>
          <w:rFonts w:ascii="Times New Roman" w:hAnsi="Times New Roman"/>
          <w:sz w:val="24"/>
          <w:u w:val="single"/>
          <w:vertAlign w:val="subscript"/>
        </w:rPr>
        <w:t>X</w:t>
      </w:r>
      <w:r>
        <w:rPr>
          <w:rFonts w:ascii="Times New Roman" w:hAnsi="Times New Roman"/>
          <w:sz w:val="24"/>
          <w:u w:val="single"/>
        </w:rPr>
        <w:t>、二噁英、重金属进行了监测，监测期间直接掺烧的油泥浮渣量为42.9吨/天（含水率90％，换算成30％油泥量为6.1吨/天），煤焦量729吨/天，实际掺烧比为1：110（油泥浮渣设计掺烧比为1：54），CFB锅炉烟气经SCR烟气脱硝+布袋除尘 +石灰石—石膏法湿法脱硫排放</w:t>
      </w:r>
      <w:r>
        <w:rPr>
          <w:rFonts w:ascii="Times New Roman" w:hAnsi="Times New Roman"/>
          <w:sz w:val="24"/>
          <w:szCs w:val="24"/>
          <w:u w:val="single"/>
        </w:rPr>
        <w:t>。</w:t>
      </w:r>
    </w:p>
    <w:p>
      <w:pPr>
        <w:spacing w:line="360" w:lineRule="auto"/>
        <w:ind w:firstLine="510"/>
        <w:rPr>
          <w:rFonts w:ascii="Times New Roman" w:hAnsi="Times New Roman"/>
          <w:kern w:val="0"/>
          <w:sz w:val="24"/>
          <w:szCs w:val="24"/>
          <w:u w:val="single"/>
        </w:rPr>
      </w:pPr>
      <w:r>
        <w:rPr>
          <w:rFonts w:ascii="Times New Roman" w:hAnsi="Times New Roman"/>
          <w:sz w:val="24"/>
          <w:u w:val="single"/>
        </w:rPr>
        <w:t>项目CF</w:t>
      </w:r>
      <w:r>
        <w:rPr>
          <w:rFonts w:ascii="Times New Roman" w:hAnsi="Times New Roman"/>
          <w:sz w:val="24"/>
          <w:szCs w:val="24"/>
          <w:u w:val="single"/>
        </w:rPr>
        <w:t>B锅炉掺烧12000t/a油泥产生的污染物源强根据湖南昌旭环保科技有限公司对CFB锅炉烟气</w:t>
      </w:r>
      <w:r>
        <w:rPr>
          <w:rFonts w:ascii="Times New Roman" w:hAnsi="Times New Roman"/>
          <w:kern w:val="0"/>
          <w:sz w:val="24"/>
          <w:szCs w:val="24"/>
          <w:u w:val="single"/>
        </w:rPr>
        <w:t>的监测数据进行核算，掺烧时间按</w:t>
      </w:r>
      <w:r>
        <w:rPr>
          <w:rFonts w:ascii="Times New Roman" w:hAnsi="Times New Roman"/>
          <w:sz w:val="24"/>
          <w:szCs w:val="24"/>
          <w:u w:val="single"/>
        </w:rPr>
        <w:t>8760h计算</w:t>
      </w:r>
      <w:r>
        <w:rPr>
          <w:rFonts w:ascii="Times New Roman" w:hAnsi="Times New Roman"/>
          <w:kern w:val="0"/>
          <w:sz w:val="24"/>
          <w:szCs w:val="24"/>
          <w:u w:val="single"/>
        </w:rPr>
        <w:t>，具体见下表。</w:t>
      </w:r>
    </w:p>
    <w:p>
      <w:pPr>
        <w:jc w:val="center"/>
        <w:rPr>
          <w:rFonts w:ascii="Times New Roman" w:hAnsi="Times New Roman"/>
          <w:b/>
          <w:sz w:val="24"/>
          <w:szCs w:val="24"/>
          <w:u w:val="single"/>
        </w:rPr>
      </w:pPr>
      <w:r>
        <w:rPr>
          <w:rFonts w:ascii="Times New Roman" w:hAnsi="Times New Roman"/>
          <w:b/>
          <w:sz w:val="24"/>
          <w:szCs w:val="24"/>
          <w:u w:val="single"/>
        </w:rPr>
        <w:t>表3.2.3.1-2项目CFB锅炉掺烧油泥污染源强</w:t>
      </w:r>
    </w:p>
    <w:tbl>
      <w:tblPr>
        <w:tblStyle w:val="45"/>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959"/>
        <w:gridCol w:w="1837"/>
        <w:gridCol w:w="2186"/>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78"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掺烧情景</w:t>
            </w:r>
          </w:p>
        </w:tc>
        <w:tc>
          <w:tcPr>
            <w:tcW w:w="1959"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污染因子</w:t>
            </w:r>
          </w:p>
        </w:tc>
        <w:tc>
          <w:tcPr>
            <w:tcW w:w="1837"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排放浓度（mg/m</w:t>
            </w:r>
            <w:r>
              <w:rPr>
                <w:rFonts w:ascii="Times New Roman" w:hAnsi="Times New Roman"/>
                <w:b/>
                <w:spacing w:val="6"/>
                <w:kern w:val="0"/>
                <w:szCs w:val="21"/>
                <w:u w:val="single"/>
                <w:vertAlign w:val="superscript"/>
              </w:rPr>
              <w:t>3</w:t>
            </w:r>
            <w:r>
              <w:rPr>
                <w:rFonts w:ascii="Times New Roman" w:hAnsi="Times New Roman"/>
                <w:b/>
                <w:spacing w:val="6"/>
                <w:kern w:val="0"/>
                <w:szCs w:val="21"/>
                <w:u w:val="single"/>
              </w:rPr>
              <w:t>）</w:t>
            </w:r>
          </w:p>
        </w:tc>
        <w:tc>
          <w:tcPr>
            <w:tcW w:w="2186"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排放速率（kg/h）</w:t>
            </w:r>
          </w:p>
        </w:tc>
        <w:tc>
          <w:tcPr>
            <w:tcW w:w="1898"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1台锅炉单独掺烧</w:t>
            </w:r>
          </w:p>
        </w:tc>
        <w:tc>
          <w:tcPr>
            <w:tcW w:w="1959" w:type="dxa"/>
            <w:vAlign w:val="center"/>
          </w:tcPr>
          <w:p>
            <w:pPr>
              <w:jc w:val="center"/>
              <w:rPr>
                <w:rFonts w:ascii="Times New Roman" w:hAnsi="Times New Roman"/>
                <w:szCs w:val="21"/>
                <w:u w:val="single"/>
              </w:rPr>
            </w:pPr>
            <w:r>
              <w:rPr>
                <w:rFonts w:ascii="Times New Roman" w:hAnsi="Times New Roman"/>
                <w:szCs w:val="21"/>
                <w:u w:val="single"/>
              </w:rPr>
              <w:t>烟气量</w:t>
            </w:r>
          </w:p>
        </w:tc>
        <w:tc>
          <w:tcPr>
            <w:tcW w:w="1837"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2186"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238524m</w:t>
            </w:r>
            <w:r>
              <w:rPr>
                <w:rFonts w:ascii="Times New Roman" w:hAnsi="Times New Roman"/>
                <w:spacing w:val="6"/>
                <w:kern w:val="0"/>
                <w:szCs w:val="21"/>
                <w:u w:val="single"/>
                <w:vertAlign w:val="superscript"/>
              </w:rPr>
              <w:t>3</w:t>
            </w:r>
            <w:r>
              <w:rPr>
                <w:rFonts w:ascii="Times New Roman" w:hAnsi="Times New Roman"/>
                <w:spacing w:val="6"/>
                <w:kern w:val="0"/>
                <w:szCs w:val="21"/>
                <w:u w:val="single"/>
              </w:rPr>
              <w:t>/h</w:t>
            </w:r>
          </w:p>
        </w:tc>
        <w:tc>
          <w:tcPr>
            <w:tcW w:w="189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掺烧试验时实测数据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7.6</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1.81</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二氧化硫</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8</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1.96</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氮氧化物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11</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2.62</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镍</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0.0022</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0.0005</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二噁英</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0.021ng/m</w:t>
            </w:r>
            <w:r>
              <w:rPr>
                <w:rFonts w:ascii="Times New Roman" w:hAnsi="Times New Roman"/>
                <w:szCs w:val="21"/>
                <w:u w:val="single"/>
                <w:vertAlign w:val="superscript"/>
              </w:rPr>
              <w:t>3</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0.005mg/h</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2台锅炉同时掺烧</w:t>
            </w:r>
          </w:p>
        </w:tc>
        <w:tc>
          <w:tcPr>
            <w:tcW w:w="1959" w:type="dxa"/>
            <w:vAlign w:val="center"/>
          </w:tcPr>
          <w:p>
            <w:pPr>
              <w:jc w:val="center"/>
              <w:rPr>
                <w:rFonts w:ascii="Times New Roman" w:hAnsi="Times New Roman"/>
                <w:szCs w:val="21"/>
                <w:u w:val="single"/>
              </w:rPr>
            </w:pPr>
            <w:r>
              <w:rPr>
                <w:rFonts w:ascii="Times New Roman" w:hAnsi="Times New Roman"/>
                <w:szCs w:val="21"/>
                <w:u w:val="single"/>
              </w:rPr>
              <w:t>烟气量</w:t>
            </w:r>
          </w:p>
        </w:tc>
        <w:tc>
          <w:tcPr>
            <w:tcW w:w="1837"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2186" w:type="dxa"/>
            <w:vAlign w:val="center"/>
          </w:tcPr>
          <w:p>
            <w:pPr>
              <w:jc w:val="center"/>
              <w:rPr>
                <w:rFonts w:ascii="Times New Roman" w:hAnsi="Times New Roman"/>
                <w:spacing w:val="6"/>
                <w:kern w:val="0"/>
                <w:szCs w:val="21"/>
                <w:u w:val="single"/>
              </w:rPr>
            </w:pPr>
            <w:r>
              <w:rPr>
                <w:rFonts w:ascii="Times New Roman" w:hAnsi="Times New Roman"/>
                <w:sz w:val="22"/>
                <w:u w:val="single"/>
              </w:rPr>
              <w:t>477048</w:t>
            </w:r>
            <w:r>
              <w:rPr>
                <w:rFonts w:ascii="Times New Roman" w:hAnsi="Times New Roman"/>
                <w:spacing w:val="6"/>
                <w:kern w:val="0"/>
                <w:szCs w:val="21"/>
                <w:u w:val="single"/>
              </w:rPr>
              <w:t>m</w:t>
            </w:r>
            <w:r>
              <w:rPr>
                <w:rFonts w:ascii="Times New Roman" w:hAnsi="Times New Roman"/>
                <w:spacing w:val="6"/>
                <w:kern w:val="0"/>
                <w:szCs w:val="21"/>
                <w:u w:val="single"/>
                <w:vertAlign w:val="superscript"/>
              </w:rPr>
              <w:t>3</w:t>
            </w:r>
            <w:r>
              <w:rPr>
                <w:rFonts w:ascii="Times New Roman" w:hAnsi="Times New Roman"/>
                <w:spacing w:val="6"/>
                <w:kern w:val="0"/>
                <w:szCs w:val="21"/>
                <w:u w:val="single"/>
              </w:rPr>
              <w:t>/h</w:t>
            </w:r>
          </w:p>
        </w:tc>
        <w:tc>
          <w:tcPr>
            <w:tcW w:w="189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类比1台锅炉单独掺烧时的数据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7.6</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3.62</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二氧化硫</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8</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3.92</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氮氧化物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11</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5.24</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镍</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0.0022</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0.001</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二噁英</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0.021ng/m</w:t>
            </w:r>
            <w:r>
              <w:rPr>
                <w:rFonts w:ascii="Times New Roman" w:hAnsi="Times New Roman"/>
                <w:szCs w:val="21"/>
                <w:u w:val="single"/>
                <w:vertAlign w:val="superscript"/>
              </w:rPr>
              <w:t>3</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0.01 mg/h</w:t>
            </w:r>
          </w:p>
        </w:tc>
        <w:tc>
          <w:tcPr>
            <w:tcW w:w="1898" w:type="dxa"/>
            <w:vMerge w:val="continue"/>
            <w:vAlign w:val="center"/>
          </w:tcPr>
          <w:p>
            <w:pPr>
              <w:ind w:right="-113"/>
              <w:jc w:val="center"/>
              <w:rPr>
                <w:rFonts w:ascii="Times New Roman" w:hAnsi="Times New Roman"/>
                <w:spacing w:val="6"/>
                <w:kern w:val="0"/>
                <w:szCs w:val="21"/>
                <w:u w:val="single"/>
              </w:rPr>
            </w:pPr>
          </w:p>
        </w:tc>
      </w:tr>
    </w:tbl>
    <w:p>
      <w:pPr>
        <w:jc w:val="center"/>
        <w:rPr>
          <w:rFonts w:ascii="Times New Roman" w:hAnsi="Times New Roman"/>
          <w:b/>
          <w:sz w:val="24"/>
          <w:szCs w:val="24"/>
          <w:u w:val="single"/>
        </w:rPr>
      </w:pPr>
    </w:p>
    <w:p>
      <w:pPr>
        <w:spacing w:line="360" w:lineRule="auto"/>
        <w:ind w:firstLine="510"/>
        <w:rPr>
          <w:rFonts w:ascii="Times New Roman" w:hAnsi="Times New Roman"/>
          <w:sz w:val="24"/>
          <w:szCs w:val="24"/>
          <w:u w:val="single"/>
        </w:rPr>
      </w:pPr>
      <w:r>
        <w:rPr>
          <w:rFonts w:ascii="Times New Roman" w:hAnsi="Times New Roman"/>
          <w:sz w:val="24"/>
          <w:szCs w:val="24"/>
          <w:u w:val="single"/>
        </w:rPr>
        <w:t>注：①二噁英的单位分别为：排放浓度ngTEQ/Nm</w:t>
      </w:r>
      <w:r>
        <w:rPr>
          <w:rFonts w:ascii="Times New Roman" w:hAnsi="Times New Roman"/>
          <w:sz w:val="24"/>
          <w:szCs w:val="24"/>
          <w:u w:val="single"/>
          <w:vertAlign w:val="superscript"/>
        </w:rPr>
        <w:t>3</w:t>
      </w:r>
      <w:r>
        <w:rPr>
          <w:rFonts w:ascii="Times New Roman" w:hAnsi="Times New Roman"/>
          <w:sz w:val="24"/>
          <w:szCs w:val="24"/>
          <w:u w:val="single"/>
        </w:rPr>
        <w:t>，排放速率ugTEQ/h，排放量mgTEQ/a，排放标准ngTEQ/Nm</w:t>
      </w:r>
      <w:r>
        <w:rPr>
          <w:rFonts w:ascii="Times New Roman" w:hAnsi="Times New Roman"/>
          <w:sz w:val="24"/>
          <w:szCs w:val="24"/>
          <w:u w:val="single"/>
          <w:vertAlign w:val="superscript"/>
        </w:rPr>
        <w:t>3</w:t>
      </w:r>
    </w:p>
    <w:p>
      <w:pPr>
        <w:spacing w:line="360" w:lineRule="auto"/>
        <w:ind w:firstLine="510"/>
        <w:rPr>
          <w:rFonts w:ascii="Times New Roman" w:hAnsi="Times New Roman"/>
          <w:sz w:val="24"/>
          <w:szCs w:val="24"/>
          <w:u w:val="single"/>
        </w:rPr>
      </w:pPr>
      <w:r>
        <w:rPr>
          <w:rFonts w:ascii="Times New Roman" w:hAnsi="Times New Roman"/>
          <w:sz w:val="24"/>
          <w:szCs w:val="24"/>
          <w:u w:val="single"/>
        </w:rPr>
        <w:t>②烟尘 、氮氧化物 、二氧化硫的基准氧含量 为6%，镍、铜、汞、铅、二噁英的基准氧含量为11%。</w:t>
      </w:r>
    </w:p>
    <w:p>
      <w:pPr>
        <w:spacing w:line="360" w:lineRule="auto"/>
        <w:ind w:firstLine="510"/>
        <w:rPr>
          <w:rFonts w:ascii="Times New Roman" w:hAnsi="Times New Roman"/>
          <w:sz w:val="24"/>
          <w:szCs w:val="24"/>
          <w:u w:val="single"/>
        </w:rPr>
      </w:pPr>
      <w:r>
        <w:rPr>
          <w:rFonts w:ascii="Times New Roman" w:hAnsi="Times New Roman"/>
          <w:sz w:val="24"/>
          <w:szCs w:val="24"/>
          <w:u w:val="single"/>
        </w:rPr>
        <w:t>③林格曼黑度执行《火电厂大气污染物排放标准》（GB13223-2011）表1 排放限值、烟尘、SO</w:t>
      </w:r>
      <w:r>
        <w:rPr>
          <w:rFonts w:ascii="Times New Roman" w:hAnsi="Times New Roman"/>
          <w:sz w:val="24"/>
          <w:szCs w:val="24"/>
          <w:u w:val="single"/>
          <w:vertAlign w:val="subscript"/>
        </w:rPr>
        <w:t>2</w:t>
      </w:r>
      <w:r>
        <w:rPr>
          <w:rFonts w:ascii="Times New Roman" w:hAnsi="Times New Roman"/>
          <w:sz w:val="24"/>
          <w:szCs w:val="24"/>
          <w:u w:val="single"/>
        </w:rPr>
        <w:t>、NO</w:t>
      </w:r>
      <w:r>
        <w:rPr>
          <w:rFonts w:ascii="Times New Roman" w:hAnsi="Times New Roman"/>
          <w:sz w:val="24"/>
          <w:szCs w:val="24"/>
          <w:u w:val="single"/>
          <w:vertAlign w:val="subscript"/>
        </w:rPr>
        <w:t>X、</w:t>
      </w:r>
      <w:r>
        <w:rPr>
          <w:rFonts w:ascii="Times New Roman" w:hAnsi="Times New Roman"/>
          <w:sz w:val="24"/>
          <w:szCs w:val="24"/>
          <w:u w:val="single"/>
        </w:rPr>
        <w:t>汞执行《全面实施燃煤电厂超低排放和节能改造工作方案》要求，镍、铅、铜、二噁英参照执行《危险废物焚烧污染控制标准》GB18484-2001表3限值要求。</w:t>
      </w:r>
    </w:p>
    <w:p>
      <w:pPr>
        <w:pStyle w:val="281"/>
        <w:tabs>
          <w:tab w:val="left" w:pos="3600"/>
        </w:tabs>
        <w:spacing w:line="360" w:lineRule="auto"/>
        <w:ind w:firstLine="0"/>
        <w:outlineLvl w:val="3"/>
        <w:rPr>
          <w:rFonts w:ascii="Times New Roman" w:hAnsi="Times New Roman" w:cs="Times New Roman"/>
          <w:kern w:val="0"/>
          <w:sz w:val="24"/>
          <w:szCs w:val="24"/>
        </w:rPr>
      </w:pPr>
      <w:r>
        <w:rPr>
          <w:rFonts w:ascii="Times New Roman" w:hAnsi="Times New Roman" w:cs="Times New Roman"/>
          <w:kern w:val="0"/>
          <w:sz w:val="24"/>
          <w:szCs w:val="24"/>
        </w:rPr>
        <w:t>3.2.3.2废水</w:t>
      </w:r>
      <w:bookmarkEnd w:id="243"/>
    </w:p>
    <w:p>
      <w:pPr>
        <w:spacing w:line="360" w:lineRule="auto"/>
        <w:ind w:firstLine="510"/>
        <w:jc w:val="left"/>
        <w:rPr>
          <w:rFonts w:ascii="Times New Roman" w:hAnsi="Times New Roman"/>
          <w:sz w:val="24"/>
          <w:szCs w:val="24"/>
        </w:rPr>
      </w:pPr>
      <w:r>
        <w:rPr>
          <w:rFonts w:ascii="Times New Roman" w:hAnsi="Times New Roman"/>
          <w:sz w:val="24"/>
          <w:szCs w:val="24"/>
        </w:rPr>
        <w:t>项目废水主要是CFB锅炉排污水与CFB烟脱废水，均进污水处理厂含盐污水处理系统。因油泥浮渣掺烧量小于1：50,项目废水排放量及浓度基本不会发生变化。参照长岭分公司2019年人工监测统计数据，项目废水排放情况见下表。</w:t>
      </w:r>
    </w:p>
    <w:p>
      <w:pPr>
        <w:spacing w:line="360" w:lineRule="auto"/>
        <w:ind w:firstLine="510"/>
        <w:jc w:val="center"/>
        <w:rPr>
          <w:rFonts w:ascii="Times New Roman" w:hAnsi="Times New Roman"/>
          <w:b/>
          <w:sz w:val="24"/>
          <w:szCs w:val="24"/>
        </w:rPr>
      </w:pPr>
    </w:p>
    <w:p>
      <w:pPr>
        <w:spacing w:line="360" w:lineRule="auto"/>
        <w:ind w:firstLine="510"/>
        <w:jc w:val="center"/>
        <w:rPr>
          <w:rFonts w:ascii="Times New Roman" w:hAnsi="Times New Roman"/>
          <w:b/>
          <w:sz w:val="24"/>
          <w:szCs w:val="24"/>
        </w:rPr>
      </w:pPr>
    </w:p>
    <w:p>
      <w:pPr>
        <w:spacing w:line="360" w:lineRule="auto"/>
        <w:ind w:firstLine="510"/>
        <w:jc w:val="center"/>
        <w:rPr>
          <w:rFonts w:ascii="Times New Roman" w:hAnsi="Times New Roman"/>
          <w:b/>
          <w:sz w:val="24"/>
          <w:szCs w:val="24"/>
        </w:rPr>
      </w:pPr>
      <w:r>
        <w:rPr>
          <w:rFonts w:ascii="Times New Roman" w:hAnsi="Times New Roman"/>
          <w:b/>
          <w:sz w:val="24"/>
          <w:szCs w:val="24"/>
        </w:rPr>
        <w:t>表3.2.3.2-1项目废水产生排放情况一览表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3"/>
        <w:gridCol w:w="1451"/>
        <w:gridCol w:w="1086"/>
        <w:gridCol w:w="848"/>
        <w:gridCol w:w="2387"/>
        <w:gridCol w:w="1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23" w:type="dxa"/>
            <w:vAlign w:val="center"/>
          </w:tcPr>
          <w:p>
            <w:pPr>
              <w:jc w:val="center"/>
              <w:rPr>
                <w:rFonts w:ascii="Times New Roman" w:hAnsi="Times New Roman"/>
                <w:b/>
                <w:szCs w:val="21"/>
              </w:rPr>
            </w:pPr>
            <w:r>
              <w:rPr>
                <w:rFonts w:ascii="Times New Roman" w:hAnsi="Times New Roman"/>
                <w:b/>
                <w:szCs w:val="21"/>
              </w:rPr>
              <w:t>序号</w:t>
            </w:r>
          </w:p>
        </w:tc>
        <w:tc>
          <w:tcPr>
            <w:tcW w:w="1451" w:type="dxa"/>
            <w:vAlign w:val="center"/>
          </w:tcPr>
          <w:p>
            <w:pPr>
              <w:jc w:val="center"/>
              <w:rPr>
                <w:rFonts w:ascii="Times New Roman" w:hAnsi="Times New Roman"/>
                <w:b/>
                <w:szCs w:val="21"/>
              </w:rPr>
            </w:pPr>
            <w:r>
              <w:rPr>
                <w:rFonts w:ascii="Times New Roman" w:hAnsi="Times New Roman"/>
                <w:b/>
                <w:szCs w:val="21"/>
              </w:rPr>
              <w:t>污水来源</w:t>
            </w:r>
          </w:p>
        </w:tc>
        <w:tc>
          <w:tcPr>
            <w:tcW w:w="1086" w:type="dxa"/>
            <w:vAlign w:val="center"/>
          </w:tcPr>
          <w:p>
            <w:pPr>
              <w:jc w:val="center"/>
              <w:rPr>
                <w:rFonts w:ascii="Times New Roman" w:hAnsi="Times New Roman"/>
                <w:b/>
                <w:szCs w:val="21"/>
              </w:rPr>
            </w:pPr>
            <w:r>
              <w:rPr>
                <w:rFonts w:ascii="Times New Roman" w:hAnsi="Times New Roman"/>
                <w:b/>
                <w:szCs w:val="21"/>
              </w:rPr>
              <w:t>污水种类</w:t>
            </w:r>
          </w:p>
        </w:tc>
        <w:tc>
          <w:tcPr>
            <w:tcW w:w="848" w:type="dxa"/>
            <w:vAlign w:val="center"/>
          </w:tcPr>
          <w:p>
            <w:pPr>
              <w:jc w:val="center"/>
              <w:rPr>
                <w:rFonts w:ascii="Times New Roman" w:hAnsi="Times New Roman"/>
                <w:b/>
                <w:szCs w:val="21"/>
              </w:rPr>
            </w:pPr>
            <w:r>
              <w:rPr>
                <w:rFonts w:ascii="Times New Roman" w:hAnsi="Times New Roman"/>
                <w:b/>
                <w:szCs w:val="21"/>
              </w:rPr>
              <w:t>排放量t/h</w:t>
            </w:r>
          </w:p>
        </w:tc>
        <w:tc>
          <w:tcPr>
            <w:tcW w:w="2387" w:type="dxa"/>
            <w:vAlign w:val="center"/>
          </w:tcPr>
          <w:p>
            <w:pPr>
              <w:jc w:val="center"/>
              <w:rPr>
                <w:rFonts w:ascii="Times New Roman" w:hAnsi="Times New Roman"/>
                <w:b/>
                <w:szCs w:val="21"/>
              </w:rPr>
            </w:pPr>
            <w:r>
              <w:rPr>
                <w:rFonts w:ascii="Times New Roman" w:hAnsi="Times New Roman"/>
                <w:b/>
                <w:szCs w:val="21"/>
              </w:rPr>
              <w:t>主要污染物</w:t>
            </w:r>
          </w:p>
        </w:tc>
        <w:tc>
          <w:tcPr>
            <w:tcW w:w="1454" w:type="dxa"/>
            <w:vAlign w:val="center"/>
          </w:tcPr>
          <w:p>
            <w:pPr>
              <w:jc w:val="center"/>
              <w:rPr>
                <w:rFonts w:ascii="Times New Roman" w:hAnsi="Times New Roman"/>
                <w:b/>
                <w:szCs w:val="21"/>
              </w:rPr>
            </w:pPr>
            <w:r>
              <w:rPr>
                <w:rFonts w:ascii="Times New Roman" w:hAnsi="Times New Roman"/>
                <w:b/>
                <w:szCs w:val="21"/>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3" w:type="dxa"/>
            <w:vAlign w:val="center"/>
          </w:tcPr>
          <w:p>
            <w:pPr>
              <w:rPr>
                <w:rFonts w:ascii="Times New Roman" w:hAnsi="Times New Roman"/>
                <w:szCs w:val="21"/>
              </w:rPr>
            </w:pPr>
            <w:r>
              <w:rPr>
                <w:rFonts w:ascii="Times New Roman" w:hAnsi="Times New Roman"/>
                <w:szCs w:val="21"/>
              </w:rPr>
              <w:t>1</w:t>
            </w:r>
          </w:p>
        </w:tc>
        <w:tc>
          <w:tcPr>
            <w:tcW w:w="1451" w:type="dxa"/>
            <w:vAlign w:val="center"/>
          </w:tcPr>
          <w:p>
            <w:pPr>
              <w:jc w:val="center"/>
              <w:rPr>
                <w:rFonts w:ascii="Times New Roman" w:hAnsi="Times New Roman"/>
                <w:szCs w:val="21"/>
              </w:rPr>
            </w:pPr>
            <w:r>
              <w:rPr>
                <w:rFonts w:ascii="Times New Roman" w:hAnsi="Times New Roman"/>
                <w:szCs w:val="21"/>
              </w:rPr>
              <w:t>CFB锅炉排污水</w:t>
            </w:r>
          </w:p>
        </w:tc>
        <w:tc>
          <w:tcPr>
            <w:tcW w:w="1086" w:type="dxa"/>
            <w:vMerge w:val="restart"/>
            <w:vAlign w:val="center"/>
          </w:tcPr>
          <w:p>
            <w:pPr>
              <w:jc w:val="center"/>
              <w:rPr>
                <w:rFonts w:ascii="Times New Roman" w:hAnsi="Times New Roman"/>
                <w:szCs w:val="21"/>
              </w:rPr>
            </w:pPr>
            <w:r>
              <w:rPr>
                <w:rFonts w:ascii="Times New Roman" w:hAnsi="Times New Roman"/>
                <w:szCs w:val="21"/>
              </w:rPr>
              <w:t>废水</w:t>
            </w:r>
          </w:p>
        </w:tc>
        <w:tc>
          <w:tcPr>
            <w:tcW w:w="848" w:type="dxa"/>
            <w:vAlign w:val="center"/>
          </w:tcPr>
          <w:p>
            <w:pPr>
              <w:jc w:val="center"/>
              <w:rPr>
                <w:rFonts w:ascii="Times New Roman" w:hAnsi="Times New Roman"/>
                <w:szCs w:val="21"/>
              </w:rPr>
            </w:pPr>
            <w:r>
              <w:rPr>
                <w:rFonts w:ascii="Times New Roman" w:hAnsi="Times New Roman"/>
                <w:szCs w:val="21"/>
              </w:rPr>
              <w:t>0.4</w:t>
            </w:r>
          </w:p>
        </w:tc>
        <w:tc>
          <w:tcPr>
            <w:tcW w:w="2387" w:type="dxa"/>
            <w:vMerge w:val="restart"/>
            <w:vAlign w:val="center"/>
          </w:tcPr>
          <w:p>
            <w:pPr>
              <w:jc w:val="center"/>
              <w:rPr>
                <w:rFonts w:ascii="Times New Roman" w:hAnsi="Times New Roman"/>
                <w:szCs w:val="21"/>
              </w:rPr>
            </w:pPr>
            <w:r>
              <w:rPr>
                <w:rFonts w:ascii="Times New Roman" w:hAnsi="Times New Roman"/>
                <w:szCs w:val="21"/>
              </w:rPr>
              <w:t>SS：200mg/l、COD：306mg/l、氨氮:48mg/l</w:t>
            </w:r>
          </w:p>
        </w:tc>
        <w:tc>
          <w:tcPr>
            <w:tcW w:w="1454" w:type="dxa"/>
            <w:vMerge w:val="restart"/>
            <w:vAlign w:val="center"/>
          </w:tcPr>
          <w:p>
            <w:pPr>
              <w:jc w:val="center"/>
              <w:rPr>
                <w:rFonts w:ascii="Times New Roman" w:hAnsi="Times New Roman"/>
                <w:szCs w:val="21"/>
              </w:rPr>
            </w:pPr>
            <w:r>
              <w:rPr>
                <w:rFonts w:ascii="Times New Roman" w:hAnsi="Times New Roman"/>
                <w:szCs w:val="21"/>
              </w:rPr>
              <w:t>进污水处理厂含盐污水处理系统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3" w:type="dxa"/>
            <w:shd w:val="clear" w:color="auto" w:fill="auto"/>
            <w:vAlign w:val="center"/>
          </w:tcPr>
          <w:p>
            <w:pPr>
              <w:rPr>
                <w:rFonts w:ascii="Times New Roman" w:hAnsi="Times New Roman"/>
                <w:szCs w:val="21"/>
              </w:rPr>
            </w:pPr>
            <w:r>
              <w:rPr>
                <w:rFonts w:ascii="Times New Roman" w:hAnsi="Times New Roman"/>
                <w:szCs w:val="21"/>
              </w:rPr>
              <w:t>2</w:t>
            </w:r>
          </w:p>
        </w:tc>
        <w:tc>
          <w:tcPr>
            <w:tcW w:w="1451" w:type="dxa"/>
            <w:shd w:val="clear" w:color="auto" w:fill="auto"/>
            <w:vAlign w:val="center"/>
          </w:tcPr>
          <w:p>
            <w:pPr>
              <w:jc w:val="center"/>
              <w:rPr>
                <w:rFonts w:ascii="Times New Roman" w:hAnsi="Times New Roman"/>
                <w:szCs w:val="21"/>
              </w:rPr>
            </w:pPr>
            <w:r>
              <w:rPr>
                <w:rFonts w:ascii="Times New Roman" w:hAnsi="Times New Roman"/>
                <w:szCs w:val="21"/>
              </w:rPr>
              <w:t>CFB烟脱废水</w:t>
            </w:r>
          </w:p>
        </w:tc>
        <w:tc>
          <w:tcPr>
            <w:tcW w:w="1086" w:type="dxa"/>
            <w:vMerge w:val="continue"/>
            <w:shd w:val="clear" w:color="auto" w:fill="auto"/>
            <w:vAlign w:val="center"/>
          </w:tcPr>
          <w:p>
            <w:pPr>
              <w:jc w:val="center"/>
              <w:rPr>
                <w:rFonts w:ascii="Times New Roman" w:hAnsi="Times New Roman"/>
                <w:szCs w:val="21"/>
              </w:rPr>
            </w:pPr>
          </w:p>
        </w:tc>
        <w:tc>
          <w:tcPr>
            <w:tcW w:w="848" w:type="dxa"/>
            <w:shd w:val="clear" w:color="auto" w:fill="auto"/>
            <w:vAlign w:val="center"/>
          </w:tcPr>
          <w:p>
            <w:pPr>
              <w:jc w:val="center"/>
              <w:rPr>
                <w:rFonts w:ascii="Times New Roman" w:hAnsi="Times New Roman"/>
                <w:szCs w:val="21"/>
              </w:rPr>
            </w:pPr>
            <w:r>
              <w:rPr>
                <w:rFonts w:ascii="Times New Roman" w:hAnsi="Times New Roman"/>
                <w:szCs w:val="21"/>
              </w:rPr>
              <w:t>0.92</w:t>
            </w:r>
          </w:p>
        </w:tc>
        <w:tc>
          <w:tcPr>
            <w:tcW w:w="2387" w:type="dxa"/>
            <w:vMerge w:val="continue"/>
            <w:vAlign w:val="center"/>
          </w:tcPr>
          <w:p>
            <w:pPr>
              <w:jc w:val="center"/>
              <w:rPr>
                <w:rFonts w:ascii="Times New Roman" w:hAnsi="Times New Roman"/>
                <w:szCs w:val="21"/>
              </w:rPr>
            </w:pPr>
          </w:p>
        </w:tc>
        <w:tc>
          <w:tcPr>
            <w:tcW w:w="1454" w:type="dxa"/>
            <w:vMerge w:val="continue"/>
            <w:vAlign w:val="center"/>
          </w:tcPr>
          <w:p>
            <w:pPr>
              <w:jc w:val="center"/>
              <w:rPr>
                <w:rFonts w:ascii="Times New Roman" w:hAnsi="Times New Roman"/>
                <w:szCs w:val="21"/>
              </w:rPr>
            </w:pPr>
          </w:p>
        </w:tc>
      </w:tr>
    </w:tbl>
    <w:p>
      <w:pPr>
        <w:spacing w:line="360" w:lineRule="auto"/>
        <w:rPr>
          <w:rFonts w:ascii="Times New Roman" w:hAnsi="Times New Roman"/>
          <w:b/>
          <w:sz w:val="24"/>
          <w:szCs w:val="24"/>
        </w:rPr>
      </w:pPr>
    </w:p>
    <w:p>
      <w:pPr>
        <w:pStyle w:val="281"/>
        <w:tabs>
          <w:tab w:val="left" w:pos="3600"/>
        </w:tabs>
        <w:spacing w:line="360" w:lineRule="auto"/>
        <w:ind w:firstLine="0"/>
        <w:outlineLvl w:val="3"/>
        <w:rPr>
          <w:rFonts w:ascii="Times New Roman" w:hAnsi="Times New Roman" w:cs="Times New Roman"/>
          <w:kern w:val="0"/>
          <w:sz w:val="24"/>
          <w:szCs w:val="24"/>
          <w:u w:val="single"/>
        </w:rPr>
      </w:pPr>
      <w:bookmarkStart w:id="244" w:name="_Toc484073436"/>
      <w:r>
        <w:rPr>
          <w:rFonts w:ascii="Times New Roman" w:hAnsi="Times New Roman" w:cs="Times New Roman"/>
          <w:kern w:val="0"/>
          <w:sz w:val="24"/>
          <w:szCs w:val="24"/>
          <w:u w:val="single"/>
        </w:rPr>
        <w:t>3.2.3.3固体废物</w:t>
      </w:r>
      <w:bookmarkEnd w:id="244"/>
    </w:p>
    <w:p>
      <w:pPr>
        <w:spacing w:line="360" w:lineRule="auto"/>
        <w:ind w:firstLine="510"/>
        <w:rPr>
          <w:rFonts w:ascii="Times New Roman" w:hAnsi="Times New Roman"/>
          <w:sz w:val="24"/>
          <w:szCs w:val="24"/>
          <w:u w:val="single"/>
        </w:rPr>
      </w:pPr>
      <w:r>
        <w:rPr>
          <w:rFonts w:ascii="Times New Roman" w:hAnsi="Times New Roman"/>
          <w:sz w:val="24"/>
          <w:szCs w:val="24"/>
          <w:u w:val="single"/>
        </w:rPr>
        <w:t>项目固体废物主要是CFB锅炉燃烧产生的炉渣、炉灰，项目改造后炉灰、炉渣产生量变化不大，参照2019年长岭分公司统计数据，年产生锅炉炉渣、炉灰58596t/a。锅炉炉渣、炉灰属于一般固废，外售水泥厂综合利用。</w:t>
      </w:r>
    </w:p>
    <w:p>
      <w:pPr>
        <w:spacing w:line="360" w:lineRule="auto"/>
        <w:ind w:firstLine="510"/>
        <w:rPr>
          <w:rFonts w:ascii="Times New Roman" w:hAnsi="Times New Roman"/>
          <w:b/>
          <w:bCs/>
          <w:sz w:val="24"/>
          <w:szCs w:val="24"/>
          <w:u w:val="single"/>
        </w:rPr>
      </w:pPr>
      <w:r>
        <w:rPr>
          <w:rFonts w:ascii="Times New Roman" w:hAnsi="Times New Roman"/>
          <w:sz w:val="24"/>
          <w:szCs w:val="24"/>
          <w:u w:val="single"/>
        </w:rPr>
        <w:t>长岭分公司委托湖南昌旭环保科技有限公司日对CFB锅炉灰、渣成分及浸出毒性进行了检测，检测结果如下：</w:t>
      </w:r>
    </w:p>
    <w:p>
      <w:pPr>
        <w:spacing w:line="360" w:lineRule="auto"/>
        <w:rPr>
          <w:rFonts w:ascii="Times New Roman" w:hAnsi="Times New Roman"/>
          <w:b/>
          <w:bCs/>
          <w:sz w:val="24"/>
          <w:szCs w:val="24"/>
          <w:u w:val="single"/>
        </w:rPr>
      </w:pPr>
    </w:p>
    <w:p>
      <w:pPr>
        <w:spacing w:line="360" w:lineRule="auto"/>
        <w:ind w:firstLine="510"/>
        <w:jc w:val="center"/>
        <w:rPr>
          <w:rFonts w:ascii="Times New Roman" w:hAnsi="Times New Roman"/>
          <w:bCs/>
          <w:sz w:val="24"/>
          <w:szCs w:val="24"/>
          <w:u w:val="single"/>
        </w:rPr>
      </w:pPr>
      <w:r>
        <w:rPr>
          <w:rFonts w:ascii="Times New Roman" w:hAnsi="Times New Roman"/>
          <w:b/>
          <w:bCs/>
          <w:sz w:val="24"/>
          <w:szCs w:val="24"/>
          <w:u w:val="single"/>
        </w:rPr>
        <w:t>表</w:t>
      </w:r>
      <w:r>
        <w:rPr>
          <w:rFonts w:ascii="Times New Roman" w:hAnsi="Times New Roman"/>
          <w:b/>
          <w:kern w:val="0"/>
          <w:sz w:val="24"/>
          <w:szCs w:val="24"/>
          <w:u w:val="single"/>
        </w:rPr>
        <w:t>3.2.3.3-1</w:t>
      </w:r>
      <w:r>
        <w:rPr>
          <w:rFonts w:ascii="Times New Roman" w:hAnsi="Times New Roman"/>
          <w:b/>
          <w:bCs/>
          <w:sz w:val="24"/>
          <w:szCs w:val="24"/>
          <w:u w:val="single"/>
        </w:rPr>
        <w:t xml:space="preserve"> 锅炉灰、</w:t>
      </w:r>
      <w:r>
        <w:rPr>
          <w:rFonts w:ascii="Times New Roman" w:hAnsi="Times New Roman"/>
          <w:b/>
          <w:sz w:val="24"/>
          <w:szCs w:val="24"/>
          <w:u w:val="single"/>
        </w:rPr>
        <w:t>渣浸出毒性检测结果一览表</w:t>
      </w:r>
    </w:p>
    <w:tbl>
      <w:tblPr>
        <w:tblStyle w:val="45"/>
        <w:tblW w:w="85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8"/>
        <w:gridCol w:w="1237"/>
        <w:gridCol w:w="1643"/>
        <w:gridCol w:w="1574"/>
        <w:gridCol w:w="1565"/>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restart"/>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采样日期</w:t>
            </w:r>
          </w:p>
        </w:tc>
        <w:tc>
          <w:tcPr>
            <w:tcW w:w="1237" w:type="dxa"/>
            <w:vMerge w:val="restart"/>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点位名称</w:t>
            </w:r>
          </w:p>
        </w:tc>
        <w:tc>
          <w:tcPr>
            <w:tcW w:w="1643" w:type="dxa"/>
            <w:vMerge w:val="restart"/>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检测项目</w:t>
            </w:r>
          </w:p>
        </w:tc>
        <w:tc>
          <w:tcPr>
            <w:tcW w:w="3139" w:type="dxa"/>
            <w:gridSpan w:val="2"/>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检测结果</w:t>
            </w:r>
          </w:p>
        </w:tc>
        <w:tc>
          <w:tcPr>
            <w:tcW w:w="983" w:type="dxa"/>
            <w:vMerge w:val="restart"/>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574"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硫酸硝酸法</w:t>
            </w:r>
          </w:p>
        </w:tc>
        <w:tc>
          <w:tcPr>
            <w:tcW w:w="1565"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水平振荡法</w:t>
            </w:r>
          </w:p>
        </w:tc>
        <w:tc>
          <w:tcPr>
            <w:tcW w:w="983" w:type="dxa"/>
            <w:vMerge w:val="continue"/>
            <w:tcBorders>
              <w:tl2br w:val="nil"/>
              <w:tr2bl w:val="nil"/>
            </w:tcBorders>
            <w:vAlign w:val="center"/>
          </w:tcPr>
          <w:p>
            <w:pPr>
              <w:spacing w:line="240" w:lineRule="exact"/>
              <w:jc w:val="center"/>
              <w:rPr>
                <w:rFonts w:ascii="Times New Roman" w:hAnsi="Times New Roman"/>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restart"/>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2020.3.19</w:t>
            </w:r>
          </w:p>
        </w:tc>
        <w:tc>
          <w:tcPr>
            <w:tcW w:w="1237" w:type="dxa"/>
            <w:vMerge w:val="restart"/>
            <w:tcBorders>
              <w:tl2br w:val="nil"/>
              <w:tr2bl w:val="nil"/>
            </w:tcBorders>
            <w:vAlign w:val="center"/>
          </w:tcPr>
          <w:p>
            <w:pPr>
              <w:spacing w:line="420" w:lineRule="exact"/>
              <w:jc w:val="center"/>
              <w:rPr>
                <w:rFonts w:ascii="Times New Roman" w:hAnsi="Times New Roman"/>
                <w:spacing w:val="-4"/>
                <w:szCs w:val="21"/>
                <w:u w:val="single"/>
              </w:rPr>
            </w:pPr>
            <w:r>
              <w:rPr>
                <w:rFonts w:ascii="Times New Roman" w:hAnsi="Times New Roman"/>
                <w:spacing w:val="-4"/>
                <w:szCs w:val="21"/>
                <w:u w:val="single"/>
              </w:rPr>
              <w:t>锅炉灰1#</w:t>
            </w: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铅</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0.134</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0.002</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镉</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砷</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pacing w:val="-4"/>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铜</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0.007</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镍</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0.052</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锌</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0.127</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铬</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0.057</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0.011</w:t>
            </w:r>
          </w:p>
        </w:tc>
        <w:tc>
          <w:tcPr>
            <w:tcW w:w="983" w:type="dxa"/>
            <w:tcBorders>
              <w:tl2br w:val="nil"/>
              <w:tr2bl w:val="nil"/>
            </w:tcBorders>
            <w:vAlign w:val="center"/>
          </w:tcPr>
          <w:p>
            <w:pPr>
              <w:autoSpaceDN w:val="0"/>
              <w:jc w:val="center"/>
              <w:textAlignment w:val="center"/>
              <w:rPr>
                <w:rFonts w:ascii="Times New Roman" w:hAnsi="Times New Roman"/>
                <w:bCs/>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汞</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0.415×10</w:t>
            </w:r>
            <w:r>
              <w:rPr>
                <w:rFonts w:ascii="Times New Roman" w:hAnsi="Times New Roman"/>
                <w:szCs w:val="21"/>
                <w:u w:val="single"/>
                <w:vertAlign w:val="superscript"/>
              </w:rPr>
              <w:t>-3</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0.144×10</w:t>
            </w:r>
            <w:r>
              <w:rPr>
                <w:rFonts w:ascii="Times New Roman" w:hAnsi="Times New Roman"/>
                <w:szCs w:val="21"/>
                <w:u w:val="single"/>
                <w:vertAlign w:val="superscript"/>
              </w:rPr>
              <w:t>-3</w:t>
            </w:r>
          </w:p>
        </w:tc>
        <w:tc>
          <w:tcPr>
            <w:tcW w:w="983" w:type="dxa"/>
            <w:tcBorders>
              <w:tl2br w:val="nil"/>
              <w:tr2bl w:val="nil"/>
            </w:tcBorders>
            <w:vAlign w:val="center"/>
          </w:tcPr>
          <w:p>
            <w:pPr>
              <w:autoSpaceDN w:val="0"/>
              <w:jc w:val="center"/>
              <w:textAlignment w:val="center"/>
              <w:rPr>
                <w:rFonts w:ascii="Times New Roman" w:hAnsi="Times New Roman"/>
                <w:bCs/>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氟化物</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4.63</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3.12</w:t>
            </w:r>
          </w:p>
        </w:tc>
        <w:tc>
          <w:tcPr>
            <w:tcW w:w="983" w:type="dxa"/>
            <w:tcBorders>
              <w:tl2br w:val="nil"/>
              <w:tr2bl w:val="nil"/>
            </w:tcBorders>
            <w:vAlign w:val="center"/>
          </w:tcPr>
          <w:p>
            <w:pPr>
              <w:spacing w:line="300" w:lineRule="exact"/>
              <w:jc w:val="center"/>
              <w:rPr>
                <w:rFonts w:ascii="Times New Roman" w:hAnsi="Times New Roman"/>
                <w:bCs/>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237" w:type="dxa"/>
            <w:vMerge w:val="restart"/>
            <w:tcBorders>
              <w:tl2br w:val="nil"/>
              <w:tr2bl w:val="nil"/>
            </w:tcBorders>
            <w:vAlign w:val="center"/>
          </w:tcPr>
          <w:p>
            <w:pPr>
              <w:spacing w:line="420" w:lineRule="exact"/>
              <w:jc w:val="center"/>
              <w:rPr>
                <w:rFonts w:ascii="Times New Roman" w:hAnsi="Times New Roman"/>
                <w:spacing w:val="-4"/>
                <w:szCs w:val="21"/>
                <w:u w:val="single"/>
              </w:rPr>
            </w:pPr>
            <w:r>
              <w:rPr>
                <w:rFonts w:ascii="Times New Roman" w:hAnsi="Times New Roman"/>
                <w:spacing w:val="-4"/>
                <w:szCs w:val="21"/>
                <w:u w:val="single"/>
              </w:rPr>
              <w:t>锅炉渣2#</w:t>
            </w: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铅</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1.08</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0.134</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镉</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0.7×10</w:t>
            </w:r>
            <w:r>
              <w:rPr>
                <w:rFonts w:ascii="Times New Roman" w:hAnsi="Times New Roman"/>
                <w:szCs w:val="21"/>
                <w:u w:val="single"/>
                <w:vertAlign w:val="superscript"/>
              </w:rPr>
              <w:t>-3</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砷</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0.139×10</w:t>
            </w:r>
            <w:r>
              <w:rPr>
                <w:rFonts w:ascii="Times New Roman" w:hAnsi="Times New Roman"/>
                <w:szCs w:val="21"/>
                <w:u w:val="single"/>
                <w:vertAlign w:val="superscript"/>
              </w:rPr>
              <w:t>-3</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pacing w:val="-4"/>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铜</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0.25</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镍</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6.24</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0.005</w:t>
            </w:r>
          </w:p>
        </w:tc>
        <w:tc>
          <w:tcPr>
            <w:tcW w:w="983" w:type="dxa"/>
            <w:tcBorders>
              <w:tl2br w:val="nil"/>
              <w:tr2bl w:val="nil"/>
            </w:tcBorders>
            <w:vAlign w:val="center"/>
          </w:tcPr>
          <w:p>
            <w:pPr>
              <w:autoSpaceDN w:val="0"/>
              <w:jc w:val="center"/>
              <w:textAlignment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锌</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0.236</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ND</w:t>
            </w:r>
          </w:p>
        </w:tc>
        <w:tc>
          <w:tcPr>
            <w:tcW w:w="983"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铬</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0.466</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0.08</w:t>
            </w:r>
          </w:p>
        </w:tc>
        <w:tc>
          <w:tcPr>
            <w:tcW w:w="983" w:type="dxa"/>
            <w:tcBorders>
              <w:tl2br w:val="nil"/>
              <w:tr2bl w:val="nil"/>
            </w:tcBorders>
            <w:vAlign w:val="center"/>
          </w:tcPr>
          <w:p>
            <w:pPr>
              <w:autoSpaceDN w:val="0"/>
              <w:jc w:val="center"/>
              <w:textAlignment w:val="center"/>
              <w:rPr>
                <w:rFonts w:ascii="Times New Roman" w:hAnsi="Times New Roman"/>
                <w:bCs/>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汞</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0.221×10</w:t>
            </w:r>
            <w:r>
              <w:rPr>
                <w:rFonts w:ascii="Times New Roman" w:hAnsi="Times New Roman"/>
                <w:szCs w:val="21"/>
                <w:u w:val="single"/>
                <w:vertAlign w:val="superscript"/>
              </w:rPr>
              <w:t>-3</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0.281×10</w:t>
            </w:r>
            <w:r>
              <w:rPr>
                <w:rFonts w:ascii="Times New Roman" w:hAnsi="Times New Roman"/>
                <w:szCs w:val="21"/>
                <w:u w:val="single"/>
                <w:vertAlign w:val="superscript"/>
              </w:rPr>
              <w:t>-3</w:t>
            </w:r>
          </w:p>
        </w:tc>
        <w:tc>
          <w:tcPr>
            <w:tcW w:w="983" w:type="dxa"/>
            <w:tcBorders>
              <w:tl2br w:val="nil"/>
              <w:tr2bl w:val="nil"/>
            </w:tcBorders>
            <w:vAlign w:val="center"/>
          </w:tcPr>
          <w:p>
            <w:pPr>
              <w:autoSpaceDN w:val="0"/>
              <w:jc w:val="center"/>
              <w:textAlignment w:val="center"/>
              <w:rPr>
                <w:rFonts w:ascii="Times New Roman" w:hAnsi="Times New Roman"/>
                <w:bCs/>
                <w:szCs w:val="21"/>
                <w:u w:val="single"/>
              </w:rPr>
            </w:pPr>
            <w:r>
              <w:rPr>
                <w:rFonts w:ascii="Times New Roman" w:hAnsi="Times New Roman"/>
                <w:bCs/>
                <w:szCs w:val="21"/>
                <w:u w:val="single"/>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8" w:type="dxa"/>
            <w:vMerge w:val="continue"/>
            <w:tcBorders>
              <w:tl2br w:val="nil"/>
              <w:tr2bl w:val="nil"/>
            </w:tcBorders>
            <w:vAlign w:val="center"/>
          </w:tcPr>
          <w:p>
            <w:pPr>
              <w:spacing w:before="120" w:beforeLines="50" w:line="420" w:lineRule="exact"/>
              <w:jc w:val="center"/>
              <w:rPr>
                <w:rFonts w:ascii="Times New Roman" w:hAnsi="Times New Roman"/>
                <w:szCs w:val="21"/>
                <w:u w:val="single"/>
              </w:rPr>
            </w:pPr>
          </w:p>
        </w:tc>
        <w:tc>
          <w:tcPr>
            <w:tcW w:w="1237" w:type="dxa"/>
            <w:vMerge w:val="continue"/>
            <w:tcBorders>
              <w:tl2br w:val="nil"/>
              <w:tr2bl w:val="nil"/>
            </w:tcBorders>
            <w:vAlign w:val="center"/>
          </w:tcPr>
          <w:p>
            <w:pPr>
              <w:spacing w:line="420" w:lineRule="exact"/>
              <w:jc w:val="center"/>
              <w:rPr>
                <w:rFonts w:ascii="Times New Roman" w:hAnsi="Times New Roman"/>
                <w:szCs w:val="21"/>
                <w:u w:val="single"/>
              </w:rPr>
            </w:pPr>
          </w:p>
        </w:tc>
        <w:tc>
          <w:tcPr>
            <w:tcW w:w="1643"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氟化物</w:t>
            </w:r>
          </w:p>
        </w:tc>
        <w:tc>
          <w:tcPr>
            <w:tcW w:w="1574"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3.13</w:t>
            </w:r>
          </w:p>
        </w:tc>
        <w:tc>
          <w:tcPr>
            <w:tcW w:w="1565" w:type="dxa"/>
            <w:tcBorders>
              <w:tl2br w:val="nil"/>
              <w:tr2bl w:val="nil"/>
            </w:tcBorders>
            <w:vAlign w:val="center"/>
          </w:tcPr>
          <w:p>
            <w:pPr>
              <w:spacing w:line="300" w:lineRule="exact"/>
              <w:jc w:val="center"/>
              <w:rPr>
                <w:rFonts w:ascii="Times New Roman" w:hAnsi="Times New Roman"/>
                <w:szCs w:val="21"/>
                <w:u w:val="single"/>
              </w:rPr>
            </w:pPr>
            <w:r>
              <w:rPr>
                <w:rFonts w:ascii="Times New Roman" w:hAnsi="Times New Roman"/>
                <w:szCs w:val="21"/>
                <w:u w:val="single"/>
              </w:rPr>
              <w:t>1.03</w:t>
            </w:r>
          </w:p>
        </w:tc>
        <w:tc>
          <w:tcPr>
            <w:tcW w:w="983" w:type="dxa"/>
            <w:tcBorders>
              <w:tl2br w:val="nil"/>
              <w:tr2bl w:val="nil"/>
            </w:tcBorders>
            <w:vAlign w:val="center"/>
          </w:tcPr>
          <w:p>
            <w:pPr>
              <w:spacing w:line="300" w:lineRule="exact"/>
              <w:jc w:val="center"/>
              <w:rPr>
                <w:rFonts w:ascii="Times New Roman" w:hAnsi="Times New Roman"/>
                <w:bCs/>
                <w:szCs w:val="21"/>
                <w:u w:val="single"/>
              </w:rPr>
            </w:pPr>
            <w:r>
              <w:rPr>
                <w:rFonts w:ascii="Times New Roman" w:hAnsi="Times New Roman"/>
                <w:bCs/>
                <w:szCs w:val="21"/>
                <w:u w:val="single"/>
              </w:rPr>
              <w:t>mg/L</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由上表检测结果可知，CFB锅炉掺烧油泥后，锅炉灰渣各物质浸出毒性均小于《危险废物鉴别标准 浸出毒性鉴别》（GB5085.3-2007）中危害成分浓度限值。因此项目CFB锅炉掺烧油泥后不会改变锅炉灰渣的性质，仍为一般工业固废。</w:t>
      </w:r>
    </w:p>
    <w:p>
      <w:pPr>
        <w:pStyle w:val="281"/>
        <w:tabs>
          <w:tab w:val="left" w:pos="3600"/>
        </w:tabs>
        <w:spacing w:line="360" w:lineRule="auto"/>
        <w:ind w:firstLine="0"/>
        <w:outlineLvl w:val="3"/>
        <w:rPr>
          <w:rFonts w:ascii="Times New Roman" w:hAnsi="Times New Roman" w:cs="Times New Roman"/>
          <w:kern w:val="0"/>
          <w:sz w:val="24"/>
          <w:szCs w:val="24"/>
        </w:rPr>
      </w:pPr>
      <w:bookmarkStart w:id="245" w:name="_Toc484073437"/>
      <w:r>
        <w:rPr>
          <w:rFonts w:ascii="Times New Roman" w:hAnsi="Times New Roman" w:cs="Times New Roman"/>
          <w:kern w:val="0"/>
          <w:sz w:val="24"/>
          <w:szCs w:val="24"/>
        </w:rPr>
        <w:t>3.2.3.4噪声</w:t>
      </w:r>
      <w:bookmarkEnd w:id="245"/>
    </w:p>
    <w:p>
      <w:pPr>
        <w:spacing w:line="360" w:lineRule="auto"/>
        <w:ind w:firstLine="510"/>
        <w:rPr>
          <w:rFonts w:ascii="Times New Roman" w:hAnsi="Times New Roman"/>
          <w:sz w:val="24"/>
          <w:szCs w:val="24"/>
        </w:rPr>
      </w:pPr>
      <w:r>
        <w:rPr>
          <w:rFonts w:ascii="Times New Roman" w:hAnsi="Times New Roman"/>
          <w:sz w:val="24"/>
          <w:szCs w:val="24"/>
        </w:rPr>
        <w:t>项目噪声源主要为锅炉、风机、车辆等，其声压级为90－100dBA。</w:t>
      </w:r>
    </w:p>
    <w:p>
      <w:pPr>
        <w:pStyle w:val="281"/>
        <w:tabs>
          <w:tab w:val="left" w:pos="3600"/>
        </w:tabs>
        <w:spacing w:line="360" w:lineRule="auto"/>
        <w:ind w:firstLine="0"/>
        <w:outlineLvl w:val="3"/>
        <w:rPr>
          <w:rFonts w:ascii="Times New Roman" w:hAnsi="Times New Roman" w:cs="Times New Roman"/>
          <w:kern w:val="0"/>
          <w:sz w:val="24"/>
          <w:szCs w:val="24"/>
        </w:rPr>
      </w:pPr>
      <w:bookmarkStart w:id="246" w:name="_Toc484073440"/>
      <w:r>
        <w:rPr>
          <w:rFonts w:ascii="Times New Roman" w:hAnsi="Times New Roman" w:cs="Times New Roman"/>
          <w:kern w:val="0"/>
          <w:sz w:val="24"/>
          <w:szCs w:val="24"/>
        </w:rPr>
        <w:t>3.2.3.5项目污染物排放情况汇总</w:t>
      </w:r>
      <w:bookmarkEnd w:id="246"/>
    </w:p>
    <w:p>
      <w:pPr>
        <w:tabs>
          <w:tab w:val="left" w:pos="900"/>
        </w:tabs>
        <w:spacing w:line="360" w:lineRule="auto"/>
        <w:ind w:firstLine="510"/>
        <w:rPr>
          <w:rFonts w:ascii="Times New Roman" w:hAnsi="Times New Roman"/>
          <w:b/>
          <w:sz w:val="24"/>
          <w:szCs w:val="24"/>
        </w:rPr>
      </w:pPr>
      <w:r>
        <w:rPr>
          <w:rFonts w:ascii="Times New Roman" w:hAnsi="Times New Roman"/>
          <w:sz w:val="24"/>
          <w:szCs w:val="24"/>
        </w:rPr>
        <w:t>项目污染物排放情况汇总见下表。</w:t>
      </w:r>
    </w:p>
    <w:p>
      <w:pPr>
        <w:jc w:val="center"/>
        <w:rPr>
          <w:rFonts w:ascii="Times New Roman" w:hAnsi="Times New Roman"/>
          <w:b/>
          <w:sz w:val="24"/>
          <w:szCs w:val="24"/>
        </w:rPr>
      </w:pPr>
      <w:r>
        <w:rPr>
          <w:rFonts w:ascii="Times New Roman" w:hAnsi="Times New Roman"/>
          <w:b/>
          <w:sz w:val="24"/>
          <w:szCs w:val="24"/>
        </w:rPr>
        <w:t xml:space="preserve">表3.2.3.5-1   </w:t>
      </w:r>
      <w:r>
        <w:rPr>
          <w:rFonts w:ascii="Times New Roman" w:hAnsi="Times New Roman"/>
          <w:b/>
          <w:bCs/>
          <w:sz w:val="24"/>
          <w:szCs w:val="24"/>
        </w:rPr>
        <w:t>本项目投运后主要</w:t>
      </w:r>
      <w:r>
        <w:rPr>
          <w:rFonts w:ascii="Times New Roman" w:hAnsi="Times New Roman"/>
          <w:b/>
          <w:sz w:val="24"/>
          <w:szCs w:val="24"/>
        </w:rPr>
        <w:t>污染物排放情况汇总</w:t>
      </w:r>
    </w:p>
    <w:p>
      <w:pPr>
        <w:rPr>
          <w:rFonts w:ascii="Times New Roman" w:hAnsi="Times New Roman"/>
          <w:u w:val="single"/>
        </w:rPr>
      </w:pPr>
    </w:p>
    <w:tbl>
      <w:tblPr>
        <w:tblStyle w:val="45"/>
        <w:tblW w:w="4549" w:type="pct"/>
        <w:tblInd w:w="4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5"/>
        <w:gridCol w:w="24"/>
        <w:gridCol w:w="898"/>
        <w:gridCol w:w="323"/>
        <w:gridCol w:w="607"/>
        <w:gridCol w:w="90"/>
        <w:gridCol w:w="721"/>
        <w:gridCol w:w="583"/>
        <w:gridCol w:w="26"/>
        <w:gridCol w:w="711"/>
        <w:gridCol w:w="99"/>
        <w:gridCol w:w="386"/>
        <w:gridCol w:w="20"/>
        <w:gridCol w:w="1013"/>
        <w:gridCol w:w="189"/>
        <w:gridCol w:w="12"/>
        <w:gridCol w:w="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5000" w:type="pct"/>
            <w:gridSpan w:val="17"/>
            <w:vAlign w:val="center"/>
          </w:tcPr>
          <w:p>
            <w:pPr>
              <w:snapToGrid w:val="0"/>
              <w:spacing w:before="12" w:beforeLines="5" w:after="12" w:afterLines="5" w:line="240" w:lineRule="exact"/>
              <w:jc w:val="center"/>
              <w:rPr>
                <w:rFonts w:ascii="Times New Roman" w:hAnsi="Times New Roman"/>
                <w:sz w:val="24"/>
              </w:rPr>
            </w:pPr>
            <w:r>
              <w:rPr>
                <w:rFonts w:ascii="Times New Roman" w:hAnsi="Times New Roman"/>
                <w:b/>
                <w:bCs/>
                <w:sz w:val="24"/>
              </w:rPr>
              <w:t>大气污染物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956" w:type="pct"/>
            <w:gridSpan w:val="5"/>
            <w:vAlign w:val="center"/>
          </w:tcPr>
          <w:p>
            <w:pPr>
              <w:widowControl/>
              <w:jc w:val="center"/>
              <w:rPr>
                <w:rFonts w:ascii="Times New Roman" w:hAnsi="Times New Roman"/>
                <w:szCs w:val="21"/>
              </w:rPr>
            </w:pPr>
            <w:r>
              <w:rPr>
                <w:rFonts w:ascii="Times New Roman" w:hAnsi="Times New Roman"/>
                <w:b/>
                <w:kern w:val="0"/>
                <w:szCs w:val="21"/>
              </w:rPr>
              <w:t>单炉运行</w:t>
            </w:r>
          </w:p>
        </w:tc>
        <w:tc>
          <w:tcPr>
            <w:tcW w:w="916" w:type="pct"/>
            <w:gridSpan w:val="4"/>
            <w:vAlign w:val="center"/>
          </w:tcPr>
          <w:p>
            <w:pPr>
              <w:widowControl/>
              <w:jc w:val="center"/>
              <w:rPr>
                <w:rFonts w:ascii="Times New Roman" w:hAnsi="Times New Roman"/>
                <w:szCs w:val="21"/>
              </w:rPr>
            </w:pPr>
            <w:r>
              <w:rPr>
                <w:rFonts w:ascii="Times New Roman" w:hAnsi="Times New Roman"/>
                <w:b/>
                <w:kern w:val="0"/>
                <w:szCs w:val="21"/>
              </w:rPr>
              <w:t>标干烟气流量</w:t>
            </w:r>
          </w:p>
        </w:tc>
        <w:tc>
          <w:tcPr>
            <w:tcW w:w="784" w:type="pct"/>
            <w:gridSpan w:val="4"/>
            <w:vAlign w:val="center"/>
          </w:tcPr>
          <w:p>
            <w:pPr>
              <w:widowControl/>
              <w:jc w:val="center"/>
              <w:rPr>
                <w:rFonts w:ascii="Times New Roman" w:hAnsi="Times New Roman"/>
                <w:szCs w:val="21"/>
              </w:rPr>
            </w:pPr>
            <w:r>
              <w:rPr>
                <w:rFonts w:ascii="Times New Roman" w:hAnsi="Times New Roman"/>
                <w:b/>
                <w:kern w:val="0"/>
                <w:szCs w:val="21"/>
              </w:rPr>
              <w:t>SO</w:t>
            </w:r>
            <w:r>
              <w:rPr>
                <w:rFonts w:ascii="Times New Roman" w:hAnsi="Times New Roman"/>
                <w:b/>
                <w:kern w:val="0"/>
                <w:szCs w:val="21"/>
                <w:vertAlign w:val="subscript"/>
              </w:rPr>
              <w:t>2</w:t>
            </w:r>
          </w:p>
        </w:tc>
        <w:tc>
          <w:tcPr>
            <w:tcW w:w="783" w:type="pct"/>
            <w:gridSpan w:val="3"/>
            <w:vAlign w:val="center"/>
          </w:tcPr>
          <w:p>
            <w:pPr>
              <w:widowControl/>
              <w:jc w:val="center"/>
              <w:rPr>
                <w:rFonts w:ascii="Times New Roman" w:hAnsi="Times New Roman"/>
                <w:szCs w:val="21"/>
              </w:rPr>
            </w:pPr>
            <w:r>
              <w:rPr>
                <w:rFonts w:ascii="Times New Roman" w:hAnsi="Times New Roman"/>
                <w:b/>
                <w:kern w:val="0"/>
                <w:szCs w:val="21"/>
              </w:rPr>
              <w:t>NOx</w:t>
            </w:r>
          </w:p>
        </w:tc>
        <w:tc>
          <w:tcPr>
            <w:tcW w:w="558" w:type="pct"/>
            <w:vAlign w:val="center"/>
          </w:tcPr>
          <w:p>
            <w:pPr>
              <w:widowControl/>
              <w:jc w:val="center"/>
              <w:rPr>
                <w:rFonts w:ascii="Times New Roman" w:hAnsi="Times New Roman"/>
                <w:szCs w:val="21"/>
              </w:rPr>
            </w:pPr>
            <w:r>
              <w:rPr>
                <w:rFonts w:ascii="Times New Roman" w:hAnsi="Times New Roman"/>
                <w:b/>
                <w:kern w:val="0"/>
                <w:szCs w:val="21"/>
              </w:rPr>
              <w:t>烟尘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78" w:type="pct"/>
            <w:gridSpan w:val="2"/>
            <w:vMerge w:val="restart"/>
            <w:vAlign w:val="center"/>
          </w:tcPr>
          <w:p>
            <w:pPr>
              <w:widowControl/>
              <w:jc w:val="center"/>
              <w:rPr>
                <w:rFonts w:ascii="Times New Roman" w:hAnsi="Times New Roman"/>
                <w:szCs w:val="21"/>
              </w:rPr>
            </w:pPr>
            <w:r>
              <w:rPr>
                <w:rFonts w:ascii="Times New Roman" w:hAnsi="Times New Roman"/>
                <w:kern w:val="0"/>
                <w:szCs w:val="21"/>
              </w:rPr>
              <w:t>进口</w:t>
            </w:r>
            <w:r>
              <w:rPr>
                <w:rFonts w:ascii="Times New Roman" w:hAnsi="Times New Roman"/>
                <w:kern w:val="0"/>
                <w:szCs w:val="21"/>
              </w:rPr>
              <w:br w:type="textWrapping"/>
            </w:r>
            <w:r>
              <w:rPr>
                <w:rFonts w:ascii="Times New Roman" w:hAnsi="Times New Roman"/>
                <w:kern w:val="0"/>
                <w:szCs w:val="21"/>
              </w:rPr>
              <w:t>（平均值）</w:t>
            </w:r>
          </w:p>
        </w:tc>
        <w:tc>
          <w:tcPr>
            <w:tcW w:w="1177" w:type="pct"/>
            <w:gridSpan w:val="3"/>
            <w:vAlign w:val="center"/>
          </w:tcPr>
          <w:p>
            <w:pPr>
              <w:widowControl/>
              <w:jc w:val="center"/>
              <w:rPr>
                <w:rFonts w:ascii="Times New Roman" w:hAnsi="Times New Roman"/>
                <w:szCs w:val="21"/>
              </w:rPr>
            </w:pPr>
            <w:r>
              <w:rPr>
                <w:rFonts w:ascii="Times New Roman" w:hAnsi="Times New Roman"/>
                <w:kern w:val="0"/>
                <w:szCs w:val="21"/>
              </w:rPr>
              <w:t>排放浓度 mg/m</w:t>
            </w:r>
            <w:r>
              <w:rPr>
                <w:rFonts w:ascii="Times New Roman" w:hAnsi="Times New Roman"/>
                <w:kern w:val="0"/>
                <w:szCs w:val="21"/>
                <w:vertAlign w:val="superscript"/>
              </w:rPr>
              <w:t>3</w:t>
            </w:r>
          </w:p>
        </w:tc>
        <w:tc>
          <w:tcPr>
            <w:tcW w:w="916" w:type="pct"/>
            <w:gridSpan w:val="4"/>
            <w:vMerge w:val="restart"/>
            <w:vAlign w:val="center"/>
          </w:tcPr>
          <w:p>
            <w:pPr>
              <w:widowControl/>
              <w:jc w:val="center"/>
              <w:rPr>
                <w:rFonts w:ascii="Times New Roman" w:hAnsi="Times New Roman"/>
                <w:kern w:val="0"/>
                <w:szCs w:val="21"/>
              </w:rPr>
            </w:pPr>
            <w:r>
              <w:rPr>
                <w:rFonts w:ascii="Times New Roman" w:hAnsi="Times New Roman"/>
                <w:kern w:val="0"/>
                <w:szCs w:val="21"/>
              </w:rPr>
              <w:t>238524</w:t>
            </w:r>
          </w:p>
          <w:p>
            <w:pPr>
              <w:widowControl/>
              <w:jc w:val="center"/>
              <w:rPr>
                <w:rFonts w:ascii="Times New Roman" w:hAnsi="Times New Roman"/>
                <w:szCs w:val="21"/>
              </w:rPr>
            </w:pP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/h)</w:t>
            </w:r>
          </w:p>
        </w:tc>
        <w:tc>
          <w:tcPr>
            <w:tcW w:w="784" w:type="pct"/>
            <w:gridSpan w:val="4"/>
            <w:vAlign w:val="center"/>
          </w:tcPr>
          <w:p>
            <w:pPr>
              <w:widowControl/>
              <w:jc w:val="center"/>
              <w:rPr>
                <w:rFonts w:ascii="Times New Roman" w:hAnsi="Times New Roman"/>
                <w:szCs w:val="21"/>
              </w:rPr>
            </w:pPr>
            <w:r>
              <w:rPr>
                <w:rFonts w:ascii="Times New Roman" w:hAnsi="Times New Roman"/>
                <w:kern w:val="0"/>
                <w:szCs w:val="21"/>
              </w:rPr>
              <w:t>1800</w:t>
            </w:r>
          </w:p>
        </w:tc>
        <w:tc>
          <w:tcPr>
            <w:tcW w:w="783" w:type="pct"/>
            <w:gridSpan w:val="3"/>
            <w:vAlign w:val="center"/>
          </w:tcPr>
          <w:p>
            <w:pPr>
              <w:widowControl/>
              <w:jc w:val="center"/>
              <w:rPr>
                <w:rFonts w:ascii="Times New Roman" w:hAnsi="Times New Roman"/>
                <w:szCs w:val="21"/>
              </w:rPr>
            </w:pPr>
            <w:r>
              <w:rPr>
                <w:rFonts w:ascii="Times New Roman" w:hAnsi="Times New Roman"/>
                <w:kern w:val="0"/>
                <w:szCs w:val="21"/>
              </w:rPr>
              <w:t>310.2</w:t>
            </w:r>
          </w:p>
        </w:tc>
        <w:tc>
          <w:tcPr>
            <w:tcW w:w="558" w:type="pct"/>
            <w:vAlign w:val="center"/>
          </w:tcPr>
          <w:p>
            <w:pPr>
              <w:widowControl/>
              <w:jc w:val="center"/>
              <w:rPr>
                <w:rFonts w:ascii="Times New Roman" w:hAnsi="Times New Roman"/>
                <w:szCs w:val="21"/>
              </w:rPr>
            </w:pPr>
            <w:r>
              <w:rPr>
                <w:rFonts w:ascii="Times New Roman" w:hAnsi="Times New Roman"/>
                <w:kern w:val="0"/>
                <w:szCs w:val="21"/>
              </w:rPr>
              <w:t>2001.0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78" w:type="pct"/>
            <w:gridSpan w:val="2"/>
            <w:vMerge w:val="continue"/>
            <w:vAlign w:val="center"/>
          </w:tcPr>
          <w:p>
            <w:pPr>
              <w:widowControl/>
              <w:jc w:val="left"/>
              <w:rPr>
                <w:rFonts w:ascii="Times New Roman" w:hAnsi="Times New Roman"/>
                <w:szCs w:val="21"/>
              </w:rPr>
            </w:pPr>
          </w:p>
        </w:tc>
        <w:tc>
          <w:tcPr>
            <w:tcW w:w="1177" w:type="pct"/>
            <w:gridSpan w:val="3"/>
            <w:vAlign w:val="center"/>
          </w:tcPr>
          <w:p>
            <w:pPr>
              <w:widowControl/>
              <w:jc w:val="center"/>
              <w:rPr>
                <w:rFonts w:ascii="Times New Roman" w:hAnsi="Times New Roman"/>
                <w:szCs w:val="21"/>
              </w:rPr>
            </w:pPr>
            <w:r>
              <w:rPr>
                <w:rFonts w:ascii="Times New Roman" w:hAnsi="Times New Roman"/>
                <w:kern w:val="0"/>
                <w:szCs w:val="21"/>
              </w:rPr>
              <w:t>排放速率 kg/h</w:t>
            </w:r>
          </w:p>
        </w:tc>
        <w:tc>
          <w:tcPr>
            <w:tcW w:w="916" w:type="pct"/>
            <w:gridSpan w:val="4"/>
            <w:vMerge w:val="continue"/>
            <w:vAlign w:val="center"/>
          </w:tcPr>
          <w:p>
            <w:pPr>
              <w:widowControl/>
              <w:jc w:val="left"/>
              <w:rPr>
                <w:rFonts w:ascii="Times New Roman" w:hAnsi="Times New Roman"/>
                <w:szCs w:val="21"/>
              </w:rPr>
            </w:pPr>
          </w:p>
        </w:tc>
        <w:tc>
          <w:tcPr>
            <w:tcW w:w="784" w:type="pct"/>
            <w:gridSpan w:val="4"/>
            <w:vAlign w:val="center"/>
          </w:tcPr>
          <w:p>
            <w:pPr>
              <w:widowControl/>
              <w:jc w:val="center"/>
              <w:rPr>
                <w:rFonts w:ascii="Times New Roman" w:hAnsi="Times New Roman"/>
                <w:szCs w:val="21"/>
              </w:rPr>
            </w:pPr>
            <w:r>
              <w:rPr>
                <w:rFonts w:ascii="Times New Roman" w:hAnsi="Times New Roman"/>
                <w:kern w:val="0"/>
                <w:szCs w:val="21"/>
              </w:rPr>
              <w:t>429.3</w:t>
            </w:r>
          </w:p>
        </w:tc>
        <w:tc>
          <w:tcPr>
            <w:tcW w:w="783" w:type="pct"/>
            <w:gridSpan w:val="3"/>
            <w:vAlign w:val="center"/>
          </w:tcPr>
          <w:p>
            <w:pPr>
              <w:widowControl/>
              <w:jc w:val="center"/>
              <w:rPr>
                <w:rFonts w:ascii="Times New Roman" w:hAnsi="Times New Roman"/>
                <w:szCs w:val="21"/>
              </w:rPr>
            </w:pPr>
            <w:r>
              <w:rPr>
                <w:rFonts w:ascii="Times New Roman" w:hAnsi="Times New Roman"/>
                <w:kern w:val="0"/>
                <w:szCs w:val="21"/>
              </w:rPr>
              <w:t>74.0</w:t>
            </w:r>
          </w:p>
        </w:tc>
        <w:tc>
          <w:tcPr>
            <w:tcW w:w="558" w:type="pct"/>
            <w:vAlign w:val="center"/>
          </w:tcPr>
          <w:p>
            <w:pPr>
              <w:widowControl/>
              <w:jc w:val="center"/>
              <w:rPr>
                <w:rFonts w:ascii="Times New Roman" w:hAnsi="Times New Roman"/>
                <w:szCs w:val="21"/>
              </w:rPr>
            </w:pPr>
            <w:r>
              <w:rPr>
                <w:rFonts w:ascii="Times New Roman" w:hAnsi="Times New Roman"/>
                <w:kern w:val="0"/>
                <w:szCs w:val="21"/>
              </w:rPr>
              <w:t>477.3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78" w:type="pct"/>
            <w:gridSpan w:val="2"/>
            <w:vMerge w:val="restart"/>
            <w:vAlign w:val="center"/>
          </w:tcPr>
          <w:p>
            <w:pPr>
              <w:widowControl/>
              <w:jc w:val="center"/>
              <w:rPr>
                <w:rFonts w:ascii="Times New Roman" w:hAnsi="Times New Roman"/>
                <w:szCs w:val="21"/>
              </w:rPr>
            </w:pPr>
            <w:r>
              <w:rPr>
                <w:rFonts w:ascii="Times New Roman" w:hAnsi="Times New Roman"/>
                <w:kern w:val="0"/>
                <w:szCs w:val="21"/>
              </w:rPr>
              <w:t>出口</w:t>
            </w:r>
            <w:r>
              <w:rPr>
                <w:rFonts w:ascii="Times New Roman" w:hAnsi="Times New Roman"/>
                <w:kern w:val="0"/>
                <w:szCs w:val="21"/>
              </w:rPr>
              <w:br w:type="textWrapping"/>
            </w:r>
            <w:r>
              <w:rPr>
                <w:rFonts w:ascii="Times New Roman" w:hAnsi="Times New Roman"/>
                <w:kern w:val="0"/>
                <w:szCs w:val="21"/>
              </w:rPr>
              <w:t>（平均值）</w:t>
            </w:r>
          </w:p>
        </w:tc>
        <w:tc>
          <w:tcPr>
            <w:tcW w:w="1177" w:type="pct"/>
            <w:gridSpan w:val="3"/>
            <w:vAlign w:val="center"/>
          </w:tcPr>
          <w:p>
            <w:pPr>
              <w:widowControl/>
              <w:jc w:val="center"/>
              <w:rPr>
                <w:rFonts w:ascii="Times New Roman" w:hAnsi="Times New Roman"/>
                <w:szCs w:val="21"/>
              </w:rPr>
            </w:pPr>
            <w:r>
              <w:rPr>
                <w:rFonts w:ascii="Times New Roman" w:hAnsi="Times New Roman"/>
                <w:kern w:val="0"/>
                <w:szCs w:val="21"/>
              </w:rPr>
              <w:t>排放浓度 mg/m</w:t>
            </w:r>
            <w:r>
              <w:rPr>
                <w:rFonts w:ascii="Times New Roman" w:hAnsi="Times New Roman"/>
                <w:kern w:val="0"/>
                <w:szCs w:val="21"/>
                <w:vertAlign w:val="superscript"/>
              </w:rPr>
              <w:t>3</w:t>
            </w:r>
          </w:p>
        </w:tc>
        <w:tc>
          <w:tcPr>
            <w:tcW w:w="916" w:type="pct"/>
            <w:gridSpan w:val="4"/>
            <w:vMerge w:val="continue"/>
            <w:vAlign w:val="center"/>
          </w:tcPr>
          <w:p>
            <w:pPr>
              <w:widowControl/>
              <w:jc w:val="center"/>
              <w:rPr>
                <w:rFonts w:ascii="Times New Roman" w:hAnsi="Times New Roman"/>
                <w:szCs w:val="21"/>
              </w:rPr>
            </w:pPr>
          </w:p>
        </w:tc>
        <w:tc>
          <w:tcPr>
            <w:tcW w:w="784" w:type="pct"/>
            <w:gridSpan w:val="4"/>
            <w:vAlign w:val="center"/>
          </w:tcPr>
          <w:p>
            <w:pPr>
              <w:widowControl/>
              <w:jc w:val="center"/>
              <w:rPr>
                <w:rFonts w:ascii="Times New Roman" w:hAnsi="Times New Roman"/>
                <w:szCs w:val="21"/>
              </w:rPr>
            </w:pPr>
            <w:r>
              <w:rPr>
                <w:rFonts w:ascii="Times New Roman" w:hAnsi="Times New Roman"/>
                <w:kern w:val="0"/>
                <w:szCs w:val="21"/>
              </w:rPr>
              <w:t>8.0</w:t>
            </w:r>
          </w:p>
        </w:tc>
        <w:tc>
          <w:tcPr>
            <w:tcW w:w="783" w:type="pct"/>
            <w:gridSpan w:val="3"/>
            <w:vAlign w:val="center"/>
          </w:tcPr>
          <w:p>
            <w:pPr>
              <w:widowControl/>
              <w:jc w:val="center"/>
              <w:rPr>
                <w:rFonts w:ascii="Times New Roman" w:hAnsi="Times New Roman"/>
                <w:szCs w:val="21"/>
              </w:rPr>
            </w:pPr>
            <w:r>
              <w:rPr>
                <w:rFonts w:ascii="Times New Roman" w:hAnsi="Times New Roman"/>
                <w:kern w:val="0"/>
                <w:szCs w:val="21"/>
              </w:rPr>
              <w:t>11</w:t>
            </w:r>
          </w:p>
        </w:tc>
        <w:tc>
          <w:tcPr>
            <w:tcW w:w="558" w:type="pct"/>
            <w:vAlign w:val="center"/>
          </w:tcPr>
          <w:p>
            <w:pPr>
              <w:widowControl/>
              <w:jc w:val="center"/>
              <w:rPr>
                <w:rFonts w:ascii="Times New Roman" w:hAnsi="Times New Roman"/>
                <w:szCs w:val="21"/>
              </w:rPr>
            </w:pPr>
            <w:r>
              <w:rPr>
                <w:rFonts w:ascii="Times New Roman" w:hAnsi="Times New Roman"/>
                <w:kern w:val="0"/>
                <w:szCs w:val="21"/>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78" w:type="pct"/>
            <w:gridSpan w:val="2"/>
            <w:vMerge w:val="continue"/>
            <w:vAlign w:val="center"/>
          </w:tcPr>
          <w:p>
            <w:pPr>
              <w:widowControl/>
              <w:jc w:val="left"/>
              <w:rPr>
                <w:rFonts w:ascii="Times New Roman" w:hAnsi="Times New Roman"/>
                <w:szCs w:val="21"/>
              </w:rPr>
            </w:pPr>
          </w:p>
        </w:tc>
        <w:tc>
          <w:tcPr>
            <w:tcW w:w="1177" w:type="pct"/>
            <w:gridSpan w:val="3"/>
            <w:vAlign w:val="center"/>
          </w:tcPr>
          <w:p>
            <w:pPr>
              <w:widowControl/>
              <w:jc w:val="center"/>
              <w:rPr>
                <w:rFonts w:ascii="Times New Roman" w:hAnsi="Times New Roman"/>
                <w:szCs w:val="21"/>
              </w:rPr>
            </w:pPr>
            <w:r>
              <w:rPr>
                <w:rFonts w:ascii="Times New Roman" w:hAnsi="Times New Roman"/>
                <w:kern w:val="0"/>
                <w:szCs w:val="21"/>
              </w:rPr>
              <w:t>排放速率 kg/h</w:t>
            </w:r>
          </w:p>
        </w:tc>
        <w:tc>
          <w:tcPr>
            <w:tcW w:w="916" w:type="pct"/>
            <w:gridSpan w:val="4"/>
            <w:vMerge w:val="continue"/>
            <w:vAlign w:val="center"/>
          </w:tcPr>
          <w:p>
            <w:pPr>
              <w:widowControl/>
              <w:jc w:val="left"/>
              <w:rPr>
                <w:rFonts w:ascii="Times New Roman" w:hAnsi="Times New Roman"/>
                <w:szCs w:val="21"/>
              </w:rPr>
            </w:pPr>
          </w:p>
        </w:tc>
        <w:tc>
          <w:tcPr>
            <w:tcW w:w="784" w:type="pct"/>
            <w:gridSpan w:val="4"/>
            <w:vAlign w:val="center"/>
          </w:tcPr>
          <w:p>
            <w:pPr>
              <w:widowControl/>
              <w:jc w:val="center"/>
              <w:rPr>
                <w:rFonts w:ascii="Times New Roman" w:hAnsi="Times New Roman"/>
                <w:szCs w:val="21"/>
              </w:rPr>
            </w:pPr>
            <w:r>
              <w:rPr>
                <w:rFonts w:ascii="Times New Roman" w:hAnsi="Times New Roman"/>
                <w:kern w:val="0"/>
                <w:szCs w:val="21"/>
              </w:rPr>
              <w:t>1.96</w:t>
            </w:r>
          </w:p>
        </w:tc>
        <w:tc>
          <w:tcPr>
            <w:tcW w:w="783" w:type="pct"/>
            <w:gridSpan w:val="3"/>
            <w:vAlign w:val="center"/>
          </w:tcPr>
          <w:p>
            <w:pPr>
              <w:widowControl/>
              <w:jc w:val="center"/>
              <w:rPr>
                <w:rFonts w:ascii="Times New Roman" w:hAnsi="Times New Roman"/>
                <w:szCs w:val="21"/>
              </w:rPr>
            </w:pPr>
            <w:r>
              <w:rPr>
                <w:rFonts w:ascii="Times New Roman" w:hAnsi="Times New Roman"/>
                <w:kern w:val="0"/>
                <w:szCs w:val="21"/>
              </w:rPr>
              <w:t>2.62</w:t>
            </w:r>
          </w:p>
        </w:tc>
        <w:tc>
          <w:tcPr>
            <w:tcW w:w="558" w:type="pct"/>
            <w:vAlign w:val="center"/>
          </w:tcPr>
          <w:p>
            <w:pPr>
              <w:widowControl/>
              <w:jc w:val="center"/>
              <w:rPr>
                <w:rFonts w:ascii="Times New Roman" w:hAnsi="Times New Roman"/>
                <w:szCs w:val="21"/>
              </w:rPr>
            </w:pPr>
            <w:r>
              <w:rPr>
                <w:rFonts w:ascii="Times New Roman" w:hAnsi="Times New Roman"/>
                <w:kern w:val="0"/>
                <w:szCs w:val="21"/>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956" w:type="pct"/>
            <w:gridSpan w:val="5"/>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标准限值</w:t>
            </w:r>
            <w:r>
              <w:rPr>
                <w:rFonts w:ascii="Times New Roman" w:hAnsi="Times New Roman"/>
                <w:kern w:val="0"/>
                <w:szCs w:val="21"/>
              </w:rPr>
              <w:t>mg/m</w:t>
            </w:r>
            <w:r>
              <w:rPr>
                <w:rFonts w:ascii="Times New Roman" w:hAnsi="Times New Roman"/>
                <w:kern w:val="0"/>
                <w:szCs w:val="21"/>
                <w:vertAlign w:val="superscript"/>
              </w:rPr>
              <w:t>3</w:t>
            </w:r>
          </w:p>
        </w:tc>
        <w:tc>
          <w:tcPr>
            <w:tcW w:w="916" w:type="pct"/>
            <w:gridSpan w:val="4"/>
            <w:vAlign w:val="center"/>
          </w:tcPr>
          <w:p>
            <w:pPr>
              <w:widowControl/>
              <w:jc w:val="center"/>
              <w:rPr>
                <w:rFonts w:ascii="Times New Roman" w:hAnsi="Times New Roman"/>
                <w:szCs w:val="21"/>
              </w:rPr>
            </w:pPr>
            <w:r>
              <w:rPr>
                <w:rFonts w:ascii="Times New Roman" w:hAnsi="Times New Roman"/>
                <w:kern w:val="0"/>
                <w:szCs w:val="21"/>
              </w:rPr>
              <w:t>/</w:t>
            </w:r>
          </w:p>
        </w:tc>
        <w:tc>
          <w:tcPr>
            <w:tcW w:w="784" w:type="pct"/>
            <w:gridSpan w:val="4"/>
            <w:vAlign w:val="center"/>
          </w:tcPr>
          <w:p>
            <w:pPr>
              <w:widowControl/>
              <w:jc w:val="center"/>
              <w:rPr>
                <w:rFonts w:ascii="Times New Roman" w:hAnsi="Times New Roman"/>
                <w:szCs w:val="21"/>
              </w:rPr>
            </w:pPr>
            <w:r>
              <w:rPr>
                <w:rFonts w:ascii="Times New Roman" w:hAnsi="Times New Roman"/>
                <w:kern w:val="0"/>
                <w:szCs w:val="21"/>
              </w:rPr>
              <w:t>35</w:t>
            </w:r>
          </w:p>
        </w:tc>
        <w:tc>
          <w:tcPr>
            <w:tcW w:w="783" w:type="pct"/>
            <w:gridSpan w:val="3"/>
            <w:vAlign w:val="center"/>
          </w:tcPr>
          <w:p>
            <w:pPr>
              <w:widowControl/>
              <w:jc w:val="center"/>
              <w:rPr>
                <w:rFonts w:ascii="Times New Roman" w:hAnsi="Times New Roman"/>
                <w:szCs w:val="21"/>
              </w:rPr>
            </w:pPr>
            <w:r>
              <w:rPr>
                <w:rFonts w:ascii="Times New Roman" w:hAnsi="Times New Roman"/>
                <w:kern w:val="0"/>
                <w:szCs w:val="21"/>
              </w:rPr>
              <w:t>50</w:t>
            </w:r>
          </w:p>
        </w:tc>
        <w:tc>
          <w:tcPr>
            <w:tcW w:w="558" w:type="pct"/>
            <w:vAlign w:val="center"/>
          </w:tcPr>
          <w:p>
            <w:pPr>
              <w:widowControl/>
              <w:jc w:val="center"/>
              <w:rPr>
                <w:rFonts w:ascii="Times New Roman" w:hAnsi="Times New Roman"/>
                <w:szCs w:val="21"/>
              </w:rPr>
            </w:pPr>
            <w:r>
              <w:rPr>
                <w:rFonts w:ascii="Times New Roman" w:hAnsi="Times New Roman"/>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956" w:type="pct"/>
            <w:gridSpan w:val="5"/>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处理效率</w:t>
            </w:r>
          </w:p>
        </w:tc>
        <w:tc>
          <w:tcPr>
            <w:tcW w:w="916" w:type="pct"/>
            <w:gridSpan w:val="4"/>
            <w:vAlign w:val="center"/>
          </w:tcPr>
          <w:p>
            <w:pPr>
              <w:widowControl/>
              <w:jc w:val="center"/>
              <w:rPr>
                <w:rFonts w:ascii="Times New Roman" w:hAnsi="Times New Roman"/>
                <w:szCs w:val="21"/>
              </w:rPr>
            </w:pPr>
            <w:r>
              <w:rPr>
                <w:rFonts w:ascii="Times New Roman" w:hAnsi="Times New Roman"/>
                <w:kern w:val="0"/>
                <w:szCs w:val="21"/>
              </w:rPr>
              <w:t>/</w:t>
            </w:r>
          </w:p>
        </w:tc>
        <w:tc>
          <w:tcPr>
            <w:tcW w:w="784" w:type="pct"/>
            <w:gridSpan w:val="4"/>
            <w:vAlign w:val="center"/>
          </w:tcPr>
          <w:p>
            <w:pPr>
              <w:widowControl/>
              <w:jc w:val="center"/>
              <w:rPr>
                <w:rFonts w:ascii="Times New Roman" w:hAnsi="Times New Roman"/>
                <w:szCs w:val="21"/>
              </w:rPr>
            </w:pPr>
            <w:r>
              <w:rPr>
                <w:rFonts w:ascii="Times New Roman" w:hAnsi="Times New Roman"/>
                <w:kern w:val="0"/>
                <w:szCs w:val="21"/>
              </w:rPr>
              <w:t>99.5%</w:t>
            </w:r>
          </w:p>
        </w:tc>
        <w:tc>
          <w:tcPr>
            <w:tcW w:w="783" w:type="pct"/>
            <w:gridSpan w:val="3"/>
            <w:vAlign w:val="center"/>
          </w:tcPr>
          <w:p>
            <w:pPr>
              <w:widowControl/>
              <w:jc w:val="center"/>
              <w:rPr>
                <w:rFonts w:ascii="Times New Roman" w:hAnsi="Times New Roman"/>
                <w:szCs w:val="21"/>
              </w:rPr>
            </w:pPr>
            <w:r>
              <w:rPr>
                <w:rFonts w:ascii="Times New Roman" w:hAnsi="Times New Roman"/>
                <w:kern w:val="0"/>
                <w:szCs w:val="21"/>
              </w:rPr>
              <w:t>96.5%</w:t>
            </w:r>
          </w:p>
        </w:tc>
        <w:tc>
          <w:tcPr>
            <w:tcW w:w="558" w:type="pct"/>
            <w:vAlign w:val="center"/>
          </w:tcPr>
          <w:p>
            <w:pPr>
              <w:widowControl/>
              <w:jc w:val="center"/>
              <w:rPr>
                <w:rFonts w:ascii="Times New Roman" w:hAnsi="Times New Roman"/>
                <w:szCs w:val="21"/>
              </w:rPr>
            </w:pPr>
            <w:r>
              <w:rPr>
                <w:rFonts w:ascii="Times New Roman" w:hAnsi="Times New Roman"/>
                <w:kern w:val="0"/>
                <w:szCs w:val="21"/>
              </w:rPr>
              <w:t>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956" w:type="pct"/>
            <w:gridSpan w:val="5"/>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排放量(t/a)</w:t>
            </w:r>
          </w:p>
        </w:tc>
        <w:tc>
          <w:tcPr>
            <w:tcW w:w="916" w:type="pct"/>
            <w:gridSpan w:val="4"/>
            <w:vAlign w:val="center"/>
          </w:tcPr>
          <w:p>
            <w:pPr>
              <w:widowControl/>
              <w:jc w:val="center"/>
              <w:rPr>
                <w:rFonts w:ascii="Times New Roman" w:hAnsi="Times New Roman"/>
                <w:kern w:val="0"/>
                <w:szCs w:val="21"/>
              </w:rPr>
            </w:pPr>
            <w:r>
              <w:rPr>
                <w:rFonts w:ascii="Times New Roman" w:hAnsi="Times New Roman"/>
                <w:kern w:val="0"/>
                <w:szCs w:val="21"/>
              </w:rPr>
              <w:t>/</w:t>
            </w:r>
          </w:p>
        </w:tc>
        <w:tc>
          <w:tcPr>
            <w:tcW w:w="784" w:type="pct"/>
            <w:gridSpan w:val="4"/>
            <w:vAlign w:val="center"/>
          </w:tcPr>
          <w:p>
            <w:pPr>
              <w:widowControl/>
              <w:jc w:val="center"/>
              <w:rPr>
                <w:rFonts w:ascii="Times New Roman" w:hAnsi="Times New Roman"/>
                <w:kern w:val="0"/>
                <w:szCs w:val="21"/>
              </w:rPr>
            </w:pPr>
            <w:r>
              <w:rPr>
                <w:rFonts w:ascii="Times New Roman" w:hAnsi="Times New Roman"/>
                <w:kern w:val="0"/>
                <w:szCs w:val="21"/>
              </w:rPr>
              <w:t>17.17</w:t>
            </w:r>
          </w:p>
        </w:tc>
        <w:tc>
          <w:tcPr>
            <w:tcW w:w="783" w:type="pct"/>
            <w:gridSpan w:val="3"/>
            <w:vAlign w:val="center"/>
          </w:tcPr>
          <w:p>
            <w:pPr>
              <w:widowControl/>
              <w:jc w:val="center"/>
              <w:rPr>
                <w:rFonts w:ascii="Times New Roman" w:hAnsi="Times New Roman"/>
                <w:kern w:val="0"/>
                <w:szCs w:val="21"/>
              </w:rPr>
            </w:pPr>
            <w:r>
              <w:rPr>
                <w:rFonts w:ascii="Times New Roman" w:hAnsi="Times New Roman"/>
                <w:kern w:val="0"/>
                <w:szCs w:val="21"/>
              </w:rPr>
              <w:t>23.95</w:t>
            </w:r>
          </w:p>
        </w:tc>
        <w:tc>
          <w:tcPr>
            <w:tcW w:w="558" w:type="pct"/>
            <w:vAlign w:val="center"/>
          </w:tcPr>
          <w:p>
            <w:pPr>
              <w:widowControl/>
              <w:jc w:val="center"/>
              <w:rPr>
                <w:rFonts w:ascii="Times New Roman" w:hAnsi="Times New Roman"/>
                <w:kern w:val="0"/>
                <w:szCs w:val="21"/>
              </w:rPr>
            </w:pPr>
            <w:r>
              <w:rPr>
                <w:rFonts w:ascii="Times New Roman" w:hAnsi="Times New Roman"/>
                <w:kern w:val="0"/>
                <w:szCs w:val="21"/>
              </w:rPr>
              <w:t>15.86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3035" w:type="dxa"/>
            <w:gridSpan w:val="5"/>
            <w:vAlign w:val="center"/>
          </w:tcPr>
          <w:p>
            <w:pPr>
              <w:widowControl/>
              <w:jc w:val="center"/>
              <w:rPr>
                <w:rFonts w:ascii="Times New Roman" w:hAnsi="Times New Roman"/>
                <w:szCs w:val="21"/>
              </w:rPr>
            </w:pPr>
            <w:r>
              <w:rPr>
                <w:rFonts w:ascii="Times New Roman" w:hAnsi="Times New Roman"/>
                <w:b/>
                <w:kern w:val="0"/>
                <w:szCs w:val="21"/>
              </w:rPr>
              <w:t>双炉运行</w:t>
            </w:r>
          </w:p>
        </w:tc>
        <w:tc>
          <w:tcPr>
            <w:tcW w:w="1422" w:type="dxa"/>
            <w:gridSpan w:val="4"/>
            <w:vAlign w:val="center"/>
          </w:tcPr>
          <w:p>
            <w:pPr>
              <w:widowControl/>
              <w:jc w:val="center"/>
              <w:rPr>
                <w:rFonts w:ascii="Times New Roman" w:hAnsi="Times New Roman"/>
                <w:kern w:val="0"/>
                <w:szCs w:val="21"/>
              </w:rPr>
            </w:pPr>
            <w:r>
              <w:rPr>
                <w:rFonts w:ascii="Times New Roman" w:hAnsi="Times New Roman"/>
                <w:b/>
                <w:kern w:val="0"/>
                <w:szCs w:val="21"/>
              </w:rPr>
              <w:t>标干烟气流量</w:t>
            </w:r>
          </w:p>
        </w:tc>
        <w:tc>
          <w:tcPr>
            <w:tcW w:w="1217" w:type="dxa"/>
            <w:gridSpan w:val="4"/>
            <w:vAlign w:val="center"/>
          </w:tcPr>
          <w:p>
            <w:pPr>
              <w:widowControl/>
              <w:jc w:val="center"/>
              <w:rPr>
                <w:rFonts w:ascii="Times New Roman" w:hAnsi="Times New Roman"/>
                <w:kern w:val="0"/>
                <w:szCs w:val="21"/>
              </w:rPr>
            </w:pPr>
            <w:r>
              <w:rPr>
                <w:rFonts w:ascii="Times New Roman" w:hAnsi="Times New Roman"/>
                <w:b/>
                <w:kern w:val="0"/>
                <w:szCs w:val="21"/>
              </w:rPr>
              <w:t>SO</w:t>
            </w:r>
            <w:r>
              <w:rPr>
                <w:rFonts w:ascii="Times New Roman" w:hAnsi="Times New Roman"/>
                <w:b/>
                <w:kern w:val="0"/>
                <w:szCs w:val="21"/>
                <w:vertAlign w:val="subscript"/>
              </w:rPr>
              <w:t>2</w:t>
            </w:r>
          </w:p>
        </w:tc>
        <w:tc>
          <w:tcPr>
            <w:tcW w:w="1216" w:type="dxa"/>
            <w:gridSpan w:val="3"/>
            <w:vAlign w:val="center"/>
          </w:tcPr>
          <w:p>
            <w:pPr>
              <w:widowControl/>
              <w:jc w:val="center"/>
              <w:rPr>
                <w:rFonts w:ascii="Times New Roman" w:hAnsi="Times New Roman"/>
                <w:kern w:val="0"/>
                <w:szCs w:val="21"/>
              </w:rPr>
            </w:pPr>
            <w:r>
              <w:rPr>
                <w:rFonts w:ascii="Times New Roman" w:hAnsi="Times New Roman"/>
                <w:b/>
                <w:kern w:val="0"/>
                <w:szCs w:val="21"/>
              </w:rPr>
              <w:t>NOx</w:t>
            </w:r>
          </w:p>
        </w:tc>
        <w:tc>
          <w:tcPr>
            <w:tcW w:w="867" w:type="dxa"/>
            <w:vAlign w:val="center"/>
          </w:tcPr>
          <w:p>
            <w:pPr>
              <w:widowControl/>
              <w:jc w:val="center"/>
              <w:rPr>
                <w:rFonts w:ascii="Times New Roman" w:hAnsi="Times New Roman"/>
                <w:kern w:val="0"/>
                <w:szCs w:val="21"/>
              </w:rPr>
            </w:pPr>
            <w:r>
              <w:rPr>
                <w:rFonts w:ascii="Times New Roman" w:hAnsi="Times New Roman"/>
                <w:b/>
                <w:kern w:val="0"/>
                <w:szCs w:val="21"/>
              </w:rPr>
              <w:t>烟尘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trPr>
        <w:tc>
          <w:tcPr>
            <w:tcW w:w="1208" w:type="dxa"/>
            <w:gridSpan w:val="2"/>
            <w:vMerge w:val="restart"/>
            <w:vAlign w:val="center"/>
          </w:tcPr>
          <w:p>
            <w:pPr>
              <w:widowControl/>
              <w:jc w:val="center"/>
              <w:rPr>
                <w:rFonts w:ascii="Times New Roman" w:hAnsi="Times New Roman"/>
                <w:szCs w:val="21"/>
              </w:rPr>
            </w:pPr>
            <w:r>
              <w:rPr>
                <w:rFonts w:ascii="Times New Roman" w:hAnsi="Times New Roman"/>
                <w:kern w:val="0"/>
                <w:szCs w:val="21"/>
              </w:rPr>
              <w:t>进口</w:t>
            </w:r>
            <w:r>
              <w:rPr>
                <w:rFonts w:ascii="Times New Roman" w:hAnsi="Times New Roman"/>
                <w:kern w:val="0"/>
                <w:szCs w:val="21"/>
              </w:rPr>
              <w:br w:type="textWrapping"/>
            </w:r>
            <w:r>
              <w:rPr>
                <w:rFonts w:ascii="Times New Roman" w:hAnsi="Times New Roman"/>
                <w:kern w:val="0"/>
                <w:szCs w:val="21"/>
              </w:rPr>
              <w:t>（平均值）</w:t>
            </w:r>
          </w:p>
        </w:tc>
        <w:tc>
          <w:tcPr>
            <w:tcW w:w="1827" w:type="dxa"/>
            <w:gridSpan w:val="3"/>
            <w:vAlign w:val="center"/>
          </w:tcPr>
          <w:p>
            <w:pPr>
              <w:widowControl/>
              <w:jc w:val="center"/>
              <w:rPr>
                <w:rFonts w:ascii="Times New Roman" w:hAnsi="Times New Roman"/>
              </w:rPr>
            </w:pPr>
            <w:r>
              <w:rPr>
                <w:rFonts w:ascii="Times New Roman" w:hAnsi="Times New Roman"/>
                <w:kern w:val="0"/>
                <w:szCs w:val="21"/>
              </w:rPr>
              <w:t>排放浓度 mg/m</w:t>
            </w:r>
            <w:r>
              <w:rPr>
                <w:rFonts w:ascii="Times New Roman" w:hAnsi="Times New Roman"/>
                <w:kern w:val="0"/>
                <w:szCs w:val="21"/>
                <w:vertAlign w:val="superscript"/>
              </w:rPr>
              <w:t>3</w:t>
            </w:r>
          </w:p>
        </w:tc>
        <w:tc>
          <w:tcPr>
            <w:tcW w:w="1422" w:type="dxa"/>
            <w:gridSpan w:val="4"/>
            <w:vMerge w:val="restart"/>
            <w:vAlign w:val="center"/>
          </w:tcPr>
          <w:p>
            <w:pPr>
              <w:widowControl/>
              <w:jc w:val="center"/>
              <w:rPr>
                <w:rFonts w:ascii="Times New Roman" w:hAnsi="Times New Roman"/>
                <w:sz w:val="22"/>
              </w:rPr>
            </w:pPr>
            <w:r>
              <w:rPr>
                <w:rFonts w:ascii="Times New Roman" w:hAnsi="Times New Roman"/>
                <w:sz w:val="22"/>
              </w:rPr>
              <w:t>477048</w:t>
            </w:r>
          </w:p>
          <w:p>
            <w:pPr>
              <w:widowControl/>
              <w:jc w:val="center"/>
              <w:rPr>
                <w:rFonts w:ascii="Times New Roman" w:hAnsi="Times New Roman"/>
                <w:kern w:val="0"/>
                <w:szCs w:val="21"/>
              </w:rPr>
            </w:pP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/h)</w:t>
            </w:r>
          </w:p>
        </w:tc>
        <w:tc>
          <w:tcPr>
            <w:tcW w:w="1217" w:type="dxa"/>
            <w:gridSpan w:val="4"/>
            <w:vAlign w:val="center"/>
          </w:tcPr>
          <w:p>
            <w:pPr>
              <w:widowControl/>
              <w:jc w:val="center"/>
              <w:rPr>
                <w:rFonts w:ascii="Times New Roman" w:hAnsi="Times New Roman"/>
                <w:kern w:val="0"/>
                <w:szCs w:val="21"/>
              </w:rPr>
            </w:pPr>
            <w:r>
              <w:rPr>
                <w:rFonts w:ascii="Times New Roman" w:hAnsi="Times New Roman"/>
                <w:kern w:val="0"/>
                <w:szCs w:val="21"/>
              </w:rPr>
              <w:t>1800</w:t>
            </w:r>
          </w:p>
        </w:tc>
        <w:tc>
          <w:tcPr>
            <w:tcW w:w="1216" w:type="dxa"/>
            <w:gridSpan w:val="3"/>
            <w:vAlign w:val="center"/>
          </w:tcPr>
          <w:p>
            <w:pPr>
              <w:widowControl/>
              <w:jc w:val="center"/>
              <w:rPr>
                <w:rFonts w:ascii="Times New Roman" w:hAnsi="Times New Roman"/>
                <w:kern w:val="0"/>
                <w:szCs w:val="21"/>
              </w:rPr>
            </w:pPr>
            <w:r>
              <w:rPr>
                <w:rFonts w:ascii="Times New Roman" w:hAnsi="Times New Roman"/>
                <w:kern w:val="0"/>
                <w:szCs w:val="21"/>
              </w:rPr>
              <w:t>310.2</w:t>
            </w:r>
          </w:p>
        </w:tc>
        <w:tc>
          <w:tcPr>
            <w:tcW w:w="867" w:type="dxa"/>
            <w:vAlign w:val="center"/>
          </w:tcPr>
          <w:p>
            <w:pPr>
              <w:widowControl/>
              <w:jc w:val="center"/>
              <w:rPr>
                <w:rFonts w:ascii="Times New Roman" w:hAnsi="Times New Roman"/>
                <w:kern w:val="0"/>
                <w:szCs w:val="21"/>
              </w:rPr>
            </w:pPr>
            <w:r>
              <w:rPr>
                <w:rFonts w:ascii="Times New Roman" w:hAnsi="Times New Roman"/>
                <w:kern w:val="0"/>
                <w:szCs w:val="21"/>
              </w:rPr>
              <w:t>2001.0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208" w:type="dxa"/>
            <w:gridSpan w:val="2"/>
            <w:vMerge w:val="continue"/>
            <w:vAlign w:val="center"/>
          </w:tcPr>
          <w:p>
            <w:pPr>
              <w:widowControl/>
              <w:jc w:val="left"/>
              <w:rPr>
                <w:rFonts w:ascii="Times New Roman" w:hAnsi="Times New Roman"/>
                <w:szCs w:val="21"/>
              </w:rPr>
            </w:pPr>
          </w:p>
        </w:tc>
        <w:tc>
          <w:tcPr>
            <w:tcW w:w="1827" w:type="dxa"/>
            <w:gridSpan w:val="3"/>
            <w:vAlign w:val="center"/>
          </w:tcPr>
          <w:p>
            <w:pPr>
              <w:widowControl/>
              <w:jc w:val="center"/>
              <w:rPr>
                <w:rFonts w:ascii="Times New Roman" w:hAnsi="Times New Roman"/>
              </w:rPr>
            </w:pPr>
            <w:r>
              <w:rPr>
                <w:rFonts w:ascii="Times New Roman" w:hAnsi="Times New Roman"/>
                <w:kern w:val="0"/>
                <w:szCs w:val="21"/>
              </w:rPr>
              <w:t>排放速率 kg/h</w:t>
            </w:r>
          </w:p>
        </w:tc>
        <w:tc>
          <w:tcPr>
            <w:tcW w:w="1422" w:type="dxa"/>
            <w:gridSpan w:val="4"/>
            <w:vMerge w:val="continue"/>
            <w:vAlign w:val="center"/>
          </w:tcPr>
          <w:p>
            <w:pPr>
              <w:widowControl/>
              <w:jc w:val="left"/>
              <w:rPr>
                <w:rFonts w:ascii="Times New Roman" w:hAnsi="Times New Roman"/>
                <w:kern w:val="0"/>
                <w:szCs w:val="21"/>
              </w:rPr>
            </w:pPr>
          </w:p>
        </w:tc>
        <w:tc>
          <w:tcPr>
            <w:tcW w:w="1217" w:type="dxa"/>
            <w:gridSpan w:val="4"/>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858.7</w:t>
            </w:r>
          </w:p>
        </w:tc>
        <w:tc>
          <w:tcPr>
            <w:tcW w:w="1216" w:type="dxa"/>
            <w:gridSpan w:val="3"/>
            <w:vAlign w:val="center"/>
          </w:tcPr>
          <w:p>
            <w:pPr>
              <w:widowControl/>
              <w:jc w:val="center"/>
              <w:rPr>
                <w:rFonts w:ascii="Times New Roman" w:hAnsi="Times New Roman"/>
                <w:kern w:val="0"/>
                <w:szCs w:val="21"/>
              </w:rPr>
            </w:pPr>
            <w:r>
              <w:rPr>
                <w:rFonts w:hint="eastAsia" w:ascii="Times New Roman" w:hAnsi="Times New Roman"/>
                <w:kern w:val="0"/>
                <w:szCs w:val="21"/>
                <w:lang w:val="en-US" w:eastAsia="zh-CN"/>
              </w:rPr>
              <w:t>150.</w:t>
            </w:r>
            <w:r>
              <w:rPr>
                <w:rFonts w:ascii="Times New Roman" w:hAnsi="Times New Roman"/>
                <w:kern w:val="0"/>
                <w:szCs w:val="21"/>
              </w:rPr>
              <w:t>0</w:t>
            </w:r>
          </w:p>
        </w:tc>
        <w:tc>
          <w:tcPr>
            <w:tcW w:w="867" w:type="dxa"/>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954.6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208" w:type="dxa"/>
            <w:gridSpan w:val="2"/>
            <w:vMerge w:val="restart"/>
            <w:vAlign w:val="center"/>
          </w:tcPr>
          <w:p>
            <w:pPr>
              <w:widowControl/>
              <w:jc w:val="center"/>
              <w:rPr>
                <w:rFonts w:ascii="Times New Roman" w:hAnsi="Times New Roman"/>
                <w:szCs w:val="21"/>
              </w:rPr>
            </w:pPr>
            <w:r>
              <w:rPr>
                <w:rFonts w:ascii="Times New Roman" w:hAnsi="Times New Roman"/>
                <w:kern w:val="0"/>
                <w:szCs w:val="21"/>
              </w:rPr>
              <w:t>出口</w:t>
            </w:r>
            <w:r>
              <w:rPr>
                <w:rFonts w:ascii="Times New Roman" w:hAnsi="Times New Roman"/>
                <w:kern w:val="0"/>
                <w:szCs w:val="21"/>
              </w:rPr>
              <w:br w:type="textWrapping"/>
            </w:r>
            <w:r>
              <w:rPr>
                <w:rFonts w:ascii="Times New Roman" w:hAnsi="Times New Roman"/>
                <w:kern w:val="0"/>
                <w:szCs w:val="21"/>
              </w:rPr>
              <w:t>（平均值）</w:t>
            </w:r>
          </w:p>
        </w:tc>
        <w:tc>
          <w:tcPr>
            <w:tcW w:w="1827" w:type="dxa"/>
            <w:gridSpan w:val="3"/>
            <w:vAlign w:val="center"/>
          </w:tcPr>
          <w:p>
            <w:pPr>
              <w:widowControl/>
              <w:jc w:val="center"/>
              <w:rPr>
                <w:rFonts w:ascii="Times New Roman" w:hAnsi="Times New Roman"/>
              </w:rPr>
            </w:pPr>
            <w:r>
              <w:rPr>
                <w:rFonts w:ascii="Times New Roman" w:hAnsi="Times New Roman"/>
                <w:kern w:val="0"/>
                <w:szCs w:val="21"/>
              </w:rPr>
              <w:t>排放浓度 mg/m</w:t>
            </w:r>
            <w:r>
              <w:rPr>
                <w:rFonts w:ascii="Times New Roman" w:hAnsi="Times New Roman"/>
                <w:kern w:val="0"/>
                <w:szCs w:val="21"/>
                <w:vertAlign w:val="superscript"/>
              </w:rPr>
              <w:t>3</w:t>
            </w:r>
          </w:p>
        </w:tc>
        <w:tc>
          <w:tcPr>
            <w:tcW w:w="1422" w:type="dxa"/>
            <w:gridSpan w:val="4"/>
            <w:vMerge w:val="continue"/>
            <w:vAlign w:val="center"/>
          </w:tcPr>
          <w:p>
            <w:pPr>
              <w:widowControl/>
              <w:jc w:val="center"/>
              <w:rPr>
                <w:rFonts w:ascii="Times New Roman" w:hAnsi="Times New Roman"/>
                <w:kern w:val="0"/>
                <w:szCs w:val="21"/>
              </w:rPr>
            </w:pPr>
          </w:p>
        </w:tc>
        <w:tc>
          <w:tcPr>
            <w:tcW w:w="1217" w:type="dxa"/>
            <w:gridSpan w:val="4"/>
            <w:vAlign w:val="center"/>
          </w:tcPr>
          <w:p>
            <w:pPr>
              <w:widowControl/>
              <w:jc w:val="center"/>
              <w:rPr>
                <w:rFonts w:ascii="Times New Roman" w:hAnsi="Times New Roman"/>
                <w:kern w:val="0"/>
                <w:szCs w:val="21"/>
              </w:rPr>
            </w:pPr>
            <w:r>
              <w:rPr>
                <w:rFonts w:ascii="Times New Roman" w:hAnsi="Times New Roman"/>
                <w:kern w:val="0"/>
                <w:szCs w:val="21"/>
              </w:rPr>
              <w:t>8.0</w:t>
            </w:r>
          </w:p>
        </w:tc>
        <w:tc>
          <w:tcPr>
            <w:tcW w:w="1216" w:type="dxa"/>
            <w:gridSpan w:val="3"/>
            <w:vAlign w:val="center"/>
          </w:tcPr>
          <w:p>
            <w:pPr>
              <w:widowControl/>
              <w:jc w:val="center"/>
              <w:rPr>
                <w:rFonts w:ascii="Times New Roman" w:hAnsi="Times New Roman"/>
                <w:kern w:val="0"/>
                <w:szCs w:val="21"/>
              </w:rPr>
            </w:pPr>
            <w:r>
              <w:rPr>
                <w:rFonts w:ascii="Times New Roman" w:hAnsi="Times New Roman"/>
                <w:kern w:val="0"/>
                <w:szCs w:val="21"/>
              </w:rPr>
              <w:t>11</w:t>
            </w:r>
          </w:p>
        </w:tc>
        <w:tc>
          <w:tcPr>
            <w:tcW w:w="867" w:type="dxa"/>
            <w:vAlign w:val="center"/>
          </w:tcPr>
          <w:p>
            <w:pPr>
              <w:widowControl/>
              <w:jc w:val="center"/>
              <w:rPr>
                <w:rFonts w:ascii="Times New Roman" w:hAnsi="Times New Roman"/>
                <w:kern w:val="0"/>
                <w:szCs w:val="21"/>
              </w:rPr>
            </w:pPr>
            <w:r>
              <w:rPr>
                <w:rFonts w:ascii="Times New Roman" w:hAnsi="Times New Roman"/>
                <w:kern w:val="0"/>
                <w:szCs w:val="21"/>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1208" w:type="dxa"/>
            <w:gridSpan w:val="2"/>
            <w:vMerge w:val="continue"/>
            <w:vAlign w:val="center"/>
          </w:tcPr>
          <w:p>
            <w:pPr>
              <w:widowControl/>
              <w:jc w:val="left"/>
              <w:rPr>
                <w:rFonts w:ascii="Times New Roman" w:hAnsi="Times New Roman"/>
                <w:szCs w:val="21"/>
              </w:rPr>
            </w:pPr>
          </w:p>
        </w:tc>
        <w:tc>
          <w:tcPr>
            <w:tcW w:w="1827" w:type="dxa"/>
            <w:gridSpan w:val="3"/>
            <w:vAlign w:val="center"/>
          </w:tcPr>
          <w:p>
            <w:pPr>
              <w:widowControl/>
              <w:jc w:val="center"/>
              <w:rPr>
                <w:rFonts w:ascii="Times New Roman" w:hAnsi="Times New Roman"/>
              </w:rPr>
            </w:pPr>
            <w:r>
              <w:rPr>
                <w:rFonts w:ascii="Times New Roman" w:hAnsi="Times New Roman"/>
                <w:kern w:val="0"/>
                <w:szCs w:val="21"/>
              </w:rPr>
              <w:t>排放速率 kg/h</w:t>
            </w:r>
          </w:p>
        </w:tc>
        <w:tc>
          <w:tcPr>
            <w:tcW w:w="1422" w:type="dxa"/>
            <w:gridSpan w:val="4"/>
            <w:vMerge w:val="continue"/>
            <w:vAlign w:val="center"/>
          </w:tcPr>
          <w:p>
            <w:pPr>
              <w:widowControl/>
              <w:jc w:val="left"/>
              <w:rPr>
                <w:rFonts w:ascii="Times New Roman" w:hAnsi="Times New Roman"/>
                <w:kern w:val="0"/>
                <w:szCs w:val="21"/>
              </w:rPr>
            </w:pPr>
          </w:p>
        </w:tc>
        <w:tc>
          <w:tcPr>
            <w:tcW w:w="1217" w:type="dxa"/>
            <w:gridSpan w:val="4"/>
            <w:vAlign w:val="center"/>
          </w:tcPr>
          <w:p>
            <w:pPr>
              <w:widowControl/>
              <w:jc w:val="center"/>
              <w:rPr>
                <w:rFonts w:ascii="Times New Roman" w:hAnsi="Times New Roman"/>
                <w:kern w:val="0"/>
                <w:szCs w:val="21"/>
              </w:rPr>
            </w:pPr>
            <w:r>
              <w:rPr>
                <w:rFonts w:ascii="Times New Roman" w:hAnsi="Times New Roman"/>
                <w:kern w:val="0"/>
                <w:szCs w:val="21"/>
              </w:rPr>
              <w:t>3.92</w:t>
            </w:r>
          </w:p>
        </w:tc>
        <w:tc>
          <w:tcPr>
            <w:tcW w:w="1216" w:type="dxa"/>
            <w:gridSpan w:val="3"/>
            <w:vAlign w:val="center"/>
          </w:tcPr>
          <w:p>
            <w:pPr>
              <w:widowControl/>
              <w:jc w:val="center"/>
              <w:rPr>
                <w:rFonts w:ascii="Times New Roman" w:hAnsi="Times New Roman"/>
                <w:kern w:val="0"/>
                <w:szCs w:val="21"/>
              </w:rPr>
            </w:pPr>
            <w:r>
              <w:rPr>
                <w:rFonts w:ascii="Times New Roman" w:hAnsi="Times New Roman"/>
                <w:kern w:val="0"/>
                <w:szCs w:val="21"/>
              </w:rPr>
              <w:t>5.24</w:t>
            </w:r>
          </w:p>
        </w:tc>
        <w:tc>
          <w:tcPr>
            <w:tcW w:w="867" w:type="dxa"/>
            <w:vAlign w:val="center"/>
          </w:tcPr>
          <w:p>
            <w:pPr>
              <w:widowControl/>
              <w:jc w:val="center"/>
              <w:rPr>
                <w:rFonts w:ascii="Times New Roman" w:hAnsi="Times New Roman"/>
                <w:kern w:val="0"/>
                <w:szCs w:val="21"/>
              </w:rPr>
            </w:pPr>
            <w:r>
              <w:rPr>
                <w:rFonts w:ascii="Times New Roman" w:hAnsi="Times New Roman"/>
                <w:kern w:val="0"/>
                <w:szCs w:val="21"/>
              </w:rPr>
              <w:t>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3035" w:type="dxa"/>
            <w:gridSpan w:val="5"/>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标准限值</w:t>
            </w:r>
            <w:r>
              <w:rPr>
                <w:rFonts w:ascii="Times New Roman" w:hAnsi="Times New Roman"/>
                <w:kern w:val="0"/>
                <w:szCs w:val="21"/>
              </w:rPr>
              <w:t>mg/m</w:t>
            </w:r>
            <w:r>
              <w:rPr>
                <w:rFonts w:ascii="Times New Roman" w:hAnsi="Times New Roman"/>
                <w:kern w:val="0"/>
                <w:szCs w:val="21"/>
                <w:vertAlign w:val="superscript"/>
              </w:rPr>
              <w:t>3</w:t>
            </w:r>
          </w:p>
        </w:tc>
        <w:tc>
          <w:tcPr>
            <w:tcW w:w="1422" w:type="dxa"/>
            <w:gridSpan w:val="4"/>
            <w:vAlign w:val="center"/>
          </w:tcPr>
          <w:p>
            <w:pPr>
              <w:widowControl/>
              <w:jc w:val="center"/>
              <w:rPr>
                <w:rFonts w:ascii="Times New Roman" w:hAnsi="Times New Roman"/>
                <w:kern w:val="0"/>
                <w:szCs w:val="21"/>
              </w:rPr>
            </w:pPr>
            <w:r>
              <w:rPr>
                <w:rFonts w:ascii="Times New Roman" w:hAnsi="Times New Roman"/>
                <w:kern w:val="0"/>
                <w:szCs w:val="21"/>
              </w:rPr>
              <w:t>/</w:t>
            </w:r>
          </w:p>
        </w:tc>
        <w:tc>
          <w:tcPr>
            <w:tcW w:w="1217" w:type="dxa"/>
            <w:gridSpan w:val="4"/>
            <w:vAlign w:val="center"/>
          </w:tcPr>
          <w:p>
            <w:pPr>
              <w:widowControl/>
              <w:jc w:val="center"/>
              <w:rPr>
                <w:rFonts w:ascii="Times New Roman" w:hAnsi="Times New Roman"/>
                <w:kern w:val="0"/>
                <w:szCs w:val="21"/>
              </w:rPr>
            </w:pPr>
            <w:r>
              <w:rPr>
                <w:rFonts w:ascii="Times New Roman" w:hAnsi="Times New Roman"/>
                <w:kern w:val="0"/>
                <w:szCs w:val="21"/>
              </w:rPr>
              <w:t>35</w:t>
            </w:r>
          </w:p>
        </w:tc>
        <w:tc>
          <w:tcPr>
            <w:tcW w:w="1216" w:type="dxa"/>
            <w:gridSpan w:val="3"/>
            <w:vAlign w:val="center"/>
          </w:tcPr>
          <w:p>
            <w:pPr>
              <w:widowControl/>
              <w:jc w:val="center"/>
              <w:rPr>
                <w:rFonts w:ascii="Times New Roman" w:hAnsi="Times New Roman"/>
                <w:kern w:val="0"/>
                <w:szCs w:val="21"/>
              </w:rPr>
            </w:pPr>
            <w:r>
              <w:rPr>
                <w:rFonts w:ascii="Times New Roman" w:hAnsi="Times New Roman"/>
                <w:kern w:val="0"/>
                <w:szCs w:val="21"/>
              </w:rPr>
              <w:t>50</w:t>
            </w:r>
          </w:p>
        </w:tc>
        <w:tc>
          <w:tcPr>
            <w:tcW w:w="867" w:type="dxa"/>
            <w:vAlign w:val="center"/>
          </w:tcPr>
          <w:p>
            <w:pPr>
              <w:widowControl/>
              <w:jc w:val="center"/>
              <w:rPr>
                <w:rFonts w:ascii="Times New Roman" w:hAnsi="Times New Roman"/>
                <w:kern w:val="0"/>
                <w:szCs w:val="21"/>
              </w:rPr>
            </w:pPr>
            <w:r>
              <w:rPr>
                <w:rFonts w:ascii="Times New Roman" w:hAnsi="Times New Roman"/>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3035" w:type="dxa"/>
            <w:gridSpan w:val="5"/>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处理效率</w:t>
            </w:r>
          </w:p>
        </w:tc>
        <w:tc>
          <w:tcPr>
            <w:tcW w:w="1422" w:type="dxa"/>
            <w:gridSpan w:val="4"/>
            <w:vAlign w:val="center"/>
          </w:tcPr>
          <w:p>
            <w:pPr>
              <w:widowControl/>
              <w:jc w:val="center"/>
              <w:rPr>
                <w:rFonts w:ascii="Times New Roman" w:hAnsi="Times New Roman"/>
                <w:kern w:val="0"/>
                <w:szCs w:val="21"/>
              </w:rPr>
            </w:pPr>
            <w:r>
              <w:rPr>
                <w:rFonts w:ascii="Times New Roman" w:hAnsi="Times New Roman"/>
                <w:kern w:val="0"/>
                <w:szCs w:val="21"/>
              </w:rPr>
              <w:t>/</w:t>
            </w:r>
          </w:p>
        </w:tc>
        <w:tc>
          <w:tcPr>
            <w:tcW w:w="1217" w:type="dxa"/>
            <w:gridSpan w:val="4"/>
            <w:vAlign w:val="center"/>
          </w:tcPr>
          <w:p>
            <w:pPr>
              <w:widowControl/>
              <w:jc w:val="center"/>
              <w:rPr>
                <w:rFonts w:ascii="Times New Roman" w:hAnsi="Times New Roman"/>
                <w:kern w:val="0"/>
                <w:szCs w:val="21"/>
              </w:rPr>
            </w:pPr>
            <w:r>
              <w:rPr>
                <w:rFonts w:ascii="Times New Roman" w:hAnsi="Times New Roman"/>
                <w:kern w:val="0"/>
                <w:szCs w:val="21"/>
              </w:rPr>
              <w:t>99.5%</w:t>
            </w:r>
          </w:p>
        </w:tc>
        <w:tc>
          <w:tcPr>
            <w:tcW w:w="1216" w:type="dxa"/>
            <w:gridSpan w:val="3"/>
            <w:vAlign w:val="center"/>
          </w:tcPr>
          <w:p>
            <w:pPr>
              <w:widowControl/>
              <w:jc w:val="center"/>
              <w:rPr>
                <w:rFonts w:ascii="Times New Roman" w:hAnsi="Times New Roman"/>
                <w:kern w:val="0"/>
                <w:szCs w:val="21"/>
              </w:rPr>
            </w:pPr>
            <w:r>
              <w:rPr>
                <w:rFonts w:ascii="Times New Roman" w:hAnsi="Times New Roman"/>
                <w:kern w:val="0"/>
                <w:szCs w:val="21"/>
              </w:rPr>
              <w:t>96.5%</w:t>
            </w:r>
          </w:p>
        </w:tc>
        <w:tc>
          <w:tcPr>
            <w:tcW w:w="867" w:type="dxa"/>
            <w:vAlign w:val="center"/>
          </w:tcPr>
          <w:p>
            <w:pPr>
              <w:widowControl/>
              <w:jc w:val="center"/>
              <w:rPr>
                <w:rFonts w:ascii="Times New Roman" w:hAnsi="Times New Roman"/>
                <w:kern w:val="0"/>
                <w:szCs w:val="21"/>
              </w:rPr>
            </w:pPr>
            <w:r>
              <w:rPr>
                <w:rFonts w:ascii="Times New Roman" w:hAnsi="Times New Roman"/>
                <w:kern w:val="0"/>
                <w:szCs w:val="21"/>
              </w:rPr>
              <w:t>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3035" w:type="dxa"/>
            <w:gridSpan w:val="5"/>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排放量(t/a)</w:t>
            </w:r>
          </w:p>
        </w:tc>
        <w:tc>
          <w:tcPr>
            <w:tcW w:w="1422" w:type="dxa"/>
            <w:gridSpan w:val="4"/>
            <w:vAlign w:val="center"/>
          </w:tcPr>
          <w:p>
            <w:pPr>
              <w:widowControl/>
              <w:jc w:val="center"/>
              <w:rPr>
                <w:rFonts w:ascii="Times New Roman" w:hAnsi="Times New Roman"/>
                <w:kern w:val="0"/>
                <w:szCs w:val="21"/>
              </w:rPr>
            </w:pPr>
            <w:r>
              <w:rPr>
                <w:rFonts w:ascii="Times New Roman" w:hAnsi="Times New Roman"/>
                <w:kern w:val="0"/>
                <w:szCs w:val="21"/>
              </w:rPr>
              <w:t>/</w:t>
            </w:r>
          </w:p>
        </w:tc>
        <w:tc>
          <w:tcPr>
            <w:tcW w:w="1217" w:type="dxa"/>
            <w:gridSpan w:val="4"/>
            <w:vAlign w:val="center"/>
          </w:tcPr>
          <w:p>
            <w:pPr>
              <w:widowControl/>
              <w:jc w:val="center"/>
              <w:rPr>
                <w:rFonts w:ascii="Times New Roman" w:hAnsi="Times New Roman"/>
                <w:kern w:val="0"/>
                <w:szCs w:val="21"/>
              </w:rPr>
            </w:pPr>
            <w:r>
              <w:rPr>
                <w:rFonts w:ascii="Times New Roman" w:hAnsi="Times New Roman"/>
                <w:kern w:val="0"/>
                <w:szCs w:val="21"/>
              </w:rPr>
              <w:t>34.34</w:t>
            </w:r>
          </w:p>
        </w:tc>
        <w:tc>
          <w:tcPr>
            <w:tcW w:w="1216" w:type="dxa"/>
            <w:gridSpan w:val="3"/>
            <w:vAlign w:val="center"/>
          </w:tcPr>
          <w:p>
            <w:pPr>
              <w:widowControl/>
              <w:jc w:val="center"/>
              <w:rPr>
                <w:rFonts w:ascii="Times New Roman" w:hAnsi="Times New Roman"/>
                <w:kern w:val="0"/>
                <w:szCs w:val="21"/>
              </w:rPr>
            </w:pPr>
            <w:r>
              <w:rPr>
                <w:rFonts w:ascii="Times New Roman" w:hAnsi="Times New Roman"/>
                <w:kern w:val="0"/>
                <w:szCs w:val="21"/>
              </w:rPr>
              <w:t>45.90</w:t>
            </w:r>
          </w:p>
        </w:tc>
        <w:tc>
          <w:tcPr>
            <w:tcW w:w="867" w:type="dxa"/>
            <w:vAlign w:val="center"/>
          </w:tcPr>
          <w:p>
            <w:pPr>
              <w:widowControl/>
              <w:jc w:val="center"/>
              <w:rPr>
                <w:rFonts w:ascii="Times New Roman" w:hAnsi="Times New Roman"/>
                <w:kern w:val="0"/>
                <w:szCs w:val="21"/>
              </w:rPr>
            </w:pPr>
            <w:r>
              <w:rPr>
                <w:rFonts w:ascii="Times New Roman" w:hAnsi="Times New Roman"/>
                <w:kern w:val="0"/>
                <w:szCs w:val="21"/>
              </w:rPr>
              <w:t>31.71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5000" w:type="pct"/>
            <w:gridSpan w:val="17"/>
            <w:shd w:val="clear" w:color="auto" w:fill="auto"/>
            <w:vAlign w:val="center"/>
          </w:tcPr>
          <w:p>
            <w:pPr>
              <w:snapToGrid w:val="0"/>
              <w:spacing w:before="12" w:beforeLines="5" w:after="12" w:afterLines="5" w:line="240" w:lineRule="exact"/>
              <w:jc w:val="center"/>
              <w:rPr>
                <w:rFonts w:ascii="Times New Roman" w:hAnsi="Times New Roman"/>
                <w:sz w:val="24"/>
              </w:rPr>
            </w:pPr>
            <w:r>
              <w:rPr>
                <w:rFonts w:ascii="Times New Roman" w:hAnsi="Times New Roman"/>
                <w:b/>
                <w:bCs/>
                <w:sz w:val="24"/>
              </w:rPr>
              <w:t>水污染物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565" w:type="pct"/>
            <w:gridSpan w:val="4"/>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项目</w:t>
            </w:r>
          </w:p>
        </w:tc>
        <w:tc>
          <w:tcPr>
            <w:tcW w:w="914"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废水排放量</w:t>
            </w:r>
          </w:p>
        </w:tc>
        <w:tc>
          <w:tcPr>
            <w:tcW w:w="915" w:type="pct"/>
            <w:gridSpan w:val="4"/>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COD</w:t>
            </w:r>
          </w:p>
        </w:tc>
        <w:tc>
          <w:tcPr>
            <w:tcW w:w="915"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689"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778" w:type="pct"/>
            <w:gridSpan w:val="2"/>
            <w:shd w:val="clear" w:color="auto" w:fill="auto"/>
            <w:vAlign w:val="center"/>
          </w:tcPr>
          <w:p>
            <w:pPr>
              <w:widowControl/>
              <w:jc w:val="center"/>
              <w:rPr>
                <w:rFonts w:ascii="Times New Roman" w:hAnsi="Times New Roman"/>
                <w:szCs w:val="21"/>
              </w:rPr>
            </w:pPr>
            <w:r>
              <w:rPr>
                <w:rFonts w:ascii="Times New Roman" w:hAnsi="Times New Roman"/>
                <w:kern w:val="0"/>
                <w:szCs w:val="21"/>
              </w:rPr>
              <w:t>CFB锅炉烟脱废水</w:t>
            </w:r>
          </w:p>
        </w:tc>
        <w:tc>
          <w:tcPr>
            <w:tcW w:w="787" w:type="pct"/>
            <w:gridSpan w:val="2"/>
            <w:shd w:val="clear" w:color="auto" w:fill="auto"/>
            <w:vAlign w:val="center"/>
          </w:tcPr>
          <w:p>
            <w:pPr>
              <w:widowControl/>
              <w:jc w:val="center"/>
              <w:rPr>
                <w:rFonts w:ascii="Times New Roman" w:hAnsi="Times New Roman"/>
                <w:szCs w:val="21"/>
              </w:rPr>
            </w:pPr>
            <w:r>
              <w:rPr>
                <w:rFonts w:ascii="Times New Roman" w:hAnsi="Times New Roman"/>
                <w:kern w:val="0"/>
                <w:szCs w:val="21"/>
              </w:rPr>
              <w:t>排放浓度 mg/L</w:t>
            </w:r>
          </w:p>
        </w:tc>
        <w:tc>
          <w:tcPr>
            <w:tcW w:w="914" w:type="pct"/>
            <w:gridSpan w:val="3"/>
            <w:vMerge w:val="restart"/>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11417.41(t/a)</w:t>
            </w:r>
          </w:p>
        </w:tc>
        <w:tc>
          <w:tcPr>
            <w:tcW w:w="915" w:type="pct"/>
            <w:gridSpan w:val="4"/>
            <w:shd w:val="clear" w:color="auto" w:fill="auto"/>
            <w:vAlign w:val="center"/>
          </w:tcPr>
          <w:p>
            <w:pPr>
              <w:widowControl/>
              <w:jc w:val="center"/>
              <w:rPr>
                <w:rFonts w:ascii="Times New Roman" w:hAnsi="Times New Roman"/>
                <w:szCs w:val="21"/>
              </w:rPr>
            </w:pPr>
            <w:r>
              <w:rPr>
                <w:rFonts w:ascii="Times New Roman" w:hAnsi="Times New Roman"/>
                <w:kern w:val="0"/>
                <w:szCs w:val="21"/>
              </w:rPr>
              <w:t>306</w:t>
            </w:r>
          </w:p>
        </w:tc>
        <w:tc>
          <w:tcPr>
            <w:tcW w:w="915" w:type="pct"/>
            <w:gridSpan w:val="3"/>
            <w:shd w:val="clear" w:color="auto" w:fill="auto"/>
            <w:vAlign w:val="center"/>
          </w:tcPr>
          <w:p>
            <w:pPr>
              <w:widowControl/>
              <w:jc w:val="center"/>
              <w:rPr>
                <w:rFonts w:ascii="Times New Roman" w:hAnsi="Times New Roman"/>
                <w:szCs w:val="21"/>
              </w:rPr>
            </w:pPr>
            <w:r>
              <w:rPr>
                <w:rFonts w:ascii="Times New Roman" w:hAnsi="Times New Roman"/>
                <w:kern w:val="0"/>
                <w:szCs w:val="21"/>
              </w:rPr>
              <w:t>48</w:t>
            </w:r>
          </w:p>
        </w:tc>
        <w:tc>
          <w:tcPr>
            <w:tcW w:w="689" w:type="pct"/>
            <w:gridSpan w:val="3"/>
            <w:shd w:val="clear" w:color="auto" w:fill="auto"/>
            <w:vAlign w:val="center"/>
          </w:tcPr>
          <w:p>
            <w:pPr>
              <w:widowControl/>
              <w:jc w:val="center"/>
              <w:rPr>
                <w:rFonts w:ascii="Times New Roman" w:hAnsi="Times New Roman"/>
                <w:szCs w:val="21"/>
              </w:rPr>
            </w:pPr>
            <w:r>
              <w:rPr>
                <w:rFonts w:ascii="Times New Roman" w:hAnsi="Times New Roman"/>
                <w:kern w:val="0"/>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778" w:type="pct"/>
            <w:gridSpan w:val="2"/>
            <w:shd w:val="clear" w:color="auto" w:fill="auto"/>
            <w:vAlign w:val="center"/>
          </w:tcPr>
          <w:p>
            <w:pPr>
              <w:widowControl/>
              <w:jc w:val="center"/>
              <w:rPr>
                <w:rFonts w:ascii="Times New Roman" w:hAnsi="Times New Roman"/>
                <w:szCs w:val="21"/>
              </w:rPr>
            </w:pPr>
            <w:r>
              <w:rPr>
                <w:rFonts w:ascii="Times New Roman" w:hAnsi="Times New Roman"/>
                <w:kern w:val="0"/>
                <w:szCs w:val="21"/>
              </w:rPr>
              <w:t>二污总排放口</w:t>
            </w:r>
          </w:p>
        </w:tc>
        <w:tc>
          <w:tcPr>
            <w:tcW w:w="787" w:type="pct"/>
            <w:gridSpan w:val="2"/>
            <w:shd w:val="clear" w:color="auto" w:fill="auto"/>
            <w:vAlign w:val="center"/>
          </w:tcPr>
          <w:p>
            <w:pPr>
              <w:widowControl/>
              <w:jc w:val="center"/>
              <w:rPr>
                <w:rFonts w:ascii="Times New Roman" w:hAnsi="Times New Roman"/>
                <w:szCs w:val="21"/>
              </w:rPr>
            </w:pPr>
            <w:r>
              <w:rPr>
                <w:rFonts w:ascii="Times New Roman" w:hAnsi="Times New Roman"/>
                <w:kern w:val="0"/>
                <w:szCs w:val="21"/>
              </w:rPr>
              <w:t>排放浓度mg/L</w:t>
            </w:r>
          </w:p>
        </w:tc>
        <w:tc>
          <w:tcPr>
            <w:tcW w:w="914" w:type="pct"/>
            <w:gridSpan w:val="3"/>
            <w:vMerge w:val="continue"/>
            <w:shd w:val="clear" w:color="auto" w:fill="auto"/>
            <w:vAlign w:val="center"/>
          </w:tcPr>
          <w:p>
            <w:pPr>
              <w:snapToGrid w:val="0"/>
              <w:spacing w:before="12" w:beforeLines="5" w:after="12" w:afterLines="5" w:line="240" w:lineRule="exact"/>
              <w:jc w:val="center"/>
              <w:rPr>
                <w:rFonts w:ascii="Times New Roman" w:hAnsi="Times New Roman"/>
                <w:szCs w:val="21"/>
              </w:rPr>
            </w:pPr>
          </w:p>
        </w:tc>
        <w:tc>
          <w:tcPr>
            <w:tcW w:w="1419" w:type="dxa"/>
            <w:gridSpan w:val="4"/>
            <w:shd w:val="clear" w:color="auto" w:fill="auto"/>
            <w:vAlign w:val="center"/>
          </w:tcPr>
          <w:p>
            <w:pPr>
              <w:widowControl/>
              <w:jc w:val="center"/>
              <w:rPr>
                <w:rFonts w:ascii="Times New Roman" w:hAnsi="Times New Roman"/>
                <w:szCs w:val="21"/>
              </w:rPr>
            </w:pPr>
            <w:r>
              <w:rPr>
                <w:rFonts w:ascii="Times New Roman" w:hAnsi="Times New Roman"/>
                <w:szCs w:val="21"/>
              </w:rPr>
              <w:t>60</w:t>
            </w:r>
          </w:p>
        </w:tc>
        <w:tc>
          <w:tcPr>
            <w:tcW w:w="1419" w:type="dxa"/>
            <w:gridSpan w:val="3"/>
            <w:shd w:val="clear" w:color="auto" w:fill="auto"/>
            <w:vAlign w:val="center"/>
          </w:tcPr>
          <w:p>
            <w:pPr>
              <w:widowControl/>
              <w:jc w:val="center"/>
              <w:rPr>
                <w:rFonts w:ascii="Times New Roman" w:hAnsi="Times New Roman"/>
                <w:szCs w:val="21"/>
              </w:rPr>
            </w:pPr>
            <w:r>
              <w:rPr>
                <w:rFonts w:hint="eastAsia" w:ascii="Times New Roman" w:hAnsi="Times New Roman"/>
                <w:kern w:val="0"/>
                <w:szCs w:val="21"/>
                <w:lang w:val="en-US" w:eastAsia="zh-CN"/>
              </w:rPr>
              <w:t>8</w:t>
            </w:r>
            <w:r>
              <w:rPr>
                <w:rFonts w:ascii="Times New Roman" w:hAnsi="Times New Roman"/>
                <w:kern w:val="0"/>
                <w:szCs w:val="21"/>
              </w:rPr>
              <w:t>.0</w:t>
            </w:r>
          </w:p>
        </w:tc>
        <w:tc>
          <w:tcPr>
            <w:tcW w:w="1071" w:type="dxa"/>
            <w:gridSpan w:val="3"/>
            <w:shd w:val="clear" w:color="auto" w:fill="auto"/>
            <w:vAlign w:val="center"/>
          </w:tcPr>
          <w:p>
            <w:pPr>
              <w:widowControl/>
              <w:jc w:val="center"/>
              <w:rPr>
                <w:rFonts w:ascii="Times New Roman" w:hAnsi="Times New Roman"/>
                <w:szCs w:val="21"/>
              </w:rPr>
            </w:pPr>
            <w:r>
              <w:rPr>
                <w:rFonts w:ascii="Times New Roman" w:hAnsi="Times New Roman"/>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565" w:type="pct"/>
            <w:gridSpan w:val="4"/>
            <w:shd w:val="clear" w:color="auto" w:fill="auto"/>
            <w:vAlign w:val="center"/>
          </w:tcPr>
          <w:p>
            <w:pPr>
              <w:widowControl/>
              <w:jc w:val="center"/>
              <w:rPr>
                <w:rFonts w:ascii="Times New Roman" w:hAnsi="Times New Roman"/>
                <w:szCs w:val="21"/>
              </w:rPr>
            </w:pPr>
            <w:r>
              <w:rPr>
                <w:rFonts w:ascii="Times New Roman" w:hAnsi="Times New Roman"/>
                <w:kern w:val="0"/>
                <w:szCs w:val="21"/>
              </w:rPr>
              <w:t>标准限值mg/L</w:t>
            </w:r>
          </w:p>
        </w:tc>
        <w:tc>
          <w:tcPr>
            <w:tcW w:w="914" w:type="pct"/>
            <w:gridSpan w:val="3"/>
            <w:shd w:val="clear" w:color="auto" w:fill="auto"/>
            <w:vAlign w:val="center"/>
          </w:tcPr>
          <w:p>
            <w:pPr>
              <w:widowControl/>
              <w:jc w:val="center"/>
              <w:rPr>
                <w:rFonts w:ascii="Times New Roman" w:hAnsi="Times New Roman"/>
                <w:szCs w:val="21"/>
              </w:rPr>
            </w:pPr>
            <w:r>
              <w:rPr>
                <w:rFonts w:ascii="Times New Roman" w:hAnsi="Times New Roman"/>
                <w:kern w:val="0"/>
                <w:szCs w:val="21"/>
              </w:rPr>
              <w:t>/</w:t>
            </w:r>
          </w:p>
        </w:tc>
        <w:tc>
          <w:tcPr>
            <w:tcW w:w="915" w:type="pct"/>
            <w:gridSpan w:val="4"/>
            <w:shd w:val="clear" w:color="auto" w:fill="auto"/>
            <w:vAlign w:val="center"/>
          </w:tcPr>
          <w:p>
            <w:pPr>
              <w:widowControl/>
              <w:jc w:val="center"/>
              <w:rPr>
                <w:rFonts w:ascii="Times New Roman" w:hAnsi="Times New Roman"/>
                <w:szCs w:val="21"/>
              </w:rPr>
            </w:pPr>
            <w:r>
              <w:rPr>
                <w:rFonts w:ascii="Times New Roman" w:hAnsi="Times New Roman"/>
                <w:szCs w:val="21"/>
              </w:rPr>
              <w:t>60</w:t>
            </w:r>
          </w:p>
        </w:tc>
        <w:tc>
          <w:tcPr>
            <w:tcW w:w="915" w:type="pct"/>
            <w:gridSpan w:val="3"/>
            <w:shd w:val="clear" w:color="auto" w:fill="auto"/>
            <w:vAlign w:val="center"/>
          </w:tcPr>
          <w:p>
            <w:pPr>
              <w:widowControl/>
              <w:jc w:val="center"/>
              <w:rPr>
                <w:rFonts w:ascii="Times New Roman" w:hAnsi="Times New Roman"/>
                <w:szCs w:val="21"/>
              </w:rPr>
            </w:pPr>
            <w:r>
              <w:rPr>
                <w:rFonts w:hint="eastAsia" w:ascii="Times New Roman" w:hAnsi="Times New Roman"/>
                <w:kern w:val="0"/>
                <w:szCs w:val="21"/>
                <w:lang w:val="en-US" w:eastAsia="zh-CN"/>
              </w:rPr>
              <w:t>8</w:t>
            </w:r>
            <w:r>
              <w:rPr>
                <w:rFonts w:ascii="Times New Roman" w:hAnsi="Times New Roman"/>
                <w:kern w:val="0"/>
                <w:szCs w:val="21"/>
              </w:rPr>
              <w:t>.0</w:t>
            </w:r>
          </w:p>
        </w:tc>
        <w:tc>
          <w:tcPr>
            <w:tcW w:w="689" w:type="pct"/>
            <w:gridSpan w:val="3"/>
            <w:shd w:val="clear" w:color="auto" w:fill="auto"/>
            <w:vAlign w:val="center"/>
          </w:tcPr>
          <w:p>
            <w:pPr>
              <w:widowControl/>
              <w:jc w:val="center"/>
              <w:rPr>
                <w:rFonts w:ascii="Times New Roman" w:hAnsi="Times New Roman"/>
                <w:szCs w:val="21"/>
              </w:rPr>
            </w:pPr>
            <w:r>
              <w:rPr>
                <w:rFonts w:ascii="Times New Roman" w:hAnsi="Times New Roman"/>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565" w:type="pct"/>
            <w:gridSpan w:val="4"/>
            <w:shd w:val="clear" w:color="auto" w:fill="auto"/>
            <w:vAlign w:val="center"/>
          </w:tcPr>
          <w:p>
            <w:pPr>
              <w:widowControl/>
              <w:jc w:val="center"/>
              <w:rPr>
                <w:rFonts w:ascii="Times New Roman" w:hAnsi="Times New Roman"/>
                <w:szCs w:val="21"/>
              </w:rPr>
            </w:pPr>
            <w:r>
              <w:rPr>
                <w:rFonts w:ascii="Times New Roman" w:hAnsi="Times New Roman"/>
                <w:kern w:val="0"/>
                <w:szCs w:val="21"/>
              </w:rPr>
              <w:t>处理效率</w:t>
            </w:r>
          </w:p>
        </w:tc>
        <w:tc>
          <w:tcPr>
            <w:tcW w:w="914" w:type="pct"/>
            <w:gridSpan w:val="3"/>
            <w:shd w:val="clear" w:color="auto" w:fill="auto"/>
            <w:vAlign w:val="center"/>
          </w:tcPr>
          <w:p>
            <w:pPr>
              <w:widowControl/>
              <w:jc w:val="center"/>
              <w:rPr>
                <w:rFonts w:ascii="Times New Roman" w:hAnsi="Times New Roman"/>
                <w:szCs w:val="21"/>
              </w:rPr>
            </w:pPr>
            <w:r>
              <w:rPr>
                <w:rFonts w:ascii="Times New Roman" w:hAnsi="Times New Roman"/>
                <w:kern w:val="0"/>
                <w:szCs w:val="21"/>
              </w:rPr>
              <w:t>/</w:t>
            </w:r>
          </w:p>
        </w:tc>
        <w:tc>
          <w:tcPr>
            <w:tcW w:w="915" w:type="pct"/>
            <w:gridSpan w:val="4"/>
            <w:shd w:val="clear" w:color="auto" w:fill="auto"/>
            <w:vAlign w:val="center"/>
          </w:tcPr>
          <w:p>
            <w:pPr>
              <w:widowControl/>
              <w:jc w:val="center"/>
              <w:rPr>
                <w:rFonts w:ascii="Times New Roman" w:hAnsi="Times New Roman"/>
                <w:szCs w:val="21"/>
              </w:rPr>
            </w:pPr>
            <w:r>
              <w:rPr>
                <w:rFonts w:hint="eastAsia" w:ascii="Times New Roman" w:hAnsi="Times New Roman"/>
                <w:kern w:val="0"/>
                <w:szCs w:val="21"/>
                <w:lang w:val="en-US" w:eastAsia="zh-CN"/>
              </w:rPr>
              <w:t>80.4</w:t>
            </w:r>
            <w:r>
              <w:rPr>
                <w:rFonts w:ascii="Times New Roman" w:hAnsi="Times New Roman"/>
                <w:kern w:val="0"/>
                <w:szCs w:val="21"/>
              </w:rPr>
              <w:t>%</w:t>
            </w:r>
          </w:p>
        </w:tc>
        <w:tc>
          <w:tcPr>
            <w:tcW w:w="915" w:type="pct"/>
            <w:gridSpan w:val="3"/>
            <w:shd w:val="clear" w:color="auto" w:fill="auto"/>
            <w:vAlign w:val="center"/>
          </w:tcPr>
          <w:p>
            <w:pPr>
              <w:widowControl/>
              <w:jc w:val="center"/>
              <w:rPr>
                <w:rFonts w:ascii="Times New Roman" w:hAnsi="Times New Roman"/>
                <w:szCs w:val="21"/>
              </w:rPr>
            </w:pPr>
            <w:r>
              <w:rPr>
                <w:rFonts w:ascii="Times New Roman" w:hAnsi="Times New Roman"/>
                <w:kern w:val="0"/>
                <w:szCs w:val="21"/>
              </w:rPr>
              <w:cr/>
            </w:r>
            <w:r>
              <w:rPr>
                <w:rFonts w:hint="eastAsia" w:ascii="Times New Roman" w:hAnsi="Times New Roman"/>
                <w:kern w:val="0"/>
                <w:szCs w:val="21"/>
                <w:lang w:val="en-US" w:eastAsia="zh-CN"/>
              </w:rPr>
              <w:t>83.3</w:t>
            </w:r>
            <w:r>
              <w:rPr>
                <w:rFonts w:ascii="Times New Roman" w:hAnsi="Times New Roman"/>
                <w:kern w:val="0"/>
                <w:szCs w:val="21"/>
              </w:rPr>
              <w:t>%</w:t>
            </w:r>
          </w:p>
        </w:tc>
        <w:tc>
          <w:tcPr>
            <w:tcW w:w="689" w:type="pct"/>
            <w:gridSpan w:val="3"/>
            <w:shd w:val="clear" w:color="auto" w:fill="auto"/>
            <w:vAlign w:val="center"/>
          </w:tcPr>
          <w:p>
            <w:pPr>
              <w:widowControl/>
              <w:jc w:val="center"/>
              <w:rPr>
                <w:rFonts w:ascii="Times New Roman" w:hAnsi="Times New Roman"/>
                <w:szCs w:val="21"/>
              </w:rPr>
            </w:pPr>
            <w:r>
              <w:rPr>
                <w:rFonts w:hint="eastAsia" w:ascii="Times New Roman" w:hAnsi="Times New Roman"/>
                <w:kern w:val="0"/>
                <w:szCs w:val="21"/>
                <w:lang w:val="en-US" w:eastAsia="zh-CN"/>
              </w:rPr>
              <w:t>65</w:t>
            </w:r>
            <w:r>
              <w:rPr>
                <w:rFonts w:ascii="Times New Roman" w:hAnsi="Times New Roman"/>
                <w:kern w:val="0"/>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trPr>
        <w:tc>
          <w:tcPr>
            <w:tcW w:w="1565" w:type="pct"/>
            <w:gridSpan w:val="4"/>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排放量(t/a)</w:t>
            </w:r>
          </w:p>
        </w:tc>
        <w:tc>
          <w:tcPr>
            <w:tcW w:w="914" w:type="pct"/>
            <w:gridSpan w:val="3"/>
            <w:shd w:val="clear" w:color="auto" w:fill="auto"/>
            <w:vAlign w:val="center"/>
          </w:tcPr>
          <w:p>
            <w:pPr>
              <w:widowControl/>
              <w:jc w:val="center"/>
              <w:rPr>
                <w:rFonts w:ascii="Times New Roman" w:hAnsi="Times New Roman"/>
                <w:szCs w:val="21"/>
              </w:rPr>
            </w:pPr>
            <w:r>
              <w:rPr>
                <w:rFonts w:ascii="Times New Roman" w:hAnsi="Times New Roman"/>
                <w:kern w:val="0"/>
                <w:szCs w:val="21"/>
              </w:rPr>
              <w:t>/</w:t>
            </w:r>
          </w:p>
        </w:tc>
        <w:tc>
          <w:tcPr>
            <w:tcW w:w="915" w:type="pct"/>
            <w:gridSpan w:val="4"/>
            <w:shd w:val="clear" w:color="auto" w:fill="auto"/>
            <w:vAlign w:val="center"/>
          </w:tcPr>
          <w:p>
            <w:pPr>
              <w:snapToGrid w:val="0"/>
              <w:spacing w:before="12" w:beforeLines="5" w:after="12" w:afterLines="5" w:line="240" w:lineRule="exact"/>
              <w:jc w:val="center"/>
              <w:rPr>
                <w:rFonts w:hint="default" w:ascii="Times New Roman" w:hAnsi="Times New Roman" w:eastAsia="宋体"/>
                <w:szCs w:val="21"/>
                <w:lang w:val="en-US" w:eastAsia="zh-CN"/>
              </w:rPr>
            </w:pPr>
            <w:r>
              <w:rPr>
                <w:rFonts w:ascii="Times New Roman" w:hAnsi="Times New Roman"/>
                <w:szCs w:val="21"/>
              </w:rPr>
              <w:t>0.</w:t>
            </w:r>
            <w:r>
              <w:rPr>
                <w:rFonts w:hint="eastAsia" w:ascii="Times New Roman" w:hAnsi="Times New Roman"/>
                <w:szCs w:val="21"/>
                <w:lang w:val="en-US" w:eastAsia="zh-CN"/>
              </w:rPr>
              <w:t>69</w:t>
            </w:r>
          </w:p>
        </w:tc>
        <w:tc>
          <w:tcPr>
            <w:tcW w:w="915"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0.0</w:t>
            </w:r>
            <w:r>
              <w:rPr>
                <w:rFonts w:hint="eastAsia" w:ascii="Times New Roman" w:hAnsi="Times New Roman"/>
                <w:szCs w:val="21"/>
                <w:lang w:val="en-US" w:eastAsia="zh-CN"/>
              </w:rPr>
              <w:t>9</w:t>
            </w:r>
          </w:p>
        </w:tc>
        <w:tc>
          <w:tcPr>
            <w:tcW w:w="689" w:type="pct"/>
            <w:gridSpan w:val="3"/>
            <w:shd w:val="clear" w:color="auto" w:fill="auto"/>
            <w:vAlign w:val="center"/>
          </w:tcPr>
          <w:p>
            <w:pPr>
              <w:snapToGrid w:val="0"/>
              <w:spacing w:before="12" w:beforeLines="5" w:after="12" w:afterLines="5" w:line="240" w:lineRule="exact"/>
              <w:jc w:val="center"/>
              <w:rPr>
                <w:rFonts w:hint="default" w:ascii="Times New Roman" w:hAnsi="Times New Roman" w:eastAsia="宋体"/>
                <w:szCs w:val="21"/>
                <w:lang w:val="en-US" w:eastAsia="zh-CN"/>
              </w:rPr>
            </w:pPr>
            <w:r>
              <w:rPr>
                <w:rFonts w:ascii="Times New Roman" w:hAnsi="Times New Roman"/>
                <w:szCs w:val="21"/>
              </w:rPr>
              <w:t>0</w:t>
            </w:r>
            <w:r>
              <w:rPr>
                <w:rFonts w:hint="eastAsia" w:ascii="Times New Roman" w:hAnsi="Times New Roman"/>
                <w:szCs w:val="21"/>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000" w:type="pct"/>
            <w:gridSpan w:val="17"/>
            <w:shd w:val="clear" w:color="auto" w:fill="auto"/>
            <w:vAlign w:val="center"/>
          </w:tcPr>
          <w:p>
            <w:pPr>
              <w:snapToGrid w:val="0"/>
              <w:spacing w:before="12" w:beforeLines="5" w:after="12" w:afterLines="5" w:line="240" w:lineRule="exact"/>
              <w:jc w:val="center"/>
              <w:rPr>
                <w:rFonts w:ascii="Times New Roman" w:hAnsi="Times New Roman"/>
                <w:b/>
                <w:bCs/>
                <w:sz w:val="24"/>
              </w:rPr>
            </w:pPr>
            <w:r>
              <w:rPr>
                <w:rFonts w:ascii="Times New Roman" w:hAnsi="Times New Roman"/>
                <w:b/>
                <w:bCs/>
                <w:sz w:val="24"/>
              </w:rPr>
              <w:t>固体废物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3" w:type="pct"/>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项目</w:t>
            </w:r>
          </w:p>
        </w:tc>
        <w:tc>
          <w:tcPr>
            <w:tcW w:w="594"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类别</w:t>
            </w:r>
          </w:p>
        </w:tc>
        <w:tc>
          <w:tcPr>
            <w:tcW w:w="598"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废物名称</w:t>
            </w:r>
          </w:p>
        </w:tc>
        <w:tc>
          <w:tcPr>
            <w:tcW w:w="899" w:type="pct"/>
            <w:gridSpan w:val="3"/>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产生量(t/a)</w:t>
            </w:r>
          </w:p>
        </w:tc>
        <w:tc>
          <w:tcPr>
            <w:tcW w:w="1576" w:type="pct"/>
            <w:gridSpan w:val="7"/>
            <w:shd w:val="clear" w:color="auto" w:fill="auto"/>
            <w:vAlign w:val="center"/>
          </w:tcPr>
          <w:p>
            <w:pPr>
              <w:snapToGrid w:val="0"/>
              <w:spacing w:before="12" w:beforeLines="5" w:after="12" w:afterLines="5" w:line="240" w:lineRule="exact"/>
              <w:jc w:val="center"/>
              <w:rPr>
                <w:rFonts w:ascii="Times New Roman" w:hAnsi="Times New Roman"/>
                <w:b/>
                <w:bCs/>
                <w:szCs w:val="21"/>
              </w:rPr>
            </w:pPr>
            <w:r>
              <w:rPr>
                <w:rFonts w:ascii="Times New Roman" w:hAnsi="Times New Roman"/>
                <w:szCs w:val="21"/>
              </w:rPr>
              <w:t>处理处置量(t/a)</w:t>
            </w:r>
          </w:p>
        </w:tc>
        <w:tc>
          <w:tcPr>
            <w:tcW w:w="567" w:type="pct"/>
            <w:gridSpan w:val="2"/>
            <w:vMerge w:val="restart"/>
            <w:shd w:val="clear" w:color="auto" w:fill="auto"/>
            <w:vAlign w:val="center"/>
          </w:tcPr>
          <w:p>
            <w:pPr>
              <w:snapToGrid w:val="0"/>
              <w:spacing w:before="12" w:beforeLines="5" w:after="12" w:afterLines="5" w:line="240" w:lineRule="exact"/>
              <w:jc w:val="center"/>
              <w:rPr>
                <w:rFonts w:ascii="Times New Roman" w:hAnsi="Times New Roman"/>
                <w:b/>
                <w:bCs/>
                <w:szCs w:val="21"/>
              </w:rPr>
            </w:pPr>
            <w:r>
              <w:rPr>
                <w:rFonts w:ascii="Times New Roman" w:hAnsi="Times New Roman"/>
                <w:szCs w:val="21"/>
              </w:rPr>
              <w:t>外排量(t/a)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763" w:type="pct"/>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4"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8"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899" w:type="pct"/>
            <w:gridSpan w:val="3"/>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788" w:type="pct"/>
            <w:gridSpan w:val="4"/>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处理处置</w:t>
            </w:r>
          </w:p>
        </w:tc>
        <w:tc>
          <w:tcPr>
            <w:tcW w:w="788"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回收利用</w:t>
            </w:r>
          </w:p>
        </w:tc>
        <w:tc>
          <w:tcPr>
            <w:tcW w:w="567" w:type="pct"/>
            <w:gridSpan w:val="2"/>
            <w:vMerge w:val="continue"/>
            <w:shd w:val="clear" w:color="auto" w:fill="auto"/>
            <w:vAlign w:val="center"/>
          </w:tcPr>
          <w:p>
            <w:pPr>
              <w:snapToGrid w:val="0"/>
              <w:spacing w:before="12" w:beforeLines="5" w:after="12" w:afterLines="5" w:line="240" w:lineRule="exact"/>
              <w:jc w:val="center"/>
              <w:rPr>
                <w:rFonts w:ascii="Times New Roman" w:hAnsi="Times New Roman"/>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3" w:type="pct"/>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现有CFB锅炉</w:t>
            </w:r>
          </w:p>
        </w:tc>
        <w:tc>
          <w:tcPr>
            <w:tcW w:w="594" w:type="pct"/>
            <w:gridSpan w:val="2"/>
            <w:vMerge w:val="restart"/>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一般工业固废</w:t>
            </w:r>
          </w:p>
        </w:tc>
        <w:tc>
          <w:tcPr>
            <w:tcW w:w="598"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炉灰</w:t>
            </w:r>
          </w:p>
        </w:tc>
        <w:tc>
          <w:tcPr>
            <w:tcW w:w="899"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48487.2</w:t>
            </w:r>
          </w:p>
        </w:tc>
        <w:tc>
          <w:tcPr>
            <w:tcW w:w="788" w:type="pct"/>
            <w:gridSpan w:val="4"/>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48487.2</w:t>
            </w:r>
          </w:p>
        </w:tc>
        <w:tc>
          <w:tcPr>
            <w:tcW w:w="788"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0</w:t>
            </w:r>
          </w:p>
        </w:tc>
        <w:tc>
          <w:tcPr>
            <w:tcW w:w="567" w:type="pct"/>
            <w:gridSpan w:val="2"/>
            <w:shd w:val="clear" w:color="auto" w:fill="auto"/>
            <w:vAlign w:val="center"/>
          </w:tcPr>
          <w:p>
            <w:pPr>
              <w:snapToGrid w:val="0"/>
              <w:spacing w:before="12" w:beforeLines="5" w:after="12" w:afterLines="5" w:line="240" w:lineRule="exact"/>
              <w:jc w:val="center"/>
              <w:rPr>
                <w:rFonts w:ascii="Times New Roman" w:hAnsi="Times New Roman"/>
                <w:bCs/>
                <w:szCs w:val="21"/>
              </w:rPr>
            </w:pPr>
            <w:r>
              <w:rPr>
                <w:rFonts w:ascii="Times New Roman" w:hAnsi="Times New Roman"/>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3" w:type="pct"/>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4"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8"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炉渣</w:t>
            </w:r>
          </w:p>
        </w:tc>
        <w:tc>
          <w:tcPr>
            <w:tcW w:w="899"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11808.1</w:t>
            </w:r>
          </w:p>
        </w:tc>
        <w:tc>
          <w:tcPr>
            <w:tcW w:w="788" w:type="pct"/>
            <w:gridSpan w:val="4"/>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11808.1</w:t>
            </w:r>
          </w:p>
        </w:tc>
        <w:tc>
          <w:tcPr>
            <w:tcW w:w="788"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0</w:t>
            </w:r>
          </w:p>
        </w:tc>
        <w:tc>
          <w:tcPr>
            <w:tcW w:w="567" w:type="pct"/>
            <w:gridSpan w:val="2"/>
            <w:shd w:val="clear" w:color="auto" w:fill="auto"/>
            <w:vAlign w:val="center"/>
          </w:tcPr>
          <w:p>
            <w:pPr>
              <w:snapToGrid w:val="0"/>
              <w:spacing w:before="12" w:beforeLines="5" w:after="12" w:afterLines="5" w:line="240" w:lineRule="exact"/>
              <w:jc w:val="center"/>
              <w:rPr>
                <w:rFonts w:ascii="Times New Roman" w:hAnsi="Times New Roman"/>
                <w:bCs/>
                <w:szCs w:val="21"/>
              </w:rPr>
            </w:pPr>
            <w:r>
              <w:rPr>
                <w:rFonts w:ascii="Times New Roman" w:hAnsi="Times New Roman"/>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3" w:type="pct"/>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4"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8"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石膏</w:t>
            </w:r>
          </w:p>
        </w:tc>
        <w:tc>
          <w:tcPr>
            <w:tcW w:w="899"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4568.82</w:t>
            </w:r>
          </w:p>
        </w:tc>
        <w:tc>
          <w:tcPr>
            <w:tcW w:w="788" w:type="pct"/>
            <w:gridSpan w:val="4"/>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4568.82</w:t>
            </w:r>
          </w:p>
        </w:tc>
        <w:tc>
          <w:tcPr>
            <w:tcW w:w="788"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0</w:t>
            </w:r>
          </w:p>
        </w:tc>
        <w:tc>
          <w:tcPr>
            <w:tcW w:w="567" w:type="pct"/>
            <w:gridSpan w:val="2"/>
            <w:shd w:val="clear" w:color="auto" w:fill="auto"/>
            <w:vAlign w:val="center"/>
          </w:tcPr>
          <w:p>
            <w:pPr>
              <w:snapToGrid w:val="0"/>
              <w:spacing w:before="12" w:beforeLines="5" w:after="12" w:afterLines="5" w:line="240" w:lineRule="exact"/>
              <w:jc w:val="center"/>
              <w:rPr>
                <w:rFonts w:ascii="Times New Roman" w:hAnsi="Times New Roman"/>
                <w:bCs/>
                <w:szCs w:val="21"/>
              </w:rPr>
            </w:pPr>
            <w:r>
              <w:rPr>
                <w:rFonts w:ascii="Times New Roman" w:hAnsi="Times New Roman"/>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3" w:type="pct"/>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4" w:type="pct"/>
            <w:gridSpan w:val="2"/>
            <w:vMerge w:val="continue"/>
            <w:shd w:val="clear" w:color="auto" w:fill="auto"/>
            <w:vAlign w:val="center"/>
          </w:tcPr>
          <w:p>
            <w:pPr>
              <w:pStyle w:val="27"/>
              <w:snapToGrid w:val="0"/>
              <w:spacing w:before="12" w:beforeLines="5" w:after="12" w:afterLines="5" w:line="240" w:lineRule="exact"/>
              <w:jc w:val="center"/>
              <w:rPr>
                <w:rFonts w:ascii="Times New Roman" w:hAnsi="Times New Roman"/>
                <w:szCs w:val="21"/>
              </w:rPr>
            </w:pPr>
          </w:p>
        </w:tc>
        <w:tc>
          <w:tcPr>
            <w:tcW w:w="598" w:type="pct"/>
            <w:gridSpan w:val="2"/>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合计</w:t>
            </w:r>
          </w:p>
        </w:tc>
        <w:tc>
          <w:tcPr>
            <w:tcW w:w="899" w:type="pct"/>
            <w:gridSpan w:val="3"/>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64864.12</w:t>
            </w:r>
          </w:p>
        </w:tc>
        <w:tc>
          <w:tcPr>
            <w:tcW w:w="788" w:type="pct"/>
            <w:gridSpan w:val="4"/>
            <w:shd w:val="clear" w:color="auto" w:fill="auto"/>
            <w:vAlign w:val="center"/>
          </w:tcPr>
          <w:p>
            <w:pPr>
              <w:pStyle w:val="27"/>
              <w:snapToGrid w:val="0"/>
              <w:spacing w:before="12" w:beforeLines="5" w:after="12" w:afterLines="5" w:line="240" w:lineRule="exact"/>
              <w:jc w:val="center"/>
              <w:rPr>
                <w:rFonts w:ascii="Times New Roman" w:hAnsi="Times New Roman"/>
                <w:szCs w:val="21"/>
              </w:rPr>
            </w:pPr>
            <w:r>
              <w:rPr>
                <w:rFonts w:ascii="Times New Roman" w:hAnsi="Times New Roman"/>
                <w:szCs w:val="21"/>
              </w:rPr>
              <w:t>64864.12</w:t>
            </w:r>
          </w:p>
        </w:tc>
        <w:tc>
          <w:tcPr>
            <w:tcW w:w="788" w:type="pct"/>
            <w:gridSpan w:val="3"/>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szCs w:val="21"/>
              </w:rPr>
              <w:t>0</w:t>
            </w:r>
          </w:p>
        </w:tc>
        <w:tc>
          <w:tcPr>
            <w:tcW w:w="567" w:type="pct"/>
            <w:gridSpan w:val="2"/>
            <w:shd w:val="clear" w:color="auto" w:fill="auto"/>
            <w:vAlign w:val="center"/>
          </w:tcPr>
          <w:p>
            <w:pPr>
              <w:snapToGrid w:val="0"/>
              <w:spacing w:before="12" w:beforeLines="5" w:after="12" w:afterLines="5" w:line="240" w:lineRule="exact"/>
              <w:jc w:val="center"/>
              <w:rPr>
                <w:rFonts w:ascii="Times New Roman" w:hAnsi="Times New Roman"/>
                <w:bCs/>
                <w:szCs w:val="21"/>
              </w:rPr>
            </w:pPr>
            <w:r>
              <w:rPr>
                <w:rFonts w:ascii="Times New Roman" w:hAnsi="Times New Roman"/>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5000" w:type="pct"/>
            <w:gridSpan w:val="17"/>
            <w:shd w:val="clear" w:color="auto" w:fill="auto"/>
            <w:vAlign w:val="center"/>
          </w:tcPr>
          <w:p>
            <w:pPr>
              <w:snapToGrid w:val="0"/>
              <w:spacing w:before="12" w:beforeLines="5" w:after="12" w:afterLines="5" w:line="240" w:lineRule="exact"/>
              <w:jc w:val="center"/>
              <w:rPr>
                <w:rFonts w:ascii="Times New Roman" w:hAnsi="Times New Roman"/>
                <w:b/>
                <w:bCs/>
                <w:szCs w:val="21"/>
              </w:rPr>
            </w:pPr>
            <w:r>
              <w:rPr>
                <w:rFonts w:ascii="Times New Roman" w:hAnsi="Times New Roman"/>
                <w:b/>
                <w:bCs/>
                <w:sz w:val="24"/>
              </w:rPr>
              <w:t>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14" w:type="pct"/>
            <w:gridSpan w:val="6"/>
            <w:shd w:val="clear" w:color="auto" w:fill="auto"/>
            <w:vAlign w:val="center"/>
          </w:tcPr>
          <w:p>
            <w:pPr>
              <w:jc w:val="center"/>
              <w:rPr>
                <w:rFonts w:ascii="Times New Roman" w:hAnsi="Times New Roman"/>
                <w:kern w:val="0"/>
                <w:szCs w:val="21"/>
              </w:rPr>
            </w:pPr>
            <w:r>
              <w:rPr>
                <w:rFonts w:ascii="Times New Roman" w:hAnsi="Times New Roman"/>
                <w:szCs w:val="21"/>
              </w:rPr>
              <w:t>各工段机械噪声</w:t>
            </w:r>
            <w:r>
              <w:rPr>
                <w:rFonts w:ascii="Times New Roman" w:hAnsi="Times New Roman"/>
                <w:kern w:val="0"/>
                <w:szCs w:val="21"/>
              </w:rPr>
              <w:t>90－100dB（A）</w:t>
            </w:r>
          </w:p>
        </w:tc>
        <w:tc>
          <w:tcPr>
            <w:tcW w:w="1316" w:type="pct"/>
            <w:gridSpan w:val="4"/>
            <w:shd w:val="clear" w:color="auto" w:fill="auto"/>
            <w:vAlign w:val="center"/>
          </w:tcPr>
          <w:p>
            <w:pPr>
              <w:jc w:val="center"/>
              <w:rPr>
                <w:rFonts w:ascii="Times New Roman" w:hAnsi="Times New Roman"/>
                <w:kern w:val="0"/>
                <w:szCs w:val="21"/>
              </w:rPr>
            </w:pPr>
            <w:r>
              <w:rPr>
                <w:rFonts w:ascii="Times New Roman" w:hAnsi="Times New Roman"/>
                <w:kern w:val="0"/>
                <w:szCs w:val="21"/>
              </w:rPr>
              <w:t>消声、减振</w:t>
            </w:r>
          </w:p>
        </w:tc>
        <w:tc>
          <w:tcPr>
            <w:tcW w:w="1668" w:type="pct"/>
            <w:gridSpan w:val="7"/>
            <w:shd w:val="clear" w:color="auto" w:fill="auto"/>
            <w:vAlign w:val="center"/>
          </w:tcPr>
          <w:p>
            <w:pPr>
              <w:snapToGrid w:val="0"/>
              <w:spacing w:before="12" w:beforeLines="5" w:after="12" w:afterLines="5" w:line="240" w:lineRule="exact"/>
              <w:jc w:val="center"/>
              <w:rPr>
                <w:rFonts w:ascii="Times New Roman" w:hAnsi="Times New Roman"/>
                <w:szCs w:val="21"/>
              </w:rPr>
            </w:pPr>
            <w:r>
              <w:rPr>
                <w:rFonts w:ascii="Times New Roman" w:hAnsi="Times New Roman"/>
                <w:kern w:val="0"/>
                <w:szCs w:val="21"/>
              </w:rPr>
              <w:t>65-75dB（A）</w:t>
            </w:r>
          </w:p>
        </w:tc>
      </w:tr>
      <w:bookmarkEnd w:id="221"/>
    </w:tbl>
    <w:p>
      <w:pPr>
        <w:pStyle w:val="281"/>
        <w:tabs>
          <w:tab w:val="left" w:pos="3600"/>
        </w:tabs>
        <w:spacing w:line="360" w:lineRule="auto"/>
        <w:ind w:firstLine="0"/>
        <w:outlineLvl w:val="3"/>
        <w:rPr>
          <w:rFonts w:ascii="Times New Roman" w:hAnsi="Times New Roman" w:cs="Times New Roman"/>
          <w:kern w:val="0"/>
          <w:sz w:val="24"/>
          <w:szCs w:val="24"/>
          <w:u w:val="single"/>
        </w:rPr>
      </w:pPr>
      <w:bookmarkStart w:id="247" w:name="_Toc27843"/>
      <w:bookmarkStart w:id="248" w:name="_Toc6238"/>
      <w:bookmarkStart w:id="249" w:name="_Toc486403329"/>
      <w:bookmarkStart w:id="250" w:name="_Toc13594"/>
      <w:bookmarkStart w:id="251" w:name="_Toc29351"/>
      <w:r>
        <w:rPr>
          <w:rFonts w:ascii="Times New Roman" w:hAnsi="Times New Roman" w:cs="Times New Roman"/>
          <w:kern w:val="0"/>
          <w:sz w:val="24"/>
          <w:szCs w:val="24"/>
          <w:u w:val="single"/>
        </w:rPr>
        <w:t>3.2.3.6</w:t>
      </w:r>
      <w:r>
        <w:rPr>
          <w:rFonts w:ascii="Times New Roman" w:hAnsi="Times New Roman" w:cs="Times New Roman"/>
          <w:bCs/>
          <w:sz w:val="24"/>
          <w:szCs w:val="24"/>
          <w:u w:val="single"/>
        </w:rPr>
        <w:t>本项目投运</w:t>
      </w:r>
      <w:r>
        <w:rPr>
          <w:rFonts w:ascii="Times New Roman" w:hAnsi="Times New Roman" w:cs="Times New Roman"/>
          <w:kern w:val="0"/>
          <w:sz w:val="24"/>
          <w:szCs w:val="24"/>
          <w:u w:val="single"/>
        </w:rPr>
        <w:t>前后污染物排放情况</w:t>
      </w:r>
    </w:p>
    <w:p>
      <w:pPr>
        <w:spacing w:line="360" w:lineRule="auto"/>
        <w:ind w:firstLine="480" w:firstLineChars="200"/>
        <w:jc w:val="left"/>
        <w:rPr>
          <w:rFonts w:ascii="Times New Roman" w:hAnsi="Times New Roman"/>
          <w:sz w:val="24"/>
          <w:szCs w:val="24"/>
          <w:u w:val="single"/>
        </w:rPr>
      </w:pPr>
      <w:r>
        <w:rPr>
          <w:rFonts w:ascii="Times New Roman" w:hAnsi="Times New Roman"/>
          <w:sz w:val="24"/>
          <w:szCs w:val="24"/>
          <w:u w:val="single"/>
        </w:rPr>
        <w:t>本项目技改后项目废水产生量不变，因此COD、氨氮的总量未发生变化。本项目投运后大气污染物排放量核算总量见表3.2.3.6-1，根据自动在线监测数据统计，原工程2019年主要大气污染物排放量见表3.2.3.6-2。</w:t>
      </w:r>
    </w:p>
    <w:p>
      <w:pPr>
        <w:spacing w:line="360" w:lineRule="auto"/>
        <w:jc w:val="center"/>
        <w:rPr>
          <w:rFonts w:ascii="Times New Roman" w:hAnsi="Times New Roman"/>
          <w:sz w:val="24"/>
          <w:szCs w:val="24"/>
          <w:u w:val="single"/>
        </w:rPr>
      </w:pPr>
      <w:r>
        <w:rPr>
          <w:rFonts w:ascii="Times New Roman" w:hAnsi="Times New Roman"/>
          <w:b/>
          <w:bCs/>
          <w:sz w:val="24"/>
          <w:szCs w:val="24"/>
          <w:u w:val="single"/>
        </w:rPr>
        <w:t>表3.2.3.6-1  本项目投运后大气污染物排放量核算</w:t>
      </w:r>
    </w:p>
    <w:tbl>
      <w:tblPr>
        <w:tblStyle w:val="45"/>
        <w:tblW w:w="88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1281"/>
        <w:gridCol w:w="1530"/>
        <w:gridCol w:w="1134"/>
        <w:gridCol w:w="1597"/>
        <w:gridCol w:w="1489"/>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971" w:type="dxa"/>
            <w:gridSpan w:val="2"/>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污染源</w:t>
            </w:r>
          </w:p>
        </w:tc>
        <w:tc>
          <w:tcPr>
            <w:tcW w:w="1530" w:type="dxa"/>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废气产生量</w:t>
            </w:r>
          </w:p>
        </w:tc>
        <w:tc>
          <w:tcPr>
            <w:tcW w:w="1134" w:type="dxa"/>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污染物</w:t>
            </w:r>
          </w:p>
        </w:tc>
        <w:tc>
          <w:tcPr>
            <w:tcW w:w="1597" w:type="dxa"/>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处理措施</w:t>
            </w:r>
          </w:p>
        </w:tc>
        <w:tc>
          <w:tcPr>
            <w:tcW w:w="1489" w:type="dxa"/>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排放浓度（</w:t>
            </w:r>
            <w:r>
              <w:rPr>
                <w:rFonts w:ascii="Times New Roman" w:hAnsi="Times New Roman"/>
                <w:kern w:val="0"/>
                <w:szCs w:val="21"/>
                <w:u w:val="single"/>
              </w:rPr>
              <w:t>mg/m</w:t>
            </w:r>
            <w:r>
              <w:rPr>
                <w:rFonts w:ascii="Times New Roman" w:hAnsi="Times New Roman"/>
                <w:kern w:val="0"/>
                <w:szCs w:val="21"/>
                <w:u w:val="single"/>
                <w:vertAlign w:val="superscript"/>
              </w:rPr>
              <w:t>3</w:t>
            </w:r>
            <w:r>
              <w:rPr>
                <w:rFonts w:ascii="Times New Roman" w:hAnsi="Times New Roman"/>
                <w:b/>
                <w:kern w:val="0"/>
                <w:szCs w:val="21"/>
                <w:u w:val="single"/>
              </w:rPr>
              <w:t>）</w:t>
            </w:r>
          </w:p>
        </w:tc>
        <w:tc>
          <w:tcPr>
            <w:tcW w:w="1174" w:type="dxa"/>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90" w:type="dxa"/>
            <w:vMerge w:val="restart"/>
            <w:vAlign w:val="center"/>
          </w:tcPr>
          <w:p>
            <w:pPr>
              <w:jc w:val="center"/>
              <w:rPr>
                <w:rFonts w:ascii="Times New Roman" w:hAnsi="Times New Roman"/>
                <w:kern w:val="0"/>
                <w:szCs w:val="21"/>
                <w:u w:val="single"/>
              </w:rPr>
            </w:pPr>
            <w:r>
              <w:rPr>
                <w:rFonts w:ascii="Times New Roman" w:hAnsi="Times New Roman"/>
                <w:kern w:val="0"/>
                <w:szCs w:val="21"/>
                <w:u w:val="single"/>
              </w:rPr>
              <w:t>废气</w:t>
            </w:r>
          </w:p>
        </w:tc>
        <w:tc>
          <w:tcPr>
            <w:tcW w:w="1281" w:type="dxa"/>
            <w:vMerge w:val="restart"/>
            <w:vAlign w:val="center"/>
          </w:tcPr>
          <w:p>
            <w:pPr>
              <w:jc w:val="center"/>
              <w:rPr>
                <w:rFonts w:ascii="Times New Roman" w:hAnsi="Times New Roman"/>
                <w:kern w:val="0"/>
                <w:szCs w:val="21"/>
                <w:u w:val="single"/>
              </w:rPr>
            </w:pPr>
            <w:r>
              <w:rPr>
                <w:rFonts w:ascii="Times New Roman" w:hAnsi="Times New Roman"/>
                <w:kern w:val="0"/>
                <w:szCs w:val="21"/>
                <w:u w:val="single"/>
              </w:rPr>
              <w:t>CFB锅炉</w:t>
            </w:r>
          </w:p>
        </w:tc>
        <w:tc>
          <w:tcPr>
            <w:tcW w:w="1530" w:type="dxa"/>
            <w:vMerge w:val="restart"/>
            <w:vAlign w:val="center"/>
          </w:tcPr>
          <w:p>
            <w:pPr>
              <w:jc w:val="center"/>
              <w:rPr>
                <w:rFonts w:ascii="Times New Roman" w:hAnsi="Times New Roman"/>
                <w:kern w:val="0"/>
                <w:szCs w:val="21"/>
                <w:u w:val="single"/>
              </w:rPr>
            </w:pPr>
            <w:r>
              <w:rPr>
                <w:rFonts w:ascii="Times New Roman" w:hAnsi="Times New Roman"/>
                <w:szCs w:val="21"/>
                <w:u w:val="single"/>
              </w:rPr>
              <w:t>238524</w:t>
            </w:r>
            <w:r>
              <w:rPr>
                <w:rFonts w:ascii="Times New Roman" w:hAnsi="Times New Roman"/>
                <w:bCs/>
                <w:kern w:val="0"/>
                <w:szCs w:val="21"/>
                <w:u w:val="single"/>
              </w:rPr>
              <w:t>m</w:t>
            </w:r>
            <w:r>
              <w:rPr>
                <w:rFonts w:ascii="Times New Roman" w:hAnsi="Times New Roman"/>
                <w:bCs/>
                <w:kern w:val="0"/>
                <w:szCs w:val="21"/>
                <w:u w:val="single"/>
                <w:vertAlign w:val="superscript"/>
              </w:rPr>
              <w:t>3</w:t>
            </w:r>
            <w:r>
              <w:rPr>
                <w:rFonts w:ascii="Times New Roman" w:hAnsi="Times New Roman"/>
                <w:bCs/>
                <w:kern w:val="0"/>
                <w:szCs w:val="21"/>
                <w:u w:val="single"/>
              </w:rPr>
              <w:t>/h（双炉运行477048m</w:t>
            </w:r>
            <w:r>
              <w:rPr>
                <w:rFonts w:ascii="Times New Roman" w:hAnsi="Times New Roman"/>
                <w:bCs/>
                <w:kern w:val="0"/>
                <w:szCs w:val="21"/>
                <w:u w:val="single"/>
                <w:vertAlign w:val="superscript"/>
              </w:rPr>
              <w:t>3</w:t>
            </w:r>
            <w:r>
              <w:rPr>
                <w:rFonts w:ascii="Times New Roman" w:hAnsi="Times New Roman"/>
                <w:bCs/>
                <w:kern w:val="0"/>
                <w:szCs w:val="21"/>
                <w:u w:val="single"/>
              </w:rPr>
              <w:t>/h）</w:t>
            </w:r>
          </w:p>
        </w:tc>
        <w:tc>
          <w:tcPr>
            <w:tcW w:w="1134" w:type="dxa"/>
            <w:vAlign w:val="center"/>
          </w:tcPr>
          <w:p>
            <w:pPr>
              <w:jc w:val="center"/>
              <w:rPr>
                <w:rFonts w:ascii="Times New Roman" w:hAnsi="Times New Roman"/>
                <w:szCs w:val="21"/>
                <w:u w:val="single"/>
              </w:rPr>
            </w:pPr>
            <w:r>
              <w:rPr>
                <w:rFonts w:ascii="Times New Roman" w:hAnsi="Times New Roman"/>
                <w:szCs w:val="21"/>
                <w:u w:val="single"/>
              </w:rPr>
              <w:t>烟尘</w:t>
            </w:r>
          </w:p>
        </w:tc>
        <w:tc>
          <w:tcPr>
            <w:tcW w:w="1597" w:type="dxa"/>
            <w:vMerge w:val="restart"/>
            <w:vAlign w:val="center"/>
          </w:tcPr>
          <w:p>
            <w:pPr>
              <w:jc w:val="center"/>
              <w:rPr>
                <w:rFonts w:ascii="Times New Roman" w:hAnsi="Times New Roman"/>
                <w:spacing w:val="-6"/>
                <w:u w:val="single"/>
              </w:rPr>
            </w:pPr>
            <w:r>
              <w:rPr>
                <w:rFonts w:ascii="Times New Roman" w:hAnsi="Times New Roman"/>
                <w:spacing w:val="-6"/>
                <w:u w:val="single"/>
              </w:rPr>
              <w:t>CFB锅炉烟气经燃烧炉炉内脱硫，SCR烟气脱硝+布袋除尘 +石灰石—石膏法湿法脱硫</w:t>
            </w:r>
          </w:p>
          <w:p>
            <w:pPr>
              <w:jc w:val="center"/>
              <w:rPr>
                <w:rFonts w:ascii="Times New Roman" w:hAnsi="Times New Roman"/>
                <w:kern w:val="0"/>
                <w:szCs w:val="21"/>
                <w:u w:val="single"/>
              </w:rPr>
            </w:pPr>
            <w:r>
              <w:rPr>
                <w:rFonts w:ascii="Times New Roman" w:hAnsi="Times New Roman"/>
                <w:spacing w:val="-6"/>
                <w:u w:val="single"/>
              </w:rPr>
              <w:t>后排放</w:t>
            </w:r>
          </w:p>
        </w:tc>
        <w:tc>
          <w:tcPr>
            <w:tcW w:w="1489" w:type="dxa"/>
            <w:vAlign w:val="center"/>
          </w:tcPr>
          <w:p>
            <w:pPr>
              <w:jc w:val="center"/>
              <w:rPr>
                <w:rFonts w:ascii="Times New Roman" w:hAnsi="Times New Roman"/>
                <w:szCs w:val="21"/>
                <w:u w:val="single"/>
              </w:rPr>
            </w:pPr>
            <w:r>
              <w:rPr>
                <w:rFonts w:ascii="Times New Roman" w:hAnsi="Times New Roman"/>
                <w:kern w:val="0"/>
                <w:szCs w:val="21"/>
                <w:u w:val="single"/>
              </w:rPr>
              <w:t>7.6</w:t>
            </w:r>
          </w:p>
        </w:tc>
        <w:tc>
          <w:tcPr>
            <w:tcW w:w="1174"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15.86（双炉运行31.71）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90" w:type="dxa"/>
            <w:vMerge w:val="continue"/>
            <w:vAlign w:val="center"/>
          </w:tcPr>
          <w:p>
            <w:pPr>
              <w:widowControl/>
              <w:jc w:val="center"/>
              <w:rPr>
                <w:rFonts w:ascii="Times New Roman" w:hAnsi="Times New Roman"/>
                <w:kern w:val="0"/>
                <w:szCs w:val="21"/>
                <w:u w:val="single"/>
              </w:rPr>
            </w:pPr>
          </w:p>
        </w:tc>
        <w:tc>
          <w:tcPr>
            <w:tcW w:w="1281" w:type="dxa"/>
            <w:vMerge w:val="continue"/>
            <w:tcMar>
              <w:left w:w="0" w:type="dxa"/>
              <w:right w:w="0" w:type="dxa"/>
            </w:tcMar>
            <w:vAlign w:val="center"/>
          </w:tcPr>
          <w:p>
            <w:pPr>
              <w:widowControl/>
              <w:jc w:val="center"/>
              <w:rPr>
                <w:rFonts w:ascii="Times New Roman" w:hAnsi="Times New Roman"/>
                <w:kern w:val="0"/>
                <w:szCs w:val="21"/>
                <w:u w:val="single"/>
              </w:rPr>
            </w:pPr>
          </w:p>
        </w:tc>
        <w:tc>
          <w:tcPr>
            <w:tcW w:w="1530" w:type="dxa"/>
            <w:vMerge w:val="continue"/>
            <w:vAlign w:val="center"/>
          </w:tcPr>
          <w:p>
            <w:pPr>
              <w:widowControl/>
              <w:jc w:val="center"/>
              <w:rPr>
                <w:rFonts w:ascii="Times New Roman" w:hAnsi="Times New Roman"/>
                <w:kern w:val="0"/>
                <w:szCs w:val="21"/>
                <w:u w:val="single"/>
              </w:rPr>
            </w:pPr>
          </w:p>
        </w:tc>
        <w:tc>
          <w:tcPr>
            <w:tcW w:w="1134" w:type="dxa"/>
            <w:vAlign w:val="center"/>
          </w:tcPr>
          <w:p>
            <w:pPr>
              <w:jc w:val="center"/>
              <w:rPr>
                <w:rFonts w:ascii="Times New Roman" w:hAnsi="Times New Roman"/>
                <w:szCs w:val="21"/>
                <w:u w:val="single"/>
                <w:vertAlign w:val="subscript"/>
              </w:rPr>
            </w:pPr>
            <w:r>
              <w:rPr>
                <w:rFonts w:ascii="Times New Roman" w:hAnsi="Times New Roman"/>
                <w:szCs w:val="21"/>
                <w:u w:val="single"/>
              </w:rPr>
              <w:t>SO</w:t>
            </w:r>
            <w:r>
              <w:rPr>
                <w:rFonts w:ascii="Times New Roman" w:hAnsi="Times New Roman"/>
                <w:szCs w:val="21"/>
                <w:u w:val="single"/>
                <w:vertAlign w:val="subscript"/>
              </w:rPr>
              <w:t>2</w:t>
            </w:r>
          </w:p>
        </w:tc>
        <w:tc>
          <w:tcPr>
            <w:tcW w:w="1597" w:type="dxa"/>
            <w:vMerge w:val="continue"/>
            <w:vAlign w:val="center"/>
          </w:tcPr>
          <w:p>
            <w:pPr>
              <w:widowControl/>
              <w:jc w:val="center"/>
              <w:rPr>
                <w:rFonts w:ascii="Times New Roman" w:hAnsi="Times New Roman"/>
                <w:kern w:val="0"/>
                <w:szCs w:val="21"/>
                <w:u w:val="single"/>
              </w:rPr>
            </w:pPr>
          </w:p>
        </w:tc>
        <w:tc>
          <w:tcPr>
            <w:tcW w:w="1489" w:type="dxa"/>
            <w:vAlign w:val="center"/>
          </w:tcPr>
          <w:p>
            <w:pPr>
              <w:jc w:val="center"/>
              <w:rPr>
                <w:rFonts w:ascii="Times New Roman" w:hAnsi="Times New Roman"/>
                <w:szCs w:val="21"/>
                <w:u w:val="single"/>
              </w:rPr>
            </w:pPr>
            <w:r>
              <w:rPr>
                <w:rFonts w:ascii="Times New Roman" w:hAnsi="Times New Roman"/>
                <w:szCs w:val="21"/>
                <w:u w:val="single"/>
              </w:rPr>
              <w:t>8</w:t>
            </w:r>
          </w:p>
        </w:tc>
        <w:tc>
          <w:tcPr>
            <w:tcW w:w="1174" w:type="dxa"/>
            <w:shd w:val="clear" w:color="auto" w:fill="FFFFFF"/>
            <w:vAlign w:val="center"/>
          </w:tcPr>
          <w:p>
            <w:pPr>
              <w:jc w:val="center"/>
              <w:rPr>
                <w:rFonts w:ascii="Times New Roman" w:hAnsi="Times New Roman"/>
                <w:szCs w:val="21"/>
                <w:u w:val="single"/>
              </w:rPr>
            </w:pPr>
            <w:r>
              <w:rPr>
                <w:rFonts w:ascii="Times New Roman" w:hAnsi="Times New Roman"/>
                <w:kern w:val="0"/>
                <w:szCs w:val="21"/>
              </w:rPr>
              <w:t>17.17</w:t>
            </w:r>
            <w:r>
              <w:rPr>
                <w:rFonts w:ascii="Times New Roman" w:hAnsi="Times New Roman"/>
                <w:szCs w:val="21"/>
                <w:u w:val="single"/>
              </w:rPr>
              <w:t>（双炉运行34.34）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90" w:type="dxa"/>
            <w:vMerge w:val="continue"/>
            <w:vAlign w:val="center"/>
          </w:tcPr>
          <w:p>
            <w:pPr>
              <w:widowControl/>
              <w:jc w:val="center"/>
              <w:rPr>
                <w:rFonts w:ascii="Times New Roman" w:hAnsi="Times New Roman"/>
                <w:kern w:val="0"/>
                <w:szCs w:val="21"/>
                <w:u w:val="single"/>
              </w:rPr>
            </w:pPr>
          </w:p>
        </w:tc>
        <w:tc>
          <w:tcPr>
            <w:tcW w:w="1281" w:type="dxa"/>
            <w:vMerge w:val="continue"/>
            <w:tcMar>
              <w:left w:w="0" w:type="dxa"/>
              <w:right w:w="0" w:type="dxa"/>
            </w:tcMar>
            <w:vAlign w:val="center"/>
          </w:tcPr>
          <w:p>
            <w:pPr>
              <w:widowControl/>
              <w:jc w:val="center"/>
              <w:rPr>
                <w:rFonts w:ascii="Times New Roman" w:hAnsi="Times New Roman"/>
                <w:kern w:val="0"/>
                <w:szCs w:val="21"/>
                <w:u w:val="single"/>
              </w:rPr>
            </w:pPr>
          </w:p>
        </w:tc>
        <w:tc>
          <w:tcPr>
            <w:tcW w:w="1530" w:type="dxa"/>
            <w:vMerge w:val="continue"/>
            <w:vAlign w:val="center"/>
          </w:tcPr>
          <w:p>
            <w:pPr>
              <w:widowControl/>
              <w:jc w:val="center"/>
              <w:rPr>
                <w:rFonts w:ascii="Times New Roman" w:hAnsi="Times New Roman"/>
                <w:kern w:val="0"/>
                <w:szCs w:val="21"/>
                <w:u w:val="single"/>
              </w:rPr>
            </w:pPr>
          </w:p>
        </w:tc>
        <w:tc>
          <w:tcPr>
            <w:tcW w:w="1134" w:type="dxa"/>
            <w:vAlign w:val="center"/>
          </w:tcPr>
          <w:p>
            <w:pPr>
              <w:jc w:val="center"/>
              <w:rPr>
                <w:rFonts w:ascii="Times New Roman" w:hAnsi="Times New Roman"/>
                <w:szCs w:val="21"/>
                <w:u w:val="single"/>
                <w:vertAlign w:val="subscript"/>
              </w:rPr>
            </w:pPr>
            <w:r>
              <w:rPr>
                <w:rFonts w:ascii="Times New Roman" w:hAnsi="Times New Roman"/>
                <w:szCs w:val="21"/>
                <w:u w:val="single"/>
              </w:rPr>
              <w:t>NO</w:t>
            </w:r>
            <w:r>
              <w:rPr>
                <w:rFonts w:ascii="Times New Roman" w:hAnsi="Times New Roman"/>
                <w:szCs w:val="21"/>
                <w:u w:val="single"/>
                <w:vertAlign w:val="subscript"/>
              </w:rPr>
              <w:t>X</w:t>
            </w:r>
          </w:p>
        </w:tc>
        <w:tc>
          <w:tcPr>
            <w:tcW w:w="1597" w:type="dxa"/>
            <w:vMerge w:val="continue"/>
            <w:vAlign w:val="center"/>
          </w:tcPr>
          <w:p>
            <w:pPr>
              <w:widowControl/>
              <w:jc w:val="center"/>
              <w:rPr>
                <w:rFonts w:ascii="Times New Roman" w:hAnsi="Times New Roman"/>
                <w:kern w:val="0"/>
                <w:szCs w:val="21"/>
                <w:u w:val="single"/>
              </w:rPr>
            </w:pPr>
          </w:p>
        </w:tc>
        <w:tc>
          <w:tcPr>
            <w:tcW w:w="1489" w:type="dxa"/>
            <w:vAlign w:val="center"/>
          </w:tcPr>
          <w:p>
            <w:pPr>
              <w:jc w:val="center"/>
              <w:rPr>
                <w:rFonts w:ascii="Times New Roman" w:hAnsi="Times New Roman"/>
                <w:szCs w:val="21"/>
                <w:u w:val="single"/>
              </w:rPr>
            </w:pPr>
            <w:r>
              <w:rPr>
                <w:rFonts w:ascii="Times New Roman" w:hAnsi="Times New Roman"/>
                <w:szCs w:val="21"/>
                <w:u w:val="single"/>
              </w:rPr>
              <w:t>11</w:t>
            </w:r>
          </w:p>
        </w:tc>
        <w:tc>
          <w:tcPr>
            <w:tcW w:w="1174"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23.95（双炉运行45.90）</w:t>
            </w:r>
          </w:p>
        </w:tc>
      </w:tr>
    </w:tbl>
    <w:p>
      <w:pPr>
        <w:rPr>
          <w:rFonts w:ascii="Times New Roman" w:hAnsi="Times New Roman"/>
          <w:szCs w:val="21"/>
          <w:u w:val="single"/>
        </w:rPr>
      </w:pPr>
    </w:p>
    <w:p>
      <w:pPr>
        <w:spacing w:line="360" w:lineRule="auto"/>
        <w:ind w:firstLine="482" w:firstLineChars="200"/>
        <w:jc w:val="center"/>
        <w:rPr>
          <w:rFonts w:ascii="Times New Roman" w:hAnsi="Times New Roman"/>
          <w:u w:val="single"/>
        </w:rPr>
      </w:pPr>
      <w:r>
        <w:rPr>
          <w:rFonts w:ascii="Times New Roman" w:hAnsi="Times New Roman"/>
          <w:b/>
          <w:bCs/>
          <w:sz w:val="24"/>
          <w:szCs w:val="24"/>
          <w:u w:val="single"/>
        </w:rPr>
        <w:t>表3.2.3.6-2  本项目投运前（2019年为基准年）大气污染物污强</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70"/>
        <w:gridCol w:w="1320"/>
        <w:gridCol w:w="1790"/>
        <w:gridCol w:w="114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编号</w:t>
            </w:r>
          </w:p>
        </w:tc>
        <w:tc>
          <w:tcPr>
            <w:tcW w:w="1470"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污染因子</w:t>
            </w:r>
          </w:p>
        </w:tc>
        <w:tc>
          <w:tcPr>
            <w:tcW w:w="1320"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排放浓度（mg/m</w:t>
            </w:r>
            <w:r>
              <w:rPr>
                <w:rFonts w:ascii="Times New Roman" w:hAnsi="Times New Roman"/>
                <w:b/>
                <w:spacing w:val="6"/>
                <w:kern w:val="0"/>
                <w:szCs w:val="21"/>
                <w:u w:val="single"/>
                <w:vertAlign w:val="superscript"/>
              </w:rPr>
              <w:t>3</w:t>
            </w:r>
            <w:r>
              <w:rPr>
                <w:rFonts w:ascii="Times New Roman" w:hAnsi="Times New Roman"/>
                <w:b/>
                <w:spacing w:val="6"/>
                <w:kern w:val="0"/>
                <w:szCs w:val="21"/>
                <w:u w:val="single"/>
              </w:rPr>
              <w:t>）</w:t>
            </w:r>
          </w:p>
        </w:tc>
        <w:tc>
          <w:tcPr>
            <w:tcW w:w="1790"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排放速率（kg/h）</w:t>
            </w:r>
          </w:p>
        </w:tc>
        <w:tc>
          <w:tcPr>
            <w:tcW w:w="1147" w:type="dxa"/>
            <w:vAlign w:val="center"/>
          </w:tcPr>
          <w:p>
            <w:pPr>
              <w:ind w:right="-113"/>
              <w:jc w:val="center"/>
              <w:rPr>
                <w:rFonts w:ascii="Times New Roman" w:hAnsi="Times New Roman"/>
                <w:b/>
                <w:spacing w:val="6"/>
                <w:kern w:val="0"/>
                <w:szCs w:val="21"/>
                <w:u w:val="single"/>
              </w:rPr>
            </w:pPr>
            <w:r>
              <w:rPr>
                <w:rFonts w:ascii="Times New Roman" w:hAnsi="Times New Roman"/>
                <w:b/>
                <w:kern w:val="0"/>
                <w:szCs w:val="21"/>
                <w:u w:val="single"/>
              </w:rPr>
              <w:t>排放量（t/a）</w:t>
            </w:r>
          </w:p>
        </w:tc>
        <w:tc>
          <w:tcPr>
            <w:tcW w:w="1611"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1台锅炉单独运行</w:t>
            </w:r>
          </w:p>
        </w:tc>
        <w:tc>
          <w:tcPr>
            <w:tcW w:w="1470" w:type="dxa"/>
            <w:vAlign w:val="center"/>
          </w:tcPr>
          <w:p>
            <w:pPr>
              <w:jc w:val="center"/>
              <w:rPr>
                <w:rFonts w:ascii="Times New Roman" w:hAnsi="Times New Roman"/>
                <w:szCs w:val="21"/>
                <w:u w:val="single"/>
              </w:rPr>
            </w:pPr>
            <w:r>
              <w:rPr>
                <w:rFonts w:ascii="Times New Roman" w:hAnsi="Times New Roman"/>
                <w:szCs w:val="21"/>
                <w:u w:val="single"/>
              </w:rPr>
              <w:t>烟气量</w:t>
            </w:r>
          </w:p>
        </w:tc>
        <w:tc>
          <w:tcPr>
            <w:tcW w:w="1320"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1790"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313841.23m</w:t>
            </w:r>
            <w:r>
              <w:rPr>
                <w:rFonts w:ascii="Times New Roman" w:hAnsi="Times New Roman"/>
                <w:spacing w:val="6"/>
                <w:kern w:val="0"/>
                <w:szCs w:val="21"/>
                <w:u w:val="single"/>
                <w:vertAlign w:val="superscript"/>
              </w:rPr>
              <w:t>3</w:t>
            </w:r>
            <w:r>
              <w:rPr>
                <w:rFonts w:ascii="Times New Roman" w:hAnsi="Times New Roman"/>
                <w:spacing w:val="6"/>
                <w:kern w:val="0"/>
                <w:szCs w:val="21"/>
                <w:u w:val="single"/>
              </w:rPr>
              <w:t>/h</w:t>
            </w:r>
          </w:p>
        </w:tc>
        <w:tc>
          <w:tcPr>
            <w:tcW w:w="1147"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1611"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2019年在线监测数据，全年平均值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u w:val="single"/>
              </w:rPr>
            </w:pPr>
          </w:p>
        </w:tc>
        <w:tc>
          <w:tcPr>
            <w:tcW w:w="1470"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1320" w:type="dxa"/>
            <w:vAlign w:val="center"/>
          </w:tcPr>
          <w:p>
            <w:pPr>
              <w:jc w:val="center"/>
              <w:rPr>
                <w:rFonts w:ascii="Times New Roman" w:hAnsi="Times New Roman"/>
                <w:szCs w:val="21"/>
                <w:u w:val="single"/>
              </w:rPr>
            </w:pPr>
            <w:r>
              <w:rPr>
                <w:rFonts w:ascii="Times New Roman" w:hAnsi="Times New Roman"/>
                <w:szCs w:val="21"/>
                <w:u w:val="single"/>
              </w:rPr>
              <w:t>7.06</w:t>
            </w:r>
          </w:p>
        </w:tc>
        <w:tc>
          <w:tcPr>
            <w:tcW w:w="1790" w:type="dxa"/>
            <w:vAlign w:val="center"/>
          </w:tcPr>
          <w:p>
            <w:pPr>
              <w:jc w:val="center"/>
              <w:rPr>
                <w:rFonts w:ascii="Times New Roman" w:hAnsi="Times New Roman"/>
                <w:szCs w:val="21"/>
                <w:u w:val="single"/>
              </w:rPr>
            </w:pPr>
            <w:r>
              <w:rPr>
                <w:rFonts w:ascii="Times New Roman" w:hAnsi="Times New Roman"/>
                <w:szCs w:val="21"/>
                <w:u w:val="single"/>
              </w:rPr>
              <w:t>1.813</w:t>
            </w:r>
          </w:p>
        </w:tc>
        <w:tc>
          <w:tcPr>
            <w:tcW w:w="1147" w:type="dxa"/>
            <w:vAlign w:val="center"/>
          </w:tcPr>
          <w:p>
            <w:pPr>
              <w:jc w:val="center"/>
              <w:rPr>
                <w:rFonts w:ascii="Times New Roman" w:hAnsi="Times New Roman"/>
                <w:szCs w:val="21"/>
                <w:u w:val="single"/>
              </w:rPr>
            </w:pPr>
            <w:r>
              <w:rPr>
                <w:rFonts w:ascii="Times New Roman" w:hAnsi="Times New Roman"/>
                <w:szCs w:val="21"/>
                <w:u w:val="single"/>
              </w:rPr>
              <w:t>15.88</w:t>
            </w:r>
          </w:p>
        </w:tc>
        <w:tc>
          <w:tcPr>
            <w:tcW w:w="1611"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u w:val="single"/>
              </w:rPr>
            </w:pPr>
          </w:p>
        </w:tc>
        <w:tc>
          <w:tcPr>
            <w:tcW w:w="1470" w:type="dxa"/>
            <w:vAlign w:val="center"/>
          </w:tcPr>
          <w:p>
            <w:pPr>
              <w:jc w:val="center"/>
              <w:rPr>
                <w:rFonts w:ascii="Times New Roman" w:hAnsi="Times New Roman"/>
                <w:szCs w:val="21"/>
                <w:u w:val="single"/>
              </w:rPr>
            </w:pPr>
            <w:r>
              <w:rPr>
                <w:rFonts w:ascii="Times New Roman" w:hAnsi="Times New Roman"/>
                <w:szCs w:val="21"/>
                <w:u w:val="single"/>
              </w:rPr>
              <w:t>二氧化硫</w:t>
            </w:r>
          </w:p>
        </w:tc>
        <w:tc>
          <w:tcPr>
            <w:tcW w:w="1320" w:type="dxa"/>
            <w:vAlign w:val="center"/>
          </w:tcPr>
          <w:p>
            <w:pPr>
              <w:jc w:val="center"/>
              <w:rPr>
                <w:rFonts w:ascii="Times New Roman" w:hAnsi="Times New Roman"/>
                <w:szCs w:val="21"/>
                <w:u w:val="single"/>
              </w:rPr>
            </w:pPr>
            <w:r>
              <w:rPr>
                <w:rFonts w:ascii="Times New Roman" w:hAnsi="Times New Roman"/>
                <w:szCs w:val="21"/>
                <w:u w:val="single"/>
              </w:rPr>
              <w:t>3.56</w:t>
            </w:r>
          </w:p>
        </w:tc>
        <w:tc>
          <w:tcPr>
            <w:tcW w:w="1790" w:type="dxa"/>
            <w:vAlign w:val="center"/>
          </w:tcPr>
          <w:p>
            <w:pPr>
              <w:jc w:val="center"/>
              <w:rPr>
                <w:rFonts w:ascii="Times New Roman" w:hAnsi="Times New Roman"/>
                <w:szCs w:val="21"/>
                <w:u w:val="single"/>
              </w:rPr>
            </w:pPr>
            <w:r>
              <w:rPr>
                <w:rFonts w:ascii="Times New Roman" w:hAnsi="Times New Roman"/>
                <w:szCs w:val="21"/>
                <w:u w:val="single"/>
              </w:rPr>
              <w:t>0.911</w:t>
            </w:r>
          </w:p>
        </w:tc>
        <w:tc>
          <w:tcPr>
            <w:tcW w:w="1147" w:type="dxa"/>
            <w:vAlign w:val="center"/>
          </w:tcPr>
          <w:p>
            <w:pPr>
              <w:jc w:val="center"/>
              <w:rPr>
                <w:rFonts w:ascii="Times New Roman" w:hAnsi="Times New Roman"/>
                <w:szCs w:val="21"/>
                <w:u w:val="single"/>
              </w:rPr>
            </w:pPr>
            <w:r>
              <w:rPr>
                <w:rFonts w:ascii="Times New Roman" w:hAnsi="Times New Roman"/>
                <w:szCs w:val="21"/>
                <w:u w:val="single"/>
              </w:rPr>
              <w:t>7.98</w:t>
            </w:r>
          </w:p>
        </w:tc>
        <w:tc>
          <w:tcPr>
            <w:tcW w:w="1611"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u w:val="single"/>
              </w:rPr>
            </w:pPr>
          </w:p>
        </w:tc>
        <w:tc>
          <w:tcPr>
            <w:tcW w:w="1470" w:type="dxa"/>
            <w:vAlign w:val="center"/>
          </w:tcPr>
          <w:p>
            <w:pPr>
              <w:jc w:val="center"/>
              <w:rPr>
                <w:rFonts w:ascii="Times New Roman" w:hAnsi="Times New Roman"/>
                <w:szCs w:val="21"/>
                <w:u w:val="single"/>
              </w:rPr>
            </w:pPr>
            <w:r>
              <w:rPr>
                <w:rFonts w:ascii="Times New Roman" w:hAnsi="Times New Roman"/>
                <w:szCs w:val="21"/>
                <w:u w:val="single"/>
              </w:rPr>
              <w:t>氮氧化物</w:t>
            </w:r>
          </w:p>
        </w:tc>
        <w:tc>
          <w:tcPr>
            <w:tcW w:w="1320" w:type="dxa"/>
            <w:vAlign w:val="center"/>
          </w:tcPr>
          <w:p>
            <w:pPr>
              <w:jc w:val="center"/>
              <w:rPr>
                <w:rFonts w:ascii="Times New Roman" w:hAnsi="Times New Roman"/>
                <w:szCs w:val="21"/>
                <w:u w:val="single"/>
              </w:rPr>
            </w:pPr>
            <w:r>
              <w:rPr>
                <w:rFonts w:ascii="Times New Roman" w:hAnsi="Times New Roman"/>
                <w:szCs w:val="21"/>
                <w:u w:val="single"/>
              </w:rPr>
              <w:t>9.81</w:t>
            </w:r>
          </w:p>
        </w:tc>
        <w:tc>
          <w:tcPr>
            <w:tcW w:w="1790" w:type="dxa"/>
            <w:vAlign w:val="center"/>
          </w:tcPr>
          <w:p>
            <w:pPr>
              <w:jc w:val="center"/>
              <w:rPr>
                <w:rFonts w:ascii="Times New Roman" w:hAnsi="Times New Roman"/>
                <w:szCs w:val="21"/>
                <w:u w:val="single"/>
              </w:rPr>
            </w:pPr>
            <w:r>
              <w:rPr>
                <w:rFonts w:ascii="Times New Roman" w:hAnsi="Times New Roman"/>
                <w:szCs w:val="21"/>
                <w:u w:val="single"/>
              </w:rPr>
              <w:t>2.583</w:t>
            </w:r>
          </w:p>
        </w:tc>
        <w:tc>
          <w:tcPr>
            <w:tcW w:w="1147" w:type="dxa"/>
            <w:vAlign w:val="center"/>
          </w:tcPr>
          <w:p>
            <w:pPr>
              <w:jc w:val="center"/>
              <w:rPr>
                <w:rFonts w:ascii="Times New Roman" w:hAnsi="Times New Roman"/>
                <w:szCs w:val="21"/>
                <w:u w:val="single"/>
              </w:rPr>
            </w:pPr>
            <w:r>
              <w:rPr>
                <w:rFonts w:ascii="Times New Roman" w:hAnsi="Times New Roman"/>
                <w:szCs w:val="21"/>
                <w:u w:val="single"/>
              </w:rPr>
              <w:t>22.63</w:t>
            </w:r>
          </w:p>
        </w:tc>
        <w:tc>
          <w:tcPr>
            <w:tcW w:w="1611"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2台锅炉同时运行</w:t>
            </w:r>
          </w:p>
        </w:tc>
        <w:tc>
          <w:tcPr>
            <w:tcW w:w="1470" w:type="dxa"/>
            <w:vAlign w:val="center"/>
          </w:tcPr>
          <w:p>
            <w:pPr>
              <w:jc w:val="center"/>
              <w:rPr>
                <w:rFonts w:ascii="Times New Roman" w:hAnsi="Times New Roman"/>
                <w:szCs w:val="21"/>
                <w:u w:val="single"/>
              </w:rPr>
            </w:pPr>
            <w:r>
              <w:rPr>
                <w:rFonts w:ascii="Times New Roman" w:hAnsi="Times New Roman"/>
                <w:szCs w:val="21"/>
                <w:u w:val="single"/>
              </w:rPr>
              <w:t>烟气量</w:t>
            </w:r>
          </w:p>
        </w:tc>
        <w:tc>
          <w:tcPr>
            <w:tcW w:w="1320"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1790"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608269.82m</w:t>
            </w:r>
            <w:r>
              <w:rPr>
                <w:rFonts w:ascii="Times New Roman" w:hAnsi="Times New Roman"/>
                <w:spacing w:val="6"/>
                <w:kern w:val="0"/>
                <w:szCs w:val="21"/>
                <w:u w:val="single"/>
                <w:vertAlign w:val="superscript"/>
              </w:rPr>
              <w:t>3</w:t>
            </w:r>
            <w:r>
              <w:rPr>
                <w:rFonts w:ascii="Times New Roman" w:hAnsi="Times New Roman"/>
                <w:spacing w:val="6"/>
                <w:kern w:val="0"/>
                <w:szCs w:val="21"/>
                <w:u w:val="single"/>
              </w:rPr>
              <w:t>/h</w:t>
            </w:r>
          </w:p>
        </w:tc>
        <w:tc>
          <w:tcPr>
            <w:tcW w:w="1147"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1611"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2019年在线监测数据，全年平均值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u w:val="single"/>
              </w:rPr>
            </w:pPr>
          </w:p>
        </w:tc>
        <w:tc>
          <w:tcPr>
            <w:tcW w:w="1470"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1320" w:type="dxa"/>
            <w:vAlign w:val="center"/>
          </w:tcPr>
          <w:p>
            <w:pPr>
              <w:jc w:val="center"/>
              <w:rPr>
                <w:rFonts w:ascii="Times New Roman" w:hAnsi="Times New Roman"/>
                <w:szCs w:val="21"/>
                <w:u w:val="single"/>
              </w:rPr>
            </w:pPr>
            <w:r>
              <w:rPr>
                <w:rFonts w:ascii="Times New Roman" w:hAnsi="Times New Roman"/>
                <w:szCs w:val="21"/>
                <w:u w:val="single"/>
              </w:rPr>
              <w:t>7.03</w:t>
            </w:r>
          </w:p>
        </w:tc>
        <w:tc>
          <w:tcPr>
            <w:tcW w:w="1790" w:type="dxa"/>
            <w:vAlign w:val="center"/>
          </w:tcPr>
          <w:p>
            <w:pPr>
              <w:jc w:val="center"/>
              <w:rPr>
                <w:rFonts w:ascii="Times New Roman" w:hAnsi="Times New Roman"/>
                <w:szCs w:val="21"/>
                <w:u w:val="single"/>
              </w:rPr>
            </w:pPr>
            <w:r>
              <w:rPr>
                <w:rFonts w:ascii="Times New Roman" w:hAnsi="Times New Roman"/>
                <w:szCs w:val="21"/>
                <w:u w:val="single"/>
              </w:rPr>
              <w:t>3.526</w:t>
            </w:r>
          </w:p>
        </w:tc>
        <w:tc>
          <w:tcPr>
            <w:tcW w:w="1147" w:type="dxa"/>
            <w:vAlign w:val="center"/>
          </w:tcPr>
          <w:p>
            <w:pPr>
              <w:jc w:val="center"/>
              <w:rPr>
                <w:rFonts w:ascii="Times New Roman" w:hAnsi="Times New Roman"/>
                <w:szCs w:val="21"/>
                <w:u w:val="single"/>
              </w:rPr>
            </w:pPr>
            <w:r>
              <w:rPr>
                <w:rFonts w:ascii="Times New Roman" w:hAnsi="Times New Roman"/>
                <w:szCs w:val="21"/>
                <w:u w:val="single"/>
              </w:rPr>
              <w:t>30.89</w:t>
            </w:r>
          </w:p>
        </w:tc>
        <w:tc>
          <w:tcPr>
            <w:tcW w:w="1611"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u w:val="single"/>
              </w:rPr>
            </w:pPr>
          </w:p>
        </w:tc>
        <w:tc>
          <w:tcPr>
            <w:tcW w:w="1470" w:type="dxa"/>
            <w:vAlign w:val="center"/>
          </w:tcPr>
          <w:p>
            <w:pPr>
              <w:jc w:val="center"/>
              <w:rPr>
                <w:rFonts w:ascii="Times New Roman" w:hAnsi="Times New Roman"/>
                <w:szCs w:val="21"/>
                <w:u w:val="single"/>
              </w:rPr>
            </w:pPr>
            <w:r>
              <w:rPr>
                <w:rFonts w:ascii="Times New Roman" w:hAnsi="Times New Roman"/>
                <w:szCs w:val="21"/>
                <w:u w:val="single"/>
              </w:rPr>
              <w:t>二氧化硫</w:t>
            </w:r>
          </w:p>
        </w:tc>
        <w:tc>
          <w:tcPr>
            <w:tcW w:w="1320" w:type="dxa"/>
            <w:vAlign w:val="center"/>
          </w:tcPr>
          <w:p>
            <w:pPr>
              <w:jc w:val="center"/>
              <w:rPr>
                <w:rFonts w:ascii="Times New Roman" w:hAnsi="Times New Roman"/>
                <w:szCs w:val="21"/>
                <w:u w:val="single"/>
              </w:rPr>
            </w:pPr>
            <w:r>
              <w:rPr>
                <w:rFonts w:ascii="Times New Roman" w:hAnsi="Times New Roman"/>
                <w:szCs w:val="21"/>
                <w:u w:val="single"/>
              </w:rPr>
              <w:t>1.84</w:t>
            </w:r>
          </w:p>
        </w:tc>
        <w:tc>
          <w:tcPr>
            <w:tcW w:w="1790" w:type="dxa"/>
            <w:vAlign w:val="center"/>
          </w:tcPr>
          <w:p>
            <w:pPr>
              <w:jc w:val="center"/>
              <w:rPr>
                <w:rFonts w:ascii="Times New Roman" w:hAnsi="Times New Roman"/>
                <w:szCs w:val="21"/>
                <w:u w:val="single"/>
              </w:rPr>
            </w:pPr>
            <w:r>
              <w:rPr>
                <w:rFonts w:ascii="Times New Roman" w:hAnsi="Times New Roman"/>
                <w:szCs w:val="21"/>
                <w:u w:val="single"/>
              </w:rPr>
              <w:t>0.930</w:t>
            </w:r>
          </w:p>
        </w:tc>
        <w:tc>
          <w:tcPr>
            <w:tcW w:w="1147" w:type="dxa"/>
            <w:vAlign w:val="center"/>
          </w:tcPr>
          <w:p>
            <w:pPr>
              <w:jc w:val="center"/>
              <w:rPr>
                <w:rFonts w:ascii="Times New Roman" w:hAnsi="Times New Roman"/>
                <w:szCs w:val="21"/>
                <w:u w:val="single"/>
              </w:rPr>
            </w:pPr>
            <w:r>
              <w:rPr>
                <w:rFonts w:ascii="Times New Roman" w:hAnsi="Times New Roman"/>
                <w:szCs w:val="21"/>
                <w:u w:val="single"/>
              </w:rPr>
              <w:t>8.15</w:t>
            </w:r>
          </w:p>
        </w:tc>
        <w:tc>
          <w:tcPr>
            <w:tcW w:w="1611"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u w:val="single"/>
              </w:rPr>
            </w:pPr>
          </w:p>
        </w:tc>
        <w:tc>
          <w:tcPr>
            <w:tcW w:w="1470" w:type="dxa"/>
            <w:vAlign w:val="center"/>
          </w:tcPr>
          <w:p>
            <w:pPr>
              <w:jc w:val="center"/>
              <w:rPr>
                <w:rFonts w:ascii="Times New Roman" w:hAnsi="Times New Roman"/>
                <w:szCs w:val="21"/>
                <w:u w:val="single"/>
              </w:rPr>
            </w:pPr>
            <w:r>
              <w:rPr>
                <w:rFonts w:ascii="Times New Roman" w:hAnsi="Times New Roman"/>
                <w:szCs w:val="21"/>
                <w:u w:val="single"/>
              </w:rPr>
              <w:t>氮氧化物</w:t>
            </w:r>
          </w:p>
        </w:tc>
        <w:tc>
          <w:tcPr>
            <w:tcW w:w="1320" w:type="dxa"/>
            <w:vAlign w:val="center"/>
          </w:tcPr>
          <w:p>
            <w:pPr>
              <w:jc w:val="center"/>
              <w:rPr>
                <w:rFonts w:ascii="Times New Roman" w:hAnsi="Times New Roman"/>
                <w:szCs w:val="21"/>
                <w:u w:val="single"/>
              </w:rPr>
            </w:pPr>
            <w:r>
              <w:rPr>
                <w:rFonts w:ascii="Times New Roman" w:hAnsi="Times New Roman"/>
                <w:szCs w:val="21"/>
                <w:u w:val="single"/>
              </w:rPr>
              <w:t>11.93</w:t>
            </w:r>
          </w:p>
        </w:tc>
        <w:tc>
          <w:tcPr>
            <w:tcW w:w="1790" w:type="dxa"/>
            <w:vAlign w:val="center"/>
          </w:tcPr>
          <w:p>
            <w:pPr>
              <w:jc w:val="center"/>
              <w:rPr>
                <w:rFonts w:ascii="Times New Roman" w:hAnsi="Times New Roman"/>
                <w:szCs w:val="21"/>
                <w:u w:val="single"/>
              </w:rPr>
            </w:pPr>
            <w:r>
              <w:rPr>
                <w:rFonts w:ascii="Times New Roman" w:hAnsi="Times New Roman"/>
                <w:szCs w:val="21"/>
                <w:u w:val="single"/>
              </w:rPr>
              <w:t>5.996</w:t>
            </w:r>
          </w:p>
        </w:tc>
        <w:tc>
          <w:tcPr>
            <w:tcW w:w="1147" w:type="dxa"/>
            <w:vAlign w:val="center"/>
          </w:tcPr>
          <w:p>
            <w:pPr>
              <w:jc w:val="center"/>
              <w:rPr>
                <w:rFonts w:ascii="Times New Roman" w:hAnsi="Times New Roman"/>
                <w:szCs w:val="21"/>
                <w:u w:val="single"/>
              </w:rPr>
            </w:pPr>
            <w:r>
              <w:rPr>
                <w:rFonts w:ascii="Times New Roman" w:hAnsi="Times New Roman"/>
                <w:szCs w:val="21"/>
                <w:u w:val="single"/>
              </w:rPr>
              <w:t>52.52</w:t>
            </w:r>
          </w:p>
        </w:tc>
        <w:tc>
          <w:tcPr>
            <w:tcW w:w="1611" w:type="dxa"/>
            <w:vMerge w:val="continue"/>
            <w:vAlign w:val="center"/>
          </w:tcPr>
          <w:p>
            <w:pPr>
              <w:ind w:right="-113"/>
              <w:jc w:val="center"/>
              <w:rPr>
                <w:rFonts w:ascii="Times New Roman" w:hAnsi="Times New Roman"/>
                <w:spacing w:val="6"/>
                <w:kern w:val="0"/>
                <w:szCs w:val="21"/>
                <w:u w:val="single"/>
              </w:rPr>
            </w:pPr>
          </w:p>
        </w:tc>
      </w:tr>
    </w:tbl>
    <w:p>
      <w:pPr>
        <w:spacing w:line="360" w:lineRule="auto"/>
        <w:ind w:firstLine="480" w:firstLineChars="200"/>
        <w:jc w:val="left"/>
        <w:rPr>
          <w:rFonts w:ascii="Times New Roman" w:hAnsi="Times New Roman"/>
          <w:sz w:val="24"/>
          <w:szCs w:val="24"/>
          <w:u w:val="single"/>
        </w:rPr>
      </w:pPr>
    </w:p>
    <w:p>
      <w:pPr>
        <w:pStyle w:val="281"/>
        <w:tabs>
          <w:tab w:val="left" w:pos="3600"/>
        </w:tabs>
        <w:spacing w:line="360" w:lineRule="auto"/>
        <w:ind w:firstLine="0"/>
        <w:outlineLvl w:val="3"/>
        <w:rPr>
          <w:rFonts w:ascii="Times New Roman" w:hAnsi="Times New Roman" w:cs="Times New Roman"/>
          <w:kern w:val="0"/>
          <w:sz w:val="24"/>
          <w:szCs w:val="24"/>
          <w:u w:val="single"/>
        </w:rPr>
      </w:pPr>
      <w:r>
        <w:rPr>
          <w:rFonts w:ascii="Times New Roman" w:hAnsi="Times New Roman" w:cs="Times New Roman"/>
          <w:kern w:val="0"/>
          <w:sz w:val="24"/>
          <w:szCs w:val="24"/>
          <w:u w:val="single"/>
        </w:rPr>
        <w:t>3.2.3.7本项目投运前后污染物排放量</w:t>
      </w:r>
    </w:p>
    <w:p>
      <w:pPr>
        <w:pStyle w:val="66"/>
        <w:widowControl/>
        <w:tabs>
          <w:tab w:val="left" w:pos="1021"/>
        </w:tabs>
        <w:adjustRightInd/>
        <w:spacing w:before="120" w:after="120" w:line="240" w:lineRule="auto"/>
        <w:ind w:firstLine="0"/>
        <w:jc w:val="center"/>
        <w:textAlignment w:val="auto"/>
        <w:rPr>
          <w:rFonts w:ascii="Times New Roman" w:eastAsia="宋体"/>
          <w:b/>
          <w:sz w:val="24"/>
          <w:szCs w:val="24"/>
          <w:u w:val="single"/>
        </w:rPr>
      </w:pPr>
      <w:r>
        <w:rPr>
          <w:rFonts w:ascii="Times New Roman" w:eastAsia="宋体"/>
          <w:b/>
          <w:sz w:val="24"/>
          <w:szCs w:val="24"/>
          <w:u w:val="single"/>
        </w:rPr>
        <w:t>表</w:t>
      </w:r>
      <w:r>
        <w:rPr>
          <w:rFonts w:ascii="Times New Roman" w:eastAsia="宋体"/>
          <w:b/>
          <w:bCs/>
          <w:sz w:val="24"/>
          <w:szCs w:val="24"/>
          <w:u w:val="single"/>
        </w:rPr>
        <w:t>3.2.3.7-1</w:t>
      </w:r>
      <w:r>
        <w:rPr>
          <w:rFonts w:ascii="Times New Roman" w:eastAsia="宋体"/>
          <w:b/>
          <w:sz w:val="24"/>
          <w:szCs w:val="24"/>
          <w:u w:val="single"/>
        </w:rPr>
        <w:t xml:space="preserve">   项目投运前后污染物最大排放量</w:t>
      </w:r>
    </w:p>
    <w:tbl>
      <w:tblPr>
        <w:tblStyle w:val="46"/>
        <w:tblW w:w="46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4"/>
        <w:gridCol w:w="1178"/>
        <w:gridCol w:w="759"/>
        <w:gridCol w:w="1137"/>
        <w:gridCol w:w="1336"/>
        <w:gridCol w:w="1253"/>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720" w:type="pct"/>
            <w:tcBorders>
              <w:tl2br w:val="nil"/>
              <w:tr2bl w:val="nil"/>
            </w:tcBorders>
            <w:vAlign w:val="center"/>
          </w:tcPr>
          <w:p>
            <w:pPr>
              <w:pStyle w:val="302"/>
              <w:rPr>
                <w:rFonts w:ascii="Times New Roman" w:hAnsi="Times New Roman"/>
                <w:u w:val="single"/>
              </w:rPr>
            </w:pPr>
            <w:r>
              <w:rPr>
                <w:rFonts w:ascii="Times New Roman" w:hAnsi="Times New Roman"/>
                <w:u w:val="single"/>
              </w:rPr>
              <w:t>内容</w:t>
            </w:r>
          </w:p>
          <w:p>
            <w:pPr>
              <w:pStyle w:val="302"/>
              <w:rPr>
                <w:rFonts w:ascii="Times New Roman" w:hAnsi="Times New Roman"/>
                <w:u w:val="single"/>
              </w:rPr>
            </w:pPr>
            <w:r>
              <w:rPr>
                <w:rFonts w:ascii="Times New Roman" w:hAnsi="Times New Roman"/>
                <w:u w:val="single"/>
              </w:rPr>
              <w:t>类别</w:t>
            </w:r>
          </w:p>
        </w:tc>
        <w:tc>
          <w:tcPr>
            <w:tcW w:w="735" w:type="pct"/>
            <w:tcBorders>
              <w:tl2br w:val="nil"/>
              <w:tr2bl w:val="nil"/>
            </w:tcBorders>
            <w:vAlign w:val="center"/>
          </w:tcPr>
          <w:p>
            <w:pPr>
              <w:pStyle w:val="302"/>
              <w:rPr>
                <w:rFonts w:ascii="Times New Roman" w:hAnsi="Times New Roman"/>
                <w:u w:val="single"/>
              </w:rPr>
            </w:pPr>
            <w:r>
              <w:rPr>
                <w:rFonts w:ascii="Times New Roman" w:hAnsi="Times New Roman"/>
                <w:u w:val="single"/>
              </w:rPr>
              <w:t>污染物</w:t>
            </w:r>
          </w:p>
          <w:p>
            <w:pPr>
              <w:pStyle w:val="302"/>
              <w:rPr>
                <w:rFonts w:ascii="Times New Roman" w:hAnsi="Times New Roman"/>
                <w:u w:val="single"/>
              </w:rPr>
            </w:pPr>
            <w:r>
              <w:rPr>
                <w:rFonts w:ascii="Times New Roman" w:hAnsi="Times New Roman"/>
                <w:u w:val="single"/>
              </w:rPr>
              <w:t>名称</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单位</w:t>
            </w:r>
          </w:p>
        </w:tc>
        <w:tc>
          <w:tcPr>
            <w:tcW w:w="710" w:type="pct"/>
            <w:tcBorders>
              <w:tl2br w:val="nil"/>
              <w:tr2bl w:val="nil"/>
            </w:tcBorders>
            <w:vAlign w:val="center"/>
          </w:tcPr>
          <w:p>
            <w:pPr>
              <w:pStyle w:val="302"/>
              <w:rPr>
                <w:rFonts w:ascii="Times New Roman" w:hAnsi="Times New Roman"/>
                <w:u w:val="single"/>
              </w:rPr>
            </w:pPr>
            <w:r>
              <w:rPr>
                <w:rFonts w:ascii="Times New Roman" w:hAnsi="Times New Roman"/>
                <w:u w:val="single"/>
              </w:rPr>
              <w:t>项目投运前排放量</w:t>
            </w:r>
          </w:p>
        </w:tc>
        <w:tc>
          <w:tcPr>
            <w:tcW w:w="833" w:type="pct"/>
            <w:tcBorders>
              <w:tl2br w:val="nil"/>
              <w:tr2bl w:val="nil"/>
            </w:tcBorders>
            <w:vAlign w:val="center"/>
          </w:tcPr>
          <w:p>
            <w:pPr>
              <w:pStyle w:val="302"/>
              <w:rPr>
                <w:rFonts w:ascii="Times New Roman" w:hAnsi="Times New Roman"/>
                <w:u w:val="single"/>
              </w:rPr>
            </w:pPr>
            <w:r>
              <w:rPr>
                <w:rFonts w:ascii="Times New Roman" w:hAnsi="Times New Roman"/>
                <w:u w:val="single"/>
              </w:rPr>
              <w:t>项目投运后总排放量</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排污增减量</w:t>
            </w:r>
          </w:p>
        </w:tc>
        <w:tc>
          <w:tcPr>
            <w:tcW w:w="744" w:type="pct"/>
            <w:tcBorders>
              <w:tl2br w:val="nil"/>
              <w:tr2bl w:val="nil"/>
            </w:tcBorders>
            <w:vAlign w:val="center"/>
          </w:tcPr>
          <w:p>
            <w:pPr>
              <w:pStyle w:val="302"/>
              <w:rPr>
                <w:rFonts w:ascii="Times New Roman" w:hAnsi="Times New Roman"/>
                <w:u w:val="single"/>
              </w:rPr>
            </w:pPr>
            <w:r>
              <w:rPr>
                <w:rFonts w:ascii="Times New Roman" w:hAnsi="Times New Roman"/>
                <w:u w:val="single"/>
              </w:rPr>
              <w:t>最终排放量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720" w:type="pct"/>
            <w:vMerge w:val="restart"/>
            <w:tcBorders>
              <w:tl2br w:val="nil"/>
              <w:tr2bl w:val="nil"/>
            </w:tcBorders>
            <w:vAlign w:val="center"/>
          </w:tcPr>
          <w:p>
            <w:pPr>
              <w:pStyle w:val="302"/>
              <w:rPr>
                <w:rFonts w:ascii="Times New Roman" w:hAnsi="Times New Roman"/>
                <w:u w:val="single"/>
              </w:rPr>
            </w:pPr>
            <w:r>
              <w:rPr>
                <w:rFonts w:ascii="Times New Roman" w:hAnsi="Times New Roman"/>
                <w:u w:val="single"/>
              </w:rPr>
              <w:t>废气</w:t>
            </w:r>
          </w:p>
        </w:tc>
        <w:tc>
          <w:tcPr>
            <w:tcW w:w="735" w:type="pct"/>
            <w:tcBorders>
              <w:tl2br w:val="nil"/>
              <w:tr2bl w:val="nil"/>
            </w:tcBorders>
            <w:vAlign w:val="center"/>
          </w:tcPr>
          <w:p>
            <w:pPr>
              <w:pStyle w:val="302"/>
              <w:rPr>
                <w:rFonts w:ascii="Times New Roman" w:hAnsi="Times New Roman"/>
                <w:u w:val="single"/>
              </w:rPr>
            </w:pPr>
            <w:r>
              <w:rPr>
                <w:rFonts w:ascii="Times New Roman" w:hAnsi="Times New Roman"/>
                <w:u w:val="single"/>
              </w:rPr>
              <w:t>烟尘</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t/a</w:t>
            </w:r>
          </w:p>
        </w:tc>
        <w:tc>
          <w:tcPr>
            <w:tcW w:w="1137" w:type="dxa"/>
            <w:tcBorders>
              <w:tl2br w:val="nil"/>
              <w:tr2bl w:val="nil"/>
            </w:tcBorders>
            <w:vAlign w:val="center"/>
          </w:tcPr>
          <w:p>
            <w:pPr>
              <w:jc w:val="center"/>
              <w:rPr>
                <w:rFonts w:ascii="Times New Roman" w:hAnsi="Times New Roman"/>
                <w:u w:val="single"/>
              </w:rPr>
            </w:pPr>
            <w:r>
              <w:rPr>
                <w:rFonts w:ascii="Times New Roman" w:hAnsi="Times New Roman"/>
                <w:szCs w:val="21"/>
              </w:rPr>
              <w:t>30.89</w:t>
            </w:r>
          </w:p>
        </w:tc>
        <w:tc>
          <w:tcPr>
            <w:tcW w:w="833" w:type="pct"/>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31.71</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0.82</w:t>
            </w:r>
          </w:p>
        </w:tc>
        <w:tc>
          <w:tcPr>
            <w:tcW w:w="1192" w:type="dxa"/>
            <w:tcBorders>
              <w:tl2br w:val="nil"/>
              <w:tr2bl w:val="nil"/>
            </w:tcBorders>
            <w:vAlign w:val="center"/>
          </w:tcPr>
          <w:p>
            <w:pPr>
              <w:jc w:val="center"/>
              <w:rPr>
                <w:rFonts w:ascii="Times New Roman" w:hAnsi="Times New Roman"/>
                <w:szCs w:val="20"/>
                <w:u w:val="single"/>
              </w:rPr>
            </w:pPr>
            <w:r>
              <w:rPr>
                <w:rFonts w:ascii="Times New Roman" w:hAnsi="Times New Roman"/>
                <w:szCs w:val="21"/>
                <w:u w:val="single"/>
              </w:rPr>
              <w:t>31.71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20" w:type="pct"/>
            <w:vMerge w:val="continue"/>
            <w:tcBorders>
              <w:tl2br w:val="nil"/>
              <w:tr2bl w:val="nil"/>
            </w:tcBorders>
            <w:vAlign w:val="center"/>
          </w:tcPr>
          <w:p>
            <w:pPr>
              <w:pStyle w:val="302"/>
              <w:rPr>
                <w:rFonts w:ascii="Times New Roman" w:hAnsi="Times New Roman"/>
                <w:u w:val="single"/>
              </w:rPr>
            </w:pPr>
          </w:p>
        </w:tc>
        <w:tc>
          <w:tcPr>
            <w:tcW w:w="735" w:type="pct"/>
            <w:tcBorders>
              <w:tl2br w:val="nil"/>
              <w:tr2bl w:val="nil"/>
            </w:tcBorders>
            <w:vAlign w:val="center"/>
          </w:tcPr>
          <w:p>
            <w:pPr>
              <w:pStyle w:val="302"/>
              <w:rPr>
                <w:rFonts w:ascii="Times New Roman" w:hAnsi="Times New Roman"/>
                <w:u w:val="single"/>
              </w:rPr>
            </w:pPr>
            <w:r>
              <w:rPr>
                <w:rFonts w:ascii="Times New Roman" w:hAnsi="Times New Roman"/>
                <w:szCs w:val="21"/>
                <w:u w:val="single"/>
              </w:rPr>
              <w:t>SO</w:t>
            </w:r>
            <w:r>
              <w:rPr>
                <w:rFonts w:ascii="Times New Roman" w:hAnsi="Times New Roman"/>
                <w:szCs w:val="21"/>
                <w:u w:val="single"/>
                <w:vertAlign w:val="subscript"/>
              </w:rPr>
              <w:t>2</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t/a</w:t>
            </w:r>
          </w:p>
        </w:tc>
        <w:tc>
          <w:tcPr>
            <w:tcW w:w="1137" w:type="dxa"/>
            <w:tcBorders>
              <w:tl2br w:val="nil"/>
              <w:tr2bl w:val="nil"/>
            </w:tcBorders>
            <w:vAlign w:val="center"/>
          </w:tcPr>
          <w:p>
            <w:pPr>
              <w:jc w:val="center"/>
              <w:rPr>
                <w:rFonts w:ascii="Times New Roman" w:hAnsi="Times New Roman"/>
                <w:u w:val="single"/>
              </w:rPr>
            </w:pPr>
            <w:r>
              <w:rPr>
                <w:rFonts w:ascii="Times New Roman" w:hAnsi="Times New Roman"/>
                <w:szCs w:val="21"/>
              </w:rPr>
              <w:t>8.15</w:t>
            </w:r>
          </w:p>
        </w:tc>
        <w:tc>
          <w:tcPr>
            <w:tcW w:w="833" w:type="pct"/>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34.34</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26.19</w:t>
            </w:r>
          </w:p>
        </w:tc>
        <w:tc>
          <w:tcPr>
            <w:tcW w:w="1192" w:type="dxa"/>
            <w:tcBorders>
              <w:tl2br w:val="nil"/>
              <w:tr2bl w:val="nil"/>
            </w:tcBorders>
            <w:vAlign w:val="center"/>
          </w:tcPr>
          <w:p>
            <w:pPr>
              <w:jc w:val="center"/>
              <w:rPr>
                <w:rFonts w:ascii="Times New Roman" w:hAnsi="Times New Roman"/>
                <w:szCs w:val="20"/>
                <w:u w:val="single"/>
              </w:rPr>
            </w:pPr>
            <w:r>
              <w:rPr>
                <w:rFonts w:ascii="Times New Roman" w:hAnsi="Times New Roman"/>
                <w:szCs w:val="21"/>
                <w:u w:val="single"/>
              </w:rPr>
              <w:t>34.34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720" w:type="pct"/>
            <w:vMerge w:val="continue"/>
            <w:tcBorders>
              <w:tl2br w:val="nil"/>
              <w:tr2bl w:val="nil"/>
            </w:tcBorders>
            <w:vAlign w:val="center"/>
          </w:tcPr>
          <w:p>
            <w:pPr>
              <w:pStyle w:val="302"/>
              <w:rPr>
                <w:rFonts w:ascii="Times New Roman" w:hAnsi="Times New Roman"/>
                <w:u w:val="single"/>
              </w:rPr>
            </w:pPr>
          </w:p>
        </w:tc>
        <w:tc>
          <w:tcPr>
            <w:tcW w:w="735" w:type="pct"/>
            <w:tcBorders>
              <w:tl2br w:val="nil"/>
              <w:tr2bl w:val="nil"/>
            </w:tcBorders>
            <w:vAlign w:val="center"/>
          </w:tcPr>
          <w:p>
            <w:pPr>
              <w:pStyle w:val="302"/>
              <w:rPr>
                <w:rFonts w:ascii="Times New Roman" w:hAnsi="Times New Roman"/>
                <w:u w:val="single"/>
              </w:rPr>
            </w:pPr>
            <w:r>
              <w:rPr>
                <w:rFonts w:ascii="Times New Roman" w:hAnsi="Times New Roman"/>
                <w:szCs w:val="21"/>
                <w:u w:val="single"/>
              </w:rPr>
              <w:t>NO</w:t>
            </w:r>
            <w:r>
              <w:rPr>
                <w:rFonts w:ascii="Times New Roman" w:hAnsi="Times New Roman"/>
                <w:szCs w:val="21"/>
                <w:u w:val="single"/>
                <w:vertAlign w:val="subscript"/>
              </w:rPr>
              <w:t>X</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t/a</w:t>
            </w:r>
          </w:p>
        </w:tc>
        <w:tc>
          <w:tcPr>
            <w:tcW w:w="1137" w:type="dxa"/>
            <w:tcBorders>
              <w:tl2br w:val="nil"/>
              <w:tr2bl w:val="nil"/>
            </w:tcBorders>
            <w:vAlign w:val="center"/>
          </w:tcPr>
          <w:p>
            <w:pPr>
              <w:jc w:val="center"/>
              <w:rPr>
                <w:rFonts w:ascii="Times New Roman" w:hAnsi="Times New Roman"/>
                <w:u w:val="single"/>
              </w:rPr>
            </w:pPr>
            <w:r>
              <w:rPr>
                <w:rFonts w:ascii="Times New Roman" w:hAnsi="Times New Roman"/>
                <w:szCs w:val="21"/>
              </w:rPr>
              <w:t>52.52</w:t>
            </w:r>
          </w:p>
        </w:tc>
        <w:tc>
          <w:tcPr>
            <w:tcW w:w="833" w:type="pct"/>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45.90</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-6.62</w:t>
            </w:r>
          </w:p>
        </w:tc>
        <w:tc>
          <w:tcPr>
            <w:tcW w:w="1192" w:type="dxa"/>
            <w:tcBorders>
              <w:tl2br w:val="nil"/>
              <w:tr2bl w:val="nil"/>
            </w:tcBorders>
            <w:vAlign w:val="center"/>
          </w:tcPr>
          <w:p>
            <w:pPr>
              <w:jc w:val="center"/>
              <w:rPr>
                <w:rFonts w:ascii="Times New Roman" w:hAnsi="Times New Roman"/>
                <w:szCs w:val="20"/>
                <w:u w:val="single"/>
              </w:rPr>
            </w:pPr>
            <w:r>
              <w:rPr>
                <w:rFonts w:ascii="Times New Roman" w:hAnsi="Times New Roman"/>
                <w:szCs w:val="21"/>
                <w:u w:val="single"/>
              </w:rPr>
              <w:t>45.90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20" w:type="pct"/>
            <w:tcBorders>
              <w:tl2br w:val="nil"/>
              <w:tr2bl w:val="nil"/>
            </w:tcBorders>
            <w:vAlign w:val="center"/>
          </w:tcPr>
          <w:p>
            <w:pPr>
              <w:pStyle w:val="302"/>
              <w:rPr>
                <w:rFonts w:ascii="Times New Roman" w:hAnsi="Times New Roman"/>
                <w:u w:val="single"/>
              </w:rPr>
            </w:pPr>
            <w:r>
              <w:rPr>
                <w:rFonts w:ascii="Times New Roman" w:hAnsi="Times New Roman"/>
                <w:u w:val="single"/>
              </w:rPr>
              <w:t>废水</w:t>
            </w:r>
          </w:p>
        </w:tc>
        <w:tc>
          <w:tcPr>
            <w:tcW w:w="735" w:type="pct"/>
            <w:tcBorders>
              <w:tl2br w:val="nil"/>
              <w:tr2bl w:val="nil"/>
            </w:tcBorders>
            <w:vAlign w:val="center"/>
          </w:tcPr>
          <w:p>
            <w:pPr>
              <w:pStyle w:val="302"/>
              <w:rPr>
                <w:rFonts w:ascii="Times New Roman" w:hAnsi="Times New Roman"/>
                <w:u w:val="single"/>
              </w:rPr>
            </w:pPr>
            <w:r>
              <w:rPr>
                <w:rFonts w:ascii="Times New Roman" w:hAnsi="Times New Roman"/>
                <w:u w:val="single"/>
              </w:rPr>
              <w:t>生产废水</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m</w:t>
            </w:r>
            <w:r>
              <w:rPr>
                <w:rFonts w:ascii="Times New Roman" w:hAnsi="Times New Roman"/>
                <w:u w:val="single"/>
                <w:vertAlign w:val="superscript"/>
              </w:rPr>
              <w:t>3</w:t>
            </w:r>
            <w:r>
              <w:rPr>
                <w:rFonts w:ascii="Times New Roman" w:hAnsi="Times New Roman"/>
                <w:u w:val="single"/>
              </w:rPr>
              <w:t>/a</w:t>
            </w:r>
          </w:p>
        </w:tc>
        <w:tc>
          <w:tcPr>
            <w:tcW w:w="710" w:type="pct"/>
            <w:tcBorders>
              <w:tl2br w:val="nil"/>
              <w:tr2bl w:val="nil"/>
            </w:tcBorders>
            <w:vAlign w:val="center"/>
          </w:tcPr>
          <w:p>
            <w:pPr>
              <w:pStyle w:val="302"/>
              <w:rPr>
                <w:rFonts w:ascii="Times New Roman" w:hAnsi="Times New Roman"/>
                <w:u w:val="single"/>
              </w:rPr>
            </w:pPr>
            <w:r>
              <w:rPr>
                <w:rFonts w:ascii="Times New Roman" w:hAnsi="Times New Roman"/>
                <w:kern w:val="0"/>
                <w:szCs w:val="21"/>
                <w:u w:val="single"/>
              </w:rPr>
              <w:t>11417.41</w:t>
            </w:r>
          </w:p>
        </w:tc>
        <w:tc>
          <w:tcPr>
            <w:tcW w:w="833" w:type="pct"/>
            <w:tcBorders>
              <w:tl2br w:val="nil"/>
              <w:tr2bl w:val="nil"/>
            </w:tcBorders>
            <w:vAlign w:val="center"/>
          </w:tcPr>
          <w:p>
            <w:pPr>
              <w:jc w:val="center"/>
              <w:rPr>
                <w:rFonts w:ascii="Times New Roman" w:hAnsi="Times New Roman"/>
                <w:szCs w:val="21"/>
                <w:u w:val="single"/>
              </w:rPr>
            </w:pPr>
            <w:r>
              <w:rPr>
                <w:rFonts w:ascii="Times New Roman" w:hAnsi="Times New Roman"/>
                <w:kern w:val="0"/>
                <w:szCs w:val="21"/>
                <w:u w:val="single"/>
              </w:rPr>
              <w:t>11417.41</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0</w:t>
            </w:r>
          </w:p>
        </w:tc>
        <w:tc>
          <w:tcPr>
            <w:tcW w:w="744" w:type="pct"/>
            <w:tcBorders>
              <w:tl2br w:val="nil"/>
              <w:tr2bl w:val="nil"/>
            </w:tcBorders>
            <w:vAlign w:val="center"/>
          </w:tcPr>
          <w:p>
            <w:pPr>
              <w:pStyle w:val="302"/>
              <w:rPr>
                <w:rFonts w:ascii="Times New Roman" w:hAnsi="Times New Roman"/>
                <w:u w:val="single"/>
              </w:rPr>
            </w:pPr>
            <w:r>
              <w:rPr>
                <w:rFonts w:ascii="Times New Roman" w:hAnsi="Times New Roman"/>
                <w:u w:val="singl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20" w:type="pct"/>
            <w:vMerge w:val="restart"/>
            <w:tcBorders>
              <w:tl2br w:val="nil"/>
              <w:tr2bl w:val="nil"/>
            </w:tcBorders>
            <w:vAlign w:val="center"/>
          </w:tcPr>
          <w:p>
            <w:pPr>
              <w:pStyle w:val="302"/>
              <w:rPr>
                <w:rFonts w:ascii="Times New Roman" w:hAnsi="Times New Roman"/>
                <w:u w:val="single"/>
              </w:rPr>
            </w:pPr>
            <w:r>
              <w:rPr>
                <w:rFonts w:ascii="Times New Roman" w:hAnsi="Times New Roman"/>
                <w:u w:val="single"/>
              </w:rPr>
              <w:t>固废废物</w:t>
            </w:r>
          </w:p>
        </w:tc>
        <w:tc>
          <w:tcPr>
            <w:tcW w:w="735" w:type="pct"/>
            <w:tcBorders>
              <w:tl2br w:val="nil"/>
              <w:tr2bl w:val="nil"/>
            </w:tcBorders>
            <w:vAlign w:val="center"/>
          </w:tcPr>
          <w:p>
            <w:pPr>
              <w:pStyle w:val="302"/>
              <w:rPr>
                <w:rFonts w:ascii="Times New Roman" w:hAnsi="Times New Roman"/>
                <w:u w:val="single"/>
              </w:rPr>
            </w:pPr>
            <w:r>
              <w:rPr>
                <w:rFonts w:ascii="Times New Roman" w:hAnsi="Times New Roman"/>
                <w:szCs w:val="21"/>
                <w:u w:val="single"/>
              </w:rPr>
              <w:t>锅炉炉渣、炉灰</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t/a</w:t>
            </w:r>
          </w:p>
        </w:tc>
        <w:tc>
          <w:tcPr>
            <w:tcW w:w="710" w:type="pct"/>
            <w:tcBorders>
              <w:tl2br w:val="nil"/>
              <w:tr2bl w:val="nil"/>
            </w:tcBorders>
            <w:vAlign w:val="center"/>
          </w:tcPr>
          <w:p>
            <w:pPr>
              <w:pStyle w:val="302"/>
              <w:rPr>
                <w:rFonts w:ascii="Times New Roman" w:hAnsi="Times New Roman"/>
                <w:u w:val="single"/>
              </w:rPr>
            </w:pPr>
            <w:r>
              <w:rPr>
                <w:rFonts w:ascii="Times New Roman" w:hAnsi="Times New Roman"/>
                <w:kern w:val="0"/>
                <w:szCs w:val="21"/>
                <w:u w:val="single"/>
              </w:rPr>
              <w:t>58596</w:t>
            </w:r>
          </w:p>
        </w:tc>
        <w:tc>
          <w:tcPr>
            <w:tcW w:w="833" w:type="pct"/>
            <w:tcBorders>
              <w:tl2br w:val="nil"/>
              <w:tr2bl w:val="nil"/>
            </w:tcBorders>
            <w:vAlign w:val="center"/>
          </w:tcPr>
          <w:p>
            <w:pPr>
              <w:jc w:val="center"/>
              <w:rPr>
                <w:rFonts w:ascii="Times New Roman" w:hAnsi="Times New Roman"/>
                <w:kern w:val="0"/>
                <w:szCs w:val="21"/>
                <w:u w:val="single"/>
              </w:rPr>
            </w:pPr>
            <w:r>
              <w:rPr>
                <w:rFonts w:ascii="Times New Roman" w:hAnsi="Times New Roman"/>
                <w:u w:val="single"/>
              </w:rPr>
              <w:t>60295.3</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+1699.3</w:t>
            </w:r>
          </w:p>
        </w:tc>
        <w:tc>
          <w:tcPr>
            <w:tcW w:w="744" w:type="pct"/>
            <w:tcBorders>
              <w:tl2br w:val="nil"/>
              <w:tr2bl w:val="nil"/>
            </w:tcBorders>
            <w:vAlign w:val="center"/>
          </w:tcPr>
          <w:p>
            <w:pPr>
              <w:jc w:val="center"/>
              <w:rPr>
                <w:rFonts w:ascii="Times New Roman" w:hAnsi="Times New Roman"/>
                <w:u w:val="single"/>
              </w:rPr>
            </w:pPr>
            <w:r>
              <w:rPr>
                <w:rFonts w:ascii="Times New Roman" w:hAnsi="Times New Roman"/>
                <w:u w:val="single"/>
              </w:rPr>
              <w:t>60295.3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20" w:type="pct"/>
            <w:vMerge w:val="continue"/>
            <w:tcBorders>
              <w:tl2br w:val="nil"/>
              <w:tr2bl w:val="nil"/>
            </w:tcBorders>
            <w:vAlign w:val="center"/>
          </w:tcPr>
          <w:p>
            <w:pPr>
              <w:pStyle w:val="302"/>
              <w:rPr>
                <w:rFonts w:ascii="Times New Roman" w:hAnsi="Times New Roman"/>
                <w:u w:val="single"/>
              </w:rPr>
            </w:pPr>
          </w:p>
        </w:tc>
        <w:tc>
          <w:tcPr>
            <w:tcW w:w="735" w:type="pct"/>
            <w:tcBorders>
              <w:tl2br w:val="nil"/>
              <w:tr2bl w:val="nil"/>
            </w:tcBorders>
            <w:vAlign w:val="center"/>
          </w:tcPr>
          <w:p>
            <w:pPr>
              <w:pStyle w:val="302"/>
              <w:rPr>
                <w:rFonts w:ascii="Times New Roman" w:hAnsi="Times New Roman"/>
                <w:szCs w:val="21"/>
                <w:u w:val="single"/>
              </w:rPr>
            </w:pPr>
            <w:r>
              <w:rPr>
                <w:rFonts w:ascii="Times New Roman" w:hAnsi="Times New Roman"/>
                <w:szCs w:val="21"/>
                <w:u w:val="single"/>
              </w:rPr>
              <w:t>石膏</w:t>
            </w:r>
          </w:p>
        </w:tc>
        <w:tc>
          <w:tcPr>
            <w:tcW w:w="473" w:type="pct"/>
            <w:tcBorders>
              <w:tl2br w:val="nil"/>
              <w:tr2bl w:val="nil"/>
            </w:tcBorders>
            <w:vAlign w:val="center"/>
          </w:tcPr>
          <w:p>
            <w:pPr>
              <w:pStyle w:val="302"/>
              <w:rPr>
                <w:rFonts w:ascii="Times New Roman" w:hAnsi="Times New Roman"/>
                <w:u w:val="single"/>
              </w:rPr>
            </w:pPr>
            <w:r>
              <w:rPr>
                <w:rFonts w:ascii="Times New Roman" w:hAnsi="Times New Roman"/>
                <w:u w:val="single"/>
              </w:rPr>
              <w:t>t/a</w:t>
            </w:r>
          </w:p>
        </w:tc>
        <w:tc>
          <w:tcPr>
            <w:tcW w:w="710" w:type="pct"/>
            <w:tcBorders>
              <w:tl2br w:val="nil"/>
              <w:tr2bl w:val="nil"/>
            </w:tcBorders>
            <w:vAlign w:val="center"/>
          </w:tcPr>
          <w:p>
            <w:pPr>
              <w:pStyle w:val="302"/>
              <w:rPr>
                <w:rFonts w:ascii="Times New Roman" w:hAnsi="Times New Roman"/>
                <w:u w:val="single"/>
              </w:rPr>
            </w:pPr>
            <w:r>
              <w:rPr>
                <w:rFonts w:ascii="Times New Roman" w:hAnsi="Times New Roman"/>
                <w:bCs/>
                <w:szCs w:val="21"/>
                <w:u w:val="single"/>
              </w:rPr>
              <w:t>4440</w:t>
            </w:r>
          </w:p>
        </w:tc>
        <w:tc>
          <w:tcPr>
            <w:tcW w:w="833" w:type="pct"/>
            <w:tcBorders>
              <w:tl2br w:val="nil"/>
              <w:tr2bl w:val="nil"/>
            </w:tcBorders>
            <w:vAlign w:val="center"/>
          </w:tcPr>
          <w:p>
            <w:pPr>
              <w:jc w:val="center"/>
              <w:rPr>
                <w:rFonts w:ascii="Times New Roman" w:hAnsi="Times New Roman"/>
                <w:kern w:val="0"/>
                <w:szCs w:val="21"/>
                <w:u w:val="single"/>
              </w:rPr>
            </w:pPr>
            <w:r>
              <w:rPr>
                <w:rFonts w:ascii="Times New Roman" w:hAnsi="Times New Roman"/>
                <w:szCs w:val="21"/>
                <w:u w:val="single"/>
              </w:rPr>
              <w:t>4568.82</w:t>
            </w:r>
          </w:p>
        </w:tc>
        <w:tc>
          <w:tcPr>
            <w:tcW w:w="782" w:type="pct"/>
            <w:tcBorders>
              <w:tl2br w:val="nil"/>
              <w:tr2bl w:val="nil"/>
            </w:tcBorders>
            <w:vAlign w:val="center"/>
          </w:tcPr>
          <w:p>
            <w:pPr>
              <w:pStyle w:val="302"/>
              <w:rPr>
                <w:rFonts w:ascii="Times New Roman" w:hAnsi="Times New Roman"/>
                <w:u w:val="single"/>
              </w:rPr>
            </w:pPr>
            <w:r>
              <w:rPr>
                <w:rFonts w:ascii="Times New Roman" w:hAnsi="Times New Roman"/>
                <w:u w:val="single"/>
              </w:rPr>
              <w:t>+128.82</w:t>
            </w:r>
          </w:p>
        </w:tc>
        <w:tc>
          <w:tcPr>
            <w:tcW w:w="744" w:type="pct"/>
            <w:tcBorders>
              <w:tl2br w:val="nil"/>
              <w:tr2bl w:val="nil"/>
            </w:tcBorders>
            <w:vAlign w:val="center"/>
          </w:tcPr>
          <w:p>
            <w:pPr>
              <w:jc w:val="center"/>
              <w:rPr>
                <w:rFonts w:ascii="Times New Roman" w:hAnsi="Times New Roman"/>
                <w:u w:val="single"/>
              </w:rPr>
            </w:pPr>
            <w:r>
              <w:rPr>
                <w:rFonts w:ascii="Times New Roman" w:hAnsi="Times New Roman"/>
                <w:szCs w:val="21"/>
                <w:u w:val="single"/>
              </w:rPr>
              <w:t>4568.82</w:t>
            </w:r>
          </w:p>
        </w:tc>
      </w:tr>
    </w:tbl>
    <w:p>
      <w:pPr>
        <w:spacing w:line="360" w:lineRule="auto"/>
        <w:ind w:firstLine="480" w:firstLineChars="200"/>
        <w:jc w:val="left"/>
        <w:rPr>
          <w:rFonts w:ascii="Times New Roman" w:hAnsi="Times New Roman"/>
          <w:sz w:val="28"/>
          <w:szCs w:val="28"/>
        </w:rPr>
      </w:pPr>
      <w:r>
        <w:rPr>
          <w:rFonts w:ascii="Times New Roman" w:hAnsi="Times New Roman"/>
          <w:sz w:val="24"/>
          <w:szCs w:val="24"/>
        </w:rPr>
        <w:t>从以上表中数据可以看出，预计掺烧油泥浮渣，未增加NOx的排放量，相反，因长岭分公司正在开展绿色企业创建工作，为了减排，今年以来加强了对烟脱操作精细化管理，NOx的排放浓度有所降低。仅增加了少量的SO</w:t>
      </w:r>
      <w:r>
        <w:rPr>
          <w:rFonts w:ascii="Times New Roman" w:hAnsi="Times New Roman"/>
          <w:sz w:val="24"/>
          <w:szCs w:val="24"/>
          <w:vertAlign w:val="subscript"/>
        </w:rPr>
        <w:t>2</w:t>
      </w:r>
      <w:r>
        <w:rPr>
          <w:rFonts w:ascii="Times New Roman" w:hAnsi="Times New Roman"/>
          <w:sz w:val="24"/>
          <w:szCs w:val="24"/>
        </w:rPr>
        <w:t>、烟尘排放量。</w:t>
      </w:r>
    </w:p>
    <w:p>
      <w:pPr>
        <w:pStyle w:val="6"/>
        <w:numPr>
          <w:ilvl w:val="1"/>
          <w:numId w:val="0"/>
        </w:numPr>
        <w:spacing w:before="240" w:beforeLines="100" w:after="240" w:afterLines="100"/>
        <w:textAlignment w:val="baseline"/>
        <w:rPr>
          <w:szCs w:val="30"/>
        </w:rPr>
      </w:pPr>
      <w:r>
        <w:rPr>
          <w:szCs w:val="30"/>
        </w:rPr>
        <w:t>3.3 总量控制分析</w:t>
      </w:r>
      <w:bookmarkEnd w:id="247"/>
      <w:bookmarkEnd w:id="248"/>
      <w:bookmarkEnd w:id="249"/>
      <w:bookmarkEnd w:id="250"/>
      <w:bookmarkEnd w:id="251"/>
    </w:p>
    <w:p>
      <w:pPr>
        <w:spacing w:line="360" w:lineRule="auto"/>
        <w:ind w:firstLine="510"/>
        <w:rPr>
          <w:rFonts w:ascii="Times New Roman" w:hAnsi="Times New Roman"/>
          <w:sz w:val="24"/>
          <w:szCs w:val="24"/>
        </w:rPr>
      </w:pPr>
      <w:bookmarkStart w:id="252" w:name="_Toc243191897"/>
      <w:bookmarkStart w:id="253" w:name="_Toc534540218"/>
      <w:r>
        <w:rPr>
          <w:rFonts w:ascii="Times New Roman" w:hAnsi="Times New Roman"/>
          <w:sz w:val="24"/>
          <w:szCs w:val="24"/>
        </w:rPr>
        <w:t>总量控制的原则是以当地环境容量及污染物达标排放为基础，新建项目增加的污染物排放量应不影响当地环境保护目标的实现，不对周围地区环境造成有害影响，即评价区域环境质量应保持在功能区的目标，区域污染物的排放总量控制在上级环境保护主管部门下达的目标之内。</w:t>
      </w:r>
    </w:p>
    <w:p>
      <w:pPr>
        <w:pStyle w:val="7"/>
        <w:numPr>
          <w:ilvl w:val="2"/>
          <w:numId w:val="0"/>
        </w:numPr>
        <w:spacing w:before="120" w:after="120"/>
        <w:ind w:left="142"/>
        <w:textAlignment w:val="baseline"/>
        <w:rPr>
          <w:szCs w:val="24"/>
        </w:rPr>
      </w:pPr>
      <w:bookmarkStart w:id="254" w:name="_Toc484073535"/>
      <w:bookmarkStart w:id="255" w:name="_Toc23517"/>
      <w:bookmarkStart w:id="256" w:name="_Toc30193"/>
      <w:bookmarkStart w:id="257" w:name="_Toc32479"/>
      <w:bookmarkStart w:id="258" w:name="_Toc11190"/>
      <w:bookmarkStart w:id="259" w:name="_Toc486403330"/>
      <w:bookmarkStart w:id="260" w:name="_Toc14671"/>
      <w:r>
        <w:rPr>
          <w:szCs w:val="24"/>
        </w:rPr>
        <w:t>3.3.1总量控制因子</w:t>
      </w:r>
      <w:bookmarkEnd w:id="252"/>
      <w:bookmarkEnd w:id="253"/>
      <w:bookmarkEnd w:id="254"/>
      <w:bookmarkEnd w:id="255"/>
      <w:bookmarkEnd w:id="256"/>
      <w:bookmarkEnd w:id="257"/>
      <w:bookmarkEnd w:id="258"/>
      <w:bookmarkEnd w:id="259"/>
      <w:bookmarkEnd w:id="260"/>
    </w:p>
    <w:p>
      <w:pPr>
        <w:spacing w:line="360" w:lineRule="auto"/>
        <w:ind w:firstLine="510"/>
        <w:rPr>
          <w:rFonts w:ascii="Times New Roman" w:hAnsi="Times New Roman"/>
          <w:sz w:val="24"/>
          <w:szCs w:val="24"/>
        </w:rPr>
      </w:pPr>
      <w:r>
        <w:rPr>
          <w:rFonts w:ascii="Times New Roman" w:hAnsi="Times New Roman"/>
          <w:sz w:val="24"/>
          <w:szCs w:val="24"/>
        </w:rPr>
        <w:t>十三五期间国家实施污染物总量控制的指标共有4项，分别为大气污染物指标：二氧化硫和氮氧化物；废水污染物指标：COD、氨氮。根据项目特征和周围环境特征，确定本项目总量控制因子为：废气：二氧化硫、氮氧化物；废水:COD、氨氮。</w:t>
      </w:r>
    </w:p>
    <w:p>
      <w:pPr>
        <w:spacing w:line="360" w:lineRule="auto"/>
        <w:ind w:firstLine="510"/>
        <w:rPr>
          <w:rFonts w:ascii="Times New Roman" w:hAnsi="Times New Roman"/>
          <w:sz w:val="24"/>
          <w:szCs w:val="24"/>
        </w:rPr>
      </w:pPr>
      <w:r>
        <w:rPr>
          <w:rFonts w:ascii="Times New Roman" w:hAnsi="Times New Roman"/>
          <w:sz w:val="24"/>
          <w:szCs w:val="24"/>
        </w:rPr>
        <w:t>根据国家环境保护局对污染物排放总量控制的要求和对项目污染特征的分析，项目涉及的污染物总量控制因子见表3.3.1-1。</w:t>
      </w:r>
    </w:p>
    <w:p>
      <w:pPr>
        <w:jc w:val="center"/>
        <w:rPr>
          <w:rFonts w:ascii="Times New Roman" w:hAnsi="Times New Roman"/>
          <w:b/>
          <w:sz w:val="24"/>
          <w:szCs w:val="24"/>
        </w:rPr>
      </w:pPr>
      <w:r>
        <w:rPr>
          <w:rFonts w:ascii="Times New Roman" w:hAnsi="Times New Roman"/>
          <w:b/>
          <w:sz w:val="24"/>
          <w:szCs w:val="24"/>
        </w:rPr>
        <w:t>表3.3.1-1  总量控制因子一览表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92"/>
        <w:gridCol w:w="4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92" w:type="dxa"/>
            <w:vAlign w:val="center"/>
          </w:tcPr>
          <w:p>
            <w:pPr>
              <w:pStyle w:val="65"/>
              <w:tabs>
                <w:tab w:val="left" w:pos="360"/>
                <w:tab w:val="left" w:pos="6300"/>
              </w:tabs>
              <w:spacing w:line="240" w:lineRule="atLeast"/>
              <w:ind w:right="-105"/>
              <w:rPr>
                <w:b/>
                <w:sz w:val="21"/>
                <w:szCs w:val="21"/>
              </w:rPr>
            </w:pPr>
            <w:r>
              <w:rPr>
                <w:b/>
                <w:sz w:val="21"/>
                <w:szCs w:val="21"/>
              </w:rPr>
              <w:t>污染源项</w:t>
            </w:r>
          </w:p>
        </w:tc>
        <w:tc>
          <w:tcPr>
            <w:tcW w:w="4978" w:type="dxa"/>
            <w:vAlign w:val="center"/>
          </w:tcPr>
          <w:p>
            <w:pPr>
              <w:pStyle w:val="65"/>
              <w:tabs>
                <w:tab w:val="left" w:pos="360"/>
                <w:tab w:val="left" w:pos="6300"/>
              </w:tabs>
              <w:spacing w:line="240" w:lineRule="atLeast"/>
              <w:ind w:right="-105"/>
              <w:rPr>
                <w:b/>
                <w:sz w:val="21"/>
                <w:szCs w:val="21"/>
              </w:rPr>
            </w:pPr>
            <w:r>
              <w:rPr>
                <w:b/>
                <w:sz w:val="21"/>
                <w:szCs w:val="21"/>
              </w:rPr>
              <w:t>总量控制因子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92" w:type="dxa"/>
            <w:vAlign w:val="center"/>
          </w:tcPr>
          <w:p>
            <w:pPr>
              <w:pStyle w:val="65"/>
              <w:tabs>
                <w:tab w:val="left" w:pos="360"/>
                <w:tab w:val="left" w:pos="6300"/>
              </w:tabs>
              <w:spacing w:line="240" w:lineRule="atLeast"/>
              <w:ind w:right="-105"/>
              <w:rPr>
                <w:sz w:val="21"/>
                <w:szCs w:val="21"/>
              </w:rPr>
            </w:pPr>
            <w:r>
              <w:rPr>
                <w:sz w:val="21"/>
                <w:szCs w:val="21"/>
              </w:rPr>
              <w:t>废气</w:t>
            </w:r>
          </w:p>
        </w:tc>
        <w:tc>
          <w:tcPr>
            <w:tcW w:w="4978" w:type="dxa"/>
            <w:vAlign w:val="center"/>
          </w:tcPr>
          <w:p>
            <w:pPr>
              <w:pStyle w:val="65"/>
              <w:tabs>
                <w:tab w:val="left" w:pos="360"/>
                <w:tab w:val="left" w:pos="6300"/>
              </w:tabs>
              <w:spacing w:line="240" w:lineRule="atLeast"/>
              <w:ind w:right="-105"/>
              <w:rPr>
                <w:sz w:val="21"/>
                <w:szCs w:val="21"/>
              </w:rPr>
            </w:pPr>
            <w:r>
              <w:rPr>
                <w:sz w:val="21"/>
                <w:szCs w:val="21"/>
              </w:rPr>
              <w:t>SO</w:t>
            </w:r>
            <w:r>
              <w:rPr>
                <w:sz w:val="21"/>
                <w:szCs w:val="21"/>
                <w:vertAlign w:val="subscript"/>
              </w:rPr>
              <w:t>2</w:t>
            </w:r>
            <w:r>
              <w:rPr>
                <w:sz w:val="21"/>
                <w:szCs w:val="21"/>
              </w:rPr>
              <w:t>、NOx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92" w:type="dxa"/>
            <w:vAlign w:val="center"/>
          </w:tcPr>
          <w:p>
            <w:pPr>
              <w:pStyle w:val="65"/>
              <w:tabs>
                <w:tab w:val="left" w:pos="360"/>
                <w:tab w:val="left" w:pos="6300"/>
              </w:tabs>
              <w:spacing w:line="240" w:lineRule="atLeast"/>
              <w:ind w:right="-105"/>
              <w:rPr>
                <w:sz w:val="21"/>
                <w:szCs w:val="21"/>
              </w:rPr>
            </w:pPr>
            <w:r>
              <w:rPr>
                <w:sz w:val="21"/>
                <w:szCs w:val="21"/>
              </w:rPr>
              <w:t>废水</w:t>
            </w:r>
          </w:p>
        </w:tc>
        <w:tc>
          <w:tcPr>
            <w:tcW w:w="4978" w:type="dxa"/>
            <w:vAlign w:val="center"/>
          </w:tcPr>
          <w:p>
            <w:pPr>
              <w:pStyle w:val="65"/>
              <w:tabs>
                <w:tab w:val="left" w:pos="360"/>
                <w:tab w:val="left" w:pos="6300"/>
              </w:tabs>
              <w:spacing w:line="240" w:lineRule="atLeast"/>
              <w:ind w:right="-105"/>
              <w:rPr>
                <w:sz w:val="21"/>
                <w:szCs w:val="21"/>
              </w:rPr>
            </w:pPr>
            <w:r>
              <w:rPr>
                <w:sz w:val="21"/>
                <w:szCs w:val="21"/>
              </w:rPr>
              <w:t>COD、氨氮</w:t>
            </w:r>
          </w:p>
        </w:tc>
      </w:tr>
    </w:tbl>
    <w:p>
      <w:pPr>
        <w:jc w:val="center"/>
        <w:rPr>
          <w:rFonts w:ascii="Times New Roman" w:hAnsi="Times New Roman"/>
          <w:b/>
          <w:sz w:val="24"/>
          <w:szCs w:val="24"/>
        </w:rPr>
      </w:pPr>
    </w:p>
    <w:p>
      <w:pPr>
        <w:pStyle w:val="7"/>
        <w:numPr>
          <w:ilvl w:val="2"/>
          <w:numId w:val="0"/>
        </w:numPr>
        <w:spacing w:before="120" w:after="120"/>
        <w:ind w:left="142"/>
        <w:textAlignment w:val="baseline"/>
      </w:pPr>
      <w:bookmarkStart w:id="261" w:name="_Toc20474"/>
      <w:bookmarkStart w:id="262" w:name="_Toc486403332"/>
      <w:bookmarkStart w:id="263" w:name="_Toc484073537"/>
      <w:bookmarkStart w:id="264" w:name="_Toc26707"/>
      <w:bookmarkStart w:id="265" w:name="_Toc6675"/>
      <w:bookmarkStart w:id="266" w:name="_Toc267946313"/>
      <w:bookmarkStart w:id="267" w:name="_Toc10212"/>
      <w:bookmarkStart w:id="268" w:name="_Toc23042"/>
      <w:r>
        <w:rPr>
          <w:sz w:val="28"/>
          <w:szCs w:val="28"/>
        </w:rPr>
        <w:t>3.3.2污染物总量控制达标分析</w:t>
      </w:r>
      <w:bookmarkEnd w:id="261"/>
      <w:bookmarkEnd w:id="262"/>
      <w:bookmarkEnd w:id="263"/>
      <w:bookmarkEnd w:id="264"/>
      <w:bookmarkEnd w:id="265"/>
      <w:bookmarkEnd w:id="266"/>
      <w:bookmarkEnd w:id="267"/>
      <w:bookmarkEnd w:id="268"/>
    </w:p>
    <w:p>
      <w:pPr>
        <w:spacing w:line="360" w:lineRule="auto"/>
        <w:ind w:firstLine="480" w:firstLineChars="200"/>
        <w:jc w:val="left"/>
        <w:rPr>
          <w:rFonts w:ascii="Times New Roman" w:hAnsi="Times New Roman"/>
          <w:sz w:val="24"/>
          <w:szCs w:val="24"/>
        </w:rPr>
      </w:pPr>
      <w:bookmarkStart w:id="269" w:name="OLE_LINK3"/>
      <w:r>
        <w:rPr>
          <w:rFonts w:ascii="Times New Roman" w:hAnsi="Times New Roman"/>
          <w:sz w:val="24"/>
          <w:szCs w:val="24"/>
        </w:rPr>
        <w:t>从表3.2.3.7-1可以看出，本项目投运后不新增废水产生量，大气污染物排放量仅增加了少量的SO</w:t>
      </w:r>
      <w:r>
        <w:rPr>
          <w:rFonts w:ascii="Times New Roman" w:hAnsi="Times New Roman"/>
          <w:sz w:val="24"/>
          <w:szCs w:val="24"/>
          <w:vertAlign w:val="subscript"/>
        </w:rPr>
        <w:t>2</w:t>
      </w:r>
      <w:r>
        <w:rPr>
          <w:rFonts w:ascii="Times New Roman" w:hAnsi="Times New Roman"/>
          <w:sz w:val="24"/>
          <w:szCs w:val="24"/>
        </w:rPr>
        <w:t>、烟尘排放量，本项目总量控制因：SO</w:t>
      </w:r>
      <w:r>
        <w:rPr>
          <w:rFonts w:ascii="Times New Roman" w:hAnsi="Times New Roman"/>
          <w:sz w:val="24"/>
          <w:szCs w:val="24"/>
          <w:vertAlign w:val="subscript"/>
        </w:rPr>
        <w:t>2</w:t>
      </w:r>
      <w:r>
        <w:rPr>
          <w:rFonts w:ascii="Times New Roman" w:hAnsi="Times New Roman"/>
          <w:sz w:val="24"/>
          <w:szCs w:val="24"/>
        </w:rPr>
        <w:t>新增26.19t/a，其它均未新增，长岭分公司2019年SO</w:t>
      </w:r>
      <w:r>
        <w:rPr>
          <w:rFonts w:ascii="Times New Roman" w:hAnsi="Times New Roman"/>
          <w:sz w:val="24"/>
          <w:szCs w:val="24"/>
          <w:vertAlign w:val="subscript"/>
        </w:rPr>
        <w:t>2</w:t>
      </w:r>
      <w:r>
        <w:rPr>
          <w:rFonts w:ascii="Times New Roman" w:hAnsi="Times New Roman"/>
          <w:sz w:val="24"/>
          <w:szCs w:val="24"/>
        </w:rPr>
        <w:t>排放</w:t>
      </w:r>
      <w:r>
        <w:rPr>
          <w:rFonts w:hint="eastAsia" w:ascii="Times New Roman" w:hAnsi="Times New Roman"/>
          <w:sz w:val="24"/>
          <w:szCs w:val="24"/>
        </w:rPr>
        <w:t>总</w:t>
      </w:r>
      <w:r>
        <w:rPr>
          <w:rFonts w:ascii="Times New Roman" w:hAnsi="Times New Roman"/>
          <w:sz w:val="24"/>
          <w:szCs w:val="24"/>
        </w:rPr>
        <w:t>量为93.69t/a，本项目实施后SO</w:t>
      </w:r>
      <w:r>
        <w:rPr>
          <w:rFonts w:ascii="Times New Roman" w:hAnsi="Times New Roman"/>
          <w:sz w:val="24"/>
          <w:szCs w:val="24"/>
          <w:vertAlign w:val="subscript"/>
        </w:rPr>
        <w:t>2</w:t>
      </w:r>
      <w:r>
        <w:rPr>
          <w:rFonts w:ascii="Times New Roman" w:hAnsi="Times New Roman"/>
          <w:sz w:val="24"/>
          <w:szCs w:val="24"/>
        </w:rPr>
        <w:t>排放</w:t>
      </w:r>
      <w:r>
        <w:rPr>
          <w:rFonts w:hint="eastAsia" w:ascii="Times New Roman" w:hAnsi="Times New Roman"/>
          <w:sz w:val="24"/>
          <w:szCs w:val="24"/>
        </w:rPr>
        <w:t>总</w:t>
      </w:r>
      <w:r>
        <w:rPr>
          <w:rFonts w:ascii="Times New Roman" w:hAnsi="Times New Roman"/>
          <w:sz w:val="24"/>
          <w:szCs w:val="24"/>
        </w:rPr>
        <w:t>量为119.88t/a&lt;长岭分公司发放的排污许可证要求：</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1660t/a</w:t>
      </w:r>
      <w:r>
        <w:rPr>
          <w:rFonts w:ascii="Times New Roman" w:hAnsi="Times New Roman"/>
        </w:rPr>
        <w:t>,</w:t>
      </w:r>
      <w:r>
        <w:rPr>
          <w:rFonts w:ascii="Times New Roman" w:hAnsi="Times New Roman"/>
          <w:sz w:val="24"/>
          <w:szCs w:val="24"/>
        </w:rPr>
        <w:t>故不需要新申请总量。</w:t>
      </w:r>
      <w:bookmarkEnd w:id="269"/>
    </w:p>
    <w:bookmarkEnd w:id="146"/>
    <w:bookmarkEnd w:id="147"/>
    <w:bookmarkEnd w:id="148"/>
    <w:bookmarkEnd w:id="149"/>
    <w:p>
      <w:pPr>
        <w:pStyle w:val="4"/>
        <w:numPr>
          <w:ilvl w:val="0"/>
          <w:numId w:val="0"/>
        </w:numPr>
        <w:tabs>
          <w:tab w:val="clear" w:pos="0"/>
        </w:tabs>
      </w:pPr>
      <w:bookmarkStart w:id="270" w:name="_Toc17879"/>
      <w:bookmarkStart w:id="271" w:name="_Toc2739"/>
      <w:bookmarkStart w:id="272" w:name="_Toc21931"/>
      <w:bookmarkStart w:id="273" w:name="_Toc16963"/>
      <w:bookmarkStart w:id="274" w:name="_Toc280188834"/>
      <w:bookmarkStart w:id="275" w:name="_Toc304810288"/>
      <w:bookmarkStart w:id="276" w:name="_Toc306034538"/>
      <w:r>
        <w:t>4. 环境现状调查与评价</w:t>
      </w:r>
      <w:bookmarkEnd w:id="270"/>
      <w:bookmarkEnd w:id="271"/>
      <w:bookmarkEnd w:id="272"/>
      <w:bookmarkEnd w:id="273"/>
    </w:p>
    <w:p>
      <w:pPr>
        <w:pStyle w:val="6"/>
        <w:numPr>
          <w:ilvl w:val="1"/>
          <w:numId w:val="0"/>
        </w:numPr>
        <w:tabs>
          <w:tab w:val="clear" w:pos="0"/>
        </w:tabs>
        <w:spacing w:before="120" w:after="120"/>
      </w:pPr>
      <w:bookmarkStart w:id="277" w:name="_Toc306034529"/>
      <w:bookmarkStart w:id="278" w:name="_Toc304810279"/>
      <w:bookmarkStart w:id="279" w:name="_Toc220122780"/>
      <w:bookmarkStart w:id="280" w:name="_Toc280188820"/>
      <w:bookmarkStart w:id="281" w:name="_Toc219258502"/>
      <w:bookmarkStart w:id="282" w:name="_Toc27369"/>
      <w:r>
        <w:t xml:space="preserve">4.1. </w:t>
      </w:r>
      <w:bookmarkStart w:id="283" w:name="_Toc26855"/>
      <w:bookmarkStart w:id="284" w:name="_Toc11737"/>
      <w:bookmarkStart w:id="285" w:name="_Toc307"/>
      <w:r>
        <w:t>自然环境</w:t>
      </w:r>
      <w:bookmarkEnd w:id="277"/>
      <w:bookmarkEnd w:id="278"/>
      <w:bookmarkEnd w:id="279"/>
      <w:bookmarkEnd w:id="280"/>
      <w:bookmarkEnd w:id="281"/>
      <w:r>
        <w:t>现状调查与评价</w:t>
      </w:r>
      <w:bookmarkEnd w:id="282"/>
      <w:bookmarkEnd w:id="283"/>
      <w:bookmarkEnd w:id="284"/>
      <w:bookmarkEnd w:id="285"/>
    </w:p>
    <w:p>
      <w:pPr>
        <w:pStyle w:val="7"/>
        <w:numPr>
          <w:ilvl w:val="2"/>
          <w:numId w:val="0"/>
        </w:numPr>
        <w:spacing w:before="120" w:after="120"/>
        <w:ind w:left="142"/>
      </w:pPr>
      <w:bookmarkStart w:id="286" w:name="_Toc11313"/>
      <w:bookmarkStart w:id="287" w:name="_Toc219258503"/>
      <w:bookmarkStart w:id="288" w:name="_Toc220122781"/>
      <w:bookmarkStart w:id="289" w:name="_Toc24858"/>
      <w:bookmarkStart w:id="290" w:name="_Toc27646"/>
      <w:r>
        <w:t>4.1.1. 地理位置</w:t>
      </w:r>
      <w:bookmarkEnd w:id="286"/>
      <w:bookmarkEnd w:id="287"/>
      <w:bookmarkEnd w:id="288"/>
      <w:bookmarkEnd w:id="289"/>
      <w:bookmarkEnd w:id="290"/>
    </w:p>
    <w:p>
      <w:pPr>
        <w:spacing w:line="360" w:lineRule="auto"/>
        <w:ind w:firstLine="480" w:firstLineChars="200"/>
        <w:rPr>
          <w:rFonts w:ascii="Times New Roman" w:hAnsi="Times New Roman"/>
          <w:b/>
          <w:sz w:val="24"/>
          <w:szCs w:val="20"/>
        </w:rPr>
      </w:pPr>
      <w:r>
        <w:rPr>
          <w:rFonts w:ascii="Times New Roman" w:hAnsi="Times New Roman"/>
          <w:sz w:val="24"/>
          <w:szCs w:val="20"/>
        </w:rPr>
        <w:t>中国石油化工股份有限公司长岭分公司位于岳阳市云溪区，自然地貌为丘陵地区，西近长江、南靠京广铁路，与107 国道和京珠高速公路相邻，水陆交通便利，地处北纬29º32´，东经113º22´，</w:t>
      </w:r>
      <w:bookmarkStart w:id="291" w:name="_Hlk514504847"/>
      <w:r>
        <w:rPr>
          <w:rFonts w:ascii="Times New Roman" w:hAnsi="Times New Roman"/>
          <w:sz w:val="24"/>
        </w:rPr>
        <w:t>湖南省岳阳市云溪区中国石油化工股份有限公司长岭分公司生产装置区内，</w:t>
      </w:r>
      <w:bookmarkEnd w:id="291"/>
      <w:r>
        <w:rPr>
          <w:rFonts w:ascii="Times New Roman" w:hAnsi="Times New Roman"/>
          <w:sz w:val="24"/>
        </w:rPr>
        <w:t>位于</w:t>
      </w:r>
      <w:r>
        <w:rPr>
          <w:rFonts w:ascii="Times New Roman" w:hAnsi="Times New Roman"/>
          <w:sz w:val="24"/>
          <w:szCs w:val="24"/>
        </w:rPr>
        <w:t>热电部范围内</w:t>
      </w:r>
      <w:r>
        <w:rPr>
          <w:rFonts w:ascii="Times New Roman" w:hAnsi="Times New Roman"/>
          <w:sz w:val="24"/>
        </w:rPr>
        <w:t>（</w:t>
      </w:r>
      <w:r>
        <w:rPr>
          <w:rFonts w:ascii="Times New Roman" w:hAnsi="Times New Roman"/>
          <w:sz w:val="24"/>
          <w:szCs w:val="20"/>
        </w:rPr>
        <w:t>东经:113°22′32″、北纬29°32′34″</w:t>
      </w:r>
      <w:r>
        <w:rPr>
          <w:rFonts w:ascii="Times New Roman" w:hAnsi="Times New Roman"/>
          <w:sz w:val="24"/>
        </w:rPr>
        <w:t>）</w:t>
      </w:r>
      <w:r>
        <w:rPr>
          <w:rFonts w:ascii="Times New Roman" w:hAnsi="Times New Roman"/>
          <w:sz w:val="24"/>
          <w:szCs w:val="20"/>
        </w:rPr>
        <w:t>，项目地理位置详见附图1。</w:t>
      </w:r>
    </w:p>
    <w:p>
      <w:pPr>
        <w:pStyle w:val="7"/>
        <w:numPr>
          <w:ilvl w:val="2"/>
          <w:numId w:val="0"/>
        </w:numPr>
        <w:spacing w:before="120" w:after="120"/>
        <w:ind w:left="142"/>
      </w:pPr>
      <w:bookmarkStart w:id="292" w:name="_Toc10060"/>
      <w:bookmarkStart w:id="293" w:name="_Toc2756"/>
      <w:bookmarkStart w:id="294" w:name="_Toc10622"/>
      <w:r>
        <w:t>4.1.2. 地形地貌</w:t>
      </w:r>
      <w:bookmarkEnd w:id="292"/>
      <w:bookmarkEnd w:id="293"/>
      <w:bookmarkEnd w:id="294"/>
    </w:p>
    <w:p>
      <w:pPr>
        <w:spacing w:line="360" w:lineRule="auto"/>
        <w:ind w:firstLine="480" w:firstLineChars="200"/>
        <w:jc w:val="left"/>
        <w:rPr>
          <w:rFonts w:ascii="Times New Roman" w:hAnsi="Times New Roman"/>
          <w:sz w:val="24"/>
          <w:szCs w:val="20"/>
        </w:rPr>
      </w:pPr>
      <w:r>
        <w:rPr>
          <w:rFonts w:ascii="Times New Roman" w:hAnsi="Times New Roman"/>
          <w:sz w:val="24"/>
          <w:szCs w:val="20"/>
        </w:rPr>
        <w:t>岳阳市市境地貌是经过多次地壳运动和长期侵蚀堆积而成的，由于地质构造和岩性组合复杂以及气候的深刻影响，从而发育、演变成了多种多样的地貌。丘岗与盆地相穿插、平原与湖泊犬牙交错。山地、丘陵、岗地、平原、水面的比例大致为15∶24∶17∶27∶17。地势东高西低，呈阶梯状向洞庭湖盆倾斜。最高点为平江县连云山主峰，最低地面高程为黄盖湖，黄海21 米。全境地貌可划分为三个分布区，分别为东部山丘区，中部丘岗区，西部平原区。本项目位于西部平原区。</w:t>
      </w:r>
    </w:p>
    <w:p>
      <w:pPr>
        <w:spacing w:line="360" w:lineRule="auto"/>
        <w:ind w:firstLine="480" w:firstLineChars="200"/>
        <w:jc w:val="left"/>
        <w:rPr>
          <w:rFonts w:ascii="Times New Roman" w:hAnsi="Times New Roman"/>
        </w:rPr>
      </w:pPr>
      <w:r>
        <w:rPr>
          <w:rFonts w:ascii="Times New Roman" w:hAnsi="Times New Roman"/>
          <w:sz w:val="24"/>
          <w:szCs w:val="20"/>
        </w:rPr>
        <w:t>公司所处地貌为由冷家溪群变质岩组成的低山丘陵区，属洞庭湖盆地边缘。南北为低矮山岗，东西呈横向带状阶梯式变化。本地山地为新构造时期以来，地壳运动相对上升、经长期侵蚀剥蚀所至；现公司所在地地势相对平缓开阔，地势由东南向西北倾斜</w:t>
      </w:r>
      <w:r>
        <w:rPr>
          <w:rFonts w:ascii="Times New Roman" w:hAnsi="Times New Roman"/>
          <w:sz w:val="24"/>
        </w:rPr>
        <w:t>。</w:t>
      </w:r>
    </w:p>
    <w:p>
      <w:pPr>
        <w:pStyle w:val="7"/>
        <w:numPr>
          <w:ilvl w:val="2"/>
          <w:numId w:val="0"/>
        </w:numPr>
        <w:spacing w:before="120" w:after="120"/>
        <w:ind w:left="142"/>
      </w:pPr>
      <w:bookmarkStart w:id="295" w:name="_Toc23315"/>
      <w:r>
        <w:t>4.1.3. 地质</w:t>
      </w:r>
      <w:bookmarkEnd w:id="295"/>
    </w:p>
    <w:p>
      <w:pPr>
        <w:spacing w:line="360" w:lineRule="auto"/>
        <w:ind w:firstLine="480" w:firstLineChars="200"/>
        <w:rPr>
          <w:rFonts w:ascii="Times New Roman" w:hAnsi="Times New Roman"/>
          <w:sz w:val="24"/>
        </w:rPr>
      </w:pPr>
      <w:r>
        <w:rPr>
          <w:rFonts w:ascii="Times New Roman" w:hAnsi="Times New Roman"/>
          <w:sz w:val="24"/>
        </w:rPr>
        <w:t>调查区位于江南地轴与扬子准地台的交汇处，是新华夏系第二沉降带的东缘地带。区内的构造形迹经过不同地应力场的不同频率、不同规模的多次迭加、改造、迁就和破坏作用，使区内构造形迹更加复杂化。调查区为长江中游重要的地震带之一。据《中国地震动参数区划图》(GB18306-2001)，本区地震基本烈度为Ⅵ度，地震加速度值为0.05g，地震特征周期值为0.35s。</w:t>
      </w:r>
    </w:p>
    <w:p>
      <w:pPr>
        <w:pStyle w:val="7"/>
        <w:numPr>
          <w:ilvl w:val="2"/>
          <w:numId w:val="0"/>
        </w:numPr>
        <w:spacing w:before="120" w:after="120"/>
        <w:ind w:left="142"/>
      </w:pPr>
      <w:bookmarkStart w:id="296" w:name="_Toc27697"/>
      <w:bookmarkStart w:id="297" w:name="_Toc13556"/>
      <w:bookmarkStart w:id="298" w:name="_Toc16529"/>
      <w:r>
        <w:t>4.1.4. 气候气象</w:t>
      </w:r>
      <w:bookmarkEnd w:id="296"/>
    </w:p>
    <w:p>
      <w:pPr>
        <w:spacing w:line="360" w:lineRule="auto"/>
        <w:rPr>
          <w:rFonts w:ascii="Times New Roman" w:hAnsi="Times New Roman"/>
          <w:sz w:val="24"/>
        </w:rPr>
      </w:pPr>
      <w:r>
        <w:rPr>
          <w:rFonts w:ascii="Times New Roman" w:hAnsi="Times New Roman"/>
          <w:sz w:val="24"/>
        </w:rPr>
        <w:t>　　岳阳市云溪区属亚热带季风气候，气候温和，四季分明，热量充足，雨水集中，无霜期长。年日照 1722~1816h，年太阳辐射总量为 113.7kcal/cm 2 ；年平均气温 16.6~16.8℃，无霜期 258~278d；年降雨日 141~157d，降雨量 1469mm，年平均风速 2.6m/s(最大风速 29m/s)。常年主导风向为 NE，夏季主导风为 S，冬季主导风向为 NE。</w:t>
      </w:r>
    </w:p>
    <w:p>
      <w:pPr>
        <w:spacing w:line="360" w:lineRule="auto"/>
        <w:ind w:firstLine="480" w:firstLineChars="200"/>
        <w:rPr>
          <w:rFonts w:ascii="Times New Roman" w:hAnsi="Times New Roman"/>
          <w:sz w:val="24"/>
        </w:rPr>
      </w:pPr>
      <w:r>
        <w:rPr>
          <w:rFonts w:ascii="Times New Roman" w:hAnsi="Times New Roman"/>
          <w:sz w:val="24"/>
        </w:rPr>
        <w:t>项目区全年风向玫瑰如下。</w:t>
      </w:r>
    </w:p>
    <w:p>
      <w:pPr>
        <w:spacing w:line="360" w:lineRule="auto"/>
        <w:ind w:firstLine="420" w:firstLineChars="200"/>
        <w:jc w:val="center"/>
        <w:rPr>
          <w:rFonts w:ascii="Times New Roman" w:hAnsi="Times New Roman"/>
        </w:rPr>
      </w:pPr>
      <w:r>
        <w:rPr>
          <w:rFonts w:ascii="Times New Roman" w:hAnsi="Times New Roman"/>
        </w:rPr>
        <w:drawing>
          <wp:inline distT="0" distB="0" distL="0" distR="0">
            <wp:extent cx="2609850" cy="2086610"/>
            <wp:effectExtent l="0" t="0" r="0" b="8255"/>
            <wp:docPr id="1047" name="图片 4"/>
            <wp:cNvGraphicFramePr/>
            <a:graphic xmlns:a="http://schemas.openxmlformats.org/drawingml/2006/main">
              <a:graphicData uri="http://schemas.openxmlformats.org/drawingml/2006/picture">
                <pic:pic xmlns:pic="http://schemas.openxmlformats.org/drawingml/2006/picture">
                  <pic:nvPicPr>
                    <pic:cNvPr id="1047" name="图片 4"/>
                    <pic:cNvPicPr/>
                  </pic:nvPicPr>
                  <pic:blipFill>
                    <a:blip r:embed="rId29" cstate="print"/>
                    <a:srcRect r="7230"/>
                    <a:stretch>
                      <a:fillRect/>
                    </a:stretch>
                  </pic:blipFill>
                  <pic:spPr>
                    <a:xfrm>
                      <a:off x="0" y="0"/>
                      <a:ext cx="2609850" cy="2087244"/>
                    </a:xfrm>
                    <a:prstGeom prst="rect">
                      <a:avLst/>
                    </a:prstGeom>
                    <a:ln>
                      <a:noFill/>
                    </a:ln>
                  </pic:spPr>
                </pic:pic>
              </a:graphicData>
            </a:graphic>
          </wp:inline>
        </w:drawing>
      </w:r>
    </w:p>
    <w:p>
      <w:pPr>
        <w:spacing w:line="360" w:lineRule="auto"/>
        <w:ind w:firstLine="420" w:firstLineChars="200"/>
        <w:jc w:val="center"/>
        <w:rPr>
          <w:rFonts w:ascii="Times New Roman" w:hAnsi="Times New Roman"/>
        </w:rPr>
      </w:pPr>
      <w:r>
        <w:rPr>
          <w:rFonts w:ascii="Times New Roman" w:hAnsi="Times New Roman"/>
        </w:rPr>
        <w:t>图3.1-1 全年风向玫瑰图（C=27%）</w:t>
      </w:r>
    </w:p>
    <w:p>
      <w:pPr>
        <w:pStyle w:val="7"/>
        <w:numPr>
          <w:ilvl w:val="2"/>
          <w:numId w:val="0"/>
        </w:numPr>
        <w:spacing w:before="120" w:after="120"/>
        <w:ind w:left="142"/>
      </w:pPr>
      <w:bookmarkStart w:id="299" w:name="_Toc23268"/>
      <w:r>
        <w:t>4.1.5. 河流、水文状况</w:t>
      </w:r>
      <w:bookmarkEnd w:id="297"/>
      <w:bookmarkEnd w:id="298"/>
      <w:bookmarkEnd w:id="299"/>
    </w:p>
    <w:p>
      <w:pPr>
        <w:spacing w:line="360" w:lineRule="auto"/>
        <w:jc w:val="left"/>
        <w:rPr>
          <w:rFonts w:ascii="Times New Roman" w:hAnsi="Times New Roman"/>
          <w:sz w:val="24"/>
        </w:rPr>
      </w:pPr>
      <w:r>
        <w:rPr>
          <w:rFonts w:ascii="Times New Roman" w:hAnsi="Times New Roman"/>
          <w:sz w:val="24"/>
        </w:rPr>
        <w:t>　　本项目废水经长岭分公司污水处理场处理达标后废水去向为长江，根据长江螺山水文站水文数据，长江岳阳段主要水文参数如下：</w:t>
      </w:r>
    </w:p>
    <w:p>
      <w:pPr>
        <w:spacing w:line="360" w:lineRule="auto"/>
        <w:ind w:firstLine="720" w:firstLineChars="300"/>
        <w:jc w:val="left"/>
        <w:rPr>
          <w:rFonts w:ascii="Times New Roman" w:hAnsi="Times New Roman"/>
          <w:sz w:val="24"/>
        </w:rPr>
      </w:pPr>
      <w:r>
        <w:rPr>
          <w:rFonts w:ascii="Times New Roman" w:hAnsi="Times New Roman"/>
          <w:sz w:val="24"/>
        </w:rPr>
        <w:t xml:space="preserve">流量：多年平均流量20300 </w:t>
      </w:r>
      <w:r>
        <w:rPr>
          <w:rFonts w:ascii="Times New Roman" w:hAnsi="Times New Roman"/>
        </w:rPr>
        <w:t>m</w:t>
      </w:r>
      <w:r>
        <w:rPr>
          <w:rFonts w:ascii="Times New Roman" w:hAnsi="Times New Roman"/>
          <w:vertAlign w:val="superscript"/>
        </w:rPr>
        <w:t>3</w:t>
      </w:r>
      <w:r>
        <w:rPr>
          <w:rFonts w:ascii="Times New Roman" w:hAnsi="Times New Roman"/>
          <w:sz w:val="24"/>
        </w:rPr>
        <w:t>/s；</w:t>
      </w:r>
    </w:p>
    <w:p>
      <w:pPr>
        <w:spacing w:line="360" w:lineRule="auto"/>
        <w:ind w:firstLine="720" w:firstLineChars="300"/>
        <w:jc w:val="left"/>
        <w:rPr>
          <w:rFonts w:ascii="Times New Roman" w:hAnsi="Times New Roman"/>
          <w:sz w:val="24"/>
        </w:rPr>
      </w:pPr>
      <w:r>
        <w:rPr>
          <w:rFonts w:ascii="Times New Roman" w:hAnsi="Times New Roman"/>
          <w:sz w:val="24"/>
        </w:rPr>
        <w:t>历年最大流量61200</w:t>
      </w:r>
      <w:r>
        <w:rPr>
          <w:rFonts w:ascii="Times New Roman" w:hAnsi="Times New Roman"/>
        </w:rPr>
        <w:t>m</w:t>
      </w:r>
      <w:r>
        <w:rPr>
          <w:rFonts w:ascii="Times New Roman" w:hAnsi="Times New Roman"/>
          <w:vertAlign w:val="superscript"/>
        </w:rPr>
        <w:t>3</w:t>
      </w:r>
      <w:r>
        <w:rPr>
          <w:rFonts w:ascii="Times New Roman" w:hAnsi="Times New Roman"/>
          <w:sz w:val="24"/>
        </w:rPr>
        <w:t>/s；</w:t>
      </w:r>
    </w:p>
    <w:p>
      <w:pPr>
        <w:spacing w:line="360" w:lineRule="auto"/>
        <w:ind w:firstLine="720" w:firstLineChars="300"/>
        <w:jc w:val="left"/>
        <w:rPr>
          <w:rFonts w:ascii="Times New Roman" w:hAnsi="Times New Roman"/>
          <w:sz w:val="24"/>
        </w:rPr>
      </w:pPr>
      <w:r>
        <w:rPr>
          <w:rFonts w:ascii="Times New Roman" w:hAnsi="Times New Roman"/>
          <w:sz w:val="24"/>
        </w:rPr>
        <w:t>历年最小流量4190</w:t>
      </w:r>
      <w:r>
        <w:rPr>
          <w:rFonts w:ascii="Times New Roman" w:hAnsi="Times New Roman"/>
        </w:rPr>
        <w:t>m</w:t>
      </w:r>
      <w:r>
        <w:rPr>
          <w:rFonts w:ascii="Times New Roman" w:hAnsi="Times New Roman"/>
          <w:vertAlign w:val="superscript"/>
        </w:rPr>
        <w:t>3</w:t>
      </w:r>
      <w:r>
        <w:rPr>
          <w:rFonts w:ascii="Times New Roman" w:hAnsi="Times New Roman"/>
          <w:sz w:val="24"/>
        </w:rPr>
        <w:t>/s；</w:t>
      </w:r>
    </w:p>
    <w:p>
      <w:pPr>
        <w:spacing w:line="360" w:lineRule="auto"/>
        <w:ind w:firstLine="720" w:firstLineChars="300"/>
        <w:jc w:val="left"/>
        <w:rPr>
          <w:rFonts w:ascii="Times New Roman" w:hAnsi="Times New Roman"/>
          <w:sz w:val="24"/>
        </w:rPr>
      </w:pPr>
      <w:r>
        <w:rPr>
          <w:rFonts w:ascii="Times New Roman" w:hAnsi="Times New Roman"/>
          <w:sz w:val="24"/>
        </w:rPr>
        <w:t>流速：多年平均流速1.45 m/s；</w:t>
      </w:r>
    </w:p>
    <w:p>
      <w:pPr>
        <w:spacing w:line="360" w:lineRule="auto"/>
        <w:ind w:firstLine="720" w:firstLineChars="300"/>
        <w:jc w:val="left"/>
        <w:rPr>
          <w:rFonts w:ascii="Times New Roman" w:hAnsi="Times New Roman"/>
          <w:sz w:val="24"/>
        </w:rPr>
      </w:pPr>
      <w:r>
        <w:rPr>
          <w:rFonts w:ascii="Times New Roman" w:hAnsi="Times New Roman"/>
          <w:sz w:val="24"/>
        </w:rPr>
        <w:t>历年最大流速2.00 m/s；</w:t>
      </w:r>
    </w:p>
    <w:p>
      <w:pPr>
        <w:spacing w:line="360" w:lineRule="auto"/>
        <w:ind w:firstLine="720" w:firstLineChars="300"/>
        <w:jc w:val="left"/>
        <w:rPr>
          <w:rFonts w:ascii="Times New Roman" w:hAnsi="Times New Roman"/>
          <w:sz w:val="24"/>
        </w:rPr>
      </w:pPr>
      <w:r>
        <w:rPr>
          <w:rFonts w:ascii="Times New Roman" w:hAnsi="Times New Roman"/>
          <w:sz w:val="24"/>
        </w:rPr>
        <w:t>历年最小流速0.98 m/s；</w:t>
      </w:r>
    </w:p>
    <w:p>
      <w:pPr>
        <w:spacing w:line="360" w:lineRule="auto"/>
        <w:ind w:firstLine="720" w:firstLineChars="300"/>
        <w:jc w:val="left"/>
        <w:rPr>
          <w:rFonts w:ascii="Times New Roman" w:hAnsi="Times New Roman"/>
          <w:sz w:val="24"/>
        </w:rPr>
      </w:pPr>
      <w:r>
        <w:rPr>
          <w:rFonts w:ascii="Times New Roman" w:hAnsi="Times New Roman"/>
          <w:sz w:val="24"/>
        </w:rPr>
        <w:t>水位：多年平均水位23.19m（吴淞高程）；</w:t>
      </w:r>
    </w:p>
    <w:p>
      <w:pPr>
        <w:pStyle w:val="5"/>
        <w:ind w:firstLine="720" w:firstLineChars="300"/>
        <w:rPr>
          <w:rFonts w:ascii="Times New Roman" w:hAnsi="Times New Roman" w:cs="Times New Roman"/>
        </w:rPr>
      </w:pPr>
      <w:r>
        <w:rPr>
          <w:rFonts w:ascii="Times New Roman" w:hAnsi="Times New Roman" w:cs="Times New Roman"/>
        </w:rPr>
        <w:t>历年最高水位33.14m；</w:t>
      </w:r>
    </w:p>
    <w:p>
      <w:pPr>
        <w:pStyle w:val="5"/>
        <w:ind w:firstLine="720" w:firstLineChars="300"/>
        <w:rPr>
          <w:rFonts w:ascii="Times New Roman" w:hAnsi="Times New Roman" w:cs="Times New Roman"/>
        </w:rPr>
      </w:pPr>
      <w:r>
        <w:rPr>
          <w:rFonts w:ascii="Times New Roman" w:hAnsi="Times New Roman" w:cs="Times New Roman"/>
        </w:rPr>
        <w:t>历年最低水位15.99m。</w:t>
      </w:r>
    </w:p>
    <w:p>
      <w:pPr>
        <w:pStyle w:val="7"/>
        <w:numPr>
          <w:ilvl w:val="2"/>
          <w:numId w:val="0"/>
        </w:numPr>
        <w:spacing w:before="120" w:after="120"/>
        <w:ind w:left="142"/>
      </w:pPr>
      <w:bookmarkStart w:id="300" w:name="_Toc31559"/>
      <w:bookmarkStart w:id="301" w:name="_Toc27032"/>
      <w:bookmarkStart w:id="302" w:name="_Toc28698"/>
      <w:r>
        <w:t>4.1.6. 地下水</w:t>
      </w:r>
      <w:bookmarkEnd w:id="300"/>
      <w:bookmarkEnd w:id="301"/>
      <w:r>
        <w:t>及水文地质</w:t>
      </w:r>
      <w:bookmarkEnd w:id="302"/>
    </w:p>
    <w:p>
      <w:pPr>
        <w:spacing w:line="360" w:lineRule="auto"/>
        <w:ind w:firstLine="480" w:firstLineChars="200"/>
        <w:jc w:val="left"/>
        <w:rPr>
          <w:rFonts w:ascii="Times New Roman" w:hAnsi="Times New Roman"/>
          <w:sz w:val="24"/>
          <w:szCs w:val="24"/>
        </w:rPr>
      </w:pPr>
      <w:r>
        <w:rPr>
          <w:rFonts w:ascii="Times New Roman" w:hAnsi="Times New Roman"/>
          <w:sz w:val="24"/>
          <w:szCs w:val="24"/>
        </w:rPr>
        <w:t>根据《中国石化股份有限公司长岭炼化厂厂区及其周边水文地质专题勘查评价报告》（湖南省勘测设计院，2010 年12 月）可知，区域内为一向斜谷地，地貌轮廓明显，地表分水岭清楚，水文地质条件较复杂，岩溶裂隙发育，且不均匀。根据调查区含水层的特点和地下水的类型，划分为松散岩类孔隙水、基岩裂隙水和碳酸盐岩类裂隙溶洞水三种类型。各类型地下水的富水性及含水岩组的渗透性见下表。</w:t>
      </w:r>
    </w:p>
    <w:p>
      <w:pPr>
        <w:pStyle w:val="18"/>
        <w:spacing w:line="360" w:lineRule="auto"/>
        <w:rPr>
          <w:bCs/>
        </w:rPr>
      </w:pPr>
      <w:r>
        <w:rPr>
          <w:bCs/>
        </w:rPr>
        <w:t>表 4.1.6-</w:t>
      </w:r>
      <w:r>
        <w:rPr>
          <w:bCs/>
        </w:rPr>
        <w:fldChar w:fldCharType="begin"/>
      </w:r>
      <w:r>
        <w:rPr>
          <w:bCs/>
        </w:rPr>
        <w:instrText xml:space="preserve"> SEQ 表 \* ARABIC \s 1 </w:instrText>
      </w:r>
      <w:r>
        <w:rPr>
          <w:bCs/>
        </w:rPr>
        <w:fldChar w:fldCharType="separate"/>
      </w:r>
      <w:r>
        <w:rPr>
          <w:bCs/>
        </w:rPr>
        <w:t>1</w:t>
      </w:r>
      <w:r>
        <w:rPr>
          <w:bCs/>
        </w:rPr>
        <w:fldChar w:fldCharType="end"/>
      </w:r>
      <w:r>
        <w:rPr>
          <w:bCs/>
        </w:rPr>
        <w:tab/>
      </w:r>
      <w:r>
        <w:rPr>
          <w:bCs/>
        </w:rPr>
        <w:t>厂区地下水类型、富水性及含水岩组渗透性特征一览表</w:t>
      </w:r>
    </w:p>
    <w:tbl>
      <w:tblPr>
        <w:tblStyle w:val="45"/>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2"/>
        <w:gridCol w:w="1032"/>
        <w:gridCol w:w="1222"/>
        <w:gridCol w:w="1572"/>
        <w:gridCol w:w="976"/>
        <w:gridCol w:w="1420"/>
        <w:gridCol w:w="2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地下水</w:t>
            </w:r>
          </w:p>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类型</w:t>
            </w:r>
          </w:p>
        </w:tc>
        <w:tc>
          <w:tcPr>
            <w:tcW w:w="1032"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富水性</w:t>
            </w:r>
          </w:p>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等级</w:t>
            </w:r>
          </w:p>
        </w:tc>
        <w:tc>
          <w:tcPr>
            <w:tcW w:w="1222"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单孔涌</w:t>
            </w:r>
          </w:p>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水量等级</w:t>
            </w:r>
          </w:p>
        </w:tc>
        <w:tc>
          <w:tcPr>
            <w:tcW w:w="1572"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含水岩组</w:t>
            </w:r>
          </w:p>
        </w:tc>
        <w:tc>
          <w:tcPr>
            <w:tcW w:w="976"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含水层厚</w:t>
            </w:r>
          </w:p>
        </w:tc>
        <w:tc>
          <w:tcPr>
            <w:tcW w:w="1420"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分布位置</w:t>
            </w:r>
          </w:p>
        </w:tc>
        <w:tc>
          <w:tcPr>
            <w:tcW w:w="2006" w:type="dxa"/>
            <w:vAlign w:val="center"/>
          </w:tcPr>
          <w:p>
            <w:pPr>
              <w:widowControl/>
              <w:spacing w:before="31" w:after="31"/>
              <w:jc w:val="center"/>
              <w:rPr>
                <w:rFonts w:ascii="Times New Roman" w:hAnsi="Times New Roman"/>
                <w:b/>
                <w:spacing w:val="-6"/>
                <w:kern w:val="0"/>
                <w:szCs w:val="21"/>
              </w:rPr>
            </w:pPr>
            <w:r>
              <w:rPr>
                <w:rFonts w:ascii="Times New Roman" w:hAnsi="Times New Roman"/>
                <w:b/>
                <w:spacing w:val="-6"/>
                <w:kern w:val="0"/>
                <w:szCs w:val="21"/>
              </w:rPr>
              <w:t>含水岩组渗透性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松散岩类孔隙水</w:t>
            </w:r>
          </w:p>
        </w:tc>
        <w:tc>
          <w:tcPr>
            <w:tcW w:w="103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水量贫乏</w:t>
            </w:r>
          </w:p>
        </w:tc>
        <w:tc>
          <w:tcPr>
            <w:tcW w:w="122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&lt;10(m</w:t>
            </w:r>
            <w:r>
              <w:rPr>
                <w:rFonts w:ascii="Times New Roman" w:hAnsi="Times New Roman"/>
                <w:spacing w:val="-6"/>
                <w:kern w:val="0"/>
                <w:szCs w:val="21"/>
                <w:vertAlign w:val="superscript"/>
              </w:rPr>
              <w:t>3</w:t>
            </w:r>
            <w:r>
              <w:rPr>
                <w:rFonts w:ascii="Times New Roman" w:hAnsi="Times New Roman"/>
                <w:spacing w:val="-6"/>
                <w:kern w:val="0"/>
                <w:szCs w:val="21"/>
              </w:rPr>
              <w:t>/d)</w:t>
            </w:r>
          </w:p>
        </w:tc>
        <w:tc>
          <w:tcPr>
            <w:tcW w:w="157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全更新统（包括坡、残积层）粉砂砾石等</w:t>
            </w:r>
          </w:p>
        </w:tc>
        <w:tc>
          <w:tcPr>
            <w:tcW w:w="97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厚3-5m，</w:t>
            </w:r>
          </w:p>
        </w:tc>
        <w:tc>
          <w:tcPr>
            <w:tcW w:w="1420"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场地的东侧</w:t>
            </w:r>
          </w:p>
        </w:tc>
        <w:tc>
          <w:tcPr>
            <w:tcW w:w="200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渗透系数一般在2~9m/d，属强透水层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blHeader/>
          <w:jc w:val="center"/>
        </w:trPr>
        <w:tc>
          <w:tcPr>
            <w:tcW w:w="862" w:type="dxa"/>
            <w:vMerge w:val="restart"/>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基岩裂隙水</w:t>
            </w:r>
          </w:p>
        </w:tc>
        <w:tc>
          <w:tcPr>
            <w:tcW w:w="103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水量贫乏裂隙潜水</w:t>
            </w:r>
          </w:p>
        </w:tc>
        <w:tc>
          <w:tcPr>
            <w:tcW w:w="122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&lt;10(m</w:t>
            </w:r>
            <w:r>
              <w:rPr>
                <w:rFonts w:ascii="Times New Roman" w:hAnsi="Times New Roman"/>
                <w:spacing w:val="-6"/>
                <w:kern w:val="0"/>
                <w:szCs w:val="21"/>
                <w:vertAlign w:val="superscript"/>
              </w:rPr>
              <w:t>3</w:t>
            </w:r>
            <w:r>
              <w:rPr>
                <w:rFonts w:ascii="Times New Roman" w:hAnsi="Times New Roman"/>
                <w:spacing w:val="-6"/>
                <w:kern w:val="0"/>
                <w:szCs w:val="21"/>
              </w:rPr>
              <w:t>/d)</w:t>
            </w:r>
          </w:p>
        </w:tc>
        <w:tc>
          <w:tcPr>
            <w:tcW w:w="157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冷家溪群板岩、震旦系下统莲沱组页岩、寒武系下统羊楼阁洞组灰质页岩</w:t>
            </w:r>
          </w:p>
        </w:tc>
        <w:tc>
          <w:tcPr>
            <w:tcW w:w="97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厚10-30m</w:t>
            </w:r>
          </w:p>
        </w:tc>
        <w:tc>
          <w:tcPr>
            <w:tcW w:w="1420"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厂区及东部大部分地区，呈带状分布</w:t>
            </w:r>
          </w:p>
        </w:tc>
        <w:tc>
          <w:tcPr>
            <w:tcW w:w="200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渗透系数2~5m/d，属强透水层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blHeader/>
          <w:jc w:val="center"/>
        </w:trPr>
        <w:tc>
          <w:tcPr>
            <w:tcW w:w="862" w:type="dxa"/>
            <w:vMerge w:val="continue"/>
            <w:vAlign w:val="center"/>
          </w:tcPr>
          <w:p>
            <w:pPr>
              <w:rPr>
                <w:rFonts w:ascii="Times New Roman" w:hAnsi="Times New Roman"/>
              </w:rPr>
            </w:pPr>
          </w:p>
        </w:tc>
        <w:tc>
          <w:tcPr>
            <w:tcW w:w="103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水量中等构造裂隙承压水</w:t>
            </w:r>
          </w:p>
        </w:tc>
        <w:tc>
          <w:tcPr>
            <w:tcW w:w="122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&lt;100(m</w:t>
            </w:r>
            <w:r>
              <w:rPr>
                <w:rFonts w:ascii="Times New Roman" w:hAnsi="Times New Roman"/>
                <w:spacing w:val="-6"/>
                <w:kern w:val="0"/>
                <w:szCs w:val="21"/>
                <w:vertAlign w:val="superscript"/>
              </w:rPr>
              <w:t>3</w:t>
            </w:r>
            <w:r>
              <w:rPr>
                <w:rFonts w:ascii="Times New Roman" w:hAnsi="Times New Roman"/>
                <w:spacing w:val="-6"/>
                <w:kern w:val="0"/>
                <w:szCs w:val="21"/>
              </w:rPr>
              <w:t>/d)</w:t>
            </w:r>
          </w:p>
        </w:tc>
        <w:tc>
          <w:tcPr>
            <w:tcW w:w="157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震旦系灯影组硅质岩</w:t>
            </w:r>
          </w:p>
        </w:tc>
        <w:tc>
          <w:tcPr>
            <w:tcW w:w="97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厚约47-70m</w:t>
            </w:r>
          </w:p>
        </w:tc>
        <w:tc>
          <w:tcPr>
            <w:tcW w:w="1420"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拟建厂址的西部大都有分布</w:t>
            </w:r>
          </w:p>
        </w:tc>
        <w:tc>
          <w:tcPr>
            <w:tcW w:w="200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岩石坚硬破碎、节理裂隙发育、透水性好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碳酸盐岩裂隙岩溶水</w:t>
            </w:r>
          </w:p>
        </w:tc>
        <w:tc>
          <w:tcPr>
            <w:tcW w:w="103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丰富</w:t>
            </w:r>
          </w:p>
        </w:tc>
        <w:tc>
          <w:tcPr>
            <w:tcW w:w="122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＞100(m</w:t>
            </w:r>
            <w:r>
              <w:rPr>
                <w:rFonts w:ascii="Times New Roman" w:hAnsi="Times New Roman"/>
                <w:spacing w:val="-6"/>
                <w:kern w:val="0"/>
                <w:szCs w:val="21"/>
                <w:vertAlign w:val="superscript"/>
              </w:rPr>
              <w:t>3</w:t>
            </w:r>
            <w:r>
              <w:rPr>
                <w:rFonts w:ascii="Times New Roman" w:hAnsi="Times New Roman"/>
                <w:spacing w:val="-6"/>
                <w:kern w:val="0"/>
                <w:szCs w:val="21"/>
              </w:rPr>
              <w:t>/d)</w:t>
            </w:r>
          </w:p>
        </w:tc>
        <w:tc>
          <w:tcPr>
            <w:tcW w:w="1572"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奥陶系瘤状灰岩</w:t>
            </w:r>
          </w:p>
        </w:tc>
        <w:tc>
          <w:tcPr>
            <w:tcW w:w="97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厚度约200m</w:t>
            </w:r>
          </w:p>
        </w:tc>
        <w:tc>
          <w:tcPr>
            <w:tcW w:w="1420"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拟建场地的西南部局部出露</w:t>
            </w:r>
          </w:p>
        </w:tc>
        <w:tc>
          <w:tcPr>
            <w:tcW w:w="2006" w:type="dxa"/>
            <w:vAlign w:val="center"/>
          </w:tcPr>
          <w:p>
            <w:pPr>
              <w:widowControl/>
              <w:spacing w:before="31" w:after="31"/>
              <w:jc w:val="center"/>
              <w:rPr>
                <w:rFonts w:ascii="Times New Roman" w:hAnsi="Times New Roman"/>
                <w:spacing w:val="-6"/>
                <w:kern w:val="0"/>
                <w:szCs w:val="21"/>
              </w:rPr>
            </w:pPr>
            <w:r>
              <w:rPr>
                <w:rFonts w:ascii="Times New Roman" w:hAnsi="Times New Roman"/>
                <w:spacing w:val="-6"/>
                <w:kern w:val="0"/>
                <w:szCs w:val="21"/>
              </w:rPr>
              <w:t>透水性取决于岩溶的发育及其充填程度</w:t>
            </w:r>
          </w:p>
        </w:tc>
      </w:tr>
    </w:tbl>
    <w:p>
      <w:pPr>
        <w:spacing w:line="360" w:lineRule="auto"/>
        <w:ind w:firstLine="480" w:firstLineChars="200"/>
        <w:jc w:val="left"/>
        <w:rPr>
          <w:rFonts w:ascii="Times New Roman" w:hAnsi="Times New Roman"/>
          <w:sz w:val="24"/>
        </w:rPr>
      </w:pPr>
      <w:bookmarkStart w:id="303" w:name="_Toc20888"/>
      <w:bookmarkStart w:id="304" w:name="_Toc18769"/>
      <w:r>
        <w:rPr>
          <w:rFonts w:ascii="Times New Roman" w:hAnsi="Times New Roman"/>
          <w:sz w:val="24"/>
        </w:rPr>
        <w:t>区域地下水总体流向为：以公司厂区西南侧一带为分水岭，地下水主要靠大气降水补给、径流方式由两侧向谷地运移，再由东向西运移，在谷底低洼处以上升泉的形式排泄于地表或继续向东运移，最终排入长江。其动态变化与大气降水密切相关。</w:t>
      </w:r>
    </w:p>
    <w:p>
      <w:pPr>
        <w:spacing w:line="360" w:lineRule="auto"/>
        <w:ind w:firstLine="480" w:firstLineChars="200"/>
        <w:jc w:val="left"/>
        <w:rPr>
          <w:rFonts w:ascii="Times New Roman" w:hAnsi="Times New Roman"/>
          <w:sz w:val="24"/>
        </w:rPr>
      </w:pPr>
      <w:r>
        <w:rPr>
          <w:rFonts w:ascii="Times New Roman" w:hAnsi="Times New Roman"/>
          <w:sz w:val="24"/>
        </w:rPr>
        <w:t>场地内地下水总体贫乏，岩层透水性弱，地下水主要接受大气降水补给，径流方式有两侧向谷地运移，再由东向西运移，在谷底低洼处以上升泉的形式排泄于地表或直接排入长江。</w:t>
      </w:r>
      <w:bookmarkEnd w:id="303"/>
      <w:bookmarkEnd w:id="304"/>
    </w:p>
    <w:p>
      <w:pPr>
        <w:pStyle w:val="6"/>
        <w:numPr>
          <w:ilvl w:val="1"/>
          <w:numId w:val="0"/>
        </w:numPr>
        <w:tabs>
          <w:tab w:val="clear" w:pos="0"/>
        </w:tabs>
        <w:spacing w:before="120" w:after="120"/>
      </w:pPr>
      <w:bookmarkStart w:id="305" w:name="_Toc30267"/>
      <w:r>
        <w:t>4.2. 社会环境概况</w:t>
      </w:r>
      <w:bookmarkEnd w:id="305"/>
    </w:p>
    <w:p>
      <w:pPr>
        <w:pStyle w:val="5"/>
        <w:ind w:firstLine="480"/>
        <w:rPr>
          <w:rFonts w:ascii="Times New Roman" w:hAnsi="Times New Roman" w:cs="Times New Roman"/>
        </w:rPr>
      </w:pPr>
      <w:r>
        <w:rPr>
          <w:rFonts w:ascii="Times New Roman" w:hAnsi="Times New Roman" w:cs="Times New Roman"/>
        </w:rPr>
        <w:t>云溪区地处岳阳市城区东北部、长江中游南岸，西濒东洞庭湖，东与临湘市接壤，西北与湖北省监利县、洪湖市隔江相望，南部与岳阳楼区和岳阳县毗邻。总面积388.4平方公里，其中城镇面积52平方公里。1984年4月6日，经国务院批准，设立岳阳市北区，隶属岳阳市，1996年6月更名为岳阳市云溪区。2015年11月30日湖南省民政厅办公室印发《湖南省民政厅关于同意岳阳市云溪区乡镇区划调整方案的批复》（湘民行发〔2015〕107号），同意云溪乡、永济乡、云溪镇成建制合并设立云溪镇；文桥镇、路口镇成建制合并设立路口镇；道仁矶镇、陆城镇成建制合并设立陆城镇，本轮乡镇区划调整后，岳阳市云溪区共减少4个乡镇建制，现辖云溪、路口、陆城3个镇，长岭1个街道，总面积403平方千米，总人口16.88万人。评价区域内无需要特殊保护的风景名胜和人文古迹等。</w:t>
      </w:r>
      <w:bookmarkStart w:id="306" w:name="3.3环境空气质量现状监测与评价"/>
      <w:bookmarkEnd w:id="306"/>
      <w:bookmarkStart w:id="307" w:name="_bookmark21"/>
      <w:bookmarkEnd w:id="307"/>
    </w:p>
    <w:p>
      <w:pPr>
        <w:pStyle w:val="6"/>
        <w:numPr>
          <w:ilvl w:val="1"/>
          <w:numId w:val="0"/>
        </w:numPr>
        <w:tabs>
          <w:tab w:val="clear" w:pos="0"/>
        </w:tabs>
        <w:spacing w:before="120" w:after="120"/>
      </w:pPr>
      <w:bookmarkStart w:id="308" w:name="_Toc5500"/>
      <w:r>
        <w:t>4.3 环境空气质量现状</w:t>
      </w:r>
      <w:r>
        <w:rPr>
          <w:sz w:val="32"/>
        </w:rPr>
        <w:t>监测与</w:t>
      </w:r>
      <w:r>
        <w:t>评价</w:t>
      </w:r>
      <w:bookmarkEnd w:id="308"/>
    </w:p>
    <w:p>
      <w:pPr>
        <w:pStyle w:val="5"/>
        <w:ind w:firstLine="480"/>
        <w:rPr>
          <w:rFonts w:ascii="Times New Roman" w:hAnsi="Times New Roman" w:cs="Times New Roman"/>
        </w:rPr>
      </w:pPr>
      <w:r>
        <w:rPr>
          <w:rFonts w:ascii="Times New Roman" w:hAnsi="Times New Roman" w:cs="Times New Roman"/>
        </w:rPr>
        <w:t>根据《环境影响评价技术导则 大气环境》（HJ2.2—2018）相关规定，本项目环境空气质量现状调查主要调查项目评价区内基本污染物和特征污染物的环境质量情况，采用评价范围内环境监测网的监测数据。评价范围内没有环境空气质量监测网数据或公布的监测数据时可选择与评价范围邻近的地形和气候相近的环境监测网公布的数据；对于其它污染物可收集评价范围内3年内与项目排放的污染物有关历史监测数据。</w:t>
      </w:r>
    </w:p>
    <w:p>
      <w:pPr>
        <w:pStyle w:val="7"/>
        <w:numPr>
          <w:ilvl w:val="2"/>
          <w:numId w:val="0"/>
        </w:numPr>
        <w:spacing w:before="120" w:after="120" w:line="240" w:lineRule="auto"/>
      </w:pPr>
      <w:bookmarkStart w:id="309" w:name="_bookmark22"/>
      <w:bookmarkEnd w:id="309"/>
      <w:bookmarkStart w:id="310" w:name="3.4地表水环境质量现状监测与评价"/>
      <w:bookmarkEnd w:id="310"/>
      <w:bookmarkStart w:id="311" w:name="_Toc23038"/>
      <w:r>
        <w:t>4.3.1 基本污染物</w:t>
      </w:r>
      <w:bookmarkEnd w:id="311"/>
      <w:r>
        <w:t>环境空气质量现状</w:t>
      </w:r>
    </w:p>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本项目距西南侧国家环境空气质量监测网云溪站约13.2km，本评价环境空气基本污染物环境质量数据来源于国家环境空气质量监测网城云溪区站，评价基准年为2017年，具体数据统计情况如下：</w:t>
      </w:r>
    </w:p>
    <w:p>
      <w:pPr>
        <w:widowControl/>
        <w:adjustRightInd w:val="0"/>
        <w:snapToGrid w:val="0"/>
        <w:spacing w:before="120" w:beforeLines="50" w:line="360" w:lineRule="auto"/>
        <w:ind w:left="992"/>
        <w:jc w:val="center"/>
        <w:rPr>
          <w:rFonts w:ascii="Times New Roman" w:hAnsi="Times New Roman"/>
          <w:b/>
          <w:bCs/>
          <w:sz w:val="24"/>
          <w:szCs w:val="20"/>
        </w:rPr>
      </w:pPr>
      <w:r>
        <w:rPr>
          <w:rFonts w:ascii="Times New Roman" w:hAnsi="Times New Roman"/>
          <w:b/>
          <w:bCs/>
          <w:sz w:val="24"/>
          <w:szCs w:val="20"/>
        </w:rPr>
        <w:t>表4.3.1-1 基本污染物环境质量现状</w:t>
      </w:r>
    </w:p>
    <w:tbl>
      <w:tblPr>
        <w:tblStyle w:val="45"/>
        <w:tblW w:w="51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9"/>
        <w:gridCol w:w="998"/>
        <w:gridCol w:w="899"/>
        <w:gridCol w:w="799"/>
        <w:gridCol w:w="1296"/>
        <w:gridCol w:w="901"/>
        <w:gridCol w:w="1165"/>
        <w:gridCol w:w="791"/>
        <w:gridCol w:w="710"/>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298"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点位名称</w:t>
            </w:r>
          </w:p>
        </w:tc>
        <w:tc>
          <w:tcPr>
            <w:tcW w:w="1070" w:type="pct"/>
            <w:gridSpan w:val="2"/>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监测点坐标/m</w:t>
            </w:r>
          </w:p>
        </w:tc>
        <w:tc>
          <w:tcPr>
            <w:tcW w:w="451"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污染物</w:t>
            </w:r>
          </w:p>
        </w:tc>
        <w:tc>
          <w:tcPr>
            <w:tcW w:w="731"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年评价指标</w:t>
            </w:r>
          </w:p>
        </w:tc>
        <w:tc>
          <w:tcPr>
            <w:tcW w:w="509"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评价标准/（μg/m</w:t>
            </w:r>
            <w:r>
              <w:rPr>
                <w:rFonts w:ascii="Times New Roman" w:hAnsi="Times New Roman" w:cs="Times New Roman"/>
                <w:b/>
                <w:szCs w:val="21"/>
                <w:vertAlign w:val="superscript"/>
              </w:rPr>
              <w:t>3</w:t>
            </w:r>
            <w:r>
              <w:rPr>
                <w:rFonts w:ascii="Times New Roman" w:hAnsi="Times New Roman" w:cs="Times New Roman"/>
                <w:b/>
                <w:szCs w:val="21"/>
              </w:rPr>
              <w:t>）</w:t>
            </w:r>
          </w:p>
        </w:tc>
        <w:tc>
          <w:tcPr>
            <w:tcW w:w="657"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现状浓度/（μg/m</w:t>
            </w:r>
            <w:r>
              <w:rPr>
                <w:rFonts w:ascii="Times New Roman" w:hAnsi="Times New Roman" w:cs="Times New Roman"/>
                <w:b/>
                <w:szCs w:val="21"/>
                <w:vertAlign w:val="superscript"/>
              </w:rPr>
              <w:t>3</w:t>
            </w:r>
            <w:r>
              <w:rPr>
                <w:rFonts w:ascii="Times New Roman" w:hAnsi="Times New Roman" w:cs="Times New Roman"/>
                <w:b/>
                <w:szCs w:val="21"/>
              </w:rPr>
              <w:t>）</w:t>
            </w:r>
          </w:p>
        </w:tc>
        <w:tc>
          <w:tcPr>
            <w:tcW w:w="447"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最大浓度占标率/%</w:t>
            </w:r>
          </w:p>
        </w:tc>
        <w:tc>
          <w:tcPr>
            <w:tcW w:w="401"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超标频率/%</w:t>
            </w:r>
          </w:p>
        </w:tc>
        <w:tc>
          <w:tcPr>
            <w:tcW w:w="432" w:type="pct"/>
            <w:vMerge w:val="restar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continue"/>
            <w:vAlign w:val="center"/>
          </w:tcPr>
          <w:p>
            <w:pPr>
              <w:pStyle w:val="82"/>
              <w:spacing w:before="24" w:after="24"/>
              <w:rPr>
                <w:rFonts w:ascii="Times New Roman" w:hAnsi="Times New Roman" w:cs="Times New Roman"/>
                <w:szCs w:val="21"/>
              </w:rPr>
            </w:pPr>
          </w:p>
        </w:tc>
        <w:tc>
          <w:tcPr>
            <w:tcW w:w="563"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东经</w:t>
            </w:r>
          </w:p>
        </w:tc>
        <w:tc>
          <w:tcPr>
            <w:tcW w:w="50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北纬</w:t>
            </w:r>
          </w:p>
        </w:tc>
        <w:tc>
          <w:tcPr>
            <w:tcW w:w="451" w:type="pct"/>
            <w:vMerge w:val="continue"/>
            <w:vAlign w:val="center"/>
          </w:tcPr>
          <w:p>
            <w:pPr>
              <w:pStyle w:val="82"/>
              <w:spacing w:before="24" w:after="24"/>
              <w:rPr>
                <w:rFonts w:ascii="Times New Roman" w:hAnsi="Times New Roman" w:cs="Times New Roman"/>
                <w:szCs w:val="21"/>
              </w:rPr>
            </w:pPr>
          </w:p>
        </w:tc>
        <w:tc>
          <w:tcPr>
            <w:tcW w:w="731" w:type="pct"/>
            <w:vMerge w:val="continue"/>
            <w:vAlign w:val="center"/>
          </w:tcPr>
          <w:p>
            <w:pPr>
              <w:pStyle w:val="82"/>
              <w:spacing w:before="24" w:after="24"/>
              <w:rPr>
                <w:rFonts w:ascii="Times New Roman" w:hAnsi="Times New Roman" w:cs="Times New Roman"/>
                <w:szCs w:val="21"/>
              </w:rPr>
            </w:pPr>
          </w:p>
        </w:tc>
        <w:tc>
          <w:tcPr>
            <w:tcW w:w="509" w:type="pct"/>
            <w:vMerge w:val="continue"/>
            <w:vAlign w:val="center"/>
          </w:tcPr>
          <w:p>
            <w:pPr>
              <w:pStyle w:val="82"/>
              <w:spacing w:before="24" w:after="24"/>
              <w:rPr>
                <w:rFonts w:ascii="Times New Roman" w:hAnsi="Times New Roman" w:cs="Times New Roman"/>
                <w:szCs w:val="21"/>
              </w:rPr>
            </w:pPr>
          </w:p>
        </w:tc>
        <w:tc>
          <w:tcPr>
            <w:tcW w:w="657" w:type="pct"/>
            <w:vMerge w:val="continue"/>
            <w:vAlign w:val="center"/>
          </w:tcPr>
          <w:p>
            <w:pPr>
              <w:pStyle w:val="82"/>
              <w:spacing w:before="24" w:after="24"/>
              <w:rPr>
                <w:rFonts w:ascii="Times New Roman" w:hAnsi="Times New Roman" w:cs="Times New Roman"/>
                <w:szCs w:val="21"/>
              </w:rPr>
            </w:pPr>
          </w:p>
        </w:tc>
        <w:tc>
          <w:tcPr>
            <w:tcW w:w="447" w:type="pct"/>
            <w:vMerge w:val="continue"/>
            <w:vAlign w:val="center"/>
          </w:tcPr>
          <w:p>
            <w:pPr>
              <w:pStyle w:val="82"/>
              <w:spacing w:before="24" w:after="24"/>
              <w:rPr>
                <w:rFonts w:ascii="Times New Roman" w:hAnsi="Times New Roman" w:cs="Times New Roman"/>
                <w:szCs w:val="21"/>
              </w:rPr>
            </w:pPr>
          </w:p>
        </w:tc>
        <w:tc>
          <w:tcPr>
            <w:tcW w:w="401" w:type="pct"/>
            <w:vMerge w:val="continue"/>
            <w:vAlign w:val="center"/>
          </w:tcPr>
          <w:p>
            <w:pPr>
              <w:pStyle w:val="82"/>
              <w:spacing w:before="24" w:after="24"/>
              <w:rPr>
                <w:rFonts w:ascii="Times New Roman" w:hAnsi="Times New Roman" w:cs="Times New Roman"/>
                <w:szCs w:val="21"/>
              </w:rPr>
            </w:pPr>
          </w:p>
        </w:tc>
        <w:tc>
          <w:tcPr>
            <w:tcW w:w="432" w:type="pct"/>
            <w:vMerge w:val="continue"/>
            <w:vAlign w:val="center"/>
          </w:tcPr>
          <w:p>
            <w:pPr>
              <w:pStyle w:val="82"/>
              <w:spacing w:before="24" w:after="24"/>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restart"/>
            <w:vAlign w:val="center"/>
          </w:tcPr>
          <w:p>
            <w:pPr>
              <w:pStyle w:val="82"/>
              <w:ind w:left="-105" w:leftChars="-50" w:right="-105" w:rightChars="-50"/>
              <w:rPr>
                <w:rFonts w:ascii="Times New Roman" w:hAnsi="Times New Roman" w:cs="Times New Roman"/>
                <w:szCs w:val="21"/>
              </w:rPr>
            </w:pPr>
            <w:r>
              <w:rPr>
                <w:rFonts w:ascii="Times New Roman" w:hAnsi="Times New Roman" w:cs="Times New Roman"/>
                <w:szCs w:val="21"/>
              </w:rPr>
              <w:t>国家环境空气质量监测网云溪区站</w:t>
            </w:r>
          </w:p>
        </w:tc>
        <w:tc>
          <w:tcPr>
            <w:tcW w:w="563" w:type="pct"/>
            <w:vMerge w:val="restart"/>
            <w:vAlign w:val="center"/>
          </w:tcPr>
          <w:p>
            <w:pPr>
              <w:pStyle w:val="82"/>
              <w:spacing w:before="24" w:after="24"/>
              <w:ind w:left="-105" w:leftChars="-50" w:right="-105" w:rightChars="-50"/>
              <w:rPr>
                <w:rFonts w:ascii="Times New Roman" w:hAnsi="Times New Roman" w:cs="Times New Roman"/>
                <w:szCs w:val="21"/>
              </w:rPr>
            </w:pPr>
            <w:r>
              <w:rPr>
                <w:rFonts w:ascii="Times New Roman" w:hAnsi="Times New Roman" w:cs="Times New Roman"/>
                <w:szCs w:val="21"/>
              </w:rPr>
              <w:t>113.262334</w:t>
            </w:r>
          </w:p>
        </w:tc>
        <w:tc>
          <w:tcPr>
            <w:tcW w:w="507" w:type="pct"/>
            <w:vMerge w:val="restart"/>
            <w:vAlign w:val="center"/>
          </w:tcPr>
          <w:p>
            <w:pPr>
              <w:pStyle w:val="82"/>
              <w:spacing w:before="24" w:after="24"/>
              <w:ind w:left="-105" w:leftChars="-50" w:right="-105" w:rightChars="-50"/>
              <w:rPr>
                <w:rFonts w:ascii="Times New Roman" w:hAnsi="Times New Roman" w:cs="Times New Roman"/>
                <w:szCs w:val="21"/>
              </w:rPr>
            </w:pPr>
            <w:r>
              <w:rPr>
                <w:rFonts w:ascii="Times New Roman" w:hAnsi="Times New Roman" w:cs="Times New Roman"/>
                <w:szCs w:val="21"/>
              </w:rPr>
              <w:t>29.474998</w:t>
            </w:r>
          </w:p>
        </w:tc>
        <w:tc>
          <w:tcPr>
            <w:tcW w:w="451" w:type="pct"/>
            <w:vAlign w:val="center"/>
          </w:tcPr>
          <w:p>
            <w:pPr>
              <w:spacing w:before="74"/>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731" w:type="pct"/>
            <w:vAlign w:val="center"/>
          </w:tcPr>
          <w:p>
            <w:pPr>
              <w:adjustRightInd w:val="0"/>
              <w:snapToGrid w:val="0"/>
              <w:spacing w:before="74"/>
              <w:jc w:val="center"/>
              <w:rPr>
                <w:rFonts w:ascii="Times New Roman" w:hAnsi="Times New Roman"/>
                <w:szCs w:val="21"/>
              </w:rPr>
            </w:pPr>
            <w:r>
              <w:rPr>
                <w:rFonts w:ascii="Times New Roman" w:hAnsi="Times New Roman"/>
                <w:szCs w:val="21"/>
              </w:rPr>
              <w:t>年平均浓度</w:t>
            </w:r>
          </w:p>
        </w:tc>
        <w:tc>
          <w:tcPr>
            <w:tcW w:w="509" w:type="pct"/>
            <w:vAlign w:val="center"/>
          </w:tcPr>
          <w:p>
            <w:pPr>
              <w:spacing w:before="74"/>
              <w:jc w:val="center"/>
              <w:rPr>
                <w:rFonts w:ascii="Times New Roman" w:hAnsi="Times New Roman"/>
                <w:szCs w:val="21"/>
              </w:rPr>
            </w:pPr>
            <w:r>
              <w:rPr>
                <w:rFonts w:ascii="Times New Roman" w:hAnsi="Times New Roman"/>
                <w:szCs w:val="21"/>
              </w:rPr>
              <w:t>60</w:t>
            </w:r>
          </w:p>
        </w:tc>
        <w:tc>
          <w:tcPr>
            <w:tcW w:w="65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9</w:t>
            </w:r>
          </w:p>
        </w:tc>
        <w:tc>
          <w:tcPr>
            <w:tcW w:w="44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15.0</w:t>
            </w:r>
          </w:p>
        </w:tc>
        <w:tc>
          <w:tcPr>
            <w:tcW w:w="401"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0</w:t>
            </w:r>
          </w:p>
        </w:tc>
        <w:tc>
          <w:tcPr>
            <w:tcW w:w="432"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continue"/>
            <w:vAlign w:val="center"/>
          </w:tcPr>
          <w:p>
            <w:pPr>
              <w:pStyle w:val="82"/>
              <w:spacing w:before="24" w:after="24"/>
              <w:rPr>
                <w:rFonts w:ascii="Times New Roman" w:hAnsi="Times New Roman" w:cs="Times New Roman"/>
                <w:szCs w:val="21"/>
              </w:rPr>
            </w:pPr>
          </w:p>
        </w:tc>
        <w:tc>
          <w:tcPr>
            <w:tcW w:w="563" w:type="pct"/>
            <w:vMerge w:val="continue"/>
            <w:vAlign w:val="center"/>
          </w:tcPr>
          <w:p>
            <w:pPr>
              <w:pStyle w:val="82"/>
              <w:spacing w:before="24" w:after="24"/>
              <w:rPr>
                <w:rFonts w:ascii="Times New Roman" w:hAnsi="Times New Roman" w:cs="Times New Roman"/>
                <w:szCs w:val="21"/>
              </w:rPr>
            </w:pPr>
          </w:p>
        </w:tc>
        <w:tc>
          <w:tcPr>
            <w:tcW w:w="507" w:type="pct"/>
            <w:vMerge w:val="continue"/>
            <w:vAlign w:val="center"/>
          </w:tcPr>
          <w:p>
            <w:pPr>
              <w:pStyle w:val="82"/>
              <w:spacing w:before="24" w:after="24"/>
              <w:rPr>
                <w:rFonts w:ascii="Times New Roman" w:hAnsi="Times New Roman" w:cs="Times New Roman"/>
                <w:szCs w:val="21"/>
              </w:rPr>
            </w:pPr>
          </w:p>
        </w:tc>
        <w:tc>
          <w:tcPr>
            <w:tcW w:w="451" w:type="pct"/>
            <w:vAlign w:val="center"/>
          </w:tcPr>
          <w:p>
            <w:pPr>
              <w:spacing w:before="74"/>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731" w:type="pct"/>
            <w:vAlign w:val="center"/>
          </w:tcPr>
          <w:p>
            <w:pPr>
              <w:adjustRightInd w:val="0"/>
              <w:snapToGrid w:val="0"/>
              <w:spacing w:before="74"/>
              <w:jc w:val="center"/>
              <w:rPr>
                <w:rFonts w:ascii="Times New Roman" w:hAnsi="Times New Roman"/>
                <w:szCs w:val="21"/>
              </w:rPr>
            </w:pPr>
            <w:r>
              <w:rPr>
                <w:rFonts w:ascii="Times New Roman" w:hAnsi="Times New Roman"/>
                <w:szCs w:val="21"/>
              </w:rPr>
              <w:t>年平均浓度</w:t>
            </w:r>
          </w:p>
        </w:tc>
        <w:tc>
          <w:tcPr>
            <w:tcW w:w="509" w:type="pct"/>
            <w:vAlign w:val="center"/>
          </w:tcPr>
          <w:p>
            <w:pPr>
              <w:spacing w:before="74"/>
              <w:jc w:val="center"/>
              <w:rPr>
                <w:rFonts w:ascii="Times New Roman" w:hAnsi="Times New Roman"/>
                <w:szCs w:val="21"/>
              </w:rPr>
            </w:pPr>
            <w:r>
              <w:rPr>
                <w:rFonts w:ascii="Times New Roman" w:hAnsi="Times New Roman"/>
                <w:szCs w:val="21"/>
              </w:rPr>
              <w:t>40</w:t>
            </w:r>
          </w:p>
        </w:tc>
        <w:tc>
          <w:tcPr>
            <w:tcW w:w="65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23</w:t>
            </w:r>
          </w:p>
        </w:tc>
        <w:tc>
          <w:tcPr>
            <w:tcW w:w="44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57.5</w:t>
            </w:r>
          </w:p>
        </w:tc>
        <w:tc>
          <w:tcPr>
            <w:tcW w:w="401"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0</w:t>
            </w:r>
          </w:p>
        </w:tc>
        <w:tc>
          <w:tcPr>
            <w:tcW w:w="432"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continue"/>
            <w:vAlign w:val="center"/>
          </w:tcPr>
          <w:p>
            <w:pPr>
              <w:pStyle w:val="82"/>
              <w:spacing w:before="24" w:after="24"/>
              <w:rPr>
                <w:rFonts w:ascii="Times New Roman" w:hAnsi="Times New Roman" w:cs="Times New Roman"/>
                <w:szCs w:val="21"/>
              </w:rPr>
            </w:pPr>
          </w:p>
        </w:tc>
        <w:tc>
          <w:tcPr>
            <w:tcW w:w="563" w:type="pct"/>
            <w:vMerge w:val="continue"/>
            <w:vAlign w:val="center"/>
          </w:tcPr>
          <w:p>
            <w:pPr>
              <w:pStyle w:val="82"/>
              <w:spacing w:before="24" w:after="24"/>
              <w:rPr>
                <w:rFonts w:ascii="Times New Roman" w:hAnsi="Times New Roman" w:cs="Times New Roman"/>
                <w:szCs w:val="21"/>
              </w:rPr>
            </w:pPr>
          </w:p>
        </w:tc>
        <w:tc>
          <w:tcPr>
            <w:tcW w:w="507" w:type="pct"/>
            <w:vMerge w:val="continue"/>
            <w:vAlign w:val="center"/>
          </w:tcPr>
          <w:p>
            <w:pPr>
              <w:pStyle w:val="82"/>
              <w:spacing w:before="24" w:after="24"/>
              <w:rPr>
                <w:rFonts w:ascii="Times New Roman" w:hAnsi="Times New Roman" w:cs="Times New Roman"/>
                <w:szCs w:val="21"/>
              </w:rPr>
            </w:pPr>
          </w:p>
        </w:tc>
        <w:tc>
          <w:tcPr>
            <w:tcW w:w="451" w:type="pct"/>
            <w:vAlign w:val="center"/>
          </w:tcPr>
          <w:p>
            <w:pPr>
              <w:spacing w:before="74"/>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731" w:type="pct"/>
            <w:vAlign w:val="center"/>
          </w:tcPr>
          <w:p>
            <w:pPr>
              <w:adjustRightInd w:val="0"/>
              <w:snapToGrid w:val="0"/>
              <w:spacing w:before="74"/>
              <w:jc w:val="center"/>
              <w:rPr>
                <w:rFonts w:ascii="Times New Roman" w:hAnsi="Times New Roman"/>
                <w:szCs w:val="21"/>
              </w:rPr>
            </w:pPr>
            <w:r>
              <w:rPr>
                <w:rFonts w:ascii="Times New Roman" w:hAnsi="Times New Roman"/>
                <w:szCs w:val="21"/>
              </w:rPr>
              <w:t>年平均浓度</w:t>
            </w:r>
          </w:p>
        </w:tc>
        <w:tc>
          <w:tcPr>
            <w:tcW w:w="509" w:type="pct"/>
            <w:vAlign w:val="center"/>
          </w:tcPr>
          <w:p>
            <w:pPr>
              <w:spacing w:before="74"/>
              <w:jc w:val="center"/>
              <w:rPr>
                <w:rFonts w:ascii="Times New Roman" w:hAnsi="Times New Roman"/>
                <w:szCs w:val="21"/>
              </w:rPr>
            </w:pPr>
            <w:r>
              <w:rPr>
                <w:rFonts w:ascii="Times New Roman" w:hAnsi="Times New Roman"/>
                <w:szCs w:val="21"/>
              </w:rPr>
              <w:t>70</w:t>
            </w:r>
          </w:p>
        </w:tc>
        <w:tc>
          <w:tcPr>
            <w:tcW w:w="65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75</w:t>
            </w:r>
          </w:p>
        </w:tc>
        <w:tc>
          <w:tcPr>
            <w:tcW w:w="44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107.1</w:t>
            </w:r>
          </w:p>
        </w:tc>
        <w:tc>
          <w:tcPr>
            <w:tcW w:w="401"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100</w:t>
            </w:r>
          </w:p>
        </w:tc>
        <w:tc>
          <w:tcPr>
            <w:tcW w:w="432" w:type="pc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continue"/>
            <w:vAlign w:val="center"/>
          </w:tcPr>
          <w:p>
            <w:pPr>
              <w:pStyle w:val="82"/>
              <w:spacing w:before="24" w:after="24"/>
              <w:rPr>
                <w:rFonts w:ascii="Times New Roman" w:hAnsi="Times New Roman" w:cs="Times New Roman"/>
                <w:szCs w:val="21"/>
              </w:rPr>
            </w:pPr>
          </w:p>
        </w:tc>
        <w:tc>
          <w:tcPr>
            <w:tcW w:w="563" w:type="pct"/>
            <w:vMerge w:val="continue"/>
            <w:vAlign w:val="center"/>
          </w:tcPr>
          <w:p>
            <w:pPr>
              <w:pStyle w:val="82"/>
              <w:spacing w:before="24" w:after="24"/>
              <w:rPr>
                <w:rFonts w:ascii="Times New Roman" w:hAnsi="Times New Roman" w:cs="Times New Roman"/>
                <w:szCs w:val="21"/>
              </w:rPr>
            </w:pPr>
          </w:p>
        </w:tc>
        <w:tc>
          <w:tcPr>
            <w:tcW w:w="507" w:type="pct"/>
            <w:vMerge w:val="continue"/>
            <w:vAlign w:val="center"/>
          </w:tcPr>
          <w:p>
            <w:pPr>
              <w:pStyle w:val="82"/>
              <w:spacing w:before="24" w:after="24"/>
              <w:rPr>
                <w:rFonts w:ascii="Times New Roman" w:hAnsi="Times New Roman" w:cs="Times New Roman"/>
                <w:szCs w:val="21"/>
              </w:rPr>
            </w:pPr>
          </w:p>
        </w:tc>
        <w:tc>
          <w:tcPr>
            <w:tcW w:w="451" w:type="pct"/>
            <w:vAlign w:val="center"/>
          </w:tcPr>
          <w:p>
            <w:pPr>
              <w:spacing w:before="74"/>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731" w:type="pct"/>
            <w:vAlign w:val="center"/>
          </w:tcPr>
          <w:p>
            <w:pPr>
              <w:adjustRightInd w:val="0"/>
              <w:snapToGrid w:val="0"/>
              <w:spacing w:before="74"/>
              <w:jc w:val="center"/>
              <w:rPr>
                <w:rFonts w:ascii="Times New Roman" w:hAnsi="Times New Roman"/>
                <w:szCs w:val="21"/>
              </w:rPr>
            </w:pPr>
            <w:r>
              <w:rPr>
                <w:rFonts w:ascii="Times New Roman" w:hAnsi="Times New Roman"/>
                <w:szCs w:val="21"/>
              </w:rPr>
              <w:t>年平均浓度</w:t>
            </w:r>
          </w:p>
        </w:tc>
        <w:tc>
          <w:tcPr>
            <w:tcW w:w="509" w:type="pct"/>
            <w:vAlign w:val="center"/>
          </w:tcPr>
          <w:p>
            <w:pPr>
              <w:spacing w:before="74"/>
              <w:jc w:val="center"/>
              <w:rPr>
                <w:rFonts w:ascii="Times New Roman" w:hAnsi="Times New Roman"/>
                <w:szCs w:val="21"/>
              </w:rPr>
            </w:pPr>
            <w:r>
              <w:rPr>
                <w:rFonts w:ascii="Times New Roman" w:hAnsi="Times New Roman"/>
                <w:szCs w:val="21"/>
              </w:rPr>
              <w:t>35</w:t>
            </w:r>
          </w:p>
        </w:tc>
        <w:tc>
          <w:tcPr>
            <w:tcW w:w="65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49</w:t>
            </w:r>
          </w:p>
        </w:tc>
        <w:tc>
          <w:tcPr>
            <w:tcW w:w="44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140.0</w:t>
            </w:r>
          </w:p>
        </w:tc>
        <w:tc>
          <w:tcPr>
            <w:tcW w:w="401"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100</w:t>
            </w:r>
          </w:p>
        </w:tc>
        <w:tc>
          <w:tcPr>
            <w:tcW w:w="432" w:type="pct"/>
            <w:vAlign w:val="center"/>
          </w:tcPr>
          <w:p>
            <w:pPr>
              <w:pStyle w:val="82"/>
              <w:spacing w:before="24" w:after="24"/>
              <w:rPr>
                <w:rFonts w:ascii="Times New Roman" w:hAnsi="Times New Roman" w:cs="Times New Roman"/>
                <w:b/>
                <w:szCs w:val="21"/>
              </w:rPr>
            </w:pPr>
            <w:r>
              <w:rPr>
                <w:rFonts w:ascii="Times New Roman" w:hAnsi="Times New Roman" w:cs="Times New Roman"/>
                <w:b/>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continue"/>
            <w:vAlign w:val="center"/>
          </w:tcPr>
          <w:p>
            <w:pPr>
              <w:pStyle w:val="82"/>
              <w:spacing w:before="24" w:after="24"/>
              <w:rPr>
                <w:rFonts w:ascii="Times New Roman" w:hAnsi="Times New Roman" w:cs="Times New Roman"/>
                <w:szCs w:val="21"/>
              </w:rPr>
            </w:pPr>
          </w:p>
        </w:tc>
        <w:tc>
          <w:tcPr>
            <w:tcW w:w="563" w:type="pct"/>
            <w:vMerge w:val="continue"/>
            <w:vAlign w:val="center"/>
          </w:tcPr>
          <w:p>
            <w:pPr>
              <w:pStyle w:val="82"/>
              <w:spacing w:before="24" w:after="24"/>
              <w:rPr>
                <w:rFonts w:ascii="Times New Roman" w:hAnsi="Times New Roman" w:cs="Times New Roman"/>
                <w:szCs w:val="21"/>
              </w:rPr>
            </w:pPr>
          </w:p>
        </w:tc>
        <w:tc>
          <w:tcPr>
            <w:tcW w:w="507" w:type="pct"/>
            <w:vMerge w:val="continue"/>
            <w:vAlign w:val="center"/>
          </w:tcPr>
          <w:p>
            <w:pPr>
              <w:pStyle w:val="82"/>
              <w:spacing w:before="24" w:after="24"/>
              <w:rPr>
                <w:rFonts w:ascii="Times New Roman" w:hAnsi="Times New Roman" w:cs="Times New Roman"/>
                <w:szCs w:val="21"/>
              </w:rPr>
            </w:pPr>
          </w:p>
        </w:tc>
        <w:tc>
          <w:tcPr>
            <w:tcW w:w="451" w:type="pct"/>
            <w:vAlign w:val="center"/>
          </w:tcPr>
          <w:p>
            <w:pPr>
              <w:spacing w:before="74"/>
              <w:jc w:val="center"/>
              <w:rPr>
                <w:rFonts w:ascii="Times New Roman" w:hAnsi="Times New Roman"/>
                <w:szCs w:val="21"/>
              </w:rPr>
            </w:pPr>
            <w:r>
              <w:rPr>
                <w:rFonts w:ascii="Times New Roman" w:hAnsi="Times New Roman"/>
                <w:szCs w:val="21"/>
              </w:rPr>
              <w:t>CO</w:t>
            </w:r>
          </w:p>
        </w:tc>
        <w:tc>
          <w:tcPr>
            <w:tcW w:w="731" w:type="pct"/>
            <w:vAlign w:val="center"/>
          </w:tcPr>
          <w:p>
            <w:pPr>
              <w:adjustRightInd w:val="0"/>
              <w:snapToGrid w:val="0"/>
              <w:ind w:left="-105" w:leftChars="-50" w:right="-105" w:rightChars="-50"/>
              <w:jc w:val="center"/>
              <w:rPr>
                <w:rFonts w:ascii="Times New Roman" w:hAnsi="Times New Roman"/>
                <w:szCs w:val="21"/>
              </w:rPr>
            </w:pPr>
            <w:r>
              <w:rPr>
                <w:rFonts w:ascii="Times New Roman" w:hAnsi="Times New Roman"/>
                <w:szCs w:val="21"/>
              </w:rPr>
              <w:t>第95百分位数日平均浓度</w:t>
            </w:r>
          </w:p>
        </w:tc>
        <w:tc>
          <w:tcPr>
            <w:tcW w:w="509" w:type="pct"/>
            <w:vAlign w:val="center"/>
          </w:tcPr>
          <w:p>
            <w:pPr>
              <w:spacing w:before="74"/>
              <w:jc w:val="center"/>
              <w:rPr>
                <w:rFonts w:ascii="Times New Roman" w:hAnsi="Times New Roman"/>
                <w:szCs w:val="21"/>
              </w:rPr>
            </w:pPr>
            <w:r>
              <w:rPr>
                <w:rFonts w:ascii="Times New Roman" w:hAnsi="Times New Roman"/>
                <w:szCs w:val="21"/>
              </w:rPr>
              <w:t>4000</w:t>
            </w:r>
          </w:p>
        </w:tc>
        <w:tc>
          <w:tcPr>
            <w:tcW w:w="65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1500</w:t>
            </w:r>
          </w:p>
        </w:tc>
        <w:tc>
          <w:tcPr>
            <w:tcW w:w="44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37.5</w:t>
            </w:r>
          </w:p>
        </w:tc>
        <w:tc>
          <w:tcPr>
            <w:tcW w:w="401"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0</w:t>
            </w:r>
          </w:p>
        </w:tc>
        <w:tc>
          <w:tcPr>
            <w:tcW w:w="432"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8" w:type="pct"/>
            <w:vMerge w:val="continue"/>
            <w:vAlign w:val="center"/>
          </w:tcPr>
          <w:p>
            <w:pPr>
              <w:pStyle w:val="82"/>
              <w:spacing w:before="24" w:after="24"/>
              <w:rPr>
                <w:rFonts w:ascii="Times New Roman" w:hAnsi="Times New Roman" w:cs="Times New Roman"/>
                <w:szCs w:val="21"/>
              </w:rPr>
            </w:pPr>
          </w:p>
        </w:tc>
        <w:tc>
          <w:tcPr>
            <w:tcW w:w="563" w:type="pct"/>
            <w:vMerge w:val="continue"/>
            <w:vAlign w:val="center"/>
          </w:tcPr>
          <w:p>
            <w:pPr>
              <w:pStyle w:val="82"/>
              <w:spacing w:before="24" w:after="24"/>
              <w:rPr>
                <w:rFonts w:ascii="Times New Roman" w:hAnsi="Times New Roman" w:cs="Times New Roman"/>
                <w:szCs w:val="21"/>
              </w:rPr>
            </w:pPr>
          </w:p>
        </w:tc>
        <w:tc>
          <w:tcPr>
            <w:tcW w:w="507" w:type="pct"/>
            <w:vMerge w:val="continue"/>
            <w:vAlign w:val="center"/>
          </w:tcPr>
          <w:p>
            <w:pPr>
              <w:pStyle w:val="82"/>
              <w:spacing w:before="24" w:after="24"/>
              <w:rPr>
                <w:rFonts w:ascii="Times New Roman" w:hAnsi="Times New Roman" w:cs="Times New Roman"/>
                <w:szCs w:val="21"/>
              </w:rPr>
            </w:pPr>
          </w:p>
        </w:tc>
        <w:tc>
          <w:tcPr>
            <w:tcW w:w="451" w:type="pct"/>
            <w:vAlign w:val="center"/>
          </w:tcPr>
          <w:p>
            <w:pPr>
              <w:spacing w:before="74"/>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731" w:type="pct"/>
            <w:vAlign w:val="center"/>
          </w:tcPr>
          <w:p>
            <w:pPr>
              <w:adjustRightInd w:val="0"/>
              <w:snapToGrid w:val="0"/>
              <w:spacing w:before="74"/>
              <w:jc w:val="center"/>
              <w:rPr>
                <w:rFonts w:ascii="Times New Roman" w:hAnsi="Times New Roman"/>
                <w:szCs w:val="21"/>
              </w:rPr>
            </w:pPr>
            <w:r>
              <w:rPr>
                <w:rFonts w:ascii="Times New Roman" w:hAnsi="Times New Roman"/>
                <w:szCs w:val="21"/>
              </w:rPr>
              <w:t>第90百分位数最大8h平均浓度</w:t>
            </w:r>
          </w:p>
        </w:tc>
        <w:tc>
          <w:tcPr>
            <w:tcW w:w="509" w:type="pct"/>
            <w:vAlign w:val="center"/>
          </w:tcPr>
          <w:p>
            <w:pPr>
              <w:spacing w:before="74"/>
              <w:jc w:val="center"/>
              <w:rPr>
                <w:rFonts w:ascii="Times New Roman" w:hAnsi="Times New Roman"/>
                <w:szCs w:val="21"/>
              </w:rPr>
            </w:pPr>
            <w:r>
              <w:rPr>
                <w:rFonts w:ascii="Times New Roman" w:hAnsi="Times New Roman"/>
                <w:szCs w:val="21"/>
              </w:rPr>
              <w:t>160</w:t>
            </w:r>
          </w:p>
        </w:tc>
        <w:tc>
          <w:tcPr>
            <w:tcW w:w="65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137</w:t>
            </w:r>
          </w:p>
        </w:tc>
        <w:tc>
          <w:tcPr>
            <w:tcW w:w="447"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85.6</w:t>
            </w:r>
          </w:p>
        </w:tc>
        <w:tc>
          <w:tcPr>
            <w:tcW w:w="401"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0</w:t>
            </w:r>
          </w:p>
        </w:tc>
        <w:tc>
          <w:tcPr>
            <w:tcW w:w="432" w:type="pct"/>
            <w:vAlign w:val="center"/>
          </w:tcPr>
          <w:p>
            <w:pPr>
              <w:pStyle w:val="82"/>
              <w:spacing w:before="24" w:after="24"/>
              <w:rPr>
                <w:rFonts w:ascii="Times New Roman" w:hAnsi="Times New Roman" w:cs="Times New Roman"/>
                <w:szCs w:val="21"/>
              </w:rPr>
            </w:pPr>
            <w:r>
              <w:rPr>
                <w:rFonts w:ascii="Times New Roman" w:hAnsi="Times New Roman" w:cs="Times New Roman"/>
                <w:szCs w:val="21"/>
              </w:rPr>
              <w:t>达标</w:t>
            </w:r>
          </w:p>
        </w:tc>
      </w:tr>
    </w:tbl>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由上表的结果可知，项目区基本污染物SO</w:t>
      </w:r>
      <w:r>
        <w:rPr>
          <w:rFonts w:ascii="Times New Roman" w:hAnsi="Times New Roman"/>
          <w:kern w:val="0"/>
          <w:sz w:val="24"/>
          <w:szCs w:val="24"/>
          <w:vertAlign w:val="subscript"/>
        </w:rPr>
        <w:t>2</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、CO和O</w:t>
      </w:r>
      <w:r>
        <w:rPr>
          <w:rFonts w:ascii="Times New Roman" w:hAnsi="Times New Roman"/>
          <w:kern w:val="0"/>
          <w:sz w:val="24"/>
          <w:szCs w:val="24"/>
          <w:vertAlign w:val="subscript"/>
        </w:rPr>
        <w:t>3</w:t>
      </w:r>
      <w:r>
        <w:rPr>
          <w:rFonts w:ascii="Times New Roman" w:hAnsi="Times New Roman"/>
          <w:kern w:val="0"/>
          <w:sz w:val="24"/>
          <w:szCs w:val="24"/>
        </w:rPr>
        <w:t>满足《环境空气质量标准》（GB3095-2012）二级标准要求，PM</w:t>
      </w:r>
      <w:r>
        <w:rPr>
          <w:rFonts w:ascii="Times New Roman" w:hAnsi="Times New Roman"/>
          <w:kern w:val="0"/>
          <w:sz w:val="24"/>
          <w:szCs w:val="24"/>
          <w:vertAlign w:val="subscript"/>
        </w:rPr>
        <w:t>10</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超过《环境空气质量标准》（GB3095-2012）二级标准要求。</w:t>
      </w:r>
    </w:p>
    <w:p>
      <w:pPr>
        <w:widowControl/>
        <w:adjustRightInd w:val="0"/>
        <w:spacing w:before="60" w:beforeLines="25" w:after="60" w:afterLines="25" w:line="360" w:lineRule="auto"/>
        <w:ind w:firstLine="480" w:firstLineChars="200"/>
        <w:jc w:val="left"/>
        <w:outlineLvl w:val="2"/>
        <w:rPr>
          <w:rFonts w:ascii="Times New Roman" w:hAnsi="Times New Roman"/>
          <w:b/>
          <w:kern w:val="0"/>
          <w:sz w:val="28"/>
          <w:szCs w:val="28"/>
        </w:rPr>
      </w:pPr>
      <w:r>
        <w:rPr>
          <w:rFonts w:ascii="Times New Roman" w:hAnsi="Times New Roman"/>
          <w:kern w:val="0"/>
          <w:sz w:val="24"/>
          <w:szCs w:val="24"/>
        </w:rPr>
        <w:t>根据湖南省人民政府 2018 年6月18日发布的《湖南省污染防治攻坚战三年行动计划（2018—2020）年》的通知（湘政发〔2018〕17号）要求：到2020年，岳阳、益阳 PM</w:t>
      </w:r>
      <w:r>
        <w:rPr>
          <w:rFonts w:ascii="Times New Roman" w:hAnsi="Times New Roman"/>
          <w:kern w:val="0"/>
          <w:sz w:val="24"/>
          <w:szCs w:val="24"/>
          <w:vertAlign w:val="subscript"/>
        </w:rPr>
        <w:t>2.5</w:t>
      </w:r>
      <w:r>
        <w:rPr>
          <w:rFonts w:ascii="Times New Roman" w:hAnsi="Times New Roman"/>
          <w:kern w:val="0"/>
          <w:sz w:val="24"/>
          <w:szCs w:val="24"/>
        </w:rPr>
        <w:t>年均浓度平均值下降到41μg /m</w:t>
      </w:r>
      <w:r>
        <w:rPr>
          <w:rFonts w:ascii="Times New Roman" w:hAnsi="Times New Roman"/>
          <w:kern w:val="0"/>
          <w:sz w:val="24"/>
          <w:szCs w:val="24"/>
          <w:vertAlign w:val="superscript"/>
        </w:rPr>
        <w:t>3</w:t>
      </w:r>
      <w:r>
        <w:rPr>
          <w:rFonts w:ascii="Times New Roman" w:hAnsi="Times New Roman"/>
          <w:kern w:val="0"/>
          <w:sz w:val="24"/>
          <w:szCs w:val="24"/>
        </w:rPr>
        <w:t>以下，PM</w:t>
      </w:r>
      <w:r>
        <w:rPr>
          <w:rFonts w:ascii="Times New Roman" w:hAnsi="Times New Roman"/>
          <w:kern w:val="0"/>
          <w:sz w:val="24"/>
          <w:szCs w:val="24"/>
          <w:vertAlign w:val="subscript"/>
        </w:rPr>
        <w:t>10</w:t>
      </w:r>
      <w:r>
        <w:rPr>
          <w:rFonts w:ascii="Times New Roman" w:hAnsi="Times New Roman"/>
          <w:kern w:val="0"/>
          <w:sz w:val="24"/>
          <w:szCs w:val="24"/>
        </w:rPr>
        <w:t>年均浓度平均值下降到68μg /m</w:t>
      </w:r>
      <w:r>
        <w:rPr>
          <w:rFonts w:ascii="Times New Roman" w:hAnsi="Times New Roman"/>
          <w:kern w:val="0"/>
          <w:sz w:val="24"/>
          <w:szCs w:val="24"/>
          <w:vertAlign w:val="superscript"/>
        </w:rPr>
        <w:t>3</w:t>
      </w:r>
      <w:r>
        <w:rPr>
          <w:rFonts w:ascii="Times New Roman" w:hAnsi="Times New Roman"/>
          <w:kern w:val="0"/>
          <w:sz w:val="24"/>
          <w:szCs w:val="24"/>
        </w:rPr>
        <w:t>以下，同时根据岳阳市大气污染防治行动计划等要求，当地政府加大环境治理力度，采取更为严格的大气防治手段，大气环境质量将得到改善。</w:t>
      </w:r>
    </w:p>
    <w:p>
      <w:pPr>
        <w:widowControl/>
        <w:adjustRightInd w:val="0"/>
        <w:spacing w:before="60" w:beforeLines="25" w:after="60"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4.3.2其他污染物环境质量现状</w:t>
      </w:r>
    </w:p>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u w:val="single"/>
        </w:rPr>
        <w:t>本项目其他特征污染物为二噁英、</w:t>
      </w:r>
      <w:r>
        <w:rPr>
          <w:rFonts w:hint="eastAsia" w:ascii="Times New Roman" w:hAnsi="Times New Roman"/>
          <w:kern w:val="0"/>
          <w:sz w:val="24"/>
          <w:szCs w:val="24"/>
          <w:u w:val="single"/>
        </w:rPr>
        <w:t>镍、</w:t>
      </w:r>
      <w:r>
        <w:rPr>
          <w:rFonts w:ascii="Times New Roman" w:hAnsi="Times New Roman"/>
          <w:kern w:val="0"/>
          <w:sz w:val="24"/>
          <w:szCs w:val="24"/>
          <w:u w:val="single"/>
        </w:rPr>
        <w:t>硫化氢和氨，根据《环境影响评价技术导则 大气环境》（HJ2.2-2018）第6.2.2.2条“评价范围内没有环境空气质量监测网数据或公开发布的环境空气质量现状数据的，可收集评价范围内近3年与项目排放的其他污染物有关的历史监测资料”。由于环境空气中的镍没有小时和日均浓度标准，因此本项目没有补充监测环境空气中的镍。</w:t>
      </w:r>
      <w:r>
        <w:rPr>
          <w:rFonts w:ascii="Times New Roman" w:hAnsi="Times New Roman"/>
          <w:kern w:val="0"/>
          <w:sz w:val="24"/>
          <w:szCs w:val="24"/>
        </w:rPr>
        <w:t xml:space="preserve">  </w:t>
      </w:r>
    </w:p>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本评价二噁英的环境空气质量数据引用《岳阳市城市生活垃圾焚烧发电项目验收监测报告》中委托湖南品标华测检测技术有限公司于 2020 年 3月对泾港村五组居民点的监测结果。硫化氢及氨的环境空气质量数据引用《中国石油化工股份有限公司长岭分公司渣油加氢处理装置 1000 吨/年渣油 FITS 加氢侧线项目环境影响报告书》对项目上下风向的监测结果。</w:t>
      </w:r>
    </w:p>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具体情况如下表。</w:t>
      </w:r>
    </w:p>
    <w:p>
      <w:pPr>
        <w:widowControl/>
        <w:adjustRightInd w:val="0"/>
        <w:snapToGrid w:val="0"/>
        <w:spacing w:before="120" w:beforeLines="50" w:line="360" w:lineRule="auto"/>
        <w:ind w:left="992"/>
        <w:jc w:val="center"/>
        <w:rPr>
          <w:rFonts w:ascii="Times New Roman" w:hAnsi="Times New Roman"/>
          <w:b/>
          <w:bCs/>
          <w:sz w:val="24"/>
          <w:szCs w:val="20"/>
        </w:rPr>
      </w:pPr>
      <w:r>
        <w:rPr>
          <w:rFonts w:ascii="Times New Roman" w:hAnsi="Times New Roman"/>
          <w:b/>
          <w:bCs/>
          <w:sz w:val="24"/>
          <w:szCs w:val="20"/>
        </w:rPr>
        <w:t>表4.3.2-1其他污染物监测点位基本信息</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856"/>
        <w:gridCol w:w="994"/>
        <w:gridCol w:w="1174"/>
        <w:gridCol w:w="1487"/>
        <w:gridCol w:w="1487"/>
        <w:gridCol w:w="1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blHeader/>
          <w:jc w:val="center"/>
        </w:trPr>
        <w:tc>
          <w:tcPr>
            <w:tcW w:w="1526" w:type="dxa"/>
            <w:vMerge w:val="restart"/>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监测点名称</w:t>
            </w:r>
          </w:p>
        </w:tc>
        <w:tc>
          <w:tcPr>
            <w:tcW w:w="1850" w:type="dxa"/>
            <w:gridSpan w:val="2"/>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监测点坐标/m</w:t>
            </w:r>
          </w:p>
        </w:tc>
        <w:tc>
          <w:tcPr>
            <w:tcW w:w="1174" w:type="dxa"/>
            <w:vMerge w:val="restart"/>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监测因子</w:t>
            </w:r>
          </w:p>
        </w:tc>
        <w:tc>
          <w:tcPr>
            <w:tcW w:w="1487" w:type="dxa"/>
            <w:vMerge w:val="restart"/>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监测时段</w:t>
            </w:r>
          </w:p>
        </w:tc>
        <w:tc>
          <w:tcPr>
            <w:tcW w:w="1487" w:type="dxa"/>
            <w:vMerge w:val="restart"/>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相对项目方位</w:t>
            </w:r>
          </w:p>
        </w:tc>
        <w:tc>
          <w:tcPr>
            <w:tcW w:w="1480" w:type="dxa"/>
            <w:vMerge w:val="restart"/>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相对项目距离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1526"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856" w:type="dxa"/>
            <w:shd w:val="clear" w:color="auto" w:fill="FFFFFF"/>
            <w:vAlign w:val="center"/>
          </w:tcPr>
          <w:p>
            <w:pPr>
              <w:widowControl/>
              <w:adjustRightInd w:val="0"/>
              <w:snapToGrid w:val="0"/>
              <w:spacing w:before="24" w:after="24"/>
              <w:jc w:val="center"/>
              <w:rPr>
                <w:rFonts w:ascii="Times New Roman" w:hAnsi="Times New Roman"/>
                <w:b/>
                <w:i/>
                <w:kern w:val="0"/>
                <w:szCs w:val="21"/>
              </w:rPr>
            </w:pPr>
            <w:r>
              <w:rPr>
                <w:rFonts w:ascii="Times New Roman" w:hAnsi="Times New Roman"/>
                <w:b/>
                <w:i/>
                <w:kern w:val="0"/>
                <w:szCs w:val="21"/>
              </w:rPr>
              <w:t>X</w:t>
            </w:r>
          </w:p>
        </w:tc>
        <w:tc>
          <w:tcPr>
            <w:tcW w:w="994" w:type="dxa"/>
            <w:shd w:val="clear" w:color="auto" w:fill="FFFFFF"/>
            <w:vAlign w:val="center"/>
          </w:tcPr>
          <w:p>
            <w:pPr>
              <w:widowControl/>
              <w:adjustRightInd w:val="0"/>
              <w:snapToGrid w:val="0"/>
              <w:spacing w:before="24" w:after="24"/>
              <w:jc w:val="center"/>
              <w:rPr>
                <w:rFonts w:ascii="Times New Roman" w:hAnsi="Times New Roman"/>
                <w:b/>
                <w:i/>
                <w:kern w:val="0"/>
                <w:szCs w:val="21"/>
              </w:rPr>
            </w:pPr>
            <w:r>
              <w:rPr>
                <w:rFonts w:ascii="Times New Roman" w:hAnsi="Times New Roman"/>
                <w:b/>
                <w:i/>
                <w:kern w:val="0"/>
                <w:szCs w:val="21"/>
              </w:rPr>
              <w:t>Y</w:t>
            </w:r>
          </w:p>
        </w:tc>
        <w:tc>
          <w:tcPr>
            <w:tcW w:w="1174"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487"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487"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480"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526"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泾港村五组</w:t>
            </w:r>
          </w:p>
        </w:tc>
        <w:tc>
          <w:tcPr>
            <w:tcW w:w="856" w:type="dxa"/>
            <w:shd w:val="clear" w:color="auto" w:fill="FFFFFF"/>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-4131</w:t>
            </w:r>
          </w:p>
        </w:tc>
        <w:tc>
          <w:tcPr>
            <w:tcW w:w="994" w:type="dxa"/>
            <w:shd w:val="clear" w:color="auto" w:fill="FFFFFF"/>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8641</w:t>
            </w:r>
          </w:p>
        </w:tc>
        <w:tc>
          <w:tcPr>
            <w:tcW w:w="1174"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二噁英</w:t>
            </w:r>
          </w:p>
        </w:tc>
        <w:tc>
          <w:tcPr>
            <w:tcW w:w="1487"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日均值</w:t>
            </w:r>
          </w:p>
        </w:tc>
        <w:tc>
          <w:tcPr>
            <w:tcW w:w="1487" w:type="dxa"/>
            <w:shd w:val="clear" w:color="auto" w:fill="FFFFFF"/>
            <w:vAlign w:val="center"/>
          </w:tcPr>
          <w:p>
            <w:pPr>
              <w:widowControl/>
              <w:jc w:val="center"/>
              <w:rPr>
                <w:rFonts w:ascii="Times New Roman" w:hAnsi="Times New Roman"/>
                <w:kern w:val="0"/>
                <w:szCs w:val="21"/>
              </w:rPr>
            </w:pPr>
            <w:r>
              <w:rPr>
                <w:rFonts w:ascii="Times New Roman" w:hAnsi="Times New Roman"/>
                <w:kern w:val="0"/>
                <w:szCs w:val="21"/>
              </w:rPr>
              <w:t>西北</w:t>
            </w:r>
          </w:p>
        </w:tc>
        <w:tc>
          <w:tcPr>
            <w:tcW w:w="1480" w:type="dxa"/>
            <w:shd w:val="clear" w:color="auto" w:fill="FFFFFF"/>
            <w:vAlign w:val="center"/>
          </w:tcPr>
          <w:p>
            <w:pPr>
              <w:widowControl/>
              <w:jc w:val="center"/>
              <w:rPr>
                <w:rFonts w:ascii="Times New Roman" w:hAnsi="Times New Roman"/>
                <w:kern w:val="0"/>
                <w:szCs w:val="21"/>
              </w:rPr>
            </w:pPr>
            <w:r>
              <w:rPr>
                <w:rFonts w:ascii="Times New Roman" w:hAnsi="Times New Roman"/>
                <w:kern w:val="0"/>
                <w:szCs w:val="21"/>
              </w:rPr>
              <w:t>9.74km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526"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G1</w:t>
            </w:r>
          </w:p>
        </w:tc>
        <w:tc>
          <w:tcPr>
            <w:tcW w:w="856" w:type="dxa"/>
            <w:shd w:val="clear" w:color="auto" w:fill="FFFFFF"/>
            <w:vAlign w:val="center"/>
          </w:tcPr>
          <w:p>
            <w:pPr>
              <w:jc w:val="center"/>
              <w:rPr>
                <w:rFonts w:ascii="Times New Roman" w:hAnsi="Times New Roman"/>
                <w:sz w:val="20"/>
                <w:szCs w:val="20"/>
              </w:rPr>
            </w:pPr>
            <w:r>
              <w:rPr>
                <w:rFonts w:ascii="Times New Roman" w:hAnsi="Times New Roman"/>
                <w:sz w:val="20"/>
                <w:szCs w:val="20"/>
              </w:rPr>
              <w:t>-449</w:t>
            </w:r>
          </w:p>
        </w:tc>
        <w:tc>
          <w:tcPr>
            <w:tcW w:w="994" w:type="dxa"/>
            <w:shd w:val="clear" w:color="auto" w:fill="FFFFFF"/>
            <w:vAlign w:val="center"/>
          </w:tcPr>
          <w:p>
            <w:pPr>
              <w:jc w:val="center"/>
              <w:rPr>
                <w:rFonts w:ascii="Times New Roman" w:hAnsi="Times New Roman"/>
                <w:sz w:val="20"/>
                <w:szCs w:val="20"/>
              </w:rPr>
            </w:pPr>
            <w:r>
              <w:rPr>
                <w:rFonts w:ascii="Times New Roman" w:hAnsi="Times New Roman"/>
                <w:sz w:val="20"/>
                <w:szCs w:val="20"/>
              </w:rPr>
              <w:t>425</w:t>
            </w:r>
          </w:p>
        </w:tc>
        <w:tc>
          <w:tcPr>
            <w:tcW w:w="1174" w:type="dxa"/>
            <w:shd w:val="clear" w:color="auto" w:fill="FFFFFF"/>
            <w:vAlign w:val="center"/>
          </w:tcPr>
          <w:p>
            <w:pPr>
              <w:adjustRightInd w:val="0"/>
              <w:snapToGrid w:val="0"/>
              <w:spacing w:before="24" w:after="24"/>
              <w:jc w:val="center"/>
              <w:rPr>
                <w:rFonts w:ascii="Times New Roman" w:hAnsi="Times New Roman"/>
                <w:kern w:val="0"/>
                <w:szCs w:val="21"/>
              </w:rPr>
            </w:pPr>
            <w:r>
              <w:rPr>
                <w:rFonts w:ascii="Times New Roman" w:hAnsi="Times New Roman"/>
                <w:kern w:val="0"/>
                <w:szCs w:val="21"/>
              </w:rPr>
              <w:t>硫化氢、氨</w:t>
            </w:r>
          </w:p>
        </w:tc>
        <w:tc>
          <w:tcPr>
            <w:tcW w:w="1487" w:type="dxa"/>
            <w:shd w:val="clear" w:color="auto" w:fill="FFFFFF"/>
            <w:vAlign w:val="center"/>
          </w:tcPr>
          <w:p>
            <w:pPr>
              <w:adjustRightInd w:val="0"/>
              <w:snapToGrid w:val="0"/>
              <w:spacing w:before="24" w:after="24"/>
              <w:jc w:val="center"/>
              <w:rPr>
                <w:rFonts w:ascii="Times New Roman" w:hAnsi="Times New Roman"/>
                <w:kern w:val="0"/>
                <w:szCs w:val="21"/>
              </w:rPr>
            </w:pPr>
            <w:r>
              <w:rPr>
                <w:rFonts w:ascii="Times New Roman" w:hAnsi="Times New Roman"/>
                <w:kern w:val="0"/>
                <w:szCs w:val="21"/>
              </w:rPr>
              <w:t>小时值</w:t>
            </w:r>
          </w:p>
        </w:tc>
        <w:tc>
          <w:tcPr>
            <w:tcW w:w="1487" w:type="dxa"/>
            <w:shd w:val="clear" w:color="auto" w:fill="FFFFFF"/>
            <w:vAlign w:val="center"/>
          </w:tcPr>
          <w:p>
            <w:pPr>
              <w:widowControl/>
              <w:spacing w:before="74"/>
              <w:jc w:val="center"/>
              <w:rPr>
                <w:rFonts w:ascii="Times New Roman" w:hAnsi="Times New Roman"/>
                <w:kern w:val="0"/>
                <w:szCs w:val="21"/>
              </w:rPr>
            </w:pPr>
            <w:r>
              <w:rPr>
                <w:rFonts w:ascii="Times New Roman" w:hAnsi="Times New Roman"/>
                <w:kern w:val="0"/>
                <w:szCs w:val="21"/>
              </w:rPr>
              <w:t>西北</w:t>
            </w:r>
          </w:p>
        </w:tc>
        <w:tc>
          <w:tcPr>
            <w:tcW w:w="1480" w:type="dxa"/>
            <w:shd w:val="clear" w:color="auto" w:fill="FFFFFF"/>
            <w:vAlign w:val="center"/>
          </w:tcPr>
          <w:p>
            <w:pPr>
              <w:widowControl/>
              <w:spacing w:before="74"/>
              <w:jc w:val="center"/>
              <w:rPr>
                <w:rFonts w:ascii="Times New Roman" w:hAnsi="Times New Roman"/>
                <w:kern w:val="0"/>
                <w:szCs w:val="21"/>
              </w:rPr>
            </w:pPr>
            <w:r>
              <w:rPr>
                <w:rFonts w:ascii="Times New Roman" w:hAnsi="Times New Roman"/>
                <w:kern w:val="0"/>
                <w:szCs w:val="21"/>
              </w:rPr>
              <w:t>0.64 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526"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G2</w:t>
            </w:r>
          </w:p>
        </w:tc>
        <w:tc>
          <w:tcPr>
            <w:tcW w:w="856" w:type="dxa"/>
            <w:shd w:val="clear" w:color="auto" w:fill="FFFFFF"/>
            <w:vAlign w:val="center"/>
          </w:tcPr>
          <w:p>
            <w:pPr>
              <w:ind w:left="-105" w:leftChars="-50"/>
              <w:jc w:val="center"/>
              <w:rPr>
                <w:rFonts w:ascii="Times New Roman" w:hAnsi="Times New Roman"/>
                <w:sz w:val="20"/>
                <w:szCs w:val="20"/>
              </w:rPr>
            </w:pPr>
            <w:r>
              <w:rPr>
                <w:rFonts w:ascii="Times New Roman" w:hAnsi="Times New Roman"/>
                <w:sz w:val="20"/>
                <w:szCs w:val="20"/>
              </w:rPr>
              <w:t>-1433</w:t>
            </w:r>
          </w:p>
        </w:tc>
        <w:tc>
          <w:tcPr>
            <w:tcW w:w="994" w:type="dxa"/>
            <w:shd w:val="clear" w:color="auto" w:fill="FFFFFF"/>
            <w:vAlign w:val="center"/>
          </w:tcPr>
          <w:p>
            <w:pPr>
              <w:jc w:val="center"/>
              <w:rPr>
                <w:rFonts w:ascii="Times New Roman" w:hAnsi="Times New Roman"/>
                <w:sz w:val="20"/>
                <w:szCs w:val="20"/>
              </w:rPr>
            </w:pPr>
            <w:r>
              <w:rPr>
                <w:rFonts w:ascii="Times New Roman" w:hAnsi="Times New Roman"/>
                <w:sz w:val="20"/>
                <w:szCs w:val="20"/>
              </w:rPr>
              <w:t>206</w:t>
            </w:r>
          </w:p>
        </w:tc>
        <w:tc>
          <w:tcPr>
            <w:tcW w:w="1174" w:type="dxa"/>
            <w:shd w:val="clear" w:color="auto" w:fill="FFFFFF"/>
            <w:vAlign w:val="center"/>
          </w:tcPr>
          <w:p>
            <w:pPr>
              <w:adjustRightInd w:val="0"/>
              <w:snapToGrid w:val="0"/>
              <w:spacing w:before="24" w:after="24"/>
              <w:jc w:val="center"/>
              <w:rPr>
                <w:rFonts w:ascii="Times New Roman" w:hAnsi="Times New Roman"/>
                <w:kern w:val="0"/>
                <w:szCs w:val="21"/>
              </w:rPr>
            </w:pPr>
            <w:r>
              <w:rPr>
                <w:rFonts w:ascii="Times New Roman" w:hAnsi="Times New Roman"/>
                <w:kern w:val="0"/>
                <w:szCs w:val="21"/>
              </w:rPr>
              <w:t>硫化氢、氨</w:t>
            </w:r>
          </w:p>
        </w:tc>
        <w:tc>
          <w:tcPr>
            <w:tcW w:w="1487" w:type="dxa"/>
            <w:shd w:val="clear" w:color="auto" w:fill="FFFFFF"/>
            <w:vAlign w:val="center"/>
          </w:tcPr>
          <w:p>
            <w:pPr>
              <w:adjustRightInd w:val="0"/>
              <w:snapToGrid w:val="0"/>
              <w:spacing w:before="24" w:after="24"/>
              <w:jc w:val="center"/>
              <w:rPr>
                <w:rFonts w:ascii="Times New Roman" w:hAnsi="Times New Roman"/>
                <w:kern w:val="0"/>
                <w:szCs w:val="21"/>
              </w:rPr>
            </w:pPr>
            <w:r>
              <w:rPr>
                <w:rFonts w:ascii="Times New Roman" w:hAnsi="Times New Roman"/>
                <w:kern w:val="0"/>
                <w:szCs w:val="21"/>
              </w:rPr>
              <w:t>小时值</w:t>
            </w:r>
          </w:p>
        </w:tc>
        <w:tc>
          <w:tcPr>
            <w:tcW w:w="1487" w:type="dxa"/>
            <w:shd w:val="clear" w:color="auto" w:fill="FFFFFF"/>
            <w:vAlign w:val="center"/>
          </w:tcPr>
          <w:p>
            <w:pPr>
              <w:widowControl/>
              <w:spacing w:before="74"/>
              <w:jc w:val="center"/>
              <w:rPr>
                <w:rFonts w:ascii="Times New Roman" w:hAnsi="Times New Roman"/>
                <w:kern w:val="0"/>
                <w:szCs w:val="21"/>
              </w:rPr>
            </w:pPr>
            <w:r>
              <w:rPr>
                <w:rFonts w:ascii="Times New Roman" w:hAnsi="Times New Roman"/>
                <w:kern w:val="0"/>
                <w:szCs w:val="21"/>
              </w:rPr>
              <w:t>西北</w:t>
            </w:r>
          </w:p>
        </w:tc>
        <w:tc>
          <w:tcPr>
            <w:tcW w:w="1480" w:type="dxa"/>
            <w:shd w:val="clear" w:color="auto" w:fill="FFFFFF"/>
            <w:vAlign w:val="center"/>
          </w:tcPr>
          <w:p>
            <w:pPr>
              <w:widowControl/>
              <w:spacing w:before="74"/>
              <w:jc w:val="center"/>
              <w:rPr>
                <w:rFonts w:ascii="Times New Roman" w:hAnsi="Times New Roman"/>
                <w:kern w:val="0"/>
                <w:szCs w:val="21"/>
              </w:rPr>
            </w:pPr>
            <w:r>
              <w:rPr>
                <w:rFonts w:ascii="Times New Roman" w:hAnsi="Times New Roman"/>
                <w:kern w:val="0"/>
                <w:szCs w:val="21"/>
              </w:rPr>
              <w:t>1.57 km</w:t>
            </w:r>
          </w:p>
        </w:tc>
      </w:tr>
    </w:tbl>
    <w:p>
      <w:pPr>
        <w:widowControl/>
        <w:jc w:val="left"/>
        <w:rPr>
          <w:rFonts w:ascii="Times New Roman" w:hAnsi="Times New Roman"/>
          <w:kern w:val="0"/>
          <w:sz w:val="24"/>
          <w:szCs w:val="24"/>
        </w:rPr>
      </w:pPr>
    </w:p>
    <w:p>
      <w:pPr>
        <w:widowControl/>
        <w:adjustRightInd w:val="0"/>
        <w:snapToGrid w:val="0"/>
        <w:spacing w:before="120" w:beforeLines="50" w:line="360" w:lineRule="auto"/>
        <w:ind w:left="992"/>
        <w:jc w:val="center"/>
        <w:rPr>
          <w:rFonts w:ascii="Times New Roman" w:hAnsi="Times New Roman"/>
          <w:b/>
          <w:bCs/>
          <w:sz w:val="24"/>
          <w:szCs w:val="20"/>
        </w:rPr>
      </w:pPr>
    </w:p>
    <w:p>
      <w:pPr>
        <w:widowControl/>
        <w:adjustRightInd w:val="0"/>
        <w:snapToGrid w:val="0"/>
        <w:spacing w:before="120" w:beforeLines="50" w:line="360" w:lineRule="auto"/>
        <w:ind w:left="992"/>
        <w:jc w:val="center"/>
        <w:rPr>
          <w:rFonts w:ascii="Times New Roman" w:hAnsi="Times New Roman"/>
          <w:b/>
          <w:bCs/>
          <w:sz w:val="24"/>
          <w:szCs w:val="20"/>
        </w:rPr>
      </w:pPr>
    </w:p>
    <w:p>
      <w:pPr>
        <w:widowControl/>
        <w:adjustRightInd w:val="0"/>
        <w:snapToGrid w:val="0"/>
        <w:spacing w:before="120" w:beforeLines="50" w:line="360" w:lineRule="auto"/>
        <w:ind w:left="992"/>
        <w:jc w:val="center"/>
        <w:rPr>
          <w:rFonts w:ascii="Times New Roman" w:hAnsi="Times New Roman"/>
          <w:b/>
          <w:bCs/>
          <w:sz w:val="24"/>
          <w:szCs w:val="20"/>
        </w:rPr>
      </w:pPr>
      <w:r>
        <w:rPr>
          <w:rFonts w:ascii="Times New Roman" w:hAnsi="Times New Roman"/>
          <w:b/>
          <w:bCs/>
          <w:sz w:val="24"/>
          <w:szCs w:val="20"/>
        </w:rPr>
        <w:t>表4.3.2-2其他污染物环境质量监测结果表</w:t>
      </w:r>
    </w:p>
    <w:tbl>
      <w:tblPr>
        <w:tblStyle w:val="45"/>
        <w:tblW w:w="90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634"/>
        <w:gridCol w:w="658"/>
        <w:gridCol w:w="850"/>
        <w:gridCol w:w="903"/>
        <w:gridCol w:w="1146"/>
        <w:gridCol w:w="1350"/>
        <w:gridCol w:w="1055"/>
        <w:gridCol w:w="953"/>
        <w:gridCol w:w="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801"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监测点位</w:t>
            </w:r>
          </w:p>
        </w:tc>
        <w:tc>
          <w:tcPr>
            <w:tcW w:w="1292" w:type="dxa"/>
            <w:gridSpan w:val="2"/>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监测点坐标/m</w:t>
            </w:r>
          </w:p>
        </w:tc>
        <w:tc>
          <w:tcPr>
            <w:tcW w:w="850"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污染物</w:t>
            </w:r>
          </w:p>
        </w:tc>
        <w:tc>
          <w:tcPr>
            <w:tcW w:w="903"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平均时间</w:t>
            </w:r>
          </w:p>
        </w:tc>
        <w:tc>
          <w:tcPr>
            <w:tcW w:w="1146"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评价标准/</w:t>
            </w:r>
          </w:p>
          <w:p>
            <w:pPr>
              <w:widowControl/>
              <w:adjustRightInd w:val="0"/>
              <w:snapToGrid w:val="0"/>
              <w:jc w:val="center"/>
              <w:rPr>
                <w:rFonts w:ascii="Times New Roman" w:hAnsi="Times New Roman"/>
                <w:b/>
                <w:kern w:val="0"/>
                <w:szCs w:val="21"/>
              </w:rPr>
            </w:pPr>
            <w:r>
              <w:rPr>
                <w:rFonts w:ascii="Times New Roman" w:hAnsi="Times New Roman"/>
                <w:b/>
                <w:kern w:val="0"/>
                <w:szCs w:val="21"/>
              </w:rPr>
              <w:t>（μg/m</w:t>
            </w:r>
            <w:r>
              <w:rPr>
                <w:rFonts w:ascii="Times New Roman" w:hAnsi="Times New Roman"/>
                <w:b/>
                <w:kern w:val="0"/>
                <w:szCs w:val="21"/>
                <w:vertAlign w:val="superscript"/>
              </w:rPr>
              <w:t>3</w:t>
            </w:r>
            <w:r>
              <w:rPr>
                <w:rFonts w:ascii="Times New Roman" w:hAnsi="Times New Roman"/>
                <w:b/>
                <w:kern w:val="0"/>
                <w:szCs w:val="21"/>
              </w:rPr>
              <w:t>）</w:t>
            </w:r>
          </w:p>
        </w:tc>
        <w:tc>
          <w:tcPr>
            <w:tcW w:w="1350"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监测浓度范围/（μg/m</w:t>
            </w:r>
            <w:r>
              <w:rPr>
                <w:rFonts w:ascii="Times New Roman" w:hAnsi="Times New Roman"/>
                <w:b/>
                <w:kern w:val="0"/>
                <w:szCs w:val="21"/>
                <w:vertAlign w:val="superscript"/>
              </w:rPr>
              <w:t>3</w:t>
            </w:r>
            <w:r>
              <w:rPr>
                <w:rFonts w:ascii="Times New Roman" w:hAnsi="Times New Roman"/>
                <w:b/>
                <w:kern w:val="0"/>
                <w:szCs w:val="21"/>
              </w:rPr>
              <w:t>）</w:t>
            </w:r>
          </w:p>
        </w:tc>
        <w:tc>
          <w:tcPr>
            <w:tcW w:w="1055"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最大浓度占标率/%</w:t>
            </w:r>
          </w:p>
        </w:tc>
        <w:tc>
          <w:tcPr>
            <w:tcW w:w="953"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超标率/%</w:t>
            </w:r>
          </w:p>
        </w:tc>
        <w:tc>
          <w:tcPr>
            <w:tcW w:w="715" w:type="dxa"/>
            <w:vMerge w:val="restart"/>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达标</w:t>
            </w:r>
            <w:r>
              <w:rPr>
                <w:rFonts w:ascii="Times New Roman" w:hAnsi="Times New Roman"/>
                <w:b/>
                <w:kern w:val="0"/>
                <w:szCs w:val="21"/>
              </w:rPr>
              <w:br w:type="textWrapping"/>
            </w:r>
            <w:r>
              <w:rPr>
                <w:rFonts w:ascii="Times New Roman" w:hAnsi="Times New Roman"/>
                <w:b/>
                <w:kern w:val="0"/>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1"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634" w:type="dxa"/>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i/>
                <w:kern w:val="0"/>
                <w:szCs w:val="21"/>
              </w:rPr>
              <w:t>X</w:t>
            </w:r>
          </w:p>
        </w:tc>
        <w:tc>
          <w:tcPr>
            <w:tcW w:w="658" w:type="dxa"/>
            <w:shd w:val="clear" w:color="auto" w:fill="FFFFFF"/>
            <w:vAlign w:val="center"/>
          </w:tcPr>
          <w:p>
            <w:pPr>
              <w:widowControl/>
              <w:adjustRightInd w:val="0"/>
              <w:snapToGrid w:val="0"/>
              <w:jc w:val="center"/>
              <w:rPr>
                <w:rFonts w:ascii="Times New Roman" w:hAnsi="Times New Roman"/>
                <w:b/>
                <w:kern w:val="0"/>
                <w:szCs w:val="21"/>
              </w:rPr>
            </w:pPr>
            <w:r>
              <w:rPr>
                <w:rFonts w:ascii="Times New Roman" w:hAnsi="Times New Roman"/>
                <w:b/>
                <w:i/>
                <w:kern w:val="0"/>
                <w:szCs w:val="21"/>
              </w:rPr>
              <w:t>Y</w:t>
            </w:r>
          </w:p>
        </w:tc>
        <w:tc>
          <w:tcPr>
            <w:tcW w:w="850"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903"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1146"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1350"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1055"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953" w:type="dxa"/>
            <w:vMerge w:val="continue"/>
            <w:shd w:val="clear" w:color="auto" w:fill="FFFFFF"/>
            <w:vAlign w:val="center"/>
          </w:tcPr>
          <w:p>
            <w:pPr>
              <w:widowControl/>
              <w:adjustRightInd w:val="0"/>
              <w:snapToGrid w:val="0"/>
              <w:jc w:val="center"/>
              <w:rPr>
                <w:rFonts w:ascii="Times New Roman" w:hAnsi="Times New Roman"/>
                <w:kern w:val="0"/>
                <w:szCs w:val="21"/>
              </w:rPr>
            </w:pPr>
          </w:p>
        </w:tc>
        <w:tc>
          <w:tcPr>
            <w:tcW w:w="715" w:type="dxa"/>
            <w:vMerge w:val="continue"/>
            <w:shd w:val="clear" w:color="auto" w:fill="FFFFFF"/>
            <w:vAlign w:val="center"/>
          </w:tcPr>
          <w:p>
            <w:pPr>
              <w:widowControl/>
              <w:adjustRightInd w:val="0"/>
              <w:snapToGrid w:val="0"/>
              <w:jc w:val="center"/>
              <w:rPr>
                <w:rFonts w:ascii="Times New Roman" w:hAnsi="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1" w:type="dxa"/>
            <w:shd w:val="clear" w:color="auto" w:fill="FFFFFF"/>
            <w:vAlign w:val="center"/>
          </w:tcPr>
          <w:p>
            <w:pPr>
              <w:widowControl/>
              <w:adjustRightInd w:val="0"/>
              <w:snapToGrid w:val="0"/>
              <w:ind w:left="-105" w:leftChars="-50" w:right="-105" w:rightChars="-50"/>
              <w:jc w:val="center"/>
              <w:rPr>
                <w:rFonts w:ascii="Times New Roman" w:hAnsi="Times New Roman"/>
                <w:kern w:val="0"/>
                <w:szCs w:val="21"/>
              </w:rPr>
            </w:pPr>
            <w:r>
              <w:rPr>
                <w:rFonts w:ascii="Times New Roman" w:hAnsi="Times New Roman"/>
                <w:kern w:val="0"/>
                <w:szCs w:val="21"/>
              </w:rPr>
              <w:t>泾港村五组</w:t>
            </w:r>
          </w:p>
        </w:tc>
        <w:tc>
          <w:tcPr>
            <w:tcW w:w="634" w:type="dxa"/>
            <w:shd w:val="clear" w:color="auto" w:fill="FFFFFF"/>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-4131</w:t>
            </w:r>
          </w:p>
        </w:tc>
        <w:tc>
          <w:tcPr>
            <w:tcW w:w="658" w:type="dxa"/>
            <w:shd w:val="clear" w:color="auto" w:fill="FFFFFF"/>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8641</w:t>
            </w:r>
          </w:p>
        </w:tc>
        <w:tc>
          <w:tcPr>
            <w:tcW w:w="850"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二噁英</w:t>
            </w:r>
          </w:p>
        </w:tc>
        <w:tc>
          <w:tcPr>
            <w:tcW w:w="903"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日均值</w:t>
            </w:r>
          </w:p>
        </w:tc>
        <w:tc>
          <w:tcPr>
            <w:tcW w:w="1146"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1350"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0.064pgTEQ/m</w:t>
            </w:r>
            <w:r>
              <w:rPr>
                <w:rFonts w:ascii="Times New Roman" w:hAnsi="Times New Roman"/>
                <w:kern w:val="0"/>
                <w:szCs w:val="21"/>
                <w:vertAlign w:val="superscript"/>
              </w:rPr>
              <w:t>3</w:t>
            </w:r>
          </w:p>
        </w:tc>
        <w:tc>
          <w:tcPr>
            <w:tcW w:w="105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953"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71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1" w:type="dxa"/>
            <w:vMerge w:val="restart"/>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G1</w:t>
            </w:r>
          </w:p>
        </w:tc>
        <w:tc>
          <w:tcPr>
            <w:tcW w:w="634" w:type="dxa"/>
            <w:vMerge w:val="restart"/>
            <w:shd w:val="clear" w:color="auto" w:fill="FFFFFF"/>
            <w:vAlign w:val="center"/>
          </w:tcPr>
          <w:p>
            <w:pPr>
              <w:jc w:val="center"/>
              <w:rPr>
                <w:rFonts w:ascii="Times New Roman" w:hAnsi="Times New Roman"/>
                <w:sz w:val="20"/>
                <w:szCs w:val="20"/>
              </w:rPr>
            </w:pPr>
            <w:r>
              <w:rPr>
                <w:rFonts w:ascii="Times New Roman" w:hAnsi="Times New Roman"/>
                <w:sz w:val="20"/>
                <w:szCs w:val="20"/>
              </w:rPr>
              <w:t>-449</w:t>
            </w:r>
          </w:p>
        </w:tc>
        <w:tc>
          <w:tcPr>
            <w:tcW w:w="658" w:type="dxa"/>
            <w:vMerge w:val="restart"/>
            <w:shd w:val="clear" w:color="auto" w:fill="FFFFFF"/>
            <w:vAlign w:val="center"/>
          </w:tcPr>
          <w:p>
            <w:pPr>
              <w:jc w:val="center"/>
              <w:rPr>
                <w:rFonts w:ascii="Times New Roman" w:hAnsi="Times New Roman"/>
                <w:sz w:val="20"/>
                <w:szCs w:val="20"/>
              </w:rPr>
            </w:pPr>
            <w:r>
              <w:rPr>
                <w:rFonts w:ascii="Times New Roman" w:hAnsi="Times New Roman"/>
                <w:sz w:val="20"/>
                <w:szCs w:val="20"/>
              </w:rPr>
              <w:t>425</w:t>
            </w:r>
          </w:p>
        </w:tc>
        <w:tc>
          <w:tcPr>
            <w:tcW w:w="850"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硫化氢</w:t>
            </w:r>
          </w:p>
        </w:tc>
        <w:tc>
          <w:tcPr>
            <w:tcW w:w="903" w:type="dxa"/>
            <w:shd w:val="clear" w:color="auto" w:fill="FFFFFF"/>
            <w:vAlign w:val="center"/>
          </w:tcPr>
          <w:p>
            <w:pPr>
              <w:adjustRightInd w:val="0"/>
              <w:snapToGrid w:val="0"/>
              <w:spacing w:before="24" w:after="24"/>
              <w:jc w:val="center"/>
              <w:rPr>
                <w:rFonts w:ascii="Times New Roman" w:hAnsi="Times New Roman"/>
                <w:kern w:val="0"/>
                <w:szCs w:val="21"/>
              </w:rPr>
            </w:pPr>
            <w:r>
              <w:rPr>
                <w:rFonts w:ascii="Times New Roman" w:hAnsi="Times New Roman"/>
                <w:kern w:val="0"/>
                <w:szCs w:val="21"/>
              </w:rPr>
              <w:t>小时值</w:t>
            </w:r>
          </w:p>
        </w:tc>
        <w:tc>
          <w:tcPr>
            <w:tcW w:w="1146"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w:t>
            </w:r>
          </w:p>
        </w:tc>
        <w:tc>
          <w:tcPr>
            <w:tcW w:w="1350"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0.1ND</w:t>
            </w:r>
          </w:p>
        </w:tc>
        <w:tc>
          <w:tcPr>
            <w:tcW w:w="105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953"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71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1"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634" w:type="dxa"/>
            <w:vMerge w:val="continue"/>
            <w:shd w:val="clear" w:color="auto" w:fill="FFFFFF"/>
            <w:vAlign w:val="center"/>
          </w:tcPr>
          <w:p>
            <w:pPr>
              <w:jc w:val="center"/>
              <w:rPr>
                <w:rFonts w:ascii="Times New Roman" w:hAnsi="Times New Roman"/>
              </w:rPr>
            </w:pPr>
          </w:p>
        </w:tc>
        <w:tc>
          <w:tcPr>
            <w:tcW w:w="658" w:type="dxa"/>
            <w:vMerge w:val="continue"/>
            <w:shd w:val="clear" w:color="auto" w:fill="FFFFFF"/>
            <w:vAlign w:val="center"/>
          </w:tcPr>
          <w:p>
            <w:pPr>
              <w:jc w:val="center"/>
              <w:rPr>
                <w:rFonts w:ascii="Times New Roman" w:hAnsi="Times New Roman"/>
              </w:rPr>
            </w:pPr>
          </w:p>
        </w:tc>
        <w:tc>
          <w:tcPr>
            <w:tcW w:w="850"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氨</w:t>
            </w:r>
          </w:p>
        </w:tc>
        <w:tc>
          <w:tcPr>
            <w:tcW w:w="903" w:type="dxa"/>
            <w:shd w:val="clear" w:color="auto" w:fill="FFFFFF"/>
            <w:vAlign w:val="center"/>
          </w:tcPr>
          <w:p>
            <w:pPr>
              <w:widowControl/>
              <w:jc w:val="center"/>
              <w:rPr>
                <w:rFonts w:ascii="Times New Roman" w:hAnsi="Times New Roman"/>
                <w:kern w:val="0"/>
                <w:szCs w:val="21"/>
              </w:rPr>
            </w:pPr>
            <w:r>
              <w:rPr>
                <w:rFonts w:ascii="Times New Roman" w:hAnsi="Times New Roman"/>
                <w:kern w:val="0"/>
                <w:szCs w:val="21"/>
              </w:rPr>
              <w:t>小时值</w:t>
            </w:r>
          </w:p>
        </w:tc>
        <w:tc>
          <w:tcPr>
            <w:tcW w:w="1146"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200</w:t>
            </w:r>
          </w:p>
        </w:tc>
        <w:tc>
          <w:tcPr>
            <w:tcW w:w="1350"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31-35</w:t>
            </w:r>
          </w:p>
        </w:tc>
        <w:tc>
          <w:tcPr>
            <w:tcW w:w="105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17.5%</w:t>
            </w:r>
          </w:p>
        </w:tc>
        <w:tc>
          <w:tcPr>
            <w:tcW w:w="953"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71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1" w:type="dxa"/>
            <w:vMerge w:val="restart"/>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G2</w:t>
            </w:r>
          </w:p>
        </w:tc>
        <w:tc>
          <w:tcPr>
            <w:tcW w:w="634" w:type="dxa"/>
            <w:vMerge w:val="restart"/>
            <w:shd w:val="clear" w:color="auto" w:fill="FFFFFF"/>
            <w:vAlign w:val="center"/>
          </w:tcPr>
          <w:p>
            <w:pPr>
              <w:ind w:left="-105" w:leftChars="-50"/>
              <w:jc w:val="center"/>
              <w:rPr>
                <w:rFonts w:ascii="Times New Roman" w:hAnsi="Times New Roman"/>
                <w:sz w:val="20"/>
                <w:szCs w:val="20"/>
              </w:rPr>
            </w:pPr>
            <w:r>
              <w:rPr>
                <w:rFonts w:ascii="Times New Roman" w:hAnsi="Times New Roman"/>
                <w:sz w:val="20"/>
                <w:szCs w:val="20"/>
              </w:rPr>
              <w:t>-1433</w:t>
            </w:r>
          </w:p>
        </w:tc>
        <w:tc>
          <w:tcPr>
            <w:tcW w:w="658" w:type="dxa"/>
            <w:vMerge w:val="restart"/>
            <w:shd w:val="clear" w:color="auto" w:fill="FFFFFF"/>
            <w:vAlign w:val="center"/>
          </w:tcPr>
          <w:p>
            <w:pPr>
              <w:jc w:val="center"/>
              <w:rPr>
                <w:rFonts w:ascii="Times New Roman" w:hAnsi="Times New Roman"/>
                <w:sz w:val="20"/>
                <w:szCs w:val="20"/>
              </w:rPr>
            </w:pPr>
            <w:r>
              <w:rPr>
                <w:rFonts w:ascii="Times New Roman" w:hAnsi="Times New Roman"/>
                <w:sz w:val="20"/>
                <w:szCs w:val="20"/>
              </w:rPr>
              <w:t>206</w:t>
            </w:r>
          </w:p>
        </w:tc>
        <w:tc>
          <w:tcPr>
            <w:tcW w:w="850"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硫化氢</w:t>
            </w:r>
          </w:p>
        </w:tc>
        <w:tc>
          <w:tcPr>
            <w:tcW w:w="903" w:type="dxa"/>
            <w:shd w:val="clear" w:color="auto" w:fill="FFFFFF"/>
            <w:vAlign w:val="center"/>
          </w:tcPr>
          <w:p>
            <w:pPr>
              <w:adjustRightInd w:val="0"/>
              <w:snapToGrid w:val="0"/>
              <w:spacing w:before="24" w:after="24"/>
              <w:jc w:val="center"/>
              <w:rPr>
                <w:rFonts w:ascii="Times New Roman" w:hAnsi="Times New Roman"/>
                <w:kern w:val="0"/>
                <w:szCs w:val="21"/>
              </w:rPr>
            </w:pPr>
            <w:r>
              <w:rPr>
                <w:rFonts w:ascii="Times New Roman" w:hAnsi="Times New Roman"/>
                <w:kern w:val="0"/>
                <w:szCs w:val="21"/>
              </w:rPr>
              <w:t>小时值</w:t>
            </w:r>
          </w:p>
        </w:tc>
        <w:tc>
          <w:tcPr>
            <w:tcW w:w="1146"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w:t>
            </w:r>
          </w:p>
        </w:tc>
        <w:tc>
          <w:tcPr>
            <w:tcW w:w="1350"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0.1ND</w:t>
            </w:r>
          </w:p>
        </w:tc>
        <w:tc>
          <w:tcPr>
            <w:tcW w:w="105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953"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71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1"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634" w:type="dxa"/>
            <w:vMerge w:val="continue"/>
            <w:shd w:val="clear" w:color="auto" w:fill="FFFFFF"/>
            <w:vAlign w:val="center"/>
          </w:tcPr>
          <w:p>
            <w:pPr>
              <w:jc w:val="center"/>
              <w:rPr>
                <w:rFonts w:ascii="Times New Roman" w:hAnsi="Times New Roman"/>
              </w:rPr>
            </w:pPr>
          </w:p>
        </w:tc>
        <w:tc>
          <w:tcPr>
            <w:tcW w:w="658" w:type="dxa"/>
            <w:vMerge w:val="continue"/>
            <w:shd w:val="clear" w:color="auto" w:fill="FFFFFF"/>
            <w:vAlign w:val="center"/>
          </w:tcPr>
          <w:p>
            <w:pPr>
              <w:jc w:val="center"/>
              <w:rPr>
                <w:rFonts w:ascii="Times New Roman" w:hAnsi="Times New Roman"/>
              </w:rPr>
            </w:pPr>
          </w:p>
        </w:tc>
        <w:tc>
          <w:tcPr>
            <w:tcW w:w="850"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氨</w:t>
            </w:r>
          </w:p>
        </w:tc>
        <w:tc>
          <w:tcPr>
            <w:tcW w:w="903" w:type="dxa"/>
            <w:shd w:val="clear" w:color="auto" w:fill="FFFFFF"/>
            <w:vAlign w:val="center"/>
          </w:tcPr>
          <w:p>
            <w:pPr>
              <w:widowControl/>
              <w:jc w:val="center"/>
              <w:rPr>
                <w:rFonts w:ascii="Times New Roman" w:hAnsi="Times New Roman"/>
                <w:kern w:val="0"/>
                <w:szCs w:val="21"/>
              </w:rPr>
            </w:pPr>
            <w:r>
              <w:rPr>
                <w:rFonts w:ascii="Times New Roman" w:hAnsi="Times New Roman"/>
                <w:kern w:val="0"/>
                <w:szCs w:val="21"/>
              </w:rPr>
              <w:t>小时值</w:t>
            </w:r>
          </w:p>
        </w:tc>
        <w:tc>
          <w:tcPr>
            <w:tcW w:w="1146"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200</w:t>
            </w:r>
          </w:p>
        </w:tc>
        <w:tc>
          <w:tcPr>
            <w:tcW w:w="1350"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22-25</w:t>
            </w:r>
          </w:p>
        </w:tc>
        <w:tc>
          <w:tcPr>
            <w:tcW w:w="105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12.5%</w:t>
            </w:r>
          </w:p>
        </w:tc>
        <w:tc>
          <w:tcPr>
            <w:tcW w:w="953"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715" w:type="dxa"/>
            <w:shd w:val="clear" w:color="auto" w:fill="FFFFFF"/>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达标</w:t>
            </w:r>
          </w:p>
        </w:tc>
      </w:tr>
    </w:tbl>
    <w:p>
      <w:pPr>
        <w:jc w:val="left"/>
        <w:rPr>
          <w:rFonts w:ascii="Times New Roman" w:hAnsi="Times New Roman"/>
          <w:kern w:val="0"/>
          <w:szCs w:val="21"/>
        </w:rPr>
      </w:pPr>
      <w:r>
        <w:rPr>
          <w:rFonts w:ascii="Times New Roman" w:hAnsi="Times New Roman"/>
          <w:kern w:val="0"/>
          <w:szCs w:val="21"/>
        </w:rPr>
        <w:t>注：二噁英无日均浓度标准值，不进行占标率评价。</w:t>
      </w:r>
    </w:p>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由上表的结果可知，项目区硫化氢和氨的现状浓度均符合《环境影响评价技术导则 大气环境》（HJ2.2-2018）附录D中表D.1规定的限值要求，二噁英无日均浓度限值，不进行达标评价。</w:t>
      </w:r>
    </w:p>
    <w:p>
      <w:pPr>
        <w:pStyle w:val="6"/>
        <w:numPr>
          <w:ilvl w:val="1"/>
          <w:numId w:val="0"/>
        </w:numPr>
        <w:tabs>
          <w:tab w:val="clear" w:pos="0"/>
        </w:tabs>
        <w:spacing w:before="120" w:after="120" w:line="240" w:lineRule="auto"/>
        <w:rPr>
          <w:sz w:val="13"/>
        </w:rPr>
      </w:pPr>
      <w:bookmarkStart w:id="312" w:name="_Toc25475"/>
      <w:r>
        <w:t>4.4. 地表水环境质量现状</w:t>
      </w:r>
      <w:r>
        <w:rPr>
          <w:sz w:val="32"/>
        </w:rPr>
        <w:t>监测与</w:t>
      </w:r>
      <w:r>
        <w:t>评价</w:t>
      </w:r>
      <w:bookmarkEnd w:id="312"/>
    </w:p>
    <w:p>
      <w:pPr>
        <w:spacing w:line="360" w:lineRule="auto"/>
        <w:ind w:firstLine="480"/>
        <w:rPr>
          <w:rFonts w:ascii="Times New Roman" w:hAnsi="Times New Roman"/>
          <w:b/>
          <w:sz w:val="24"/>
          <w:szCs w:val="20"/>
          <w:lang w:val="zh-CN"/>
        </w:rPr>
      </w:pPr>
      <w:bookmarkStart w:id="313" w:name="3.4.1引用监测资料"/>
      <w:bookmarkEnd w:id="313"/>
      <w:r>
        <w:rPr>
          <w:rFonts w:ascii="Times New Roman" w:hAnsi="Times New Roman"/>
          <w:spacing w:val="-2"/>
          <w:sz w:val="24"/>
          <w:szCs w:val="24"/>
        </w:rPr>
        <w:t>项目废水经厂区污水管道排入公司污水处理厂处理后排入长江</w:t>
      </w:r>
      <w:bookmarkStart w:id="314" w:name="3.5地下水质量现状调查与评价"/>
      <w:bookmarkEnd w:id="314"/>
      <w:bookmarkStart w:id="315" w:name="_bookmark23"/>
      <w:bookmarkEnd w:id="315"/>
      <w:r>
        <w:rPr>
          <w:rFonts w:ascii="Times New Roman" w:hAnsi="Times New Roman"/>
          <w:sz w:val="24"/>
          <w:szCs w:val="24"/>
        </w:rPr>
        <w:t>。根据岳阳市二0一八年度环境质量公报：长江干流岳阳段共布设5个监测断面，分别为天字一号、君山长江取水口、荆江口、城陵矶、陆城断面。</w:t>
      </w:r>
      <w:bookmarkStart w:id="316" w:name="_Toc24837"/>
      <w:r>
        <w:rPr>
          <w:rFonts w:ascii="Times New Roman" w:hAnsi="Times New Roman"/>
          <w:sz w:val="24"/>
          <w:szCs w:val="24"/>
        </w:rPr>
        <w:t>本文选取项目废水排放点附近两个监测断面的监测数据，见下表：</w:t>
      </w:r>
    </w:p>
    <w:p>
      <w:pPr>
        <w:spacing w:line="360" w:lineRule="auto"/>
        <w:jc w:val="center"/>
        <w:rPr>
          <w:rFonts w:ascii="Times New Roman" w:hAnsi="Times New Roman"/>
          <w:b/>
          <w:sz w:val="24"/>
          <w:szCs w:val="20"/>
          <w:lang w:val="zh-CN"/>
        </w:rPr>
      </w:pPr>
      <w:r>
        <w:rPr>
          <w:rFonts w:ascii="Times New Roman" w:hAnsi="Times New Roman"/>
          <w:b/>
          <w:sz w:val="24"/>
          <w:szCs w:val="20"/>
          <w:lang w:val="zh-CN"/>
        </w:rPr>
        <w:t>表</w:t>
      </w:r>
      <w:r>
        <w:rPr>
          <w:rFonts w:ascii="Times New Roman" w:hAnsi="Times New Roman"/>
          <w:b/>
          <w:sz w:val="24"/>
          <w:szCs w:val="20"/>
        </w:rPr>
        <w:t>4</w:t>
      </w:r>
      <w:r>
        <w:rPr>
          <w:rFonts w:ascii="Times New Roman" w:hAnsi="Times New Roman"/>
          <w:b/>
          <w:sz w:val="24"/>
          <w:szCs w:val="20"/>
          <w:lang w:val="zh-CN"/>
        </w:rPr>
        <w:t>.4-1 断面常规监测数据（ 2018）（单位： mg/L)</w:t>
      </w:r>
    </w:p>
    <w:tbl>
      <w:tblPr>
        <w:tblStyle w:val="46"/>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014"/>
        <w:gridCol w:w="1217"/>
        <w:gridCol w:w="1217"/>
        <w:gridCol w:w="1218"/>
        <w:gridCol w:w="1218"/>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Merge w:val="restart"/>
            <w:vAlign w:val="center"/>
          </w:tcPr>
          <w:p>
            <w:pPr>
              <w:snapToGrid w:val="0"/>
              <w:jc w:val="center"/>
              <w:rPr>
                <w:rFonts w:ascii="Times New Roman" w:hAnsi="Times New Roman"/>
                <w:b/>
                <w:bCs/>
                <w:szCs w:val="21"/>
              </w:rPr>
            </w:pPr>
            <w:r>
              <w:rPr>
                <w:rFonts w:ascii="Times New Roman" w:hAnsi="Times New Roman"/>
                <w:b/>
                <w:bCs/>
                <w:szCs w:val="21"/>
              </w:rPr>
              <w:t>监测因子</w:t>
            </w:r>
          </w:p>
          <w:p>
            <w:pPr>
              <w:jc w:val="center"/>
              <w:rPr>
                <w:rFonts w:ascii="Times New Roman" w:hAnsi="Times New Roman"/>
                <w:b/>
                <w:bCs/>
                <w:szCs w:val="21"/>
              </w:rPr>
            </w:pPr>
            <w:r>
              <w:rPr>
                <w:rFonts w:ascii="Times New Roman" w:hAnsi="Times New Roman"/>
                <w:b/>
                <w:bCs/>
                <w:szCs w:val="21"/>
              </w:rPr>
              <w:t>项目</w:t>
            </w:r>
          </w:p>
        </w:tc>
        <w:tc>
          <w:tcPr>
            <w:tcW w:w="1014" w:type="dxa"/>
            <w:vMerge w:val="restart"/>
            <w:vAlign w:val="center"/>
          </w:tcPr>
          <w:p>
            <w:pPr>
              <w:jc w:val="center"/>
              <w:rPr>
                <w:rFonts w:ascii="Times New Roman" w:hAnsi="Times New Roman"/>
                <w:b/>
                <w:bCs/>
                <w:szCs w:val="21"/>
              </w:rPr>
            </w:pPr>
            <w:r>
              <w:rPr>
                <w:rFonts w:ascii="Times New Roman" w:hAnsi="Times New Roman"/>
                <w:b/>
                <w:bCs/>
                <w:szCs w:val="21"/>
              </w:rPr>
              <w:t>最小值</w:t>
            </w:r>
          </w:p>
        </w:tc>
        <w:tc>
          <w:tcPr>
            <w:tcW w:w="1217" w:type="dxa"/>
            <w:vMerge w:val="restart"/>
            <w:vAlign w:val="center"/>
          </w:tcPr>
          <w:p>
            <w:pPr>
              <w:jc w:val="center"/>
              <w:rPr>
                <w:rFonts w:ascii="Times New Roman" w:hAnsi="Times New Roman"/>
                <w:b/>
                <w:bCs/>
                <w:szCs w:val="21"/>
              </w:rPr>
            </w:pPr>
            <w:r>
              <w:rPr>
                <w:rFonts w:ascii="Times New Roman" w:hAnsi="Times New Roman"/>
                <w:b/>
                <w:bCs/>
                <w:szCs w:val="21"/>
              </w:rPr>
              <w:t>最大值</w:t>
            </w:r>
          </w:p>
        </w:tc>
        <w:tc>
          <w:tcPr>
            <w:tcW w:w="1217" w:type="dxa"/>
            <w:vMerge w:val="restart"/>
            <w:vAlign w:val="center"/>
          </w:tcPr>
          <w:p>
            <w:pPr>
              <w:jc w:val="center"/>
              <w:rPr>
                <w:rFonts w:ascii="Times New Roman" w:hAnsi="Times New Roman"/>
                <w:b/>
                <w:bCs/>
                <w:szCs w:val="21"/>
              </w:rPr>
            </w:pPr>
            <w:r>
              <w:rPr>
                <w:rFonts w:ascii="Times New Roman" w:hAnsi="Times New Roman"/>
                <w:b/>
                <w:bCs/>
                <w:szCs w:val="21"/>
              </w:rPr>
              <w:t>平均值</w:t>
            </w:r>
          </w:p>
        </w:tc>
        <w:tc>
          <w:tcPr>
            <w:tcW w:w="1218" w:type="dxa"/>
            <w:vMerge w:val="restart"/>
            <w:vAlign w:val="center"/>
          </w:tcPr>
          <w:p>
            <w:pPr>
              <w:jc w:val="center"/>
              <w:rPr>
                <w:rFonts w:ascii="Times New Roman" w:hAnsi="Times New Roman"/>
                <w:b/>
                <w:bCs/>
                <w:szCs w:val="21"/>
              </w:rPr>
            </w:pPr>
            <w:r>
              <w:rPr>
                <w:rFonts w:ascii="Times New Roman" w:hAnsi="Times New Roman"/>
                <w:b/>
                <w:bCs/>
                <w:szCs w:val="21"/>
              </w:rPr>
              <w:t>超标率</w:t>
            </w:r>
          </w:p>
          <w:p>
            <w:pPr>
              <w:jc w:val="center"/>
              <w:rPr>
                <w:rFonts w:ascii="Times New Roman" w:hAnsi="Times New Roman"/>
                <w:b/>
                <w:bCs/>
                <w:szCs w:val="21"/>
              </w:rPr>
            </w:pPr>
            <w:r>
              <w:rPr>
                <w:rFonts w:ascii="Times New Roman" w:hAnsi="Times New Roman"/>
                <w:b/>
                <w:bCs/>
                <w:szCs w:val="21"/>
              </w:rPr>
              <w:t>（% ）</w:t>
            </w:r>
          </w:p>
        </w:tc>
        <w:tc>
          <w:tcPr>
            <w:tcW w:w="1218" w:type="dxa"/>
            <w:vMerge w:val="restart"/>
            <w:vAlign w:val="center"/>
          </w:tcPr>
          <w:p>
            <w:pPr>
              <w:jc w:val="center"/>
              <w:rPr>
                <w:rFonts w:ascii="Times New Roman" w:hAnsi="Times New Roman"/>
                <w:b/>
                <w:bCs/>
                <w:szCs w:val="21"/>
              </w:rPr>
            </w:pPr>
            <w:r>
              <w:rPr>
                <w:rFonts w:ascii="Times New Roman" w:hAnsi="Times New Roman"/>
                <w:b/>
                <w:bCs/>
                <w:szCs w:val="21"/>
              </w:rPr>
              <w:t>最大超标倍数</w:t>
            </w:r>
          </w:p>
        </w:tc>
        <w:tc>
          <w:tcPr>
            <w:tcW w:w="1732" w:type="dxa"/>
            <w:vAlign w:val="center"/>
          </w:tcPr>
          <w:p>
            <w:pPr>
              <w:jc w:val="center"/>
              <w:rPr>
                <w:rFonts w:ascii="Times New Roman" w:hAnsi="Times New Roman"/>
                <w:b/>
                <w:bCs/>
                <w:szCs w:val="21"/>
              </w:rPr>
            </w:pPr>
            <w:r>
              <w:rPr>
                <w:rFonts w:ascii="Times New Roman" w:hAnsi="Times New Roman"/>
                <w:b/>
                <w:bCs/>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Merge w:val="continue"/>
            <w:vAlign w:val="center"/>
          </w:tcPr>
          <w:p>
            <w:pPr>
              <w:jc w:val="center"/>
              <w:rPr>
                <w:rFonts w:ascii="Times New Roman" w:hAnsi="Times New Roman"/>
                <w:b/>
                <w:bCs/>
                <w:szCs w:val="21"/>
              </w:rPr>
            </w:pPr>
          </w:p>
        </w:tc>
        <w:tc>
          <w:tcPr>
            <w:tcW w:w="1014" w:type="dxa"/>
            <w:vMerge w:val="continue"/>
            <w:vAlign w:val="center"/>
          </w:tcPr>
          <w:p>
            <w:pPr>
              <w:jc w:val="center"/>
              <w:rPr>
                <w:rFonts w:ascii="Times New Roman" w:hAnsi="Times New Roman"/>
                <w:b/>
                <w:bCs/>
                <w:szCs w:val="21"/>
              </w:rPr>
            </w:pPr>
          </w:p>
        </w:tc>
        <w:tc>
          <w:tcPr>
            <w:tcW w:w="1217" w:type="dxa"/>
            <w:vMerge w:val="continue"/>
            <w:vAlign w:val="center"/>
          </w:tcPr>
          <w:p>
            <w:pPr>
              <w:jc w:val="center"/>
              <w:rPr>
                <w:rFonts w:ascii="Times New Roman" w:hAnsi="Times New Roman"/>
                <w:b/>
                <w:bCs/>
                <w:szCs w:val="21"/>
              </w:rPr>
            </w:pPr>
          </w:p>
        </w:tc>
        <w:tc>
          <w:tcPr>
            <w:tcW w:w="1217" w:type="dxa"/>
            <w:vMerge w:val="continue"/>
            <w:vAlign w:val="center"/>
          </w:tcPr>
          <w:p>
            <w:pPr>
              <w:jc w:val="center"/>
              <w:rPr>
                <w:rFonts w:ascii="Times New Roman" w:hAnsi="Times New Roman"/>
                <w:b/>
                <w:bCs/>
                <w:szCs w:val="21"/>
              </w:rPr>
            </w:pPr>
          </w:p>
        </w:tc>
        <w:tc>
          <w:tcPr>
            <w:tcW w:w="1218" w:type="dxa"/>
            <w:vMerge w:val="continue"/>
            <w:vAlign w:val="center"/>
          </w:tcPr>
          <w:p>
            <w:pPr>
              <w:jc w:val="center"/>
              <w:rPr>
                <w:rFonts w:ascii="Times New Roman" w:hAnsi="Times New Roman"/>
                <w:b/>
                <w:bCs/>
                <w:szCs w:val="21"/>
              </w:rPr>
            </w:pPr>
          </w:p>
        </w:tc>
        <w:tc>
          <w:tcPr>
            <w:tcW w:w="1218" w:type="dxa"/>
            <w:vMerge w:val="continue"/>
            <w:vAlign w:val="center"/>
          </w:tcPr>
          <w:p>
            <w:pPr>
              <w:jc w:val="center"/>
              <w:rPr>
                <w:rFonts w:ascii="Times New Roman" w:hAnsi="Times New Roman"/>
                <w:b/>
                <w:bCs/>
                <w:szCs w:val="21"/>
              </w:rPr>
            </w:pPr>
          </w:p>
        </w:tc>
        <w:tc>
          <w:tcPr>
            <w:tcW w:w="1732" w:type="dxa"/>
            <w:vAlign w:val="center"/>
          </w:tcPr>
          <w:p>
            <w:pPr>
              <w:jc w:val="center"/>
              <w:rPr>
                <w:rFonts w:ascii="Times New Roman" w:hAnsi="Times New Roman"/>
                <w:b/>
                <w:bCs/>
                <w:szCs w:val="21"/>
              </w:rPr>
            </w:pPr>
            <w:r>
              <w:rPr>
                <w:rFonts w:ascii="Times New Roman" w:hAnsi="Times New Roman"/>
                <w:b/>
                <w:bCs/>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36" w:type="dxa"/>
            <w:gridSpan w:val="7"/>
            <w:vAlign w:val="center"/>
          </w:tcPr>
          <w:p>
            <w:pPr>
              <w:jc w:val="center"/>
              <w:rPr>
                <w:rFonts w:ascii="Times New Roman" w:hAnsi="Times New Roman"/>
                <w:szCs w:val="21"/>
              </w:rPr>
            </w:pPr>
            <w:r>
              <w:rPr>
                <w:rFonts w:ascii="Times New Roman" w:hAnsi="Times New Roman"/>
                <w:szCs w:val="21"/>
              </w:rPr>
              <w:t>城陵矶断面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PH</w:t>
            </w:r>
          </w:p>
        </w:tc>
        <w:tc>
          <w:tcPr>
            <w:tcW w:w="1014" w:type="dxa"/>
            <w:vAlign w:val="center"/>
          </w:tcPr>
          <w:p>
            <w:pPr>
              <w:jc w:val="center"/>
              <w:rPr>
                <w:rFonts w:ascii="Times New Roman" w:hAnsi="Times New Roman"/>
                <w:szCs w:val="21"/>
              </w:rPr>
            </w:pPr>
            <w:r>
              <w:rPr>
                <w:rFonts w:ascii="Times New Roman" w:hAnsi="Times New Roman"/>
                <w:szCs w:val="21"/>
              </w:rPr>
              <w:t>7.51</w:t>
            </w:r>
          </w:p>
        </w:tc>
        <w:tc>
          <w:tcPr>
            <w:tcW w:w="1217" w:type="dxa"/>
            <w:vAlign w:val="center"/>
          </w:tcPr>
          <w:p>
            <w:pPr>
              <w:jc w:val="center"/>
              <w:rPr>
                <w:rFonts w:ascii="Times New Roman" w:hAnsi="Times New Roman"/>
                <w:szCs w:val="21"/>
              </w:rPr>
            </w:pPr>
            <w:r>
              <w:rPr>
                <w:rFonts w:ascii="Times New Roman" w:hAnsi="Times New Roman"/>
                <w:szCs w:val="21"/>
              </w:rPr>
              <w:t>7.9</w:t>
            </w:r>
          </w:p>
        </w:tc>
        <w:tc>
          <w:tcPr>
            <w:tcW w:w="1217"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溶解氧</w:t>
            </w:r>
          </w:p>
        </w:tc>
        <w:tc>
          <w:tcPr>
            <w:tcW w:w="1014" w:type="dxa"/>
            <w:vAlign w:val="center"/>
          </w:tcPr>
          <w:p>
            <w:pPr>
              <w:jc w:val="center"/>
              <w:rPr>
                <w:rFonts w:ascii="Times New Roman" w:hAnsi="Times New Roman"/>
                <w:szCs w:val="21"/>
              </w:rPr>
            </w:pPr>
            <w:r>
              <w:rPr>
                <w:rFonts w:ascii="Times New Roman" w:hAnsi="Times New Roman"/>
                <w:szCs w:val="21"/>
              </w:rPr>
              <w:t>7</w:t>
            </w:r>
          </w:p>
        </w:tc>
        <w:tc>
          <w:tcPr>
            <w:tcW w:w="1217" w:type="dxa"/>
            <w:vAlign w:val="center"/>
          </w:tcPr>
          <w:p>
            <w:pPr>
              <w:jc w:val="center"/>
              <w:rPr>
                <w:rFonts w:ascii="Times New Roman" w:hAnsi="Times New Roman"/>
                <w:szCs w:val="21"/>
              </w:rPr>
            </w:pPr>
            <w:r>
              <w:rPr>
                <w:rFonts w:ascii="Times New Roman" w:hAnsi="Times New Roman"/>
                <w:szCs w:val="21"/>
              </w:rPr>
              <w:t>8.07</w:t>
            </w:r>
          </w:p>
        </w:tc>
        <w:tc>
          <w:tcPr>
            <w:tcW w:w="1217" w:type="dxa"/>
            <w:vAlign w:val="center"/>
          </w:tcPr>
          <w:p>
            <w:pPr>
              <w:jc w:val="center"/>
              <w:rPr>
                <w:rFonts w:ascii="Times New Roman" w:hAnsi="Times New Roman"/>
                <w:szCs w:val="21"/>
              </w:rPr>
            </w:pPr>
            <w:r>
              <w:rPr>
                <w:rFonts w:ascii="Times New Roman" w:hAnsi="Times New Roman"/>
                <w:szCs w:val="21"/>
              </w:rPr>
              <w:t>7.63</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pacing w:val="-6"/>
                <w:szCs w:val="21"/>
              </w:rPr>
              <w:t>高锰酸盐指数</w:t>
            </w:r>
          </w:p>
        </w:tc>
        <w:tc>
          <w:tcPr>
            <w:tcW w:w="1014" w:type="dxa"/>
            <w:vAlign w:val="center"/>
          </w:tcPr>
          <w:p>
            <w:pPr>
              <w:jc w:val="center"/>
              <w:rPr>
                <w:rFonts w:ascii="Times New Roman" w:hAnsi="Times New Roman"/>
                <w:szCs w:val="21"/>
              </w:rPr>
            </w:pPr>
            <w:r>
              <w:rPr>
                <w:rFonts w:ascii="Times New Roman" w:hAnsi="Times New Roman"/>
                <w:szCs w:val="21"/>
              </w:rPr>
              <w:t>1.77</w:t>
            </w:r>
          </w:p>
        </w:tc>
        <w:tc>
          <w:tcPr>
            <w:tcW w:w="1217" w:type="dxa"/>
            <w:vAlign w:val="center"/>
          </w:tcPr>
          <w:p>
            <w:pPr>
              <w:jc w:val="center"/>
              <w:rPr>
                <w:rFonts w:ascii="Times New Roman" w:hAnsi="Times New Roman"/>
                <w:szCs w:val="21"/>
              </w:rPr>
            </w:pPr>
            <w:r>
              <w:rPr>
                <w:rFonts w:ascii="Times New Roman" w:hAnsi="Times New Roman"/>
                <w:szCs w:val="21"/>
              </w:rPr>
              <w:t>2.6</w:t>
            </w:r>
          </w:p>
        </w:tc>
        <w:tc>
          <w:tcPr>
            <w:tcW w:w="1217" w:type="dxa"/>
            <w:vAlign w:val="center"/>
          </w:tcPr>
          <w:p>
            <w:pPr>
              <w:jc w:val="center"/>
              <w:rPr>
                <w:rFonts w:ascii="Times New Roman" w:hAnsi="Times New Roman"/>
                <w:szCs w:val="21"/>
              </w:rPr>
            </w:pPr>
            <w:r>
              <w:rPr>
                <w:rFonts w:ascii="Times New Roman" w:hAnsi="Times New Roman"/>
                <w:szCs w:val="21"/>
              </w:rPr>
              <w:t>2.16</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BOD 5</w:t>
            </w:r>
          </w:p>
        </w:tc>
        <w:tc>
          <w:tcPr>
            <w:tcW w:w="1014" w:type="dxa"/>
            <w:vAlign w:val="center"/>
          </w:tcPr>
          <w:p>
            <w:pPr>
              <w:jc w:val="center"/>
              <w:rPr>
                <w:rFonts w:ascii="Times New Roman" w:hAnsi="Times New Roman"/>
                <w:szCs w:val="21"/>
              </w:rPr>
            </w:pPr>
            <w:r>
              <w:rPr>
                <w:rFonts w:ascii="Times New Roman" w:hAnsi="Times New Roman"/>
                <w:szCs w:val="21"/>
              </w:rPr>
              <w:t>0.43</w:t>
            </w:r>
          </w:p>
        </w:tc>
        <w:tc>
          <w:tcPr>
            <w:tcW w:w="1217" w:type="dxa"/>
            <w:vAlign w:val="center"/>
          </w:tcPr>
          <w:p>
            <w:pPr>
              <w:jc w:val="center"/>
              <w:rPr>
                <w:rFonts w:ascii="Times New Roman" w:hAnsi="Times New Roman"/>
                <w:szCs w:val="21"/>
              </w:rPr>
            </w:pPr>
            <w:r>
              <w:rPr>
                <w:rFonts w:ascii="Times New Roman" w:hAnsi="Times New Roman"/>
                <w:szCs w:val="21"/>
              </w:rPr>
              <w:t>3.7</w:t>
            </w:r>
          </w:p>
        </w:tc>
        <w:tc>
          <w:tcPr>
            <w:tcW w:w="1217" w:type="dxa"/>
            <w:vAlign w:val="center"/>
          </w:tcPr>
          <w:p>
            <w:pPr>
              <w:jc w:val="center"/>
              <w:rPr>
                <w:rFonts w:ascii="Times New Roman" w:hAnsi="Times New Roman"/>
                <w:szCs w:val="21"/>
              </w:rPr>
            </w:pPr>
            <w:r>
              <w:rPr>
                <w:rFonts w:ascii="Times New Roman" w:hAnsi="Times New Roman"/>
                <w:szCs w:val="21"/>
              </w:rPr>
              <w:t>1.52</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氨氮</w:t>
            </w:r>
          </w:p>
        </w:tc>
        <w:tc>
          <w:tcPr>
            <w:tcW w:w="1014" w:type="dxa"/>
            <w:vAlign w:val="center"/>
          </w:tcPr>
          <w:p>
            <w:pPr>
              <w:jc w:val="center"/>
              <w:rPr>
                <w:rFonts w:ascii="Times New Roman" w:hAnsi="Times New Roman"/>
                <w:szCs w:val="21"/>
              </w:rPr>
            </w:pPr>
            <w:r>
              <w:rPr>
                <w:rFonts w:ascii="Times New Roman" w:hAnsi="Times New Roman"/>
                <w:szCs w:val="21"/>
              </w:rPr>
              <w:t>0.065</w:t>
            </w:r>
          </w:p>
        </w:tc>
        <w:tc>
          <w:tcPr>
            <w:tcW w:w="1217" w:type="dxa"/>
            <w:vAlign w:val="center"/>
          </w:tcPr>
          <w:p>
            <w:pPr>
              <w:jc w:val="center"/>
              <w:rPr>
                <w:rFonts w:ascii="Times New Roman" w:hAnsi="Times New Roman"/>
                <w:szCs w:val="21"/>
              </w:rPr>
            </w:pPr>
            <w:r>
              <w:rPr>
                <w:rFonts w:ascii="Times New Roman" w:hAnsi="Times New Roman"/>
                <w:szCs w:val="21"/>
              </w:rPr>
              <w:t>0.249</w:t>
            </w:r>
          </w:p>
        </w:tc>
        <w:tc>
          <w:tcPr>
            <w:tcW w:w="1217" w:type="dxa"/>
            <w:vAlign w:val="center"/>
          </w:tcPr>
          <w:p>
            <w:pPr>
              <w:jc w:val="center"/>
              <w:rPr>
                <w:rFonts w:ascii="Times New Roman" w:hAnsi="Times New Roman"/>
                <w:szCs w:val="21"/>
              </w:rPr>
            </w:pPr>
            <w:r>
              <w:rPr>
                <w:rFonts w:ascii="Times New Roman" w:hAnsi="Times New Roman"/>
                <w:szCs w:val="21"/>
              </w:rPr>
              <w:t>0.13</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石油类</w:t>
            </w:r>
          </w:p>
        </w:tc>
        <w:tc>
          <w:tcPr>
            <w:tcW w:w="1014"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0.01</w:t>
            </w:r>
          </w:p>
        </w:tc>
        <w:tc>
          <w:tcPr>
            <w:tcW w:w="1217" w:type="dxa"/>
            <w:vAlign w:val="center"/>
          </w:tcPr>
          <w:p>
            <w:pPr>
              <w:jc w:val="center"/>
              <w:rPr>
                <w:rFonts w:ascii="Times New Roman" w:hAnsi="Times New Roman"/>
                <w:szCs w:val="21"/>
              </w:rPr>
            </w:pPr>
            <w:r>
              <w:rPr>
                <w:rFonts w:ascii="Times New Roman" w:hAnsi="Times New Roman"/>
                <w:szCs w:val="21"/>
              </w:rPr>
              <w:t>0.008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挥发酚</w:t>
            </w:r>
          </w:p>
        </w:tc>
        <w:tc>
          <w:tcPr>
            <w:tcW w:w="1014" w:type="dxa"/>
            <w:vAlign w:val="center"/>
          </w:tcPr>
          <w:p>
            <w:pPr>
              <w:jc w:val="center"/>
              <w:rPr>
                <w:rFonts w:ascii="Times New Roman" w:hAnsi="Times New Roman"/>
                <w:szCs w:val="21"/>
              </w:rPr>
            </w:pPr>
            <w:r>
              <w:rPr>
                <w:rFonts w:ascii="Times New Roman" w:hAnsi="Times New Roman"/>
                <w:szCs w:val="21"/>
              </w:rPr>
              <w:t>0.0004</w:t>
            </w:r>
          </w:p>
        </w:tc>
        <w:tc>
          <w:tcPr>
            <w:tcW w:w="1217" w:type="dxa"/>
            <w:vAlign w:val="center"/>
          </w:tcPr>
          <w:p>
            <w:pPr>
              <w:jc w:val="center"/>
              <w:rPr>
                <w:rFonts w:ascii="Times New Roman" w:hAnsi="Times New Roman"/>
                <w:szCs w:val="21"/>
              </w:rPr>
            </w:pPr>
            <w:r>
              <w:rPr>
                <w:rFonts w:ascii="Times New Roman" w:hAnsi="Times New Roman"/>
                <w:szCs w:val="21"/>
              </w:rPr>
              <w:t>0.0017</w:t>
            </w:r>
          </w:p>
        </w:tc>
        <w:tc>
          <w:tcPr>
            <w:tcW w:w="1217" w:type="dxa"/>
            <w:vAlign w:val="center"/>
          </w:tcPr>
          <w:p>
            <w:pPr>
              <w:jc w:val="center"/>
              <w:rPr>
                <w:rFonts w:ascii="Times New Roman" w:hAnsi="Times New Roman"/>
                <w:szCs w:val="21"/>
              </w:rPr>
            </w:pPr>
            <w:r>
              <w:rPr>
                <w:rFonts w:ascii="Times New Roman" w:hAnsi="Times New Roman"/>
                <w:szCs w:val="21"/>
              </w:rPr>
              <w:t>0.0009</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≤0.005</w:t>
            </w:r>
          </w:p>
        </w:tc>
      </w:tr>
      <w:tr>
        <w:tblPrEx>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汞</w:t>
            </w:r>
          </w:p>
        </w:tc>
        <w:tc>
          <w:tcPr>
            <w:tcW w:w="1014" w:type="dxa"/>
            <w:vAlign w:val="center"/>
          </w:tcPr>
          <w:p>
            <w:pPr>
              <w:jc w:val="center"/>
              <w:rPr>
                <w:rFonts w:ascii="Times New Roman" w:hAnsi="Times New Roman"/>
                <w:szCs w:val="21"/>
              </w:rPr>
            </w:pPr>
            <w:r>
              <w:rPr>
                <w:rFonts w:ascii="Times New Roman" w:hAnsi="Times New Roman"/>
                <w:szCs w:val="21"/>
              </w:rPr>
              <w:t>0.00001</w:t>
            </w:r>
          </w:p>
        </w:tc>
        <w:tc>
          <w:tcPr>
            <w:tcW w:w="1217" w:type="dxa"/>
            <w:vAlign w:val="center"/>
          </w:tcPr>
          <w:p>
            <w:pPr>
              <w:jc w:val="center"/>
              <w:rPr>
                <w:rFonts w:ascii="Times New Roman" w:hAnsi="Times New Roman"/>
                <w:szCs w:val="21"/>
              </w:rPr>
            </w:pPr>
            <w:r>
              <w:rPr>
                <w:rFonts w:ascii="Times New Roman" w:hAnsi="Times New Roman"/>
                <w:szCs w:val="21"/>
              </w:rPr>
              <w:t>0.00002</w:t>
            </w:r>
          </w:p>
        </w:tc>
        <w:tc>
          <w:tcPr>
            <w:tcW w:w="1217" w:type="dxa"/>
            <w:vAlign w:val="center"/>
          </w:tcPr>
          <w:p>
            <w:pPr>
              <w:jc w:val="center"/>
              <w:rPr>
                <w:rFonts w:ascii="Times New Roman" w:hAnsi="Times New Roman"/>
                <w:szCs w:val="21"/>
              </w:rPr>
            </w:pPr>
            <w:r>
              <w:rPr>
                <w:rFonts w:ascii="Times New Roman" w:hAnsi="Times New Roman"/>
                <w:szCs w:val="21"/>
              </w:rPr>
              <w:t>0.000018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铅</w:t>
            </w:r>
          </w:p>
        </w:tc>
        <w:tc>
          <w:tcPr>
            <w:tcW w:w="1014" w:type="dxa"/>
            <w:vAlign w:val="center"/>
          </w:tcPr>
          <w:p>
            <w:pPr>
              <w:jc w:val="center"/>
              <w:rPr>
                <w:rFonts w:ascii="Times New Roman" w:hAnsi="Times New Roman"/>
                <w:szCs w:val="21"/>
              </w:rPr>
            </w:pPr>
            <w:r>
              <w:rPr>
                <w:rFonts w:ascii="Times New Roman" w:hAnsi="Times New Roman"/>
                <w:szCs w:val="21"/>
              </w:rPr>
              <w:t>0.0005</w:t>
            </w:r>
          </w:p>
        </w:tc>
        <w:tc>
          <w:tcPr>
            <w:tcW w:w="1217" w:type="dxa"/>
            <w:vAlign w:val="center"/>
          </w:tcPr>
          <w:p>
            <w:pPr>
              <w:jc w:val="center"/>
              <w:rPr>
                <w:rFonts w:ascii="Times New Roman" w:hAnsi="Times New Roman"/>
                <w:szCs w:val="21"/>
              </w:rPr>
            </w:pPr>
            <w:r>
              <w:rPr>
                <w:rFonts w:ascii="Times New Roman" w:hAnsi="Times New Roman"/>
                <w:szCs w:val="21"/>
              </w:rPr>
              <w:t>0.0015</w:t>
            </w:r>
          </w:p>
        </w:tc>
        <w:tc>
          <w:tcPr>
            <w:tcW w:w="1217" w:type="dxa"/>
            <w:vAlign w:val="center"/>
          </w:tcPr>
          <w:p>
            <w:pPr>
              <w:jc w:val="center"/>
              <w:rPr>
                <w:rFonts w:ascii="Times New Roman" w:hAnsi="Times New Roman"/>
                <w:szCs w:val="21"/>
              </w:rPr>
            </w:pPr>
            <w:r>
              <w:rPr>
                <w:rFonts w:ascii="Times New Roman" w:hAnsi="Times New Roman"/>
                <w:szCs w:val="21"/>
              </w:rPr>
              <w:t>0.0011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化学需氧量</w:t>
            </w:r>
          </w:p>
        </w:tc>
        <w:tc>
          <w:tcPr>
            <w:tcW w:w="1014" w:type="dxa"/>
            <w:vAlign w:val="center"/>
          </w:tcPr>
          <w:p>
            <w:pPr>
              <w:jc w:val="center"/>
              <w:rPr>
                <w:rFonts w:ascii="Times New Roman" w:hAnsi="Times New Roman"/>
                <w:szCs w:val="21"/>
              </w:rPr>
            </w:pPr>
            <w:r>
              <w:rPr>
                <w:rFonts w:ascii="Times New Roman" w:hAnsi="Times New Roman"/>
                <w:szCs w:val="21"/>
              </w:rPr>
              <w:t>4.31</w:t>
            </w:r>
          </w:p>
        </w:tc>
        <w:tc>
          <w:tcPr>
            <w:tcW w:w="1217" w:type="dxa"/>
            <w:vAlign w:val="center"/>
          </w:tcPr>
          <w:p>
            <w:pPr>
              <w:jc w:val="center"/>
              <w:rPr>
                <w:rFonts w:ascii="Times New Roman" w:hAnsi="Times New Roman"/>
                <w:szCs w:val="21"/>
              </w:rPr>
            </w:pPr>
            <w:r>
              <w:rPr>
                <w:rFonts w:ascii="Times New Roman" w:hAnsi="Times New Roman"/>
                <w:szCs w:val="21"/>
              </w:rPr>
              <w:t>10.36</w:t>
            </w:r>
          </w:p>
        </w:tc>
        <w:tc>
          <w:tcPr>
            <w:tcW w:w="1217" w:type="dxa"/>
            <w:vAlign w:val="center"/>
          </w:tcPr>
          <w:p>
            <w:pPr>
              <w:jc w:val="center"/>
              <w:rPr>
                <w:rFonts w:ascii="Times New Roman" w:hAnsi="Times New Roman"/>
                <w:szCs w:val="21"/>
              </w:rPr>
            </w:pPr>
            <w:r>
              <w:rPr>
                <w:rFonts w:ascii="Times New Roman" w:hAnsi="Times New Roman"/>
                <w:szCs w:val="21"/>
              </w:rPr>
              <w:t>8.23</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总磷</w:t>
            </w:r>
          </w:p>
        </w:tc>
        <w:tc>
          <w:tcPr>
            <w:tcW w:w="1014" w:type="dxa"/>
            <w:vAlign w:val="center"/>
          </w:tcPr>
          <w:p>
            <w:pPr>
              <w:jc w:val="center"/>
              <w:rPr>
                <w:rFonts w:ascii="Times New Roman" w:hAnsi="Times New Roman"/>
                <w:szCs w:val="21"/>
              </w:rPr>
            </w:pPr>
            <w:r>
              <w:rPr>
                <w:rFonts w:ascii="Times New Roman" w:hAnsi="Times New Roman"/>
                <w:szCs w:val="21"/>
              </w:rPr>
              <w:t>0.069</w:t>
            </w:r>
          </w:p>
        </w:tc>
        <w:tc>
          <w:tcPr>
            <w:tcW w:w="1217" w:type="dxa"/>
            <w:vAlign w:val="center"/>
          </w:tcPr>
          <w:p>
            <w:pPr>
              <w:jc w:val="center"/>
              <w:rPr>
                <w:rFonts w:ascii="Times New Roman" w:hAnsi="Times New Roman"/>
                <w:szCs w:val="21"/>
              </w:rPr>
            </w:pPr>
            <w:r>
              <w:rPr>
                <w:rFonts w:ascii="Times New Roman" w:hAnsi="Times New Roman"/>
                <w:szCs w:val="21"/>
              </w:rPr>
              <w:t>0.168</w:t>
            </w:r>
          </w:p>
        </w:tc>
        <w:tc>
          <w:tcPr>
            <w:tcW w:w="1217" w:type="dxa"/>
            <w:vAlign w:val="center"/>
          </w:tcPr>
          <w:p>
            <w:pPr>
              <w:jc w:val="center"/>
              <w:rPr>
                <w:rFonts w:ascii="Times New Roman" w:hAnsi="Times New Roman"/>
                <w:szCs w:val="21"/>
              </w:rPr>
            </w:pPr>
            <w:r>
              <w:rPr>
                <w:rFonts w:ascii="Times New Roman" w:hAnsi="Times New Roman"/>
                <w:szCs w:val="21"/>
              </w:rPr>
              <w:t>0.11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w:t>
            </w:r>
          </w:p>
        </w:tc>
      </w:tr>
      <w:tr>
        <w:tblPrEx>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铜</w:t>
            </w:r>
          </w:p>
        </w:tc>
        <w:tc>
          <w:tcPr>
            <w:tcW w:w="1014" w:type="dxa"/>
            <w:vAlign w:val="center"/>
          </w:tcPr>
          <w:p>
            <w:pPr>
              <w:jc w:val="center"/>
              <w:rPr>
                <w:rFonts w:ascii="Times New Roman" w:hAnsi="Times New Roman"/>
                <w:szCs w:val="21"/>
              </w:rPr>
            </w:pPr>
            <w:r>
              <w:rPr>
                <w:rFonts w:ascii="Times New Roman" w:hAnsi="Times New Roman"/>
                <w:szCs w:val="21"/>
              </w:rPr>
              <w:t>0.0005</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0.0036</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锌</w:t>
            </w:r>
          </w:p>
        </w:tc>
        <w:tc>
          <w:tcPr>
            <w:tcW w:w="1014"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氟化物</w:t>
            </w:r>
          </w:p>
        </w:tc>
        <w:tc>
          <w:tcPr>
            <w:tcW w:w="1014"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砷</w:t>
            </w:r>
          </w:p>
        </w:tc>
        <w:tc>
          <w:tcPr>
            <w:tcW w:w="1014" w:type="dxa"/>
            <w:vAlign w:val="center"/>
          </w:tcPr>
          <w:p>
            <w:pPr>
              <w:jc w:val="center"/>
              <w:rPr>
                <w:rFonts w:ascii="Times New Roman" w:hAnsi="Times New Roman"/>
                <w:szCs w:val="21"/>
              </w:rPr>
            </w:pPr>
            <w:r>
              <w:rPr>
                <w:rFonts w:ascii="Times New Roman" w:hAnsi="Times New Roman"/>
                <w:szCs w:val="21"/>
              </w:rPr>
              <w:t>0.13</w:t>
            </w:r>
          </w:p>
        </w:tc>
        <w:tc>
          <w:tcPr>
            <w:tcW w:w="1217" w:type="dxa"/>
            <w:vAlign w:val="center"/>
          </w:tcPr>
          <w:p>
            <w:pPr>
              <w:jc w:val="center"/>
              <w:rPr>
                <w:rFonts w:ascii="Times New Roman" w:hAnsi="Times New Roman"/>
                <w:szCs w:val="21"/>
              </w:rPr>
            </w:pPr>
            <w:r>
              <w:rPr>
                <w:rFonts w:ascii="Times New Roman" w:hAnsi="Times New Roman"/>
                <w:szCs w:val="21"/>
              </w:rPr>
              <w:t>0.657</w:t>
            </w:r>
          </w:p>
        </w:tc>
        <w:tc>
          <w:tcPr>
            <w:tcW w:w="1217" w:type="dxa"/>
            <w:vAlign w:val="center"/>
          </w:tcPr>
          <w:p>
            <w:pPr>
              <w:jc w:val="center"/>
              <w:rPr>
                <w:rFonts w:ascii="Times New Roman" w:hAnsi="Times New Roman"/>
                <w:szCs w:val="21"/>
              </w:rPr>
            </w:pPr>
            <w:r>
              <w:rPr>
                <w:rFonts w:ascii="Times New Roman" w:hAnsi="Times New Roman"/>
                <w:szCs w:val="21"/>
              </w:rPr>
              <w:t>0.302</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镉</w:t>
            </w:r>
          </w:p>
        </w:tc>
        <w:tc>
          <w:tcPr>
            <w:tcW w:w="1014" w:type="dxa"/>
            <w:vAlign w:val="center"/>
          </w:tcPr>
          <w:p>
            <w:pPr>
              <w:jc w:val="center"/>
              <w:rPr>
                <w:rFonts w:ascii="Times New Roman" w:hAnsi="Times New Roman"/>
                <w:szCs w:val="21"/>
              </w:rPr>
            </w:pPr>
            <w:r>
              <w:rPr>
                <w:rFonts w:ascii="Times New Roman" w:hAnsi="Times New Roman"/>
                <w:szCs w:val="21"/>
              </w:rPr>
              <w:t>0.0001</w:t>
            </w:r>
          </w:p>
        </w:tc>
        <w:tc>
          <w:tcPr>
            <w:tcW w:w="1217" w:type="dxa"/>
            <w:vAlign w:val="center"/>
          </w:tcPr>
          <w:p>
            <w:pPr>
              <w:jc w:val="center"/>
              <w:rPr>
                <w:rFonts w:ascii="Times New Roman" w:hAnsi="Times New Roman"/>
                <w:szCs w:val="21"/>
              </w:rPr>
            </w:pPr>
            <w:r>
              <w:rPr>
                <w:rFonts w:ascii="Times New Roman" w:hAnsi="Times New Roman"/>
                <w:szCs w:val="21"/>
              </w:rPr>
              <w:t>0.0022</w:t>
            </w:r>
          </w:p>
        </w:tc>
        <w:tc>
          <w:tcPr>
            <w:tcW w:w="1217" w:type="dxa"/>
            <w:vAlign w:val="center"/>
          </w:tcPr>
          <w:p>
            <w:pPr>
              <w:jc w:val="center"/>
              <w:rPr>
                <w:rFonts w:ascii="Times New Roman" w:hAnsi="Times New Roman"/>
                <w:szCs w:val="21"/>
              </w:rPr>
            </w:pPr>
            <w:r>
              <w:rPr>
                <w:rFonts w:ascii="Times New Roman" w:hAnsi="Times New Roman"/>
                <w:szCs w:val="21"/>
              </w:rPr>
              <w:t>0.0011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六价铬</w:t>
            </w:r>
          </w:p>
        </w:tc>
        <w:tc>
          <w:tcPr>
            <w:tcW w:w="1014" w:type="dxa"/>
            <w:vAlign w:val="center"/>
          </w:tcPr>
          <w:p>
            <w:pPr>
              <w:jc w:val="center"/>
              <w:rPr>
                <w:rFonts w:ascii="Times New Roman" w:hAnsi="Times New Roman"/>
                <w:szCs w:val="21"/>
              </w:rPr>
            </w:pPr>
            <w:r>
              <w:rPr>
                <w:rFonts w:ascii="Times New Roman" w:hAnsi="Times New Roman"/>
                <w:szCs w:val="21"/>
              </w:rPr>
              <w:t>0.00005</w:t>
            </w:r>
          </w:p>
        </w:tc>
        <w:tc>
          <w:tcPr>
            <w:tcW w:w="1217" w:type="dxa"/>
            <w:vAlign w:val="center"/>
          </w:tcPr>
          <w:p>
            <w:pPr>
              <w:jc w:val="center"/>
              <w:rPr>
                <w:rFonts w:ascii="Times New Roman" w:hAnsi="Times New Roman"/>
                <w:szCs w:val="21"/>
              </w:rPr>
            </w:pPr>
            <w:r>
              <w:rPr>
                <w:rFonts w:ascii="Times New Roman" w:hAnsi="Times New Roman"/>
                <w:szCs w:val="21"/>
              </w:rPr>
              <w:t>0.0011</w:t>
            </w:r>
          </w:p>
        </w:tc>
        <w:tc>
          <w:tcPr>
            <w:tcW w:w="1217" w:type="dxa"/>
            <w:vAlign w:val="center"/>
          </w:tcPr>
          <w:p>
            <w:pPr>
              <w:jc w:val="center"/>
              <w:rPr>
                <w:rFonts w:ascii="Times New Roman" w:hAnsi="Times New Roman"/>
                <w:szCs w:val="21"/>
              </w:rPr>
            </w:pPr>
            <w:r>
              <w:rPr>
                <w:rFonts w:ascii="Times New Roman" w:hAnsi="Times New Roman"/>
                <w:szCs w:val="21"/>
              </w:rPr>
              <w:t>0.0004</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氰化物</w:t>
            </w:r>
          </w:p>
        </w:tc>
        <w:tc>
          <w:tcPr>
            <w:tcW w:w="1014"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0.0127</w:t>
            </w:r>
          </w:p>
        </w:tc>
        <w:tc>
          <w:tcPr>
            <w:tcW w:w="1217" w:type="dxa"/>
            <w:vAlign w:val="center"/>
          </w:tcPr>
          <w:p>
            <w:pPr>
              <w:jc w:val="center"/>
              <w:rPr>
                <w:rFonts w:ascii="Times New Roman" w:hAnsi="Times New Roman"/>
                <w:szCs w:val="21"/>
              </w:rPr>
            </w:pPr>
            <w:r>
              <w:rPr>
                <w:rFonts w:ascii="Times New Roman" w:hAnsi="Times New Roman"/>
                <w:szCs w:val="21"/>
              </w:rPr>
              <w:t>0.0054</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阴离子表面活性剂</w:t>
            </w:r>
          </w:p>
        </w:tc>
        <w:tc>
          <w:tcPr>
            <w:tcW w:w="1014" w:type="dxa"/>
            <w:vAlign w:val="center"/>
          </w:tcPr>
          <w:p>
            <w:pPr>
              <w:jc w:val="center"/>
              <w:rPr>
                <w:rFonts w:ascii="Times New Roman" w:hAnsi="Times New Roman"/>
                <w:szCs w:val="21"/>
              </w:rPr>
            </w:pPr>
            <w:r>
              <w:rPr>
                <w:rFonts w:ascii="Times New Roman" w:hAnsi="Times New Roman"/>
                <w:szCs w:val="21"/>
              </w:rPr>
              <w:t>0.01</w:t>
            </w:r>
          </w:p>
        </w:tc>
        <w:tc>
          <w:tcPr>
            <w:tcW w:w="1217"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0.002</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硫化物</w:t>
            </w:r>
          </w:p>
        </w:tc>
        <w:tc>
          <w:tcPr>
            <w:tcW w:w="1014" w:type="dxa"/>
            <w:vAlign w:val="center"/>
          </w:tcPr>
          <w:p>
            <w:pPr>
              <w:jc w:val="center"/>
              <w:rPr>
                <w:rFonts w:ascii="Times New Roman" w:hAnsi="Times New Roman"/>
                <w:szCs w:val="21"/>
              </w:rPr>
            </w:pPr>
            <w:r>
              <w:rPr>
                <w:rFonts w:ascii="Times New Roman" w:hAnsi="Times New Roman"/>
                <w:szCs w:val="21"/>
              </w:rPr>
              <w:t>0.003</w:t>
            </w:r>
          </w:p>
        </w:tc>
        <w:tc>
          <w:tcPr>
            <w:tcW w:w="1217" w:type="dxa"/>
            <w:vAlign w:val="center"/>
          </w:tcPr>
          <w:p>
            <w:pPr>
              <w:jc w:val="center"/>
              <w:rPr>
                <w:rFonts w:ascii="Times New Roman" w:hAnsi="Times New Roman"/>
                <w:szCs w:val="21"/>
              </w:rPr>
            </w:pPr>
            <w:r>
              <w:rPr>
                <w:rFonts w:ascii="Times New Roman" w:hAnsi="Times New Roman"/>
                <w:szCs w:val="21"/>
              </w:rPr>
              <w:t>0.025</w:t>
            </w:r>
          </w:p>
        </w:tc>
        <w:tc>
          <w:tcPr>
            <w:tcW w:w="1217" w:type="dxa"/>
            <w:vAlign w:val="center"/>
          </w:tcPr>
          <w:p>
            <w:pPr>
              <w:jc w:val="center"/>
              <w:rPr>
                <w:rFonts w:ascii="Times New Roman" w:hAnsi="Times New Roman"/>
                <w:szCs w:val="21"/>
              </w:rPr>
            </w:pPr>
            <w:r>
              <w:rPr>
                <w:rFonts w:ascii="Times New Roman" w:hAnsi="Times New Roman"/>
                <w:szCs w:val="21"/>
              </w:rPr>
              <w:t>0.004</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36" w:type="dxa"/>
            <w:gridSpan w:val="7"/>
            <w:vAlign w:val="center"/>
          </w:tcPr>
          <w:p>
            <w:pPr>
              <w:jc w:val="center"/>
              <w:rPr>
                <w:rFonts w:ascii="Times New Roman" w:hAnsi="Times New Roman"/>
                <w:szCs w:val="21"/>
              </w:rPr>
            </w:pPr>
            <w:r>
              <w:rPr>
                <w:rFonts w:ascii="Times New Roman" w:hAnsi="Times New Roman"/>
                <w:szCs w:val="21"/>
              </w:rPr>
              <w:t>陆城断面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PH</w:t>
            </w:r>
          </w:p>
        </w:tc>
        <w:tc>
          <w:tcPr>
            <w:tcW w:w="1014" w:type="dxa"/>
            <w:vAlign w:val="center"/>
          </w:tcPr>
          <w:p>
            <w:pPr>
              <w:jc w:val="center"/>
              <w:rPr>
                <w:rFonts w:ascii="Times New Roman" w:hAnsi="Times New Roman"/>
                <w:szCs w:val="21"/>
              </w:rPr>
            </w:pPr>
            <w:r>
              <w:rPr>
                <w:rFonts w:ascii="Times New Roman" w:hAnsi="Times New Roman"/>
                <w:szCs w:val="21"/>
              </w:rPr>
              <w:t>7.3</w:t>
            </w:r>
          </w:p>
        </w:tc>
        <w:tc>
          <w:tcPr>
            <w:tcW w:w="1217" w:type="dxa"/>
            <w:vAlign w:val="center"/>
          </w:tcPr>
          <w:p>
            <w:pPr>
              <w:jc w:val="center"/>
              <w:rPr>
                <w:rFonts w:ascii="Times New Roman" w:hAnsi="Times New Roman"/>
                <w:szCs w:val="21"/>
              </w:rPr>
            </w:pPr>
            <w:r>
              <w:rPr>
                <w:rFonts w:ascii="Times New Roman" w:hAnsi="Times New Roman"/>
                <w:szCs w:val="21"/>
              </w:rPr>
              <w:t>7.95</w:t>
            </w:r>
          </w:p>
        </w:tc>
        <w:tc>
          <w:tcPr>
            <w:tcW w:w="1217" w:type="dxa"/>
            <w:vAlign w:val="center"/>
          </w:tcPr>
          <w:p>
            <w:pPr>
              <w:jc w:val="center"/>
              <w:rPr>
                <w:rFonts w:ascii="Times New Roman" w:hAnsi="Times New Roman"/>
                <w:szCs w:val="21"/>
              </w:rPr>
            </w:pPr>
            <w:r>
              <w:rPr>
                <w:rFonts w:ascii="Times New Roman" w:hAnsi="Times New Roman"/>
                <w:szCs w:val="21"/>
              </w:rPr>
              <w:t>7.61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溶解氧</w:t>
            </w:r>
          </w:p>
        </w:tc>
        <w:tc>
          <w:tcPr>
            <w:tcW w:w="1014" w:type="dxa"/>
            <w:vAlign w:val="center"/>
          </w:tcPr>
          <w:p>
            <w:pPr>
              <w:jc w:val="center"/>
              <w:rPr>
                <w:rFonts w:ascii="Times New Roman" w:hAnsi="Times New Roman"/>
                <w:szCs w:val="21"/>
              </w:rPr>
            </w:pPr>
            <w:r>
              <w:rPr>
                <w:rFonts w:ascii="Times New Roman" w:hAnsi="Times New Roman"/>
                <w:szCs w:val="21"/>
              </w:rPr>
              <w:t>6.7</w:t>
            </w:r>
          </w:p>
        </w:tc>
        <w:tc>
          <w:tcPr>
            <w:tcW w:w="1217" w:type="dxa"/>
            <w:vAlign w:val="center"/>
          </w:tcPr>
          <w:p>
            <w:pPr>
              <w:jc w:val="center"/>
              <w:rPr>
                <w:rFonts w:ascii="Times New Roman" w:hAnsi="Times New Roman"/>
                <w:szCs w:val="21"/>
              </w:rPr>
            </w:pPr>
            <w:r>
              <w:rPr>
                <w:rFonts w:ascii="Times New Roman" w:hAnsi="Times New Roman"/>
                <w:szCs w:val="21"/>
              </w:rPr>
              <w:t>8.13</w:t>
            </w:r>
          </w:p>
        </w:tc>
        <w:tc>
          <w:tcPr>
            <w:tcW w:w="1217" w:type="dxa"/>
            <w:vAlign w:val="center"/>
          </w:tcPr>
          <w:p>
            <w:pPr>
              <w:jc w:val="center"/>
              <w:rPr>
                <w:rFonts w:ascii="Times New Roman" w:hAnsi="Times New Roman"/>
                <w:szCs w:val="21"/>
              </w:rPr>
            </w:pPr>
            <w:r>
              <w:rPr>
                <w:rFonts w:ascii="Times New Roman" w:hAnsi="Times New Roman"/>
                <w:szCs w:val="21"/>
              </w:rPr>
              <w:t>1.74</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rPr>
                <w:rFonts w:ascii="Times New Roman" w:hAnsi="Times New Roman"/>
                <w:szCs w:val="21"/>
              </w:rPr>
            </w:pPr>
            <w:r>
              <w:rPr>
                <w:rFonts w:ascii="Times New Roman" w:hAnsi="Times New Roman"/>
                <w:spacing w:val="-6"/>
                <w:szCs w:val="21"/>
              </w:rPr>
              <w:t>高锰酸盐指数</w:t>
            </w:r>
          </w:p>
        </w:tc>
        <w:tc>
          <w:tcPr>
            <w:tcW w:w="1014" w:type="dxa"/>
            <w:vAlign w:val="center"/>
          </w:tcPr>
          <w:p>
            <w:pPr>
              <w:jc w:val="center"/>
              <w:rPr>
                <w:rFonts w:ascii="Times New Roman" w:hAnsi="Times New Roman"/>
                <w:szCs w:val="21"/>
              </w:rPr>
            </w:pPr>
            <w:r>
              <w:rPr>
                <w:rFonts w:ascii="Times New Roman" w:hAnsi="Times New Roman"/>
                <w:szCs w:val="21"/>
              </w:rPr>
              <w:t>1.83</w:t>
            </w:r>
          </w:p>
        </w:tc>
        <w:tc>
          <w:tcPr>
            <w:tcW w:w="1217" w:type="dxa"/>
            <w:vAlign w:val="center"/>
          </w:tcPr>
          <w:p>
            <w:pPr>
              <w:jc w:val="center"/>
              <w:rPr>
                <w:rFonts w:ascii="Times New Roman" w:hAnsi="Times New Roman"/>
                <w:szCs w:val="21"/>
              </w:rPr>
            </w:pPr>
            <w:r>
              <w:rPr>
                <w:rFonts w:ascii="Times New Roman" w:hAnsi="Times New Roman"/>
                <w:szCs w:val="21"/>
              </w:rPr>
              <w:t>2.86</w:t>
            </w:r>
          </w:p>
        </w:tc>
        <w:tc>
          <w:tcPr>
            <w:tcW w:w="1217" w:type="dxa"/>
            <w:vAlign w:val="center"/>
          </w:tcPr>
          <w:p>
            <w:pPr>
              <w:jc w:val="center"/>
              <w:rPr>
                <w:rFonts w:ascii="Times New Roman" w:hAnsi="Times New Roman"/>
                <w:szCs w:val="21"/>
              </w:rPr>
            </w:pPr>
            <w:r>
              <w:rPr>
                <w:rFonts w:ascii="Times New Roman" w:hAnsi="Times New Roman"/>
                <w:szCs w:val="21"/>
              </w:rPr>
              <w:t>2.41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BOD 5</w:t>
            </w:r>
          </w:p>
        </w:tc>
        <w:tc>
          <w:tcPr>
            <w:tcW w:w="1014" w:type="dxa"/>
            <w:vAlign w:val="center"/>
          </w:tcPr>
          <w:p>
            <w:pPr>
              <w:jc w:val="center"/>
              <w:rPr>
                <w:rFonts w:ascii="Times New Roman" w:hAnsi="Times New Roman"/>
                <w:szCs w:val="21"/>
              </w:rPr>
            </w:pPr>
            <w:r>
              <w:rPr>
                <w:rFonts w:ascii="Times New Roman" w:hAnsi="Times New Roman"/>
                <w:szCs w:val="21"/>
              </w:rPr>
              <w:t>0.47</w:t>
            </w:r>
          </w:p>
        </w:tc>
        <w:tc>
          <w:tcPr>
            <w:tcW w:w="1217" w:type="dxa"/>
            <w:vAlign w:val="center"/>
          </w:tcPr>
          <w:p>
            <w:pPr>
              <w:jc w:val="center"/>
              <w:rPr>
                <w:rFonts w:ascii="Times New Roman" w:hAnsi="Times New Roman"/>
                <w:szCs w:val="21"/>
              </w:rPr>
            </w:pPr>
            <w:r>
              <w:rPr>
                <w:rFonts w:ascii="Times New Roman" w:hAnsi="Times New Roman"/>
                <w:szCs w:val="21"/>
              </w:rPr>
              <w:t>3.3</w:t>
            </w:r>
          </w:p>
        </w:tc>
        <w:tc>
          <w:tcPr>
            <w:tcW w:w="1217" w:type="dxa"/>
            <w:vAlign w:val="center"/>
          </w:tcPr>
          <w:p>
            <w:pPr>
              <w:jc w:val="center"/>
              <w:rPr>
                <w:rFonts w:ascii="Times New Roman" w:hAnsi="Times New Roman"/>
                <w:szCs w:val="21"/>
              </w:rPr>
            </w:pPr>
            <w:r>
              <w:rPr>
                <w:rFonts w:ascii="Times New Roman" w:hAnsi="Times New Roman"/>
                <w:szCs w:val="21"/>
              </w:rPr>
              <w:t>1.17</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氨氮</w:t>
            </w:r>
          </w:p>
        </w:tc>
        <w:tc>
          <w:tcPr>
            <w:tcW w:w="1014" w:type="dxa"/>
            <w:vAlign w:val="center"/>
          </w:tcPr>
          <w:p>
            <w:pPr>
              <w:jc w:val="center"/>
              <w:rPr>
                <w:rFonts w:ascii="Times New Roman" w:hAnsi="Times New Roman"/>
                <w:szCs w:val="21"/>
              </w:rPr>
            </w:pPr>
            <w:r>
              <w:rPr>
                <w:rFonts w:ascii="Times New Roman" w:hAnsi="Times New Roman"/>
                <w:szCs w:val="21"/>
              </w:rPr>
              <w:t>0.05</w:t>
            </w:r>
          </w:p>
        </w:tc>
        <w:tc>
          <w:tcPr>
            <w:tcW w:w="1217" w:type="dxa"/>
            <w:vAlign w:val="center"/>
          </w:tcPr>
          <w:p>
            <w:pPr>
              <w:jc w:val="center"/>
              <w:rPr>
                <w:rFonts w:ascii="Times New Roman" w:hAnsi="Times New Roman"/>
                <w:szCs w:val="21"/>
              </w:rPr>
            </w:pPr>
            <w:r>
              <w:rPr>
                <w:rFonts w:ascii="Times New Roman" w:hAnsi="Times New Roman"/>
                <w:szCs w:val="21"/>
              </w:rPr>
              <w:t>0.439</w:t>
            </w:r>
          </w:p>
        </w:tc>
        <w:tc>
          <w:tcPr>
            <w:tcW w:w="1217" w:type="dxa"/>
            <w:vAlign w:val="center"/>
          </w:tcPr>
          <w:p>
            <w:pPr>
              <w:jc w:val="center"/>
              <w:rPr>
                <w:rFonts w:ascii="Times New Roman" w:hAnsi="Times New Roman"/>
                <w:szCs w:val="21"/>
              </w:rPr>
            </w:pPr>
            <w:r>
              <w:rPr>
                <w:rFonts w:ascii="Times New Roman" w:hAnsi="Times New Roman"/>
                <w:szCs w:val="21"/>
              </w:rPr>
              <w:t>0.215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石油类</w:t>
            </w:r>
          </w:p>
        </w:tc>
        <w:tc>
          <w:tcPr>
            <w:tcW w:w="1014" w:type="dxa"/>
            <w:vAlign w:val="center"/>
          </w:tcPr>
          <w:p>
            <w:pPr>
              <w:jc w:val="center"/>
              <w:rPr>
                <w:rFonts w:ascii="Times New Roman" w:hAnsi="Times New Roman"/>
                <w:szCs w:val="21"/>
              </w:rPr>
            </w:pPr>
            <w:r>
              <w:rPr>
                <w:rFonts w:ascii="Times New Roman" w:hAnsi="Times New Roman"/>
                <w:szCs w:val="21"/>
              </w:rPr>
              <w:t>0.01</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挥发酚</w:t>
            </w:r>
          </w:p>
        </w:tc>
        <w:tc>
          <w:tcPr>
            <w:tcW w:w="1014"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0.00005</w:t>
            </w:r>
          </w:p>
        </w:tc>
        <w:tc>
          <w:tcPr>
            <w:tcW w:w="1217" w:type="dxa"/>
            <w:vAlign w:val="center"/>
          </w:tcPr>
          <w:p>
            <w:pPr>
              <w:jc w:val="center"/>
              <w:rPr>
                <w:rFonts w:ascii="Times New Roman" w:hAnsi="Times New Roman"/>
                <w:szCs w:val="21"/>
              </w:rPr>
            </w:pPr>
            <w:r>
              <w:rPr>
                <w:rFonts w:ascii="Times New Roman" w:hAnsi="Times New Roman"/>
                <w:szCs w:val="21"/>
              </w:rPr>
              <w:t>0.001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汞</w:t>
            </w:r>
          </w:p>
        </w:tc>
        <w:tc>
          <w:tcPr>
            <w:tcW w:w="1014" w:type="dxa"/>
            <w:vAlign w:val="center"/>
          </w:tcPr>
          <w:p>
            <w:pPr>
              <w:jc w:val="center"/>
              <w:rPr>
                <w:rFonts w:ascii="Times New Roman" w:hAnsi="Times New Roman"/>
                <w:szCs w:val="21"/>
              </w:rPr>
            </w:pPr>
            <w:r>
              <w:rPr>
                <w:rFonts w:ascii="Times New Roman" w:hAnsi="Times New Roman"/>
                <w:szCs w:val="21"/>
              </w:rPr>
              <w:t>0.00001</w:t>
            </w:r>
          </w:p>
        </w:tc>
        <w:tc>
          <w:tcPr>
            <w:tcW w:w="1217" w:type="dxa"/>
            <w:vAlign w:val="center"/>
          </w:tcPr>
          <w:p>
            <w:pPr>
              <w:jc w:val="center"/>
              <w:rPr>
                <w:rFonts w:ascii="Times New Roman" w:hAnsi="Times New Roman"/>
                <w:szCs w:val="21"/>
              </w:rPr>
            </w:pPr>
            <w:r>
              <w:rPr>
                <w:rFonts w:ascii="Times New Roman" w:hAnsi="Times New Roman"/>
                <w:szCs w:val="21"/>
              </w:rPr>
              <w:t>0.00002</w:t>
            </w:r>
          </w:p>
        </w:tc>
        <w:tc>
          <w:tcPr>
            <w:tcW w:w="1217" w:type="dxa"/>
            <w:vAlign w:val="center"/>
          </w:tcPr>
          <w:p>
            <w:pPr>
              <w:jc w:val="center"/>
              <w:rPr>
                <w:rFonts w:ascii="Times New Roman" w:hAnsi="Times New Roman"/>
                <w:szCs w:val="21"/>
              </w:rPr>
            </w:pPr>
            <w:r>
              <w:rPr>
                <w:rFonts w:ascii="Times New Roman" w:hAnsi="Times New Roman"/>
                <w:szCs w:val="21"/>
              </w:rPr>
              <w:t>0.000018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铅</w:t>
            </w:r>
          </w:p>
        </w:tc>
        <w:tc>
          <w:tcPr>
            <w:tcW w:w="1014" w:type="dxa"/>
            <w:vAlign w:val="center"/>
          </w:tcPr>
          <w:p>
            <w:pPr>
              <w:jc w:val="center"/>
              <w:rPr>
                <w:rFonts w:ascii="Times New Roman" w:hAnsi="Times New Roman"/>
                <w:szCs w:val="21"/>
              </w:rPr>
            </w:pPr>
            <w:r>
              <w:rPr>
                <w:rFonts w:ascii="Times New Roman" w:hAnsi="Times New Roman"/>
                <w:szCs w:val="21"/>
              </w:rPr>
              <w:t>0.0005</w:t>
            </w:r>
          </w:p>
        </w:tc>
        <w:tc>
          <w:tcPr>
            <w:tcW w:w="1217" w:type="dxa"/>
            <w:vAlign w:val="center"/>
          </w:tcPr>
          <w:p>
            <w:pPr>
              <w:jc w:val="center"/>
              <w:rPr>
                <w:rFonts w:ascii="Times New Roman" w:hAnsi="Times New Roman"/>
                <w:szCs w:val="21"/>
              </w:rPr>
            </w:pPr>
            <w:r>
              <w:rPr>
                <w:rFonts w:ascii="Times New Roman" w:hAnsi="Times New Roman"/>
                <w:szCs w:val="21"/>
              </w:rPr>
              <w:t>0.0015</w:t>
            </w:r>
          </w:p>
        </w:tc>
        <w:tc>
          <w:tcPr>
            <w:tcW w:w="1217" w:type="dxa"/>
            <w:vAlign w:val="center"/>
          </w:tcPr>
          <w:p>
            <w:pPr>
              <w:jc w:val="center"/>
              <w:rPr>
                <w:rFonts w:ascii="Times New Roman" w:hAnsi="Times New Roman"/>
                <w:szCs w:val="21"/>
              </w:rPr>
            </w:pPr>
            <w:r>
              <w:rPr>
                <w:rFonts w:ascii="Times New Roman" w:hAnsi="Times New Roman"/>
                <w:szCs w:val="21"/>
              </w:rPr>
              <w:t>0.0011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化学需氧量</w:t>
            </w:r>
          </w:p>
        </w:tc>
        <w:tc>
          <w:tcPr>
            <w:tcW w:w="1014" w:type="dxa"/>
            <w:vAlign w:val="center"/>
          </w:tcPr>
          <w:p>
            <w:pPr>
              <w:jc w:val="center"/>
              <w:rPr>
                <w:rFonts w:ascii="Times New Roman" w:hAnsi="Times New Roman"/>
                <w:szCs w:val="21"/>
              </w:rPr>
            </w:pPr>
            <w:r>
              <w:rPr>
                <w:rFonts w:ascii="Times New Roman" w:hAnsi="Times New Roman"/>
                <w:szCs w:val="21"/>
              </w:rPr>
              <w:t>4.08</w:t>
            </w:r>
          </w:p>
        </w:tc>
        <w:tc>
          <w:tcPr>
            <w:tcW w:w="1217" w:type="dxa"/>
            <w:vAlign w:val="center"/>
          </w:tcPr>
          <w:p>
            <w:pPr>
              <w:jc w:val="center"/>
              <w:rPr>
                <w:rFonts w:ascii="Times New Roman" w:hAnsi="Times New Roman"/>
                <w:szCs w:val="21"/>
              </w:rPr>
            </w:pPr>
            <w:r>
              <w:rPr>
                <w:rFonts w:ascii="Times New Roman" w:hAnsi="Times New Roman"/>
                <w:szCs w:val="21"/>
              </w:rPr>
              <w:t>11.3</w:t>
            </w:r>
          </w:p>
        </w:tc>
        <w:tc>
          <w:tcPr>
            <w:tcW w:w="1217" w:type="dxa"/>
            <w:vAlign w:val="center"/>
          </w:tcPr>
          <w:p>
            <w:pPr>
              <w:jc w:val="center"/>
              <w:rPr>
                <w:rFonts w:ascii="Times New Roman" w:hAnsi="Times New Roman"/>
                <w:szCs w:val="21"/>
              </w:rPr>
            </w:pPr>
            <w:r>
              <w:rPr>
                <w:rFonts w:ascii="Times New Roman" w:hAnsi="Times New Roman"/>
                <w:szCs w:val="21"/>
              </w:rPr>
              <w:t>9.18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总磷</w:t>
            </w:r>
          </w:p>
        </w:tc>
        <w:tc>
          <w:tcPr>
            <w:tcW w:w="1014" w:type="dxa"/>
            <w:vAlign w:val="center"/>
          </w:tcPr>
          <w:p>
            <w:pPr>
              <w:jc w:val="center"/>
              <w:rPr>
                <w:rFonts w:ascii="Times New Roman" w:hAnsi="Times New Roman"/>
                <w:szCs w:val="21"/>
              </w:rPr>
            </w:pPr>
            <w:r>
              <w:rPr>
                <w:rFonts w:ascii="Times New Roman" w:hAnsi="Times New Roman"/>
                <w:szCs w:val="21"/>
              </w:rPr>
              <w:t>0.061</w:t>
            </w:r>
          </w:p>
        </w:tc>
        <w:tc>
          <w:tcPr>
            <w:tcW w:w="1217" w:type="dxa"/>
            <w:vAlign w:val="center"/>
          </w:tcPr>
          <w:p>
            <w:pPr>
              <w:jc w:val="center"/>
              <w:rPr>
                <w:rFonts w:ascii="Times New Roman" w:hAnsi="Times New Roman"/>
                <w:szCs w:val="21"/>
              </w:rPr>
            </w:pPr>
            <w:r>
              <w:rPr>
                <w:rFonts w:ascii="Times New Roman" w:hAnsi="Times New Roman"/>
                <w:szCs w:val="21"/>
              </w:rPr>
              <w:t>0.176</w:t>
            </w:r>
          </w:p>
        </w:tc>
        <w:tc>
          <w:tcPr>
            <w:tcW w:w="1217" w:type="dxa"/>
            <w:vAlign w:val="center"/>
          </w:tcPr>
          <w:p>
            <w:pPr>
              <w:jc w:val="center"/>
              <w:rPr>
                <w:rFonts w:ascii="Times New Roman" w:hAnsi="Times New Roman"/>
                <w:szCs w:val="21"/>
              </w:rPr>
            </w:pPr>
            <w:r>
              <w:rPr>
                <w:rFonts w:ascii="Times New Roman" w:hAnsi="Times New Roman"/>
                <w:szCs w:val="21"/>
              </w:rPr>
              <w:t>0.105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铜</w:t>
            </w:r>
          </w:p>
        </w:tc>
        <w:tc>
          <w:tcPr>
            <w:tcW w:w="1014" w:type="dxa"/>
            <w:vAlign w:val="center"/>
          </w:tcPr>
          <w:p>
            <w:pPr>
              <w:jc w:val="center"/>
              <w:rPr>
                <w:rFonts w:ascii="Times New Roman" w:hAnsi="Times New Roman"/>
                <w:szCs w:val="21"/>
              </w:rPr>
            </w:pPr>
            <w:r>
              <w:rPr>
                <w:rFonts w:ascii="Times New Roman" w:hAnsi="Times New Roman"/>
                <w:szCs w:val="21"/>
              </w:rPr>
              <w:t>0.0005</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0.0038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锌</w:t>
            </w:r>
          </w:p>
        </w:tc>
        <w:tc>
          <w:tcPr>
            <w:tcW w:w="1014" w:type="dxa"/>
            <w:vAlign w:val="center"/>
          </w:tcPr>
          <w:p>
            <w:pPr>
              <w:jc w:val="center"/>
              <w:rPr>
                <w:rFonts w:ascii="Times New Roman" w:hAnsi="Times New Roman"/>
                <w:szCs w:val="21"/>
              </w:rPr>
            </w:pPr>
            <w:r>
              <w:rPr>
                <w:rFonts w:ascii="Times New Roman" w:hAnsi="Times New Roman"/>
                <w:szCs w:val="21"/>
              </w:rPr>
              <w:t>0.005</w:t>
            </w:r>
          </w:p>
        </w:tc>
        <w:tc>
          <w:tcPr>
            <w:tcW w:w="1217" w:type="dxa"/>
            <w:vAlign w:val="center"/>
          </w:tcPr>
          <w:p>
            <w:pPr>
              <w:jc w:val="center"/>
              <w:rPr>
                <w:rFonts w:ascii="Times New Roman" w:hAnsi="Times New Roman"/>
                <w:szCs w:val="21"/>
              </w:rPr>
            </w:pPr>
            <w:r>
              <w:rPr>
                <w:rFonts w:ascii="Times New Roman" w:hAnsi="Times New Roman"/>
                <w:szCs w:val="21"/>
              </w:rPr>
              <w:t>0.0043</w:t>
            </w:r>
          </w:p>
        </w:tc>
        <w:tc>
          <w:tcPr>
            <w:tcW w:w="1217" w:type="dxa"/>
            <w:vAlign w:val="center"/>
          </w:tcPr>
          <w:p>
            <w:pPr>
              <w:jc w:val="center"/>
              <w:rPr>
                <w:rFonts w:ascii="Times New Roman" w:hAnsi="Times New Roman"/>
                <w:szCs w:val="21"/>
              </w:rPr>
            </w:pPr>
            <w:r>
              <w:rPr>
                <w:rFonts w:ascii="Times New Roman" w:hAnsi="Times New Roman"/>
                <w:szCs w:val="21"/>
              </w:rPr>
              <w:t>0.0052</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氟化物</w:t>
            </w:r>
          </w:p>
        </w:tc>
        <w:tc>
          <w:tcPr>
            <w:tcW w:w="1014" w:type="dxa"/>
            <w:vAlign w:val="center"/>
          </w:tcPr>
          <w:p>
            <w:pPr>
              <w:jc w:val="center"/>
              <w:rPr>
                <w:rFonts w:ascii="Times New Roman" w:hAnsi="Times New Roman"/>
                <w:szCs w:val="21"/>
              </w:rPr>
            </w:pPr>
            <w:r>
              <w:rPr>
                <w:rFonts w:ascii="Times New Roman" w:hAnsi="Times New Roman"/>
                <w:szCs w:val="21"/>
              </w:rPr>
              <w:t>0.123</w:t>
            </w:r>
          </w:p>
        </w:tc>
        <w:tc>
          <w:tcPr>
            <w:tcW w:w="1217" w:type="dxa"/>
            <w:vAlign w:val="center"/>
          </w:tcPr>
          <w:p>
            <w:pPr>
              <w:jc w:val="center"/>
              <w:rPr>
                <w:rFonts w:ascii="Times New Roman" w:hAnsi="Times New Roman"/>
                <w:szCs w:val="21"/>
              </w:rPr>
            </w:pPr>
            <w:r>
              <w:rPr>
                <w:rFonts w:ascii="Times New Roman" w:hAnsi="Times New Roman"/>
                <w:szCs w:val="21"/>
              </w:rPr>
              <w:t>0.0005</w:t>
            </w:r>
          </w:p>
        </w:tc>
        <w:tc>
          <w:tcPr>
            <w:tcW w:w="1217" w:type="dxa"/>
            <w:vAlign w:val="center"/>
          </w:tcPr>
          <w:p>
            <w:pPr>
              <w:jc w:val="center"/>
              <w:rPr>
                <w:rFonts w:ascii="Times New Roman" w:hAnsi="Times New Roman"/>
                <w:szCs w:val="21"/>
              </w:rPr>
            </w:pPr>
            <w:r>
              <w:rPr>
                <w:rFonts w:ascii="Times New Roman" w:hAnsi="Times New Roman"/>
                <w:szCs w:val="21"/>
              </w:rPr>
              <w:t>0.3</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砷</w:t>
            </w:r>
          </w:p>
        </w:tc>
        <w:tc>
          <w:tcPr>
            <w:tcW w:w="1014" w:type="dxa"/>
            <w:vAlign w:val="center"/>
          </w:tcPr>
          <w:p>
            <w:pPr>
              <w:jc w:val="center"/>
              <w:rPr>
                <w:rFonts w:ascii="Times New Roman" w:hAnsi="Times New Roman"/>
                <w:szCs w:val="21"/>
              </w:rPr>
            </w:pPr>
            <w:r>
              <w:rPr>
                <w:rFonts w:ascii="Times New Roman" w:hAnsi="Times New Roman"/>
                <w:szCs w:val="21"/>
              </w:rPr>
              <w:t>0.0003</w:t>
            </w:r>
          </w:p>
        </w:tc>
        <w:tc>
          <w:tcPr>
            <w:tcW w:w="1217" w:type="dxa"/>
            <w:vAlign w:val="center"/>
          </w:tcPr>
          <w:p>
            <w:pPr>
              <w:jc w:val="center"/>
              <w:rPr>
                <w:rFonts w:ascii="Times New Roman" w:hAnsi="Times New Roman"/>
                <w:szCs w:val="21"/>
              </w:rPr>
            </w:pPr>
            <w:r>
              <w:rPr>
                <w:rFonts w:ascii="Times New Roman" w:hAnsi="Times New Roman"/>
                <w:szCs w:val="21"/>
              </w:rPr>
              <w:t>0.0147</w:t>
            </w:r>
          </w:p>
        </w:tc>
        <w:tc>
          <w:tcPr>
            <w:tcW w:w="1217" w:type="dxa"/>
            <w:vAlign w:val="center"/>
          </w:tcPr>
          <w:p>
            <w:pPr>
              <w:jc w:val="center"/>
              <w:rPr>
                <w:rFonts w:ascii="Times New Roman" w:hAnsi="Times New Roman"/>
                <w:szCs w:val="21"/>
              </w:rPr>
            </w:pPr>
            <w:r>
              <w:rPr>
                <w:rFonts w:ascii="Times New Roman" w:hAnsi="Times New Roman"/>
                <w:szCs w:val="21"/>
              </w:rPr>
              <w:t>0.0018</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镉</w:t>
            </w:r>
          </w:p>
        </w:tc>
        <w:tc>
          <w:tcPr>
            <w:tcW w:w="1014" w:type="dxa"/>
            <w:vAlign w:val="center"/>
          </w:tcPr>
          <w:p>
            <w:pPr>
              <w:jc w:val="center"/>
              <w:rPr>
                <w:rFonts w:ascii="Times New Roman" w:hAnsi="Times New Roman"/>
                <w:szCs w:val="21"/>
              </w:rPr>
            </w:pPr>
            <w:r>
              <w:rPr>
                <w:rFonts w:ascii="Times New Roman" w:hAnsi="Times New Roman"/>
                <w:szCs w:val="21"/>
              </w:rPr>
              <w:t>0.00005</w:t>
            </w:r>
          </w:p>
        </w:tc>
        <w:tc>
          <w:tcPr>
            <w:tcW w:w="1217" w:type="dxa"/>
            <w:vAlign w:val="center"/>
          </w:tcPr>
          <w:p>
            <w:pPr>
              <w:jc w:val="center"/>
              <w:rPr>
                <w:rFonts w:ascii="Times New Roman" w:hAnsi="Times New Roman"/>
                <w:szCs w:val="21"/>
              </w:rPr>
            </w:pPr>
            <w:r>
              <w:rPr>
                <w:rFonts w:ascii="Times New Roman" w:hAnsi="Times New Roman"/>
                <w:szCs w:val="21"/>
              </w:rPr>
              <w:t>0.0002</w:t>
            </w:r>
          </w:p>
        </w:tc>
        <w:tc>
          <w:tcPr>
            <w:tcW w:w="1217" w:type="dxa"/>
            <w:vAlign w:val="center"/>
          </w:tcPr>
          <w:p>
            <w:pPr>
              <w:jc w:val="center"/>
              <w:rPr>
                <w:rFonts w:ascii="Times New Roman" w:hAnsi="Times New Roman"/>
                <w:szCs w:val="21"/>
              </w:rPr>
            </w:pPr>
            <w:r>
              <w:rPr>
                <w:rFonts w:ascii="Times New Roman" w:hAnsi="Times New Roman"/>
                <w:szCs w:val="21"/>
              </w:rPr>
              <w:t>0.00021</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六价铬</w:t>
            </w:r>
          </w:p>
        </w:tc>
        <w:tc>
          <w:tcPr>
            <w:tcW w:w="1014"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0.005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氰化物</w:t>
            </w:r>
          </w:p>
        </w:tc>
        <w:tc>
          <w:tcPr>
            <w:tcW w:w="1014"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0.002</w:t>
            </w:r>
          </w:p>
        </w:tc>
        <w:tc>
          <w:tcPr>
            <w:tcW w:w="1217" w:type="dxa"/>
            <w:vAlign w:val="center"/>
          </w:tcPr>
          <w:p>
            <w:pPr>
              <w:jc w:val="center"/>
              <w:rPr>
                <w:rFonts w:ascii="Times New Roman" w:hAnsi="Times New Roman"/>
                <w:szCs w:val="21"/>
              </w:rPr>
            </w:pPr>
            <w:r>
              <w:rPr>
                <w:rFonts w:ascii="Times New Roman" w:hAnsi="Times New Roman"/>
                <w:szCs w:val="21"/>
              </w:rPr>
              <w:t>0.002</w:t>
            </w:r>
          </w:p>
        </w:tc>
        <w:tc>
          <w:tcPr>
            <w:tcW w:w="1218" w:type="dxa"/>
            <w:vAlign w:val="center"/>
          </w:tcPr>
          <w:p>
            <w:pPr>
              <w:jc w:val="center"/>
              <w:rPr>
                <w:rFonts w:ascii="Times New Roman" w:hAnsi="Times New Roman"/>
                <w:szCs w:val="21"/>
              </w:rPr>
            </w:pPr>
          </w:p>
        </w:tc>
        <w:tc>
          <w:tcPr>
            <w:tcW w:w="1218" w:type="dxa"/>
            <w:vAlign w:val="center"/>
          </w:tcPr>
          <w:p>
            <w:pPr>
              <w:jc w:val="center"/>
              <w:rPr>
                <w:rFonts w:ascii="Times New Roman" w:hAnsi="Times New Roman"/>
                <w:szCs w:val="21"/>
              </w:rPr>
            </w:pPr>
          </w:p>
        </w:tc>
        <w:tc>
          <w:tcPr>
            <w:tcW w:w="1732" w:type="dxa"/>
            <w:vAlign w:val="center"/>
          </w:tcPr>
          <w:p>
            <w:pPr>
              <w:jc w:val="center"/>
              <w:rPr>
                <w:rFonts w:ascii="Times New Roman" w:hAnsi="Times New Roman"/>
                <w:szCs w:val="21"/>
              </w:rPr>
            </w:pPr>
            <w:r>
              <w:rPr>
                <w:rFonts w:ascii="Times New Roman" w:hAnsi="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阴离子表面活性剂</w:t>
            </w:r>
          </w:p>
        </w:tc>
        <w:tc>
          <w:tcPr>
            <w:tcW w:w="1014" w:type="dxa"/>
            <w:vAlign w:val="center"/>
          </w:tcPr>
          <w:p>
            <w:pPr>
              <w:jc w:val="center"/>
              <w:rPr>
                <w:rFonts w:ascii="Times New Roman" w:hAnsi="Times New Roman"/>
                <w:szCs w:val="21"/>
              </w:rPr>
            </w:pPr>
            <w:r>
              <w:rPr>
                <w:rFonts w:ascii="Times New Roman" w:hAnsi="Times New Roman"/>
                <w:szCs w:val="21"/>
              </w:rPr>
              <w:t>0.01</w:t>
            </w:r>
          </w:p>
        </w:tc>
        <w:tc>
          <w:tcPr>
            <w:tcW w:w="1217" w:type="dxa"/>
            <w:vAlign w:val="center"/>
          </w:tcPr>
          <w:p>
            <w:pPr>
              <w:jc w:val="center"/>
              <w:rPr>
                <w:rFonts w:ascii="Times New Roman" w:hAnsi="Times New Roman"/>
                <w:szCs w:val="21"/>
              </w:rPr>
            </w:pPr>
            <w:r>
              <w:rPr>
                <w:rFonts w:ascii="Times New Roman" w:hAnsi="Times New Roman"/>
                <w:szCs w:val="21"/>
              </w:rPr>
              <w:t>0.025</w:t>
            </w:r>
          </w:p>
        </w:tc>
        <w:tc>
          <w:tcPr>
            <w:tcW w:w="1217" w:type="dxa"/>
            <w:vAlign w:val="center"/>
          </w:tcPr>
          <w:p>
            <w:pPr>
              <w:jc w:val="center"/>
              <w:rPr>
                <w:rFonts w:ascii="Times New Roman" w:hAnsi="Times New Roman"/>
                <w:szCs w:val="21"/>
              </w:rPr>
            </w:pPr>
            <w:r>
              <w:rPr>
                <w:rFonts w:ascii="Times New Roman" w:hAnsi="Times New Roman"/>
                <w:szCs w:val="21"/>
              </w:rPr>
              <w:t>0.015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20" w:type="dxa"/>
            <w:vAlign w:val="center"/>
          </w:tcPr>
          <w:p>
            <w:pPr>
              <w:jc w:val="center"/>
              <w:rPr>
                <w:rFonts w:ascii="Times New Roman" w:hAnsi="Times New Roman"/>
                <w:szCs w:val="21"/>
              </w:rPr>
            </w:pPr>
            <w:r>
              <w:rPr>
                <w:rFonts w:ascii="Times New Roman" w:hAnsi="Times New Roman"/>
                <w:szCs w:val="21"/>
              </w:rPr>
              <w:t>硫化物</w:t>
            </w:r>
          </w:p>
        </w:tc>
        <w:tc>
          <w:tcPr>
            <w:tcW w:w="1014" w:type="dxa"/>
            <w:vAlign w:val="center"/>
          </w:tcPr>
          <w:p>
            <w:pPr>
              <w:jc w:val="center"/>
              <w:rPr>
                <w:rFonts w:ascii="Times New Roman" w:hAnsi="Times New Roman"/>
                <w:szCs w:val="21"/>
              </w:rPr>
            </w:pPr>
            <w:r>
              <w:rPr>
                <w:rFonts w:ascii="Times New Roman" w:hAnsi="Times New Roman"/>
                <w:szCs w:val="21"/>
              </w:rPr>
              <w:t>0.003</w:t>
            </w:r>
          </w:p>
        </w:tc>
        <w:tc>
          <w:tcPr>
            <w:tcW w:w="1217" w:type="dxa"/>
            <w:vAlign w:val="center"/>
          </w:tcPr>
          <w:p>
            <w:pPr>
              <w:jc w:val="center"/>
              <w:rPr>
                <w:rFonts w:ascii="Times New Roman" w:hAnsi="Times New Roman"/>
                <w:szCs w:val="21"/>
              </w:rPr>
            </w:pPr>
            <w:r>
              <w:rPr>
                <w:rFonts w:ascii="Times New Roman" w:hAnsi="Times New Roman"/>
                <w:szCs w:val="21"/>
              </w:rPr>
              <w:t>0.009</w:t>
            </w:r>
          </w:p>
        </w:tc>
        <w:tc>
          <w:tcPr>
            <w:tcW w:w="1217" w:type="dxa"/>
            <w:vAlign w:val="center"/>
          </w:tcPr>
          <w:p>
            <w:pPr>
              <w:jc w:val="center"/>
              <w:rPr>
                <w:rFonts w:ascii="Times New Roman" w:hAnsi="Times New Roman"/>
                <w:szCs w:val="21"/>
              </w:rPr>
            </w:pPr>
            <w:r>
              <w:rPr>
                <w:rFonts w:ascii="Times New Roman" w:hAnsi="Times New Roman"/>
                <w:szCs w:val="21"/>
              </w:rPr>
              <w:t>0.015</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218" w:type="dxa"/>
            <w:vAlign w:val="center"/>
          </w:tcPr>
          <w:p>
            <w:pPr>
              <w:jc w:val="center"/>
              <w:rPr>
                <w:rFonts w:ascii="Times New Roman" w:hAnsi="Times New Roman"/>
                <w:szCs w:val="21"/>
              </w:rPr>
            </w:pPr>
            <w:r>
              <w:rPr>
                <w:rFonts w:ascii="Times New Roman" w:hAnsi="Times New Roman"/>
                <w:szCs w:val="21"/>
              </w:rPr>
              <w:t>/</w:t>
            </w:r>
          </w:p>
        </w:tc>
        <w:tc>
          <w:tcPr>
            <w:tcW w:w="1732" w:type="dxa"/>
            <w:vAlign w:val="center"/>
          </w:tcPr>
          <w:p>
            <w:pPr>
              <w:jc w:val="center"/>
              <w:rPr>
                <w:rFonts w:ascii="Times New Roman" w:hAnsi="Times New Roman"/>
                <w:szCs w:val="21"/>
              </w:rPr>
            </w:pPr>
            <w:r>
              <w:rPr>
                <w:rFonts w:ascii="Times New Roman" w:hAnsi="Times New Roman"/>
                <w:szCs w:val="21"/>
              </w:rPr>
              <w:t>≤0.2</w:t>
            </w:r>
          </w:p>
        </w:tc>
      </w:tr>
    </w:tbl>
    <w:p>
      <w:pPr>
        <w:pStyle w:val="6"/>
        <w:numPr>
          <w:ilvl w:val="1"/>
          <w:numId w:val="0"/>
        </w:numPr>
        <w:tabs>
          <w:tab w:val="clear" w:pos="0"/>
        </w:tabs>
        <w:spacing w:before="120" w:after="120"/>
        <w:rPr>
          <w:u w:val="single"/>
        </w:rPr>
      </w:pPr>
      <w:r>
        <w:rPr>
          <w:u w:val="single"/>
        </w:rPr>
        <w:t>4.5. 地下水质量现状</w:t>
      </w:r>
      <w:r>
        <w:rPr>
          <w:sz w:val="32"/>
          <w:u w:val="single"/>
        </w:rPr>
        <w:t>监测与</w:t>
      </w:r>
      <w:bookmarkEnd w:id="316"/>
      <w:r>
        <w:rPr>
          <w:u w:val="single"/>
        </w:rPr>
        <w:t>评价</w:t>
      </w:r>
    </w:p>
    <w:p>
      <w:pPr>
        <w:pStyle w:val="6"/>
        <w:numPr>
          <w:ilvl w:val="1"/>
          <w:numId w:val="0"/>
        </w:numPr>
        <w:tabs>
          <w:tab w:val="clear" w:pos="0"/>
        </w:tabs>
        <w:spacing w:before="120" w:after="120"/>
        <w:ind w:firstLine="472" w:firstLineChars="200"/>
        <w:rPr>
          <w:b w:val="0"/>
          <w:bCs w:val="0"/>
          <w:spacing w:val="-2"/>
          <w:sz w:val="24"/>
          <w:szCs w:val="24"/>
          <w:u w:val="single"/>
        </w:rPr>
      </w:pPr>
      <w:r>
        <w:rPr>
          <w:b w:val="0"/>
          <w:bCs w:val="0"/>
          <w:spacing w:val="-2"/>
          <w:sz w:val="24"/>
          <w:szCs w:val="24"/>
          <w:u w:val="single"/>
        </w:rPr>
        <w:t>为了解本项目所在地地下水质量现状。收集长岭分公司环保监测站2019年4月份人工监测数据。</w:t>
      </w:r>
    </w:p>
    <w:p>
      <w:pPr>
        <w:pStyle w:val="22"/>
        <w:kinsoku w:val="0"/>
        <w:overflowPunct w:val="0"/>
        <w:spacing w:line="306" w:lineRule="exact"/>
        <w:ind w:left="720"/>
        <w:rPr>
          <w:sz w:val="24"/>
          <w:u w:val="single"/>
        </w:rPr>
      </w:pPr>
      <w:r>
        <w:rPr>
          <w:sz w:val="24"/>
          <w:u w:val="single"/>
        </w:rPr>
        <w:t>（1）监测点位及监测因</w:t>
      </w:r>
    </w:p>
    <w:p>
      <w:pPr>
        <w:pStyle w:val="22"/>
        <w:kinsoku w:val="0"/>
        <w:overflowPunct w:val="0"/>
        <w:spacing w:line="306" w:lineRule="exact"/>
        <w:jc w:val="center"/>
        <w:rPr>
          <w:b/>
          <w:sz w:val="24"/>
          <w:u w:val="single"/>
          <w:lang w:val="zh-CN"/>
        </w:rPr>
      </w:pPr>
      <w:r>
        <w:rPr>
          <w:b/>
          <w:sz w:val="24"/>
          <w:u w:val="single"/>
          <w:lang w:val="zh-CN"/>
        </w:rPr>
        <w:t>表</w:t>
      </w:r>
      <w:r>
        <w:rPr>
          <w:b/>
          <w:sz w:val="24"/>
          <w:u w:val="single"/>
        </w:rPr>
        <w:t>4</w:t>
      </w:r>
      <w:r>
        <w:rPr>
          <w:b/>
          <w:sz w:val="24"/>
          <w:u w:val="single"/>
          <w:lang w:val="zh-CN"/>
        </w:rPr>
        <w:t>.5-1</w:t>
      </w:r>
      <w:r>
        <w:rPr>
          <w:b/>
          <w:sz w:val="24"/>
          <w:u w:val="single"/>
          <w:lang w:val="zh-CN"/>
        </w:rPr>
        <w:tab/>
      </w:r>
      <w:r>
        <w:rPr>
          <w:b/>
          <w:sz w:val="24"/>
          <w:u w:val="single"/>
          <w:lang w:val="zh-CN"/>
        </w:rPr>
        <w:t>监测点位一览表</w:t>
      </w:r>
    </w:p>
    <w:p>
      <w:pPr>
        <w:pStyle w:val="22"/>
        <w:kinsoku w:val="0"/>
        <w:overflowPunct w:val="0"/>
        <w:spacing w:before="3"/>
        <w:jc w:val="center"/>
        <w:rPr>
          <w:b/>
          <w:sz w:val="12"/>
          <w:u w:val="single"/>
        </w:rPr>
      </w:pPr>
    </w:p>
    <w:tbl>
      <w:tblPr>
        <w:tblStyle w:val="45"/>
        <w:tblW w:w="90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8"/>
        <w:gridCol w:w="3168"/>
        <w:gridCol w:w="2084"/>
        <w:gridCol w:w="25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bottom w:val="single" w:color="000000" w:sz="6" w:space="0"/>
              <w:right w:val="single" w:color="000000" w:sz="6" w:space="0"/>
              <w:tl2br w:val="nil"/>
              <w:tr2bl w:val="nil"/>
            </w:tcBorders>
            <w:vAlign w:val="center"/>
          </w:tcPr>
          <w:p>
            <w:pPr>
              <w:pStyle w:val="247"/>
              <w:kinsoku w:val="0"/>
              <w:overflowPunct w:val="0"/>
              <w:spacing w:before="112"/>
              <w:ind w:right="278"/>
              <w:rPr>
                <w:rFonts w:eastAsia="宋体"/>
                <w:u w:val="single"/>
              </w:rPr>
            </w:pPr>
            <w:r>
              <w:rPr>
                <w:rFonts w:eastAsia="宋体"/>
                <w:u w:val="single"/>
              </w:rPr>
              <w:t>代号</w:t>
            </w:r>
          </w:p>
        </w:tc>
        <w:tc>
          <w:tcPr>
            <w:tcW w:w="3168" w:type="dxa"/>
            <w:tcBorders>
              <w:left w:val="single" w:color="000000" w:sz="6" w:space="0"/>
              <w:bottom w:val="single" w:color="000000" w:sz="6" w:space="0"/>
              <w:right w:val="single" w:color="000000" w:sz="6" w:space="0"/>
              <w:tl2br w:val="nil"/>
              <w:tr2bl w:val="nil"/>
            </w:tcBorders>
            <w:vAlign w:val="center"/>
          </w:tcPr>
          <w:p>
            <w:pPr>
              <w:pStyle w:val="247"/>
              <w:kinsoku w:val="0"/>
              <w:overflowPunct w:val="0"/>
              <w:spacing w:before="112"/>
              <w:ind w:left="843" w:right="810"/>
              <w:rPr>
                <w:rFonts w:eastAsia="宋体"/>
                <w:u w:val="single"/>
              </w:rPr>
            </w:pPr>
            <w:r>
              <w:rPr>
                <w:rFonts w:eastAsia="宋体"/>
                <w:u w:val="single"/>
              </w:rPr>
              <w:t>监测点</w:t>
            </w:r>
          </w:p>
        </w:tc>
        <w:tc>
          <w:tcPr>
            <w:tcW w:w="2084" w:type="dxa"/>
            <w:tcBorders>
              <w:left w:val="single" w:color="000000" w:sz="6" w:space="0"/>
              <w:bottom w:val="single" w:color="000000" w:sz="6" w:space="0"/>
              <w:tl2br w:val="nil"/>
              <w:tr2bl w:val="nil"/>
            </w:tcBorders>
            <w:vAlign w:val="center"/>
          </w:tcPr>
          <w:p>
            <w:pPr>
              <w:pStyle w:val="247"/>
              <w:kinsoku w:val="0"/>
              <w:overflowPunct w:val="0"/>
              <w:spacing w:before="112"/>
              <w:ind w:right="163"/>
              <w:rPr>
                <w:rFonts w:eastAsia="宋体"/>
                <w:u w:val="single"/>
              </w:rPr>
            </w:pPr>
            <w:r>
              <w:rPr>
                <w:rFonts w:eastAsia="宋体"/>
                <w:u w:val="single"/>
              </w:rPr>
              <w:t>与本项目的方向、厂界距离</w:t>
            </w:r>
          </w:p>
        </w:tc>
        <w:tc>
          <w:tcPr>
            <w:tcW w:w="2513" w:type="dxa"/>
            <w:tcBorders>
              <w:left w:val="single" w:color="000000" w:sz="6" w:space="0"/>
              <w:bottom w:val="single" w:color="auto" w:sz="4" w:space="0"/>
              <w:tl2br w:val="nil"/>
              <w:tr2bl w:val="nil"/>
            </w:tcBorders>
            <w:vAlign w:val="center"/>
          </w:tcPr>
          <w:p>
            <w:pPr>
              <w:pStyle w:val="247"/>
              <w:kinsoku w:val="0"/>
              <w:overflowPunct w:val="0"/>
              <w:spacing w:before="112"/>
              <w:ind w:right="163"/>
              <w:rPr>
                <w:rFonts w:eastAsia="宋体"/>
                <w:u w:val="single"/>
              </w:rPr>
            </w:pPr>
            <w:r>
              <w:rPr>
                <w:rFonts w:eastAsia="宋体"/>
                <w:u w:val="single"/>
              </w:rPr>
              <w:t>监测因子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8"/>
              <w:ind w:left="291" w:right="278"/>
              <w:rPr>
                <w:u w:val="single"/>
              </w:rPr>
            </w:pPr>
            <w:r>
              <w:rPr>
                <w:rFonts w:eastAsia="宋体"/>
                <w:u w:val="single"/>
              </w:rPr>
              <w:t>A1</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二循泵房顶坪前</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东南，约1000m</w:t>
            </w:r>
          </w:p>
        </w:tc>
        <w:tc>
          <w:tcPr>
            <w:tcW w:w="2513" w:type="dxa"/>
            <w:vMerge w:val="restart"/>
            <w:tcBorders>
              <w:top w:val="single" w:color="auto" w:sz="4" w:space="0"/>
              <w:left w:val="single" w:color="auto" w:sz="4" w:space="0"/>
              <w:tl2br w:val="nil"/>
              <w:tr2bl w:val="nil"/>
            </w:tcBorders>
            <w:vAlign w:val="center"/>
          </w:tcPr>
          <w:p>
            <w:pPr>
              <w:pStyle w:val="247"/>
              <w:kinsoku w:val="0"/>
              <w:overflowPunct w:val="0"/>
              <w:spacing w:before="56"/>
              <w:ind w:left="203" w:right="156"/>
              <w:rPr>
                <w:rFonts w:eastAsia="宋体"/>
                <w:u w:val="single"/>
              </w:rPr>
            </w:pPr>
            <w:r>
              <w:rPr>
                <w:spacing w:val="-2"/>
                <w:szCs w:val="21"/>
                <w:u w:val="single"/>
              </w:rPr>
              <w:t>pH、石油类、氯化物、</w:t>
            </w:r>
            <w:r>
              <w:rPr>
                <w:rFonts w:eastAsia="宋体"/>
                <w:spacing w:val="-2"/>
                <w:szCs w:val="21"/>
                <w:u w:val="single"/>
              </w:rPr>
              <w:t>氰化物</w:t>
            </w:r>
            <w:r>
              <w:rPr>
                <w:spacing w:val="-2"/>
                <w:szCs w:val="21"/>
                <w:u w:val="single"/>
              </w:rPr>
              <w:t>、硫化物、SO</w:t>
            </w:r>
            <w:r>
              <w:rPr>
                <w:spacing w:val="-2"/>
                <w:szCs w:val="21"/>
                <w:u w:val="single"/>
                <w:vertAlign w:val="subscript"/>
              </w:rPr>
              <w:t>4</w:t>
            </w:r>
            <w:r>
              <w:rPr>
                <w:spacing w:val="-2"/>
                <w:szCs w:val="21"/>
                <w:u w:val="single"/>
                <w:vertAlign w:val="superscript"/>
              </w:rPr>
              <w:t>2-</w:t>
            </w:r>
            <w:r>
              <w:rPr>
                <w:spacing w:val="-2"/>
                <w:szCs w:val="21"/>
                <w:u w:val="single"/>
              </w:rPr>
              <w:t xml:space="preserve"> 、BOD</w:t>
            </w:r>
            <w:r>
              <w:rPr>
                <w:spacing w:val="-2"/>
                <w:szCs w:val="21"/>
                <w:u w:val="single"/>
                <w:vertAlign w:val="subscript"/>
              </w:rPr>
              <w:t>5</w:t>
            </w:r>
            <w:r>
              <w:rPr>
                <w:spacing w:val="-2"/>
                <w:szCs w:val="21"/>
                <w:u w:val="single"/>
              </w:rPr>
              <w:t xml:space="preserve"> 、总磷、总氮、氟化物、高锰酸盐指数、氨氮、挥发酚、苯、甲苯、二甲苯、乙苯、总镍、总汞、总砷、总铅、TOC、苯并芘、烷基汞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63"/>
              <w:ind w:left="291" w:right="278"/>
              <w:rPr>
                <w:u w:val="single"/>
              </w:rPr>
            </w:pPr>
            <w:r>
              <w:rPr>
                <w:rFonts w:eastAsia="宋体"/>
                <w:u w:val="single"/>
              </w:rPr>
              <w:t>A2</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重整铁道旁</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南，约500m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62"/>
              <w:ind w:left="291" w:right="278"/>
              <w:rPr>
                <w:u w:val="single"/>
              </w:rPr>
            </w:pPr>
            <w:r>
              <w:rPr>
                <w:rFonts w:eastAsia="宋体"/>
                <w:u w:val="single"/>
              </w:rPr>
              <w:t>A3</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渣油加氢外操口</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西南，约700m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8"/>
              <w:ind w:left="296" w:right="278"/>
              <w:rPr>
                <w:u w:val="single"/>
              </w:rPr>
            </w:pPr>
            <w:r>
              <w:rPr>
                <w:rFonts w:eastAsia="宋体"/>
                <w:u w:val="single"/>
              </w:rPr>
              <w:t>A4</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大项目办公室附近</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西南，约1200m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9"/>
              <w:ind w:left="296" w:right="278"/>
              <w:rPr>
                <w:u w:val="single"/>
              </w:rPr>
            </w:pPr>
            <w:r>
              <w:rPr>
                <w:rFonts w:eastAsia="宋体"/>
                <w:u w:val="single"/>
              </w:rPr>
              <w:t>A5</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长盛制氮花坛内</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西北，约1000m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8"/>
              <w:ind w:left="291" w:right="278"/>
              <w:rPr>
                <w:rFonts w:eastAsia="宋体"/>
                <w:u w:val="single"/>
              </w:rPr>
            </w:pPr>
            <w:r>
              <w:rPr>
                <w:rFonts w:eastAsia="宋体"/>
                <w:u w:val="single"/>
              </w:rPr>
              <w:t>A6</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一污事故池旁</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西北，约1200m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kinsoku w:val="0"/>
              <w:overflowPunct w:val="0"/>
              <w:spacing w:before="59"/>
              <w:ind w:left="296" w:right="278"/>
              <w:jc w:val="center"/>
              <w:rPr>
                <w:rFonts w:ascii="Times New Roman" w:hAnsi="Times New Roman"/>
                <w:u w:val="single"/>
              </w:rPr>
            </w:pPr>
            <w:r>
              <w:rPr>
                <w:rFonts w:ascii="Times New Roman" w:hAnsi="Times New Roman"/>
                <w:u w:val="single"/>
              </w:rPr>
              <w:t>A7</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王垅坡罐区泵房后</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西北，约2200m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kinsoku w:val="0"/>
              <w:overflowPunct w:val="0"/>
              <w:spacing w:before="59"/>
              <w:ind w:left="296" w:right="278"/>
              <w:jc w:val="center"/>
              <w:rPr>
                <w:rFonts w:ascii="Times New Roman" w:hAnsi="Times New Roman"/>
                <w:u w:val="single"/>
              </w:rPr>
            </w:pPr>
            <w:r>
              <w:rPr>
                <w:rFonts w:ascii="Times New Roman" w:hAnsi="Times New Roman"/>
                <w:u w:val="single"/>
              </w:rPr>
              <w:t>A8</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芳烃罐区铁道口</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西南，约1800m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38" w:type="dxa"/>
            <w:tcBorders>
              <w:top w:val="single" w:color="000000" w:sz="6" w:space="0"/>
              <w:bottom w:val="single" w:color="000000" w:sz="6" w:space="0"/>
              <w:right w:val="single" w:color="000000" w:sz="6" w:space="0"/>
              <w:tl2br w:val="nil"/>
              <w:tr2bl w:val="nil"/>
            </w:tcBorders>
            <w:vAlign w:val="center"/>
          </w:tcPr>
          <w:p>
            <w:pPr>
              <w:kinsoku w:val="0"/>
              <w:overflowPunct w:val="0"/>
              <w:spacing w:before="59"/>
              <w:ind w:left="296" w:right="278"/>
              <w:jc w:val="center"/>
              <w:rPr>
                <w:rFonts w:ascii="Times New Roman" w:hAnsi="Times New Roman"/>
                <w:u w:val="single"/>
              </w:rPr>
            </w:pPr>
            <w:r>
              <w:rPr>
                <w:rFonts w:ascii="Times New Roman" w:hAnsi="Times New Roman"/>
                <w:u w:val="single"/>
              </w:rPr>
              <w:t>A9</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rFonts w:eastAsia="宋体"/>
                <w:u w:val="single"/>
              </w:rPr>
            </w:pPr>
            <w:r>
              <w:rPr>
                <w:rFonts w:eastAsia="宋体"/>
                <w:u w:val="single"/>
              </w:rPr>
              <w:t>文桥桥头</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u w:val="single"/>
              </w:rPr>
            </w:pPr>
            <w:r>
              <w:rPr>
                <w:rFonts w:eastAsia="宋体"/>
                <w:u w:val="single"/>
              </w:rPr>
              <w:t>西北，约1900m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u w:val="single"/>
              </w:rPr>
            </w:pPr>
          </w:p>
        </w:tc>
      </w:tr>
    </w:tbl>
    <w:p>
      <w:pPr>
        <w:rPr>
          <w:rFonts w:ascii="Times New Roman" w:hAnsi="Times New Roman"/>
          <w:sz w:val="24"/>
          <w:u w:val="single"/>
        </w:rPr>
        <w:sectPr>
          <w:pgSz w:w="11910" w:h="16840"/>
          <w:pgMar w:top="1440" w:right="1800" w:bottom="1440" w:left="1800" w:header="1016" w:footer="1116" w:gutter="0"/>
          <w:cols w:space="720" w:num="1"/>
        </w:sectPr>
      </w:pPr>
      <w:r>
        <w:rPr>
          <w:rFonts w:ascii="Times New Roman" w:hAnsi="Times New Roman"/>
          <w:sz w:val="24"/>
          <w:u w:val="single"/>
        </w:rPr>
        <w:br w:type="page"/>
      </w:r>
    </w:p>
    <w:p>
      <w:pPr>
        <w:pStyle w:val="2"/>
        <w:ind w:left="420" w:firstLine="420"/>
      </w:pPr>
    </w:p>
    <w:p>
      <w:pPr>
        <w:pStyle w:val="22"/>
        <w:kinsoku w:val="0"/>
        <w:overflowPunct w:val="0"/>
        <w:spacing w:before="156"/>
        <w:ind w:left="720"/>
        <w:rPr>
          <w:sz w:val="24"/>
          <w:u w:val="single"/>
        </w:rPr>
      </w:pPr>
      <w:r>
        <w:rPr>
          <w:sz w:val="24"/>
          <w:u w:val="single"/>
        </w:rPr>
        <w:t>（2）监测结果</w:t>
      </w:r>
    </w:p>
    <w:p>
      <w:pPr>
        <w:pStyle w:val="22"/>
        <w:kinsoku w:val="0"/>
        <w:overflowPunct w:val="0"/>
        <w:spacing w:before="161"/>
        <w:ind w:left="720"/>
        <w:rPr>
          <w:b/>
          <w:sz w:val="21"/>
          <w:u w:val="single"/>
        </w:rPr>
      </w:pPr>
      <w:r>
        <w:rPr>
          <w:sz w:val="24"/>
          <w:u w:val="single"/>
        </w:rPr>
        <w:t>地下水现状监测结果见表 4.5-2。</w:t>
      </w:r>
    </w:p>
    <w:p>
      <w:pPr>
        <w:spacing w:line="360" w:lineRule="auto"/>
        <w:jc w:val="center"/>
        <w:rPr>
          <w:rFonts w:ascii="Times New Roman" w:hAnsi="Times New Roman"/>
          <w:b/>
          <w:sz w:val="10"/>
          <w:u w:val="single"/>
        </w:rPr>
      </w:pPr>
      <w:r>
        <w:rPr>
          <w:rFonts w:ascii="Times New Roman" w:hAnsi="Times New Roman"/>
          <w:b/>
          <w:sz w:val="24"/>
          <w:u w:val="single"/>
          <w:lang w:val="zh-CN"/>
        </w:rPr>
        <w:t>表</w:t>
      </w:r>
      <w:r>
        <w:rPr>
          <w:rFonts w:ascii="Times New Roman" w:hAnsi="Times New Roman"/>
          <w:b/>
          <w:sz w:val="24"/>
          <w:u w:val="single"/>
        </w:rPr>
        <w:t>4</w:t>
      </w:r>
      <w:r>
        <w:rPr>
          <w:rFonts w:ascii="Times New Roman" w:hAnsi="Times New Roman"/>
          <w:b/>
          <w:sz w:val="24"/>
          <w:u w:val="single"/>
          <w:lang w:val="zh-CN"/>
        </w:rPr>
        <w:t>.5-2</w:t>
      </w:r>
      <w:r>
        <w:rPr>
          <w:rFonts w:ascii="Times New Roman" w:hAnsi="Times New Roman"/>
          <w:b/>
          <w:sz w:val="24"/>
          <w:u w:val="single"/>
          <w:lang w:val="zh-CN"/>
        </w:rPr>
        <w:tab/>
      </w:r>
      <w:r>
        <w:rPr>
          <w:rFonts w:ascii="Times New Roman" w:hAnsi="Times New Roman"/>
          <w:b/>
          <w:sz w:val="24"/>
          <w:u w:val="single"/>
          <w:lang w:val="zh-CN"/>
        </w:rPr>
        <w:t>地下水监测结果</w:t>
      </w:r>
      <w:r>
        <w:rPr>
          <w:rFonts w:ascii="Times New Roman" w:hAnsi="Times New Roman"/>
          <w:b/>
          <w:sz w:val="24"/>
          <w:szCs w:val="20"/>
          <w:lang w:val="zh-CN"/>
        </w:rPr>
        <w:t>（单位： mg/L)</w:t>
      </w:r>
    </w:p>
    <w:tbl>
      <w:tblPr>
        <w:tblStyle w:val="4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782"/>
        <w:gridCol w:w="944"/>
        <w:gridCol w:w="944"/>
        <w:gridCol w:w="945"/>
        <w:gridCol w:w="945"/>
        <w:gridCol w:w="945"/>
        <w:gridCol w:w="945"/>
        <w:gridCol w:w="945"/>
        <w:gridCol w:w="945"/>
        <w:gridCol w:w="945"/>
        <w:gridCol w:w="945"/>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监测点名称</w:t>
            </w:r>
          </w:p>
        </w:tc>
        <w:tc>
          <w:tcPr>
            <w:tcW w:w="276"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pH值</w:t>
            </w:r>
          </w:p>
        </w:tc>
        <w:tc>
          <w:tcPr>
            <w:tcW w:w="333"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石油类</w:t>
            </w:r>
          </w:p>
        </w:tc>
        <w:tc>
          <w:tcPr>
            <w:tcW w:w="333"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COD</w:t>
            </w:r>
            <w:r>
              <w:rPr>
                <w:rFonts w:ascii="Times New Roman" w:hAnsi="Times New Roman"/>
                <w:kern w:val="0"/>
                <w:szCs w:val="21"/>
                <w:vertAlign w:val="subscript"/>
                <w:lang w:bidi="en-US"/>
              </w:rPr>
              <w:t xml:space="preserve">Mn </w:t>
            </w:r>
          </w:p>
        </w:tc>
        <w:tc>
          <w:tcPr>
            <w:tcW w:w="333"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氨氮</w:t>
            </w:r>
          </w:p>
        </w:tc>
        <w:tc>
          <w:tcPr>
            <w:tcW w:w="333"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硫化物</w:t>
            </w:r>
          </w:p>
        </w:tc>
        <w:tc>
          <w:tcPr>
            <w:tcW w:w="333"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挥发酚</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氯化物</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氰化物</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硫酸盐</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BOD</w:t>
            </w:r>
            <w:r>
              <w:rPr>
                <w:rFonts w:ascii="Times New Roman" w:hAnsi="Times New Roman"/>
                <w:kern w:val="0"/>
                <w:szCs w:val="21"/>
                <w:vertAlign w:val="subscript"/>
                <w:lang w:bidi="en-US"/>
              </w:rPr>
              <w:t xml:space="preserve">5 </w:t>
            </w:r>
          </w:p>
          <w:p>
            <w:pPr>
              <w:widowControl/>
              <w:spacing w:after="200"/>
              <w:jc w:val="center"/>
              <w:rPr>
                <w:rFonts w:ascii="Times New Roman" w:hAnsi="Times New Roman"/>
                <w:kern w:val="0"/>
                <w:szCs w:val="21"/>
                <w:lang w:eastAsia="en-US" w:bidi="en-US"/>
              </w:rPr>
            </w:pP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总氮</w:t>
            </w:r>
          </w:p>
          <w:p>
            <w:pPr>
              <w:widowControl/>
              <w:spacing w:after="200"/>
              <w:jc w:val="center"/>
              <w:rPr>
                <w:rFonts w:ascii="Times New Roman" w:hAnsi="Times New Roman"/>
                <w:kern w:val="0"/>
                <w:szCs w:val="21"/>
                <w:lang w:eastAsia="en-US" w:bidi="en-US"/>
              </w:rPr>
            </w:pPr>
          </w:p>
        </w:tc>
        <w:tc>
          <w:tcPr>
            <w:tcW w:w="333"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bidi="en-US"/>
              </w:rPr>
              <w:t>总磷</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二循泵房顶坪前</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6.58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2.29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0.15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0.008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4.13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18.3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5.4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1.55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0.343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渣油加氢外操口</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7.17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2.65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0.010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0.0</w:t>
            </w:r>
            <w:r>
              <w:rPr>
                <w:rFonts w:ascii="Times New Roman" w:hAnsi="Times New Roman"/>
                <w:kern w:val="0"/>
                <w:szCs w:val="21"/>
                <w:lang w:bidi="en-US"/>
              </w:rPr>
              <w:t>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9.07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29.4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9.5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1.58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0.079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jc w:val="center"/>
        </w:trPr>
        <w:tc>
          <w:tcPr>
            <w:tcW w:w="720"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重整铁道旁</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6.86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2.97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0.19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0.011</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23.2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0.008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72.0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4.2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0.711</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0.046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大项目办公室近</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7.84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2.96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0.13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w:t>
            </w:r>
            <w:r>
              <w:rPr>
                <w:rFonts w:ascii="Times New Roman" w:hAnsi="Times New Roman"/>
                <w:kern w:val="0"/>
                <w:szCs w:val="21"/>
                <w:lang w:bidi="en-US"/>
              </w:rPr>
              <w:t>010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0.00</w:t>
            </w:r>
            <w:r>
              <w:rPr>
                <w:rFonts w:ascii="Times New Roman" w:hAnsi="Times New Roman"/>
                <w:kern w:val="0"/>
                <w:szCs w:val="21"/>
                <w:lang w:bidi="en-US"/>
              </w:rPr>
              <w:t>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10.6</w:t>
            </w:r>
          </w:p>
        </w:tc>
        <w:tc>
          <w:tcPr>
            <w:tcW w:w="333" w:type="pct"/>
            <w:vAlign w:val="center"/>
          </w:tcPr>
          <w:p>
            <w:pPr>
              <w:jc w:val="center"/>
              <w:rPr>
                <w:rFonts w:ascii="Times New Roman" w:hAnsi="Times New Roman"/>
                <w:szCs w:val="21"/>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22.8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3.7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1.91</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0.058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长盛制氮花坛内</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7.15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2.82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0.0</w:t>
            </w:r>
            <w:r>
              <w:rPr>
                <w:rFonts w:ascii="Times New Roman" w:hAnsi="Times New Roman"/>
                <w:kern w:val="0"/>
                <w:szCs w:val="21"/>
                <w:lang w:bidi="en-US"/>
              </w:rPr>
              <w:t>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57.1</w:t>
            </w:r>
          </w:p>
        </w:tc>
        <w:tc>
          <w:tcPr>
            <w:tcW w:w="333" w:type="pct"/>
            <w:vAlign w:val="center"/>
          </w:tcPr>
          <w:p>
            <w:pPr>
              <w:jc w:val="center"/>
              <w:rPr>
                <w:rFonts w:ascii="Times New Roman" w:hAnsi="Times New Roman"/>
                <w:szCs w:val="21"/>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75.8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2.1</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1.92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0.014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一污事故池旁</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7.37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2.86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0.050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81.7</w:t>
            </w:r>
          </w:p>
        </w:tc>
        <w:tc>
          <w:tcPr>
            <w:tcW w:w="333" w:type="pct"/>
            <w:vAlign w:val="center"/>
          </w:tcPr>
          <w:p>
            <w:pPr>
              <w:jc w:val="center"/>
              <w:rPr>
                <w:rFonts w:ascii="Times New Roman" w:hAnsi="Times New Roman"/>
                <w:szCs w:val="21"/>
              </w:rPr>
            </w:pPr>
            <w:r>
              <w:rPr>
                <w:rFonts w:ascii="Times New Roman" w:hAnsi="Times New Roman"/>
                <w:kern w:val="0"/>
                <w:szCs w:val="21"/>
                <w:lang w:bidi="en-US"/>
              </w:rPr>
              <w:t>ND</w:t>
            </w:r>
          </w:p>
        </w:tc>
        <w:tc>
          <w:tcPr>
            <w:tcW w:w="333" w:type="pct"/>
            <w:vAlign w:val="center"/>
          </w:tcPr>
          <w:p>
            <w:pPr>
              <w:widowControl/>
              <w:tabs>
                <w:tab w:val="center" w:pos="355"/>
              </w:tabs>
              <w:spacing w:after="200"/>
              <w:jc w:val="center"/>
              <w:rPr>
                <w:rFonts w:ascii="Times New Roman" w:hAnsi="Times New Roman"/>
                <w:kern w:val="0"/>
                <w:szCs w:val="21"/>
                <w:lang w:bidi="en-US"/>
              </w:rPr>
            </w:pPr>
            <w:r>
              <w:rPr>
                <w:rFonts w:ascii="Times New Roman" w:hAnsi="Times New Roman"/>
                <w:kern w:val="0"/>
                <w:szCs w:val="21"/>
                <w:lang w:bidi="en-US"/>
              </w:rPr>
              <w:t>188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3.8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1.47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王垅坡罐区泵房后</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7.91</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2.90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w:t>
            </w:r>
            <w:r>
              <w:rPr>
                <w:rFonts w:ascii="Times New Roman" w:hAnsi="Times New Roman"/>
                <w:kern w:val="0"/>
                <w:szCs w:val="21"/>
                <w:lang w:bidi="en-US"/>
              </w:rPr>
              <w:t>114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0.014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0.0</w:t>
            </w:r>
            <w:r>
              <w:rPr>
                <w:rFonts w:ascii="Times New Roman" w:hAnsi="Times New Roman"/>
                <w:kern w:val="0"/>
                <w:szCs w:val="21"/>
                <w:lang w:bidi="en-US"/>
              </w:rPr>
              <w:t>024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4.44</w:t>
            </w:r>
          </w:p>
        </w:tc>
        <w:tc>
          <w:tcPr>
            <w:tcW w:w="333" w:type="pct"/>
            <w:vAlign w:val="center"/>
          </w:tcPr>
          <w:p>
            <w:pPr>
              <w:jc w:val="center"/>
              <w:rPr>
                <w:rFonts w:ascii="Times New Roman" w:hAnsi="Times New Roman"/>
                <w:szCs w:val="21"/>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8.72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2.4</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0.509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芳烃罐区铁道口</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8.15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2.93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0.18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0.020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7.45</w:t>
            </w:r>
          </w:p>
        </w:tc>
        <w:tc>
          <w:tcPr>
            <w:tcW w:w="333" w:type="pct"/>
            <w:vAlign w:val="center"/>
          </w:tcPr>
          <w:p>
            <w:pPr>
              <w:jc w:val="center"/>
              <w:rPr>
                <w:rFonts w:ascii="Times New Roman" w:hAnsi="Times New Roman"/>
                <w:szCs w:val="21"/>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9.23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4.7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0.478</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0.0</w:t>
            </w:r>
            <w:r>
              <w:rPr>
                <w:rFonts w:ascii="Times New Roman" w:hAnsi="Times New Roman"/>
                <w:kern w:val="0"/>
                <w:szCs w:val="21"/>
                <w:lang w:bidi="en-US"/>
              </w:rPr>
              <w:t>10</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720" w:type="pct"/>
            <w:vAlign w:val="center"/>
          </w:tcPr>
          <w:p>
            <w:pPr>
              <w:widowControl/>
              <w:spacing w:after="200"/>
              <w:jc w:val="center"/>
              <w:rPr>
                <w:rFonts w:ascii="Times New Roman" w:hAnsi="Times New Roman"/>
                <w:kern w:val="0"/>
                <w:szCs w:val="21"/>
                <w:lang w:eastAsia="en-US" w:bidi="en-US"/>
              </w:rPr>
            </w:pPr>
            <w:r>
              <w:rPr>
                <w:rFonts w:ascii="Times New Roman" w:hAnsi="Times New Roman"/>
                <w:kern w:val="0"/>
                <w:szCs w:val="21"/>
                <w:lang w:eastAsia="en-US" w:bidi="en-US"/>
              </w:rPr>
              <w:t>文桥桥头</w:t>
            </w:r>
          </w:p>
        </w:tc>
        <w:tc>
          <w:tcPr>
            <w:tcW w:w="276"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7.07</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2.99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0.11</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0.0</w:t>
            </w:r>
            <w:r>
              <w:rPr>
                <w:rFonts w:ascii="Times New Roman" w:hAnsi="Times New Roman"/>
                <w:kern w:val="0"/>
                <w:szCs w:val="21"/>
                <w:lang w:bidi="en-US"/>
              </w:rPr>
              <w:t>02</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8.47</w:t>
            </w:r>
          </w:p>
        </w:tc>
        <w:tc>
          <w:tcPr>
            <w:tcW w:w="333" w:type="pct"/>
            <w:vAlign w:val="center"/>
          </w:tcPr>
          <w:p>
            <w:pPr>
              <w:jc w:val="center"/>
              <w:rPr>
                <w:rFonts w:ascii="Times New Roman" w:hAnsi="Times New Roman"/>
                <w:szCs w:val="21"/>
              </w:rPr>
            </w:pPr>
            <w:r>
              <w:rPr>
                <w:rFonts w:ascii="Times New Roman" w:hAnsi="Times New Roman"/>
                <w:kern w:val="0"/>
                <w:szCs w:val="21"/>
                <w:lang w:bidi="en-US"/>
              </w:rPr>
              <w:t>ND</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53.6</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8.9</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1.95</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eastAsia="en-US" w:bidi="en-US"/>
              </w:rPr>
              <w:t>0.</w:t>
            </w:r>
            <w:r>
              <w:rPr>
                <w:rFonts w:ascii="Times New Roman" w:hAnsi="Times New Roman"/>
                <w:kern w:val="0"/>
                <w:szCs w:val="21"/>
                <w:lang w:bidi="en-US"/>
              </w:rPr>
              <w:t>053</w:t>
            </w:r>
          </w:p>
        </w:tc>
        <w:tc>
          <w:tcPr>
            <w:tcW w:w="333" w:type="pct"/>
            <w:vAlign w:val="center"/>
          </w:tcPr>
          <w:p>
            <w:pPr>
              <w:widowControl/>
              <w:spacing w:after="200"/>
              <w:jc w:val="center"/>
              <w:rPr>
                <w:rFonts w:ascii="Times New Roman" w:hAnsi="Times New Roman"/>
                <w:kern w:val="0"/>
                <w:szCs w:val="21"/>
                <w:lang w:bidi="en-US"/>
              </w:rPr>
            </w:pPr>
            <w:r>
              <w:rPr>
                <w:rFonts w:ascii="Times New Roman" w:hAnsi="Times New Roman"/>
                <w:kern w:val="0"/>
                <w:szCs w:val="21"/>
                <w:lang w:bidi="en-US"/>
              </w:rPr>
              <w:t>0.239</w:t>
            </w:r>
          </w:p>
        </w:tc>
      </w:tr>
    </w:tbl>
    <w:p>
      <w:pPr>
        <w:rPr>
          <w:rFonts w:ascii="Times New Roman" w:hAnsi="Times New Roman"/>
        </w:rPr>
      </w:pPr>
    </w:p>
    <w:tbl>
      <w:tblPr>
        <w:tblStyle w:val="45"/>
        <w:tblW w:w="14162"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096"/>
        <w:gridCol w:w="1096"/>
        <w:gridCol w:w="1096"/>
        <w:gridCol w:w="1096"/>
        <w:gridCol w:w="1096"/>
        <w:gridCol w:w="1096"/>
        <w:gridCol w:w="1096"/>
        <w:gridCol w:w="1096"/>
        <w:gridCol w:w="1096"/>
        <w:gridCol w:w="109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rPr>
        <w:tc>
          <w:tcPr>
            <w:tcW w:w="2104" w:type="dxa"/>
            <w:vAlign w:val="center"/>
          </w:tcPr>
          <w:p>
            <w:pPr>
              <w:jc w:val="center"/>
              <w:rPr>
                <w:rFonts w:ascii="Times New Roman" w:hAnsi="Times New Roman"/>
              </w:rPr>
            </w:pPr>
            <w:r>
              <w:rPr>
                <w:rFonts w:ascii="Times New Roman" w:hAnsi="Times New Roman"/>
              </w:rPr>
              <w:t>监测点名称</w:t>
            </w:r>
          </w:p>
        </w:tc>
        <w:tc>
          <w:tcPr>
            <w:tcW w:w="1096" w:type="dxa"/>
            <w:vAlign w:val="center"/>
          </w:tcPr>
          <w:p>
            <w:pPr>
              <w:jc w:val="center"/>
              <w:rPr>
                <w:rFonts w:ascii="Times New Roman" w:hAnsi="Times New Roman"/>
              </w:rPr>
            </w:pPr>
            <w:r>
              <w:rPr>
                <w:rFonts w:ascii="Times New Roman" w:hAnsi="Times New Roman"/>
              </w:rPr>
              <w:t xml:space="preserve">苯      </w:t>
            </w:r>
          </w:p>
        </w:tc>
        <w:tc>
          <w:tcPr>
            <w:tcW w:w="1096" w:type="dxa"/>
            <w:vAlign w:val="center"/>
          </w:tcPr>
          <w:p>
            <w:pPr>
              <w:jc w:val="center"/>
              <w:rPr>
                <w:rFonts w:ascii="Times New Roman" w:hAnsi="Times New Roman"/>
              </w:rPr>
            </w:pPr>
            <w:r>
              <w:rPr>
                <w:rFonts w:ascii="Times New Roman" w:hAnsi="Times New Roman"/>
              </w:rPr>
              <w:t xml:space="preserve">甲苯   </w:t>
            </w:r>
          </w:p>
        </w:tc>
        <w:tc>
          <w:tcPr>
            <w:tcW w:w="1096" w:type="dxa"/>
            <w:vAlign w:val="center"/>
          </w:tcPr>
          <w:p>
            <w:pPr>
              <w:jc w:val="center"/>
              <w:rPr>
                <w:rFonts w:ascii="Times New Roman" w:hAnsi="Times New Roman"/>
              </w:rPr>
            </w:pPr>
            <w:r>
              <w:rPr>
                <w:rFonts w:ascii="Times New Roman" w:hAnsi="Times New Roman"/>
              </w:rPr>
              <w:t>二甲苯</w:t>
            </w:r>
          </w:p>
        </w:tc>
        <w:tc>
          <w:tcPr>
            <w:tcW w:w="1096" w:type="dxa"/>
            <w:vAlign w:val="center"/>
          </w:tcPr>
          <w:p>
            <w:pPr>
              <w:jc w:val="center"/>
              <w:rPr>
                <w:rFonts w:ascii="Times New Roman" w:hAnsi="Times New Roman"/>
              </w:rPr>
            </w:pPr>
            <w:r>
              <w:rPr>
                <w:rFonts w:ascii="Times New Roman" w:hAnsi="Times New Roman"/>
              </w:rPr>
              <w:t xml:space="preserve">乙苯   </w:t>
            </w:r>
          </w:p>
        </w:tc>
        <w:tc>
          <w:tcPr>
            <w:tcW w:w="1096" w:type="dxa"/>
            <w:vAlign w:val="center"/>
          </w:tcPr>
          <w:p>
            <w:pPr>
              <w:jc w:val="center"/>
              <w:rPr>
                <w:rFonts w:ascii="Times New Roman" w:hAnsi="Times New Roman"/>
              </w:rPr>
            </w:pPr>
            <w:r>
              <w:rPr>
                <w:rFonts w:ascii="Times New Roman" w:hAnsi="Times New Roman"/>
              </w:rPr>
              <w:t xml:space="preserve">总镍   </w:t>
            </w:r>
          </w:p>
        </w:tc>
        <w:tc>
          <w:tcPr>
            <w:tcW w:w="1096" w:type="dxa"/>
            <w:vAlign w:val="center"/>
          </w:tcPr>
          <w:p>
            <w:pPr>
              <w:jc w:val="center"/>
              <w:rPr>
                <w:rFonts w:ascii="Times New Roman" w:hAnsi="Times New Roman"/>
              </w:rPr>
            </w:pPr>
            <w:r>
              <w:rPr>
                <w:rFonts w:ascii="Times New Roman" w:hAnsi="Times New Roman"/>
              </w:rPr>
              <w:t xml:space="preserve">总汞    </w:t>
            </w:r>
          </w:p>
        </w:tc>
        <w:tc>
          <w:tcPr>
            <w:tcW w:w="1096" w:type="dxa"/>
            <w:vAlign w:val="center"/>
          </w:tcPr>
          <w:p>
            <w:pPr>
              <w:jc w:val="center"/>
              <w:rPr>
                <w:rFonts w:ascii="Times New Roman" w:hAnsi="Times New Roman"/>
              </w:rPr>
            </w:pPr>
            <w:r>
              <w:rPr>
                <w:rFonts w:ascii="Times New Roman" w:hAnsi="Times New Roman"/>
              </w:rPr>
              <w:t xml:space="preserve">总砷   </w:t>
            </w:r>
          </w:p>
        </w:tc>
        <w:tc>
          <w:tcPr>
            <w:tcW w:w="1096" w:type="dxa"/>
            <w:vAlign w:val="center"/>
          </w:tcPr>
          <w:p>
            <w:pPr>
              <w:jc w:val="center"/>
              <w:rPr>
                <w:rFonts w:ascii="Times New Roman" w:hAnsi="Times New Roman"/>
              </w:rPr>
            </w:pPr>
            <w:r>
              <w:rPr>
                <w:rFonts w:ascii="Times New Roman" w:hAnsi="Times New Roman"/>
              </w:rPr>
              <w:t xml:space="preserve">总铅  </w:t>
            </w:r>
          </w:p>
        </w:tc>
        <w:tc>
          <w:tcPr>
            <w:tcW w:w="1096" w:type="dxa"/>
            <w:vAlign w:val="center"/>
          </w:tcPr>
          <w:p>
            <w:pPr>
              <w:jc w:val="center"/>
              <w:rPr>
                <w:rFonts w:ascii="Times New Roman" w:hAnsi="Times New Roman"/>
              </w:rPr>
            </w:pPr>
            <w:r>
              <w:rPr>
                <w:rFonts w:ascii="Times New Roman" w:hAnsi="Times New Roman"/>
              </w:rPr>
              <w:t xml:space="preserve">TOC   </w:t>
            </w:r>
          </w:p>
          <w:p>
            <w:pPr>
              <w:jc w:val="center"/>
              <w:rPr>
                <w:rFonts w:ascii="Times New Roman" w:hAnsi="Times New Roman"/>
              </w:rPr>
            </w:pPr>
          </w:p>
        </w:tc>
        <w:tc>
          <w:tcPr>
            <w:tcW w:w="1096" w:type="dxa"/>
            <w:vAlign w:val="center"/>
          </w:tcPr>
          <w:p>
            <w:pPr>
              <w:jc w:val="center"/>
              <w:rPr>
                <w:rFonts w:ascii="Times New Roman" w:hAnsi="Times New Roman"/>
              </w:rPr>
            </w:pPr>
            <w:r>
              <w:rPr>
                <w:rFonts w:ascii="Times New Roman" w:hAnsi="Times New Roman"/>
              </w:rPr>
              <w:t>苯并芘</w:t>
            </w:r>
          </w:p>
        </w:tc>
        <w:tc>
          <w:tcPr>
            <w:tcW w:w="1098" w:type="dxa"/>
            <w:vAlign w:val="center"/>
          </w:tcPr>
          <w:p>
            <w:pPr>
              <w:jc w:val="center"/>
              <w:rPr>
                <w:rFonts w:ascii="Times New Roman" w:hAnsi="Times New Roman"/>
              </w:rPr>
            </w:pPr>
            <w:r>
              <w:rPr>
                <w:rFonts w:ascii="Times New Roman" w:hAnsi="Times New Roman"/>
              </w:rPr>
              <w:t>烷基汞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二循泵房顶坪前</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jc w:val="center"/>
              <w:rPr>
                <w:rFonts w:ascii="Times New Roman" w:hAnsi="Times New Roman"/>
              </w:rPr>
            </w:pPr>
            <w:r>
              <w:rPr>
                <w:rFonts w:ascii="Times New Roman" w:hAnsi="Times New Roman"/>
                <w:kern w:val="0"/>
                <w:sz w:val="20"/>
                <w:szCs w:val="20"/>
                <w:lang w:bidi="en-US"/>
              </w:rPr>
              <w:t>ND</w:t>
            </w:r>
          </w:p>
        </w:tc>
        <w:tc>
          <w:tcPr>
            <w:tcW w:w="1096" w:type="dxa"/>
            <w:vAlign w:val="center"/>
          </w:tcPr>
          <w:p>
            <w:pPr>
              <w:jc w:val="center"/>
              <w:rPr>
                <w:rFonts w:ascii="Times New Roman" w:hAnsi="Times New Roman"/>
              </w:rPr>
            </w:pPr>
            <w:r>
              <w:rPr>
                <w:rFonts w:ascii="Times New Roman" w:hAnsi="Times New Roman"/>
                <w:kern w:val="0"/>
                <w:sz w:val="20"/>
                <w:szCs w:val="20"/>
                <w:lang w:bidi="en-US"/>
              </w:rPr>
              <w:t>ND</w:t>
            </w:r>
          </w:p>
        </w:tc>
        <w:tc>
          <w:tcPr>
            <w:tcW w:w="1096" w:type="dxa"/>
            <w:vAlign w:val="center"/>
          </w:tcPr>
          <w:p>
            <w:pPr>
              <w:jc w:val="center"/>
              <w:rPr>
                <w:rFonts w:ascii="Times New Roman" w:hAnsi="Times New Roman"/>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0.00034</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0.0013</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1.6</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渣油加氢外操口</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w:t>
            </w:r>
            <w:r>
              <w:rPr>
                <w:rFonts w:ascii="Times New Roman" w:hAnsi="Times New Roman"/>
                <w:kern w:val="0"/>
                <w:sz w:val="20"/>
                <w:szCs w:val="20"/>
                <w:lang w:bidi="en-US"/>
              </w:rPr>
              <w:t>1</w:t>
            </w:r>
            <w:r>
              <w:rPr>
                <w:rFonts w:ascii="Times New Roman" w:hAnsi="Times New Roman"/>
                <w:kern w:val="0"/>
                <w:sz w:val="20"/>
                <w:szCs w:val="20"/>
                <w:lang w:eastAsia="en-US" w:bidi="en-US"/>
              </w:rPr>
              <w:t>7</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0.00</w:t>
            </w:r>
            <w:r>
              <w:rPr>
                <w:rFonts w:ascii="Times New Roman" w:hAnsi="Times New Roman"/>
                <w:kern w:val="0"/>
                <w:sz w:val="20"/>
                <w:szCs w:val="20"/>
                <w:lang w:bidi="en-US"/>
              </w:rPr>
              <w:t>023</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0.0025</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0.0068</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2.7</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2104"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重整铁道旁</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0.00</w:t>
            </w:r>
            <w:r>
              <w:rPr>
                <w:rFonts w:ascii="Times New Roman" w:hAnsi="Times New Roman"/>
                <w:kern w:val="0"/>
                <w:sz w:val="20"/>
                <w:szCs w:val="20"/>
                <w:lang w:bidi="en-US"/>
              </w:rPr>
              <w:t>046</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2.9</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大项目办公室近</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0.00</w:t>
            </w:r>
            <w:r>
              <w:rPr>
                <w:rFonts w:ascii="Times New Roman" w:hAnsi="Times New Roman"/>
                <w:kern w:val="0"/>
                <w:sz w:val="20"/>
                <w:szCs w:val="20"/>
                <w:lang w:bidi="en-US"/>
              </w:rPr>
              <w:t>019</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0.006</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0.0027</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6.5</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长盛制氮花坛内</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0.00</w:t>
            </w:r>
            <w:r>
              <w:rPr>
                <w:rFonts w:ascii="Times New Roman" w:hAnsi="Times New Roman"/>
                <w:kern w:val="0"/>
                <w:sz w:val="20"/>
                <w:szCs w:val="20"/>
                <w:lang w:bidi="en-US"/>
              </w:rPr>
              <w:t>078</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0.0068</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4.3</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一污事故池旁</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0.013</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0.00027</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3.7</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王垅坡罐区泵房后</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0.00</w:t>
            </w:r>
            <w:r>
              <w:rPr>
                <w:rFonts w:ascii="Times New Roman" w:hAnsi="Times New Roman"/>
                <w:kern w:val="0"/>
                <w:sz w:val="20"/>
                <w:szCs w:val="20"/>
                <w:lang w:bidi="en-US"/>
              </w:rPr>
              <w:t>019</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1.9</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芳烃罐区铁道口</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0.00</w:t>
            </w:r>
            <w:r>
              <w:rPr>
                <w:rFonts w:ascii="Times New Roman" w:hAnsi="Times New Roman"/>
                <w:kern w:val="0"/>
                <w:sz w:val="20"/>
                <w:szCs w:val="20"/>
                <w:lang w:bidi="en-US"/>
              </w:rPr>
              <w:t>016</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2.3</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2104"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eastAsia="en-US" w:bidi="en-US"/>
              </w:rPr>
              <w:t>文桥桥头</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widowControl/>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eastAsia="en-US" w:bidi="en-US"/>
              </w:rPr>
              <w:t>0.0</w:t>
            </w:r>
            <w:r>
              <w:rPr>
                <w:rFonts w:ascii="Times New Roman" w:hAnsi="Times New Roman"/>
                <w:kern w:val="0"/>
                <w:sz w:val="20"/>
                <w:szCs w:val="20"/>
                <w:lang w:bidi="en-US"/>
              </w:rPr>
              <w:t>0025</w:t>
            </w:r>
          </w:p>
        </w:tc>
        <w:tc>
          <w:tcPr>
            <w:tcW w:w="1096" w:type="dxa"/>
            <w:vAlign w:val="center"/>
          </w:tcPr>
          <w:p>
            <w:pPr>
              <w:widowControl/>
              <w:spacing w:after="200" w:line="360" w:lineRule="exact"/>
              <w:jc w:val="center"/>
              <w:rPr>
                <w:rFonts w:ascii="Times New Roman" w:hAnsi="Times New Roman"/>
                <w:kern w:val="0"/>
                <w:sz w:val="20"/>
                <w:szCs w:val="20"/>
                <w:lang w:eastAsia="en-US" w:bidi="en-US"/>
              </w:rPr>
            </w:pPr>
            <w:r>
              <w:rPr>
                <w:rFonts w:ascii="Times New Roman" w:hAnsi="Times New Roman"/>
                <w:kern w:val="0"/>
                <w:sz w:val="20"/>
                <w:szCs w:val="20"/>
                <w:lang w:bidi="en-US"/>
              </w:rPr>
              <w:t>0.023</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ND</w:t>
            </w:r>
          </w:p>
        </w:tc>
        <w:tc>
          <w:tcPr>
            <w:tcW w:w="1096" w:type="dxa"/>
            <w:vAlign w:val="center"/>
          </w:tcPr>
          <w:p>
            <w:pPr>
              <w:spacing w:after="200" w:line="360" w:lineRule="exact"/>
              <w:jc w:val="center"/>
              <w:rPr>
                <w:rFonts w:ascii="Times New Roman" w:hAnsi="Times New Roman"/>
                <w:kern w:val="0"/>
                <w:sz w:val="20"/>
                <w:szCs w:val="20"/>
                <w:lang w:bidi="en-US"/>
              </w:rPr>
            </w:pPr>
            <w:r>
              <w:rPr>
                <w:rFonts w:ascii="Times New Roman" w:hAnsi="Times New Roman"/>
                <w:kern w:val="0"/>
                <w:sz w:val="20"/>
                <w:szCs w:val="20"/>
                <w:lang w:bidi="en-US"/>
              </w:rPr>
              <w:t>4.8</w:t>
            </w:r>
          </w:p>
        </w:tc>
        <w:tc>
          <w:tcPr>
            <w:tcW w:w="1096" w:type="dxa"/>
            <w:vAlign w:val="center"/>
          </w:tcPr>
          <w:p>
            <w:pPr>
              <w:jc w:val="center"/>
              <w:rPr>
                <w:rFonts w:ascii="Times New Roman" w:hAnsi="Times New Roman"/>
              </w:rPr>
            </w:pPr>
            <w:r>
              <w:rPr>
                <w:rFonts w:ascii="Times New Roman" w:hAnsi="Times New Roman"/>
              </w:rPr>
              <w:t>ND</w:t>
            </w:r>
          </w:p>
        </w:tc>
        <w:tc>
          <w:tcPr>
            <w:tcW w:w="1098" w:type="dxa"/>
            <w:vAlign w:val="center"/>
          </w:tcPr>
          <w:p>
            <w:pPr>
              <w:jc w:val="center"/>
              <w:rPr>
                <w:rFonts w:ascii="Times New Roman" w:hAnsi="Times New Roman"/>
              </w:rPr>
            </w:pPr>
            <w:r>
              <w:rPr>
                <w:rFonts w:ascii="Times New Roman" w:hAnsi="Times New Roman"/>
              </w:rPr>
              <w:t>ND</w:t>
            </w:r>
          </w:p>
        </w:tc>
      </w:tr>
    </w:tbl>
    <w:p>
      <w:pPr>
        <w:ind w:firstLine="357"/>
        <w:jc w:val="left"/>
        <w:rPr>
          <w:rFonts w:ascii="Times New Roman" w:hAnsi="Times New Roman"/>
        </w:rPr>
        <w:sectPr>
          <w:pgSz w:w="16840" w:h="11910" w:orient="landscape"/>
          <w:pgMar w:top="1800" w:right="1440" w:bottom="1800" w:left="1440" w:header="1016" w:footer="1116" w:gutter="0"/>
          <w:cols w:space="720" w:num="1"/>
        </w:sectPr>
      </w:pPr>
    </w:p>
    <w:p>
      <w:pPr>
        <w:pStyle w:val="22"/>
        <w:tabs>
          <w:tab w:val="left" w:pos="6720"/>
          <w:tab w:val="left" w:pos="7980"/>
          <w:tab w:val="left" w:pos="8400"/>
        </w:tabs>
        <w:kinsoku w:val="0"/>
        <w:overflowPunct w:val="0"/>
        <w:spacing w:before="65" w:line="364" w:lineRule="auto"/>
        <w:ind w:right="330" w:rightChars="157" w:firstLine="472" w:firstLineChars="200"/>
        <w:rPr>
          <w:spacing w:val="-2"/>
          <w:sz w:val="24"/>
          <w:szCs w:val="24"/>
          <w:u w:val="single"/>
        </w:rPr>
      </w:pPr>
      <w:r>
        <w:rPr>
          <w:spacing w:val="-2"/>
          <w:sz w:val="24"/>
          <w:szCs w:val="24"/>
          <w:u w:val="single"/>
        </w:rPr>
        <w:t>根据监测结果，pH、石油类、氯化物、氰化物</w:t>
      </w:r>
      <w:r>
        <w:rPr>
          <w:spacing w:val="-2"/>
          <w:sz w:val="24"/>
          <w:szCs w:val="24"/>
          <w:u w:val="single"/>
          <w:vertAlign w:val="superscript"/>
        </w:rPr>
        <w:t xml:space="preserve"> </w:t>
      </w:r>
      <w:r>
        <w:rPr>
          <w:spacing w:val="-2"/>
          <w:sz w:val="24"/>
          <w:szCs w:val="24"/>
          <w:u w:val="single"/>
        </w:rPr>
        <w:t>、硫化物、硫酸盐 、BOD</w:t>
      </w:r>
      <w:r>
        <w:rPr>
          <w:spacing w:val="-2"/>
          <w:sz w:val="24"/>
          <w:szCs w:val="24"/>
          <w:u w:val="single"/>
          <w:vertAlign w:val="subscript"/>
        </w:rPr>
        <w:t>5</w:t>
      </w:r>
      <w:r>
        <w:rPr>
          <w:spacing w:val="-2"/>
          <w:sz w:val="24"/>
          <w:szCs w:val="24"/>
          <w:u w:val="single"/>
        </w:rPr>
        <w:t xml:space="preserve"> 、总磷、总氮、氟化物、高锰酸盐指数、氨氮、挥发酚、苯、甲苯、二甲苯、乙苯、总镍、总汞、总砷、总铅、TOC、苯并芘、烷基汞的监测值均能满足《地下水质量标准》(GB/T14848-2017)的 III 类标准。</w:t>
      </w:r>
    </w:p>
    <w:p>
      <w:pPr>
        <w:pStyle w:val="22"/>
        <w:tabs>
          <w:tab w:val="left" w:pos="6720"/>
          <w:tab w:val="left" w:pos="7980"/>
          <w:tab w:val="left" w:pos="8400"/>
        </w:tabs>
        <w:kinsoku w:val="0"/>
        <w:overflowPunct w:val="0"/>
        <w:spacing w:before="65" w:line="364" w:lineRule="auto"/>
        <w:ind w:right="330" w:rightChars="157" w:firstLine="472" w:firstLineChars="200"/>
        <w:rPr>
          <w:spacing w:val="-2"/>
          <w:sz w:val="24"/>
          <w:szCs w:val="24"/>
          <w:u w:val="single"/>
        </w:rPr>
      </w:pPr>
      <w:r>
        <w:rPr>
          <w:spacing w:val="-2"/>
          <w:sz w:val="24"/>
          <w:szCs w:val="24"/>
          <w:u w:val="single"/>
        </w:rPr>
        <w:t>三、现状监测结论</w:t>
      </w:r>
    </w:p>
    <w:p>
      <w:pPr>
        <w:pStyle w:val="22"/>
        <w:tabs>
          <w:tab w:val="left" w:pos="6720"/>
        </w:tabs>
        <w:kinsoku w:val="0"/>
        <w:overflowPunct w:val="0"/>
        <w:spacing w:before="65" w:line="364" w:lineRule="auto"/>
        <w:ind w:left="240" w:right="330" w:rightChars="157" w:firstLine="479"/>
        <w:rPr>
          <w:b/>
          <w:sz w:val="28"/>
          <w:u w:val="single"/>
        </w:rPr>
      </w:pPr>
      <w:r>
        <w:rPr>
          <w:spacing w:val="-6"/>
          <w:sz w:val="24"/>
          <w:u w:val="single"/>
        </w:rPr>
        <w:t>本项目地下水监测因子均未超过《地下水质量标准》</w:t>
      </w:r>
      <w:r>
        <w:rPr>
          <w:sz w:val="24"/>
          <w:u w:val="single"/>
        </w:rPr>
        <w:t>(GB/T 14848-2017)Ⅲ类水标准，项目周边地下水水质满足现状需求。</w:t>
      </w:r>
    </w:p>
    <w:p>
      <w:pPr>
        <w:pStyle w:val="6"/>
        <w:numPr>
          <w:ilvl w:val="1"/>
          <w:numId w:val="0"/>
        </w:numPr>
        <w:tabs>
          <w:tab w:val="clear" w:pos="0"/>
        </w:tabs>
        <w:spacing w:before="120" w:after="120"/>
        <w:rPr>
          <w:sz w:val="13"/>
        </w:rPr>
      </w:pPr>
      <w:bookmarkStart w:id="317" w:name="_Toc20554"/>
      <w:r>
        <w:rPr>
          <w:sz w:val="32"/>
        </w:rPr>
        <w:t>4.6. 声环境质量现状监测与评价</w:t>
      </w:r>
      <w:bookmarkEnd w:id="317"/>
    </w:p>
    <w:p>
      <w:pPr>
        <w:pStyle w:val="22"/>
        <w:spacing w:before="141" w:line="362" w:lineRule="auto"/>
        <w:ind w:right="313" w:firstLine="480"/>
        <w:rPr>
          <w:spacing w:val="-2"/>
          <w:sz w:val="24"/>
          <w:szCs w:val="24"/>
        </w:rPr>
      </w:pPr>
      <w:r>
        <w:rPr>
          <w:spacing w:val="-2"/>
          <w:sz w:val="24"/>
          <w:szCs w:val="24"/>
        </w:rPr>
        <w:t>本次评价委湖南昌旭环保科技有限公司于2020年3月19日</w:t>
      </w:r>
      <w:r>
        <w:rPr>
          <w:sz w:val="24"/>
        </w:rPr>
        <w:t>~3月20日</w:t>
      </w:r>
      <w:r>
        <w:rPr>
          <w:spacing w:val="-2"/>
          <w:sz w:val="24"/>
          <w:szCs w:val="24"/>
        </w:rPr>
        <w:t>对项目区声环境进行了监测。</w:t>
      </w:r>
    </w:p>
    <w:p>
      <w:pPr>
        <w:pStyle w:val="22"/>
        <w:kinsoku w:val="0"/>
        <w:overflowPunct w:val="0"/>
        <w:spacing w:before="65" w:line="364" w:lineRule="auto"/>
        <w:ind w:right="1439" w:firstLine="472" w:firstLineChars="200"/>
        <w:rPr>
          <w:spacing w:val="-2"/>
          <w:sz w:val="24"/>
          <w:szCs w:val="24"/>
        </w:rPr>
      </w:pPr>
      <w:r>
        <w:rPr>
          <w:spacing w:val="-2"/>
          <w:sz w:val="24"/>
          <w:szCs w:val="24"/>
        </w:rPr>
        <w:t>1、监测点位</w:t>
      </w:r>
    </w:p>
    <w:p>
      <w:pPr>
        <w:pStyle w:val="22"/>
        <w:kinsoku w:val="0"/>
        <w:overflowPunct w:val="0"/>
        <w:spacing w:before="65" w:line="364" w:lineRule="auto"/>
        <w:ind w:right="1439" w:firstLine="472" w:firstLineChars="200"/>
        <w:rPr>
          <w:spacing w:val="-2"/>
          <w:sz w:val="24"/>
          <w:szCs w:val="24"/>
        </w:rPr>
      </w:pPr>
      <w:r>
        <w:rPr>
          <w:spacing w:val="-2"/>
          <w:sz w:val="24"/>
          <w:szCs w:val="24"/>
        </w:rPr>
        <w:t>在项目地四周设了4个噪声监测点，监测点位布设见附图3。</w:t>
      </w:r>
    </w:p>
    <w:p>
      <w:pPr>
        <w:pStyle w:val="22"/>
        <w:kinsoku w:val="0"/>
        <w:overflowPunct w:val="0"/>
        <w:spacing w:before="65" w:line="364" w:lineRule="auto"/>
        <w:ind w:right="1439" w:firstLine="472" w:firstLineChars="200"/>
        <w:rPr>
          <w:spacing w:val="-2"/>
          <w:sz w:val="24"/>
          <w:szCs w:val="24"/>
        </w:rPr>
      </w:pPr>
      <w:r>
        <w:rPr>
          <w:spacing w:val="-2"/>
          <w:sz w:val="24"/>
          <w:szCs w:val="24"/>
        </w:rPr>
        <w:t>2、监测项目</w:t>
      </w:r>
    </w:p>
    <w:p>
      <w:pPr>
        <w:pStyle w:val="22"/>
        <w:kinsoku w:val="0"/>
        <w:overflowPunct w:val="0"/>
        <w:spacing w:before="65" w:line="364" w:lineRule="auto"/>
        <w:ind w:right="1439" w:firstLine="472" w:firstLineChars="200"/>
        <w:rPr>
          <w:spacing w:val="-2"/>
          <w:sz w:val="24"/>
          <w:szCs w:val="24"/>
        </w:rPr>
      </w:pPr>
      <w:r>
        <w:rPr>
          <w:spacing w:val="-2"/>
          <w:sz w:val="24"/>
          <w:szCs w:val="24"/>
        </w:rPr>
        <w:t>等效连续 A 声级 Leq(A)。</w:t>
      </w:r>
    </w:p>
    <w:p>
      <w:pPr>
        <w:pStyle w:val="22"/>
        <w:kinsoku w:val="0"/>
        <w:overflowPunct w:val="0"/>
        <w:spacing w:before="65" w:line="364" w:lineRule="auto"/>
        <w:ind w:right="1439" w:firstLine="472" w:firstLineChars="200"/>
        <w:rPr>
          <w:spacing w:val="-2"/>
          <w:sz w:val="24"/>
          <w:szCs w:val="24"/>
        </w:rPr>
      </w:pPr>
      <w:r>
        <w:rPr>
          <w:spacing w:val="-2"/>
          <w:sz w:val="24"/>
          <w:szCs w:val="24"/>
        </w:rPr>
        <w:t>3、监测时间与频次</w:t>
      </w:r>
    </w:p>
    <w:p>
      <w:pPr>
        <w:pStyle w:val="22"/>
        <w:kinsoku w:val="0"/>
        <w:overflowPunct w:val="0"/>
        <w:spacing w:before="65" w:line="364" w:lineRule="auto"/>
        <w:ind w:right="110" w:firstLine="472" w:firstLineChars="200"/>
        <w:rPr>
          <w:spacing w:val="-2"/>
          <w:sz w:val="24"/>
          <w:szCs w:val="24"/>
        </w:rPr>
      </w:pPr>
      <w:r>
        <w:rPr>
          <w:spacing w:val="-2"/>
          <w:sz w:val="24"/>
          <w:szCs w:val="24"/>
        </w:rPr>
        <w:t>监测时间为连续监测一天，昼、夜间各测 1 次，每次监测不少于 20min。</w:t>
      </w:r>
    </w:p>
    <w:p>
      <w:pPr>
        <w:pStyle w:val="22"/>
        <w:kinsoku w:val="0"/>
        <w:overflowPunct w:val="0"/>
        <w:spacing w:before="65" w:line="364" w:lineRule="auto"/>
        <w:ind w:right="1439" w:firstLine="472" w:firstLineChars="200"/>
        <w:rPr>
          <w:spacing w:val="-2"/>
          <w:sz w:val="24"/>
          <w:szCs w:val="24"/>
        </w:rPr>
      </w:pPr>
      <w:r>
        <w:rPr>
          <w:spacing w:val="-2"/>
          <w:sz w:val="24"/>
          <w:szCs w:val="24"/>
        </w:rPr>
        <w:t>4、测量方法与仪器</w:t>
      </w:r>
    </w:p>
    <w:p>
      <w:pPr>
        <w:pStyle w:val="22"/>
        <w:kinsoku w:val="0"/>
        <w:overflowPunct w:val="0"/>
        <w:spacing w:before="65" w:line="364" w:lineRule="auto"/>
        <w:ind w:right="1439" w:firstLine="472" w:firstLineChars="200"/>
        <w:rPr>
          <w:spacing w:val="-2"/>
          <w:sz w:val="24"/>
          <w:szCs w:val="24"/>
        </w:rPr>
      </w:pPr>
      <w:r>
        <w:rPr>
          <w:spacing w:val="-2"/>
          <w:sz w:val="24"/>
          <w:szCs w:val="24"/>
        </w:rPr>
        <w:t>测量方法与仪器应符合《声环境质量标准》（GB3096-2008）中的有关规定。</w:t>
      </w:r>
    </w:p>
    <w:p>
      <w:pPr>
        <w:pStyle w:val="22"/>
        <w:kinsoku w:val="0"/>
        <w:overflowPunct w:val="0"/>
        <w:spacing w:before="65" w:line="364" w:lineRule="auto"/>
        <w:ind w:right="1439" w:firstLine="472" w:firstLineChars="200"/>
        <w:rPr>
          <w:spacing w:val="-2"/>
          <w:sz w:val="24"/>
          <w:szCs w:val="24"/>
        </w:rPr>
      </w:pPr>
      <w:r>
        <w:rPr>
          <w:spacing w:val="-2"/>
          <w:sz w:val="24"/>
          <w:szCs w:val="24"/>
        </w:rPr>
        <w:t>5、监测与评价小结</w:t>
      </w:r>
    </w:p>
    <w:p>
      <w:pPr>
        <w:pStyle w:val="22"/>
        <w:spacing w:before="141" w:line="362" w:lineRule="auto"/>
        <w:ind w:right="313"/>
        <w:jc w:val="center"/>
        <w:rPr>
          <w:b/>
          <w:sz w:val="24"/>
          <w:lang w:val="zh-CN"/>
        </w:rPr>
      </w:pPr>
      <w:r>
        <w:rPr>
          <w:b/>
          <w:sz w:val="24"/>
          <w:lang w:val="zh-CN"/>
        </w:rPr>
        <w:t xml:space="preserve">表 </w:t>
      </w:r>
      <w:r>
        <w:rPr>
          <w:b/>
          <w:sz w:val="24"/>
        </w:rPr>
        <w:t>4</w:t>
      </w:r>
      <w:r>
        <w:rPr>
          <w:b/>
          <w:sz w:val="24"/>
          <w:lang w:val="zh-CN"/>
        </w:rPr>
        <w:t>.6-1声环境现状监测统计结果</w:t>
      </w:r>
      <w:r>
        <w:rPr>
          <w:b/>
          <w:sz w:val="24"/>
          <w:lang w:val="zh-CN"/>
        </w:rPr>
        <w:tab/>
      </w:r>
      <w:r>
        <w:rPr>
          <w:b/>
          <w:sz w:val="24"/>
          <w:lang w:val="zh-CN"/>
        </w:rPr>
        <w:t>单位：dB(A)</w:t>
      </w:r>
    </w:p>
    <w:tbl>
      <w:tblPr>
        <w:tblStyle w:val="45"/>
        <w:tblpPr w:leftFromText="180" w:rightFromText="180" w:vertAnchor="text" w:horzAnchor="page" w:tblpXSpec="center" w:tblpY="174"/>
        <w:tblOverlap w:val="never"/>
        <w:tblW w:w="8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64" w:type="dxa"/>
          <w:bottom w:w="0" w:type="dxa"/>
          <w:right w:w="51" w:type="dxa"/>
        </w:tblCellMar>
      </w:tblPr>
      <w:tblGrid>
        <w:gridCol w:w="3318"/>
        <w:gridCol w:w="1424"/>
        <w:gridCol w:w="1920"/>
        <w:gridCol w:w="1260"/>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vMerge w:val="restart"/>
            <w:tcBorders>
              <w:tl2br w:val="nil"/>
              <w:tr2bl w:val="nil"/>
            </w:tcBorders>
            <w:vAlign w:val="center"/>
          </w:tcPr>
          <w:p>
            <w:pPr>
              <w:spacing w:line="420" w:lineRule="exact"/>
              <w:jc w:val="center"/>
              <w:rPr>
                <w:rFonts w:ascii="Times New Roman" w:hAnsi="Times New Roman"/>
                <w:szCs w:val="21"/>
              </w:rPr>
            </w:pPr>
            <w:r>
              <w:rPr>
                <w:rFonts w:ascii="Times New Roman" w:hAnsi="Times New Roman"/>
                <w:szCs w:val="21"/>
              </w:rPr>
              <w:t>点位名称</w:t>
            </w:r>
          </w:p>
        </w:tc>
        <w:tc>
          <w:tcPr>
            <w:tcW w:w="1424" w:type="dxa"/>
            <w:vMerge w:val="restart"/>
            <w:tcBorders>
              <w:tl2br w:val="nil"/>
              <w:tr2bl w:val="nil"/>
            </w:tcBorders>
            <w:vAlign w:val="center"/>
          </w:tcPr>
          <w:p>
            <w:pPr>
              <w:spacing w:line="420" w:lineRule="exact"/>
              <w:jc w:val="center"/>
              <w:rPr>
                <w:rFonts w:ascii="Times New Roman" w:hAnsi="Times New Roman"/>
                <w:szCs w:val="21"/>
              </w:rPr>
            </w:pPr>
            <w:r>
              <w:rPr>
                <w:rFonts w:ascii="Times New Roman" w:hAnsi="Times New Roman"/>
                <w:szCs w:val="21"/>
              </w:rPr>
              <w:t>采样日期</w:t>
            </w:r>
          </w:p>
        </w:tc>
        <w:tc>
          <w:tcPr>
            <w:tcW w:w="1920" w:type="dxa"/>
            <w:vMerge w:val="restart"/>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监测内容</w:t>
            </w:r>
          </w:p>
        </w:tc>
        <w:tc>
          <w:tcPr>
            <w:tcW w:w="2310" w:type="dxa"/>
            <w:gridSpan w:val="2"/>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检测结果</w:t>
            </w:r>
          </w:p>
          <w:p>
            <w:pPr>
              <w:spacing w:line="240" w:lineRule="exact"/>
              <w:jc w:val="center"/>
              <w:rPr>
                <w:rFonts w:ascii="Times New Roman" w:hAnsi="Times New Roman"/>
                <w:szCs w:val="21"/>
              </w:rPr>
            </w:pPr>
            <w:r>
              <w:rPr>
                <w:rFonts w:ascii="Times New Roman" w:hAnsi="Times New Roman"/>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vMerge w:val="continue"/>
            <w:tcBorders>
              <w:tl2br w:val="nil"/>
              <w:tr2bl w:val="nil"/>
            </w:tcBorders>
            <w:vAlign w:val="center"/>
          </w:tcPr>
          <w:p>
            <w:pPr>
              <w:spacing w:line="420" w:lineRule="exact"/>
              <w:jc w:val="center"/>
              <w:rPr>
                <w:rFonts w:ascii="Times New Roman" w:hAnsi="Times New Roman"/>
                <w:szCs w:val="21"/>
              </w:rPr>
            </w:pPr>
          </w:p>
        </w:tc>
        <w:tc>
          <w:tcPr>
            <w:tcW w:w="1424" w:type="dxa"/>
            <w:vMerge w:val="continue"/>
            <w:tcBorders>
              <w:tl2br w:val="nil"/>
              <w:tr2bl w:val="nil"/>
            </w:tcBorders>
            <w:vAlign w:val="center"/>
          </w:tcPr>
          <w:p>
            <w:pPr>
              <w:spacing w:line="420" w:lineRule="exact"/>
              <w:jc w:val="center"/>
              <w:rPr>
                <w:rFonts w:ascii="Times New Roman" w:hAnsi="Times New Roman"/>
                <w:szCs w:val="21"/>
              </w:rPr>
            </w:pPr>
          </w:p>
        </w:tc>
        <w:tc>
          <w:tcPr>
            <w:tcW w:w="1920" w:type="dxa"/>
            <w:vMerge w:val="continue"/>
            <w:tcBorders>
              <w:tl2br w:val="nil"/>
              <w:tr2bl w:val="nil"/>
            </w:tcBorders>
            <w:vAlign w:val="center"/>
          </w:tcPr>
          <w:p>
            <w:pPr>
              <w:spacing w:line="240" w:lineRule="exact"/>
              <w:jc w:val="center"/>
              <w:rPr>
                <w:rFonts w:ascii="Times New Roman" w:hAnsi="Times New Roman"/>
                <w:szCs w:val="21"/>
              </w:rPr>
            </w:pPr>
          </w:p>
        </w:tc>
        <w:tc>
          <w:tcPr>
            <w:tcW w:w="126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昼间</w:t>
            </w:r>
          </w:p>
        </w:tc>
        <w:tc>
          <w:tcPr>
            <w:tcW w:w="105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厂界东侧外1m处N1</w:t>
            </w:r>
          </w:p>
        </w:tc>
        <w:tc>
          <w:tcPr>
            <w:tcW w:w="1424"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2020.3.19</w:t>
            </w: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56.7</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厂界南侧外1m处N2</w:t>
            </w:r>
          </w:p>
        </w:tc>
        <w:tc>
          <w:tcPr>
            <w:tcW w:w="1424" w:type="dxa"/>
            <w:vMerge w:val="continue"/>
            <w:tcBorders>
              <w:tl2br w:val="nil"/>
              <w:tr2bl w:val="nil"/>
            </w:tcBorders>
            <w:vAlign w:val="center"/>
          </w:tcPr>
          <w:p>
            <w:pPr>
              <w:jc w:val="center"/>
              <w:rPr>
                <w:rFonts w:ascii="Times New Roman" w:hAnsi="Times New Roman"/>
                <w:szCs w:val="21"/>
              </w:rPr>
            </w:pP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57.1</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厂界西侧外1m处N3</w:t>
            </w:r>
          </w:p>
        </w:tc>
        <w:tc>
          <w:tcPr>
            <w:tcW w:w="1424" w:type="dxa"/>
            <w:vMerge w:val="continue"/>
            <w:tcBorders>
              <w:tl2br w:val="nil"/>
              <w:tr2bl w:val="nil"/>
            </w:tcBorders>
            <w:vAlign w:val="center"/>
          </w:tcPr>
          <w:p>
            <w:pPr>
              <w:jc w:val="center"/>
              <w:rPr>
                <w:rFonts w:ascii="Times New Roman" w:hAnsi="Times New Roman"/>
                <w:szCs w:val="21"/>
              </w:rPr>
            </w:pP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57.9</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厂界北侧外1m处N4</w:t>
            </w:r>
          </w:p>
        </w:tc>
        <w:tc>
          <w:tcPr>
            <w:tcW w:w="1424" w:type="dxa"/>
            <w:vMerge w:val="continue"/>
            <w:tcBorders>
              <w:tl2br w:val="nil"/>
              <w:tr2bl w:val="nil"/>
            </w:tcBorders>
            <w:vAlign w:val="center"/>
          </w:tcPr>
          <w:p>
            <w:pPr>
              <w:jc w:val="center"/>
              <w:rPr>
                <w:rFonts w:ascii="Times New Roman" w:hAnsi="Times New Roman"/>
                <w:szCs w:val="21"/>
              </w:rPr>
            </w:pP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56.2</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厂界东侧外1m处N1</w:t>
            </w:r>
          </w:p>
        </w:tc>
        <w:tc>
          <w:tcPr>
            <w:tcW w:w="1424" w:type="dxa"/>
            <w:vMerge w:val="restart"/>
            <w:tcBorders>
              <w:tl2br w:val="nil"/>
              <w:tr2bl w:val="nil"/>
            </w:tcBorders>
            <w:vAlign w:val="center"/>
          </w:tcPr>
          <w:p>
            <w:pPr>
              <w:jc w:val="center"/>
              <w:rPr>
                <w:rFonts w:ascii="Times New Roman" w:hAnsi="Times New Roman"/>
                <w:szCs w:val="21"/>
              </w:rPr>
            </w:pPr>
            <w:r>
              <w:rPr>
                <w:rFonts w:ascii="Times New Roman" w:hAnsi="Times New Roman"/>
                <w:szCs w:val="21"/>
              </w:rPr>
              <w:t>2020.3.20</w:t>
            </w: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56.4</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厂界南侧外1m处N2</w:t>
            </w:r>
          </w:p>
        </w:tc>
        <w:tc>
          <w:tcPr>
            <w:tcW w:w="1424" w:type="dxa"/>
            <w:vMerge w:val="continue"/>
            <w:tcBorders>
              <w:tl2br w:val="nil"/>
              <w:tr2bl w:val="nil"/>
            </w:tcBorders>
            <w:vAlign w:val="center"/>
          </w:tcPr>
          <w:p>
            <w:pPr>
              <w:jc w:val="center"/>
              <w:rPr>
                <w:rFonts w:ascii="Times New Roman" w:hAnsi="Times New Roman"/>
                <w:szCs w:val="21"/>
              </w:rPr>
            </w:pP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57.7</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厂界西侧外1m处N3</w:t>
            </w:r>
          </w:p>
        </w:tc>
        <w:tc>
          <w:tcPr>
            <w:tcW w:w="1424" w:type="dxa"/>
            <w:vMerge w:val="continue"/>
            <w:tcBorders>
              <w:tl2br w:val="nil"/>
              <w:tr2bl w:val="nil"/>
            </w:tcBorders>
            <w:vAlign w:val="center"/>
          </w:tcPr>
          <w:p>
            <w:pPr>
              <w:jc w:val="center"/>
              <w:rPr>
                <w:rFonts w:ascii="Times New Roman" w:hAnsi="Times New Roman"/>
                <w:szCs w:val="21"/>
              </w:rPr>
            </w:pP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57.4</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jc w:val="center"/>
        </w:trPr>
        <w:tc>
          <w:tcPr>
            <w:tcW w:w="3318" w:type="dxa"/>
            <w:tcBorders>
              <w:tl2br w:val="nil"/>
              <w:tr2bl w:val="nil"/>
            </w:tcBorders>
            <w:vAlign w:val="center"/>
          </w:tcPr>
          <w:p>
            <w:pPr>
              <w:jc w:val="center"/>
              <w:rPr>
                <w:rFonts w:ascii="Times New Roman" w:hAnsi="Times New Roman"/>
                <w:szCs w:val="21"/>
              </w:rPr>
            </w:pPr>
            <w:r>
              <w:rPr>
                <w:rFonts w:ascii="Times New Roman" w:hAnsi="Times New Roman"/>
                <w:szCs w:val="21"/>
              </w:rPr>
              <w:t>厂界北侧外1m处N4</w:t>
            </w:r>
          </w:p>
        </w:tc>
        <w:tc>
          <w:tcPr>
            <w:tcW w:w="1424" w:type="dxa"/>
            <w:vMerge w:val="continue"/>
            <w:tcBorders>
              <w:tl2br w:val="nil"/>
              <w:tr2bl w:val="nil"/>
            </w:tcBorders>
            <w:vAlign w:val="center"/>
          </w:tcPr>
          <w:p>
            <w:pPr>
              <w:jc w:val="center"/>
              <w:rPr>
                <w:rFonts w:ascii="Times New Roman" w:hAnsi="Times New Roman"/>
                <w:szCs w:val="21"/>
              </w:rPr>
            </w:pPr>
          </w:p>
        </w:tc>
        <w:tc>
          <w:tcPr>
            <w:tcW w:w="1920" w:type="dxa"/>
            <w:tcBorders>
              <w:tl2br w:val="nil"/>
              <w:tr2bl w:val="nil"/>
            </w:tcBorders>
            <w:vAlign w:val="center"/>
          </w:tcPr>
          <w:p>
            <w:pPr>
              <w:spacing w:line="240" w:lineRule="exact"/>
              <w:jc w:val="center"/>
              <w:rPr>
                <w:rFonts w:ascii="Times New Roman" w:hAnsi="Times New Roman"/>
                <w:szCs w:val="21"/>
              </w:rPr>
            </w:pPr>
            <w:r>
              <w:rPr>
                <w:rFonts w:ascii="Times New Roman" w:hAnsi="Times New Roman"/>
                <w:szCs w:val="21"/>
              </w:rPr>
              <w:t>厂界噪声</w:t>
            </w:r>
          </w:p>
        </w:tc>
        <w:tc>
          <w:tcPr>
            <w:tcW w:w="1260" w:type="dxa"/>
            <w:tcBorders>
              <w:tl2br w:val="nil"/>
              <w:tr2bl w:val="nil"/>
            </w:tcBorders>
            <w:vAlign w:val="center"/>
          </w:tcPr>
          <w:p>
            <w:pPr>
              <w:jc w:val="center"/>
              <w:rPr>
                <w:rFonts w:ascii="Times New Roman" w:hAnsi="Times New Roman"/>
                <w:szCs w:val="21"/>
              </w:rPr>
            </w:pPr>
            <w:r>
              <w:rPr>
                <w:rFonts w:ascii="Times New Roman" w:hAnsi="Times New Roman"/>
                <w:szCs w:val="21"/>
              </w:rPr>
              <w:t>56.1</w:t>
            </w:r>
          </w:p>
        </w:tc>
        <w:tc>
          <w:tcPr>
            <w:tcW w:w="1050" w:type="dxa"/>
            <w:tcBorders>
              <w:tl2br w:val="nil"/>
              <w:tr2bl w:val="nil"/>
            </w:tcBorders>
            <w:vAlign w:val="center"/>
          </w:tcPr>
          <w:p>
            <w:pPr>
              <w:jc w:val="center"/>
              <w:rPr>
                <w:rFonts w:ascii="Times New Roman" w:hAnsi="Times New Roman"/>
                <w:szCs w:val="21"/>
              </w:rPr>
            </w:pPr>
            <w:r>
              <w:rPr>
                <w:rFonts w:ascii="Times New Roman" w:hAnsi="Times New Roman"/>
                <w:szCs w:val="21"/>
              </w:rPr>
              <w:t>45.7</w:t>
            </w:r>
          </w:p>
        </w:tc>
      </w:tr>
    </w:tbl>
    <w:p>
      <w:pPr>
        <w:pStyle w:val="22"/>
        <w:spacing w:before="158" w:line="360" w:lineRule="auto"/>
        <w:ind w:firstLine="480" w:firstLineChars="200"/>
        <w:rPr>
          <w:sz w:val="24"/>
          <w:szCs w:val="24"/>
        </w:rPr>
      </w:pPr>
      <w:r>
        <w:rPr>
          <w:sz w:val="24"/>
          <w:szCs w:val="24"/>
        </w:rPr>
        <w:t>根据上表监测结果，项目区各监测点昼夜声环境均能满足《声环境质量标准》(GB 3096-2008)中的3类标准要求。</w:t>
      </w:r>
    </w:p>
    <w:p>
      <w:pPr>
        <w:pStyle w:val="6"/>
        <w:numPr>
          <w:ilvl w:val="1"/>
          <w:numId w:val="0"/>
        </w:numPr>
        <w:tabs>
          <w:tab w:val="clear" w:pos="0"/>
        </w:tabs>
        <w:spacing w:before="120" w:after="120"/>
        <w:rPr>
          <w:sz w:val="13"/>
          <w:u w:val="single"/>
        </w:rPr>
      </w:pPr>
      <w:r>
        <w:rPr>
          <w:sz w:val="32"/>
          <w:u w:val="single"/>
        </w:rPr>
        <w:t>4.7. 土壤环境质量现状监测与评价</w:t>
      </w:r>
    </w:p>
    <w:p>
      <w:pPr>
        <w:pStyle w:val="22"/>
        <w:spacing w:before="141" w:line="362" w:lineRule="auto"/>
        <w:ind w:right="313" w:firstLine="480"/>
        <w:rPr>
          <w:spacing w:val="-2"/>
          <w:sz w:val="24"/>
          <w:szCs w:val="24"/>
          <w:u w:val="single"/>
        </w:rPr>
      </w:pPr>
      <w:r>
        <w:rPr>
          <w:spacing w:val="-2"/>
          <w:sz w:val="24"/>
          <w:szCs w:val="24"/>
          <w:u w:val="single"/>
        </w:rPr>
        <w:t>为了了解本项目所在地土壤环境质量现状。本次评价委托湖南昌旭环保科技有限公司于2020年3月19日对项目区域土壤环境进行了监测。</w:t>
      </w:r>
    </w:p>
    <w:p>
      <w:pPr>
        <w:pStyle w:val="22"/>
        <w:kinsoku w:val="0"/>
        <w:overflowPunct w:val="0"/>
        <w:spacing w:before="65" w:line="364" w:lineRule="auto"/>
        <w:ind w:right="1439" w:firstLine="472" w:firstLineChars="200"/>
        <w:rPr>
          <w:spacing w:val="-2"/>
          <w:sz w:val="24"/>
          <w:szCs w:val="24"/>
          <w:u w:val="single"/>
        </w:rPr>
      </w:pPr>
      <w:r>
        <w:rPr>
          <w:spacing w:val="-2"/>
          <w:sz w:val="24"/>
          <w:szCs w:val="24"/>
          <w:u w:val="single"/>
        </w:rPr>
        <w:t>1、监测点位</w:t>
      </w:r>
    </w:p>
    <w:p>
      <w:pPr>
        <w:pStyle w:val="22"/>
        <w:kinsoku w:val="0"/>
        <w:overflowPunct w:val="0"/>
        <w:spacing w:before="65" w:line="364" w:lineRule="auto"/>
        <w:ind w:right="110" w:firstLine="472" w:firstLineChars="200"/>
        <w:rPr>
          <w:u w:val="single"/>
        </w:rPr>
      </w:pPr>
      <w:r>
        <w:rPr>
          <w:spacing w:val="-2"/>
          <w:sz w:val="24"/>
          <w:szCs w:val="24"/>
          <w:u w:val="single"/>
        </w:rPr>
        <w:t>在项目地四周设了6个土壤监测点，监测点位布设见表4.7-1和附图4。</w:t>
      </w:r>
      <w:bookmarkStart w:id="318" w:name="_Ref475309121"/>
    </w:p>
    <w:p>
      <w:pPr>
        <w:pStyle w:val="18"/>
        <w:wordWrap w:val="0"/>
        <w:rPr>
          <w:u w:val="single"/>
        </w:rPr>
      </w:pPr>
      <w:r>
        <w:rPr>
          <w:u w:val="single"/>
        </w:rPr>
        <w:t>表</w:t>
      </w:r>
      <w:bookmarkEnd w:id="318"/>
      <w:r>
        <w:rPr>
          <w:u w:val="single"/>
        </w:rPr>
        <w:t>4.7-1 土壤现状监测点位</w:t>
      </w:r>
    </w:p>
    <w:tbl>
      <w:tblPr>
        <w:tblStyle w:val="45"/>
        <w:tblW w:w="852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01"/>
        <w:gridCol w:w="38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pStyle w:val="100"/>
              <w:wordWrap w:val="0"/>
              <w:rPr>
                <w:szCs w:val="21"/>
                <w:u w:val="single"/>
              </w:rPr>
            </w:pPr>
            <w:r>
              <w:rPr>
                <w:szCs w:val="21"/>
                <w:u w:val="single"/>
              </w:rPr>
              <w:t>编号</w:t>
            </w:r>
          </w:p>
        </w:tc>
        <w:tc>
          <w:tcPr>
            <w:tcW w:w="3828" w:type="dxa"/>
            <w:vAlign w:val="center"/>
          </w:tcPr>
          <w:p>
            <w:pPr>
              <w:pStyle w:val="100"/>
              <w:wordWrap w:val="0"/>
              <w:rPr>
                <w:szCs w:val="21"/>
                <w:u w:val="single"/>
              </w:rPr>
            </w:pPr>
            <w:r>
              <w:rPr>
                <w:szCs w:val="21"/>
                <w:u w:val="single"/>
              </w:rPr>
              <w:t>点位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tabs>
                <w:tab w:val="left" w:pos="709"/>
                <w:tab w:val="left" w:pos="993"/>
              </w:tabs>
              <w:wordWrap w:val="0"/>
              <w:jc w:val="center"/>
              <w:rPr>
                <w:rFonts w:ascii="Times New Roman" w:hAnsi="Times New Roman"/>
                <w:szCs w:val="21"/>
                <w:u w:val="single"/>
              </w:rPr>
            </w:pPr>
            <w:r>
              <w:rPr>
                <w:rFonts w:ascii="Times New Roman" w:hAnsi="Times New Roman"/>
                <w:szCs w:val="21"/>
                <w:u w:val="single"/>
              </w:rPr>
              <w:t>T1表面样点</w:t>
            </w:r>
          </w:p>
        </w:tc>
        <w:tc>
          <w:tcPr>
            <w:tcW w:w="3828" w:type="dxa"/>
            <w:vMerge w:val="restart"/>
            <w:vAlign w:val="center"/>
          </w:tcPr>
          <w:p>
            <w:pPr>
              <w:wordWrap w:val="0"/>
              <w:jc w:val="center"/>
              <w:rPr>
                <w:rFonts w:ascii="Times New Roman" w:hAnsi="Times New Roman"/>
                <w:u w:val="single"/>
              </w:rPr>
            </w:pPr>
            <w:r>
              <w:rPr>
                <w:rFonts w:ascii="Times New Roman" w:hAnsi="Times New Roman"/>
                <w:u w:val="single"/>
              </w:rPr>
              <w:t>项目所在地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u w:val="single"/>
              </w:rPr>
            </w:pPr>
            <w:r>
              <w:rPr>
                <w:rFonts w:ascii="Times New Roman" w:hAnsi="Times New Roman"/>
                <w:szCs w:val="21"/>
                <w:u w:val="single"/>
              </w:rPr>
              <w:t>T2柱状样点</w:t>
            </w:r>
          </w:p>
        </w:tc>
        <w:tc>
          <w:tcPr>
            <w:tcW w:w="3828" w:type="dxa"/>
            <w:vMerge w:val="continue"/>
            <w:vAlign w:val="center"/>
          </w:tcPr>
          <w:p>
            <w:pPr>
              <w:wordWrap w:val="0"/>
              <w:jc w:val="center"/>
              <w:rPr>
                <w:rFonts w:ascii="Times New Roman" w:hAnsi="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u w:val="single"/>
              </w:rPr>
            </w:pPr>
            <w:r>
              <w:rPr>
                <w:rFonts w:ascii="Times New Roman" w:hAnsi="Times New Roman"/>
                <w:szCs w:val="21"/>
                <w:u w:val="single"/>
              </w:rPr>
              <w:t>T3柱状样点</w:t>
            </w:r>
          </w:p>
        </w:tc>
        <w:tc>
          <w:tcPr>
            <w:tcW w:w="3828" w:type="dxa"/>
            <w:vMerge w:val="continue"/>
            <w:vAlign w:val="center"/>
          </w:tcPr>
          <w:p>
            <w:pPr>
              <w:wordWrap w:val="0"/>
              <w:jc w:val="center"/>
              <w:rPr>
                <w:rFonts w:ascii="Times New Roman" w:hAnsi="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u w:val="single"/>
              </w:rPr>
            </w:pPr>
            <w:r>
              <w:rPr>
                <w:rFonts w:ascii="Times New Roman" w:hAnsi="Times New Roman"/>
                <w:szCs w:val="21"/>
                <w:u w:val="single"/>
              </w:rPr>
              <w:t>T4柱状样点</w:t>
            </w:r>
          </w:p>
        </w:tc>
        <w:tc>
          <w:tcPr>
            <w:tcW w:w="3828" w:type="dxa"/>
            <w:vMerge w:val="continue"/>
            <w:vAlign w:val="center"/>
          </w:tcPr>
          <w:p>
            <w:pPr>
              <w:wordWrap w:val="0"/>
              <w:jc w:val="center"/>
              <w:rPr>
                <w:rFonts w:ascii="Times New Roman" w:hAnsi="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u w:val="single"/>
              </w:rPr>
            </w:pPr>
            <w:r>
              <w:rPr>
                <w:rFonts w:ascii="Times New Roman" w:hAnsi="Times New Roman"/>
                <w:szCs w:val="21"/>
                <w:u w:val="single"/>
              </w:rPr>
              <w:t>T5表面样点</w:t>
            </w:r>
          </w:p>
        </w:tc>
        <w:tc>
          <w:tcPr>
            <w:tcW w:w="3828" w:type="dxa"/>
            <w:vAlign w:val="center"/>
          </w:tcPr>
          <w:p>
            <w:pPr>
              <w:wordWrap w:val="0"/>
              <w:jc w:val="center"/>
              <w:rPr>
                <w:rFonts w:ascii="Times New Roman" w:hAnsi="Times New Roman"/>
                <w:u w:val="single"/>
              </w:rPr>
            </w:pPr>
            <w:r>
              <w:rPr>
                <w:rFonts w:ascii="Times New Roman" w:hAnsi="Times New Roman"/>
                <w:u w:val="single"/>
              </w:rPr>
              <w:t>项目东北侧150m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u w:val="single"/>
              </w:rPr>
            </w:pPr>
            <w:r>
              <w:rPr>
                <w:rFonts w:ascii="Times New Roman" w:hAnsi="Times New Roman"/>
                <w:szCs w:val="21"/>
                <w:u w:val="single"/>
              </w:rPr>
              <w:t>T6表面样点</w:t>
            </w:r>
          </w:p>
        </w:tc>
        <w:tc>
          <w:tcPr>
            <w:tcW w:w="3828" w:type="dxa"/>
            <w:vAlign w:val="center"/>
          </w:tcPr>
          <w:p>
            <w:pPr>
              <w:wordWrap w:val="0"/>
              <w:jc w:val="center"/>
              <w:rPr>
                <w:rFonts w:ascii="Times New Roman" w:hAnsi="Times New Roman"/>
                <w:u w:val="single"/>
              </w:rPr>
            </w:pPr>
            <w:r>
              <w:rPr>
                <w:rFonts w:ascii="Times New Roman" w:hAnsi="Times New Roman"/>
                <w:u w:val="single"/>
              </w:rPr>
              <w:t>项目西南侧150m</w:t>
            </w:r>
          </w:p>
        </w:tc>
      </w:tr>
    </w:tbl>
    <w:p>
      <w:pPr>
        <w:pStyle w:val="22"/>
        <w:kinsoku w:val="0"/>
        <w:overflowPunct w:val="0"/>
        <w:spacing w:before="65" w:line="364" w:lineRule="auto"/>
        <w:ind w:right="1439" w:firstLine="472" w:firstLineChars="200"/>
        <w:rPr>
          <w:spacing w:val="-2"/>
          <w:sz w:val="24"/>
          <w:szCs w:val="24"/>
          <w:u w:val="single"/>
        </w:rPr>
      </w:pPr>
      <w:r>
        <w:rPr>
          <w:spacing w:val="-2"/>
          <w:sz w:val="24"/>
          <w:szCs w:val="24"/>
          <w:u w:val="single"/>
        </w:rPr>
        <w:t>2、监测项目</w:t>
      </w:r>
    </w:p>
    <w:p>
      <w:pPr>
        <w:pStyle w:val="22"/>
        <w:kinsoku w:val="0"/>
        <w:overflowPunct w:val="0"/>
        <w:spacing w:before="65" w:line="360" w:lineRule="auto"/>
        <w:ind w:right="-90" w:firstLine="472" w:firstLineChars="200"/>
        <w:rPr>
          <w:spacing w:val="-2"/>
          <w:sz w:val="24"/>
          <w:szCs w:val="24"/>
          <w:u w:val="single"/>
        </w:rPr>
      </w:pPr>
      <w:r>
        <w:rPr>
          <w:spacing w:val="-2"/>
          <w:sz w:val="24"/>
          <w:szCs w:val="24"/>
          <w:u w:val="single"/>
        </w:rPr>
        <w:t>镍、铜、铅、砷、镉、铬（六价铬）、汞、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和石油烃。</w:t>
      </w:r>
    </w:p>
    <w:p>
      <w:pPr>
        <w:pStyle w:val="22"/>
        <w:kinsoku w:val="0"/>
        <w:overflowPunct w:val="0"/>
        <w:spacing w:before="65" w:line="364" w:lineRule="auto"/>
        <w:ind w:right="1439" w:firstLine="472" w:firstLineChars="200"/>
        <w:rPr>
          <w:spacing w:val="-2"/>
          <w:sz w:val="24"/>
          <w:szCs w:val="24"/>
          <w:u w:val="single"/>
        </w:rPr>
      </w:pPr>
      <w:r>
        <w:rPr>
          <w:spacing w:val="-2"/>
          <w:sz w:val="24"/>
          <w:szCs w:val="24"/>
          <w:u w:val="single"/>
        </w:rPr>
        <w:t>3、监测时间与频次</w:t>
      </w:r>
    </w:p>
    <w:p>
      <w:pPr>
        <w:wordWrap w:val="0"/>
        <w:spacing w:line="360" w:lineRule="auto"/>
        <w:ind w:firstLine="472" w:firstLineChars="200"/>
        <w:rPr>
          <w:rFonts w:ascii="Times New Roman" w:hAnsi="Times New Roman"/>
          <w:spacing w:val="-2"/>
          <w:sz w:val="24"/>
          <w:szCs w:val="24"/>
          <w:u w:val="single"/>
        </w:rPr>
      </w:pPr>
      <w:r>
        <w:rPr>
          <w:rFonts w:ascii="Times New Roman" w:hAnsi="Times New Roman"/>
          <w:spacing w:val="-2"/>
          <w:sz w:val="24"/>
          <w:szCs w:val="24"/>
          <w:u w:val="single"/>
        </w:rPr>
        <w:t>2020年3月19日采样，进行一期监测，监测1次。</w:t>
      </w:r>
    </w:p>
    <w:p>
      <w:pPr>
        <w:pStyle w:val="22"/>
        <w:kinsoku w:val="0"/>
        <w:overflowPunct w:val="0"/>
        <w:spacing w:before="65" w:line="364" w:lineRule="auto"/>
        <w:ind w:right="1439" w:firstLine="472" w:firstLineChars="200"/>
        <w:rPr>
          <w:spacing w:val="-2"/>
          <w:sz w:val="24"/>
          <w:szCs w:val="24"/>
          <w:u w:val="single"/>
        </w:rPr>
      </w:pPr>
      <w:r>
        <w:rPr>
          <w:spacing w:val="-2"/>
          <w:sz w:val="24"/>
          <w:szCs w:val="24"/>
          <w:u w:val="single"/>
        </w:rPr>
        <w:t>4、测量方法与仪器</w:t>
      </w:r>
    </w:p>
    <w:p>
      <w:pPr>
        <w:wordWrap w:val="0"/>
        <w:spacing w:line="360" w:lineRule="auto"/>
        <w:ind w:right="-88" w:rightChars="-42" w:firstLine="472" w:firstLineChars="200"/>
        <w:rPr>
          <w:rFonts w:ascii="Times New Roman" w:hAnsi="Times New Roman"/>
          <w:spacing w:val="-2"/>
          <w:sz w:val="24"/>
          <w:szCs w:val="24"/>
          <w:u w:val="single"/>
        </w:rPr>
      </w:pPr>
      <w:r>
        <w:rPr>
          <w:rFonts w:ascii="Times New Roman" w:hAnsi="Times New Roman"/>
          <w:spacing w:val="-2"/>
          <w:sz w:val="24"/>
          <w:szCs w:val="24"/>
          <w:u w:val="single"/>
        </w:rPr>
        <w:t>测量方法与仪器应符合</w:t>
      </w:r>
      <w:r>
        <w:rPr>
          <w:rFonts w:ascii="Times New Roman" w:hAnsi="Times New Roman"/>
          <w:sz w:val="24"/>
          <w:u w:val="single"/>
        </w:rPr>
        <w:t>《土壤环境质量  建设用地土壤污染风险管控标准（试行）》GB36600-2018）</w:t>
      </w:r>
      <w:r>
        <w:rPr>
          <w:rFonts w:ascii="Times New Roman" w:hAnsi="Times New Roman"/>
          <w:spacing w:val="-2"/>
          <w:sz w:val="24"/>
          <w:szCs w:val="24"/>
          <w:u w:val="single"/>
        </w:rPr>
        <w:t>中的有关规定。</w:t>
      </w:r>
    </w:p>
    <w:p>
      <w:pPr>
        <w:pStyle w:val="22"/>
        <w:kinsoku w:val="0"/>
        <w:overflowPunct w:val="0"/>
        <w:spacing w:before="65" w:line="364" w:lineRule="auto"/>
        <w:ind w:right="1439" w:firstLine="472" w:firstLineChars="200"/>
        <w:rPr>
          <w:spacing w:val="-2"/>
          <w:sz w:val="24"/>
          <w:szCs w:val="24"/>
          <w:u w:val="single"/>
        </w:rPr>
      </w:pPr>
      <w:r>
        <w:rPr>
          <w:spacing w:val="-2"/>
          <w:sz w:val="24"/>
          <w:szCs w:val="24"/>
          <w:u w:val="single"/>
        </w:rPr>
        <w:t>5、监测与评价小结</w:t>
      </w:r>
    </w:p>
    <w:p>
      <w:pPr>
        <w:pStyle w:val="22"/>
        <w:spacing w:before="141" w:line="362" w:lineRule="auto"/>
        <w:ind w:right="313"/>
        <w:jc w:val="center"/>
        <w:rPr>
          <w:b/>
          <w:sz w:val="24"/>
          <w:u w:val="single"/>
          <w:lang w:val="zh-CN"/>
        </w:rPr>
      </w:pPr>
      <w:r>
        <w:rPr>
          <w:b/>
          <w:sz w:val="24"/>
          <w:u w:val="single"/>
          <w:lang w:val="zh-CN"/>
        </w:rPr>
        <w:t xml:space="preserve">表 </w:t>
      </w:r>
      <w:r>
        <w:rPr>
          <w:b/>
          <w:sz w:val="24"/>
          <w:u w:val="single"/>
        </w:rPr>
        <w:t>4</w:t>
      </w:r>
      <w:r>
        <w:rPr>
          <w:b/>
          <w:sz w:val="24"/>
          <w:u w:val="single"/>
          <w:lang w:val="zh-CN"/>
        </w:rPr>
        <w:t>.</w:t>
      </w:r>
      <w:r>
        <w:rPr>
          <w:b/>
          <w:sz w:val="24"/>
          <w:u w:val="single"/>
        </w:rPr>
        <w:t>7</w:t>
      </w:r>
      <w:r>
        <w:rPr>
          <w:b/>
          <w:sz w:val="24"/>
          <w:u w:val="single"/>
          <w:lang w:val="zh-CN"/>
        </w:rPr>
        <w:t>-</w:t>
      </w:r>
      <w:r>
        <w:rPr>
          <w:b/>
          <w:sz w:val="24"/>
          <w:u w:val="single"/>
        </w:rPr>
        <w:t>2</w:t>
      </w:r>
      <w:r>
        <w:rPr>
          <w:b/>
          <w:sz w:val="24"/>
          <w:u w:val="single"/>
          <w:lang w:val="zh-CN"/>
        </w:rPr>
        <w:t>土壤环境现状监测统计结果</w:t>
      </w:r>
      <w:r>
        <w:rPr>
          <w:b/>
          <w:sz w:val="24"/>
          <w:u w:val="single"/>
          <w:lang w:val="zh-CN"/>
        </w:rPr>
        <w:tab/>
      </w:r>
      <w:r>
        <w:rPr>
          <w:b/>
          <w:sz w:val="24"/>
          <w:u w:val="single"/>
          <w:lang w:val="zh-CN"/>
        </w:rPr>
        <w:t>单位：</w:t>
      </w:r>
      <w:r>
        <w:rPr>
          <w:b/>
          <w:sz w:val="24"/>
          <w:u w:val="single"/>
        </w:rPr>
        <w:t>mg/kg</w:t>
      </w:r>
    </w:p>
    <w:tbl>
      <w:tblPr>
        <w:tblStyle w:val="46"/>
        <w:tblW w:w="8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7"/>
        <w:gridCol w:w="571"/>
        <w:gridCol w:w="572"/>
        <w:gridCol w:w="572"/>
        <w:gridCol w:w="574"/>
        <w:gridCol w:w="572"/>
        <w:gridCol w:w="572"/>
        <w:gridCol w:w="574"/>
        <w:gridCol w:w="572"/>
        <w:gridCol w:w="572"/>
        <w:gridCol w:w="578"/>
        <w:gridCol w:w="577"/>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647" w:type="dxa"/>
            <w:vMerge w:val="restart"/>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sz w:val="24"/>
                <w:u w:val="single"/>
              </w:rPr>
            </w:pPr>
            <w:r>
              <w:rPr>
                <w:rFonts w:ascii="Times New Roman" w:hAnsi="Times New Roman" w:eastAsia="宋体" w:cs="Times New Roman"/>
                <w:u w:val="single"/>
              </w:rPr>
              <mc:AlternateContent>
                <mc:Choice Requires="wps">
                  <w:drawing>
                    <wp:anchor distT="0" distB="0" distL="114300" distR="114300" simplePos="0" relativeHeight="251729920" behindDoc="0" locked="0" layoutInCell="1" allowOverlap="1">
                      <wp:simplePos x="0" y="0"/>
                      <wp:positionH relativeFrom="column">
                        <wp:posOffset>-137795</wp:posOffset>
                      </wp:positionH>
                      <wp:positionV relativeFrom="paragraph">
                        <wp:posOffset>431165</wp:posOffset>
                      </wp:positionV>
                      <wp:extent cx="805180" cy="27876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051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检测项目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33.95pt;height:21.95pt;width:63.4pt;z-index:251729920;mso-width-relative:page;mso-height-relative:page;" filled="f" stroked="f" coordsize="21600,21600" o:gfxdata="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QV&#10;y9sAAAAKAQAADwAAAAAAAAABACAAAAAiAAAAZHJzL2Rvd25yZXYueG1sUEsBAhQAFAAAAAgAh07i&#10;QJQzCoUfAgAAGQQAAA4AAAAAAAAAAQAgAAAAKgEAAGRycy9lMm9Eb2MueG1sUEsFBgAAAAAGAAYA&#10;WQEAALsFAAAAAA==&#10;">
                      <v:fill on="f" focussize="0,0"/>
                      <v:stroke on="f" weight="0.5pt"/>
                      <v:imagedata o:title=""/>
                      <o:lock v:ext="edit" aspectratio="f"/>
                      <v:textbox>
                        <w:txbxContent>
                          <w:p>
                            <w:r>
                              <w:rPr>
                                <w:rFonts w:hint="eastAsia"/>
                              </w:rPr>
                              <w:t>检测项目</w:t>
                            </w:r>
                          </w:p>
                        </w:txbxContent>
                      </v:textbox>
                    </v:shape>
                  </w:pict>
                </mc:Fallback>
              </mc:AlternateContent>
            </w:r>
            <w:r>
              <w:rPr>
                <w:rFonts w:ascii="Times New Roman" w:hAnsi="Times New Roman" w:eastAsia="宋体" w:cs="Times New Roman"/>
                <w:u w:val="single"/>
              </w:rPr>
              <mc:AlternateContent>
                <mc:Choice Requires="wps">
                  <w:drawing>
                    <wp:anchor distT="0" distB="0" distL="114300" distR="114300" simplePos="0" relativeHeight="251693056" behindDoc="0" locked="0" layoutInCell="1" allowOverlap="1">
                      <wp:simplePos x="0" y="0"/>
                      <wp:positionH relativeFrom="column">
                        <wp:posOffset>-71120</wp:posOffset>
                      </wp:positionH>
                      <wp:positionV relativeFrom="paragraph">
                        <wp:posOffset>121920</wp:posOffset>
                      </wp:positionV>
                      <wp:extent cx="805180" cy="278765"/>
                      <wp:effectExtent l="0" t="0" r="0" b="0"/>
                      <wp:wrapNone/>
                      <wp:docPr id="53" name="文本框 53"/>
                      <wp:cNvGraphicFramePr/>
                      <a:graphic xmlns:a="http://schemas.openxmlformats.org/drawingml/2006/main">
                        <a:graphicData uri="http://schemas.microsoft.com/office/word/2010/wordprocessingShape">
                          <wps:wsp>
                            <wps:cNvSpPr txBox="1"/>
                            <wps:spPr>
                              <a:xfrm>
                                <a:off x="1243965" y="6336030"/>
                                <a:ext cx="8051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检测结果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9.6pt;height:21.95pt;width:63.4pt;z-index:251693056;mso-width-relative:page;mso-height-relative:page;" filled="f" stroked="f" coordsize="21600,21600" o:gfxdata="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Eebx2QAAAAkBAAAPAAAAAAAAAAEAIAAAACIAAABkcnMvZG93bnJldi54bWxQSwECFAAU&#10;AAAACACHTuJApTseJykCAAAlBAAADgAAAAAAAAABACAAAAAoAQAAZHJzL2Uyb0RvYy54bWxQSwUG&#10;AAAAAAYABgBZAQAAwwUAAAAA&#10;">
                      <v:fill on="f" focussize="0,0"/>
                      <v:stroke on="f" weight="0.5pt"/>
                      <v:imagedata o:title=""/>
                      <o:lock v:ext="edit" aspectratio="f"/>
                      <v:textbox>
                        <w:txbxContent>
                          <w:p>
                            <w:r>
                              <w:rPr>
                                <w:rFonts w:hint="eastAsia"/>
                              </w:rPr>
                              <w:t>检测结果</w:t>
                            </w:r>
                          </w:p>
                        </w:txbxContent>
                      </v:textbox>
                    </v:shape>
                  </w:pict>
                </mc:Fallback>
              </mc:AlternateContent>
            </w:r>
            <w:r>
              <w:rPr>
                <w:rFonts w:ascii="Times New Roman" w:hAnsi="Times New Roman" w:eastAsia="宋体" w:cs="Times New Roman"/>
                <w:kern w:val="2"/>
                <w:szCs w:val="21"/>
                <w:u w:val="single"/>
              </w:rPr>
              <mc:AlternateContent>
                <mc:Choice Requires="wpg">
                  <w:drawing>
                    <wp:anchor distT="0" distB="0" distL="114300" distR="114300" simplePos="0" relativeHeight="251692032" behindDoc="0" locked="0" layoutInCell="1" allowOverlap="1">
                      <wp:simplePos x="0" y="0"/>
                      <wp:positionH relativeFrom="column">
                        <wp:posOffset>-80645</wp:posOffset>
                      </wp:positionH>
                      <wp:positionV relativeFrom="paragraph">
                        <wp:posOffset>19685</wp:posOffset>
                      </wp:positionV>
                      <wp:extent cx="1073785" cy="709295"/>
                      <wp:effectExtent l="1905" t="3175" r="10160" b="11430"/>
                      <wp:wrapNone/>
                      <wp:docPr id="52" name="组合 52"/>
                      <wp:cNvGraphicFramePr/>
                      <a:graphic xmlns:a="http://schemas.openxmlformats.org/drawingml/2006/main">
                        <a:graphicData uri="http://schemas.microsoft.com/office/word/2010/wordprocessingGroup">
                          <wpg:wgp>
                            <wpg:cNvGrpSpPr/>
                            <wpg:grpSpPr>
                              <a:xfrm>
                                <a:off x="0" y="0"/>
                                <a:ext cx="1073785" cy="709295"/>
                                <a:chOff x="2713" y="934601"/>
                                <a:chExt cx="1718" cy="1009"/>
                              </a:xfrm>
                            </wpg:grpSpPr>
                            <wps:wsp>
                              <wps:cNvPr id="47" name="直接连接符 47"/>
                              <wps:cNvCnPr/>
                              <wps:spPr>
                                <a:xfrm>
                                  <a:off x="3272" y="934601"/>
                                  <a:ext cx="1159" cy="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a:off x="2713" y="935010"/>
                                  <a:ext cx="1718" cy="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35pt;margin-top:1.55pt;height:55.85pt;width:84.55pt;z-index:251692032;mso-width-relative:page;mso-height-relative:page;" coordorigin="2713,934601" coordsize="1718,1009" o:gfxdata="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kttVtkAAAAJAQAADwAAAAAAAAABACAAAAAiAAAAZHJzL2Rvd25yZXYueG1s&#10;UEsBAhQAFAAAAAgAh07iQP1J64JpAgAATgYAAA4AAAAAAAAAAQAgAAAAKAEAAGRycy9lMm9Eb2Mu&#10;eG1sUEsFBgAAAAAGAAYAWQEAAAMGAAAAAA==&#10;">
                      <o:lock v:ext="edit" aspectratio="f"/>
                      <v:line id="_x0000_s1026" o:spid="_x0000_s1026" o:spt="20" style="position:absolute;left:3272;top:934601;height:968;width:1159;" filled="f" stroked="t" coordsize="21600,21600" o:gfxdata="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p/qr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_x0000_s1026" o:spid="_x0000_s1026" o:spt="20" style="position:absolute;left:2713;top:935010;height:600;width:1718;" filled="f" stroked="t" coordsize="21600,21600" o:gfxdata="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Xr2LsAAADb&#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w:pict>
                </mc:Fallback>
              </mc:AlternateContent>
            </w:r>
            <w:r>
              <w:rPr>
                <w:rFonts w:ascii="Times New Roman" w:hAnsi="Times New Roman" w:eastAsia="宋体" w:cs="Times New Roman"/>
                <w:kern w:val="2"/>
                <w:szCs w:val="21"/>
                <w:u w:val="single"/>
              </w:rPr>
              <w:t xml:space="preserve">     </w:t>
            </w:r>
            <w:r>
              <w:rPr>
                <w:rFonts w:ascii="Times New Roman" w:hAnsi="Times New Roman" w:eastAsia="宋体" w:cs="Times New Roman"/>
                <w:kern w:val="2"/>
                <w:u w:val="single"/>
              </w:rPr>
              <w:t>监测点位</w:t>
            </w:r>
          </w:p>
        </w:tc>
        <w:tc>
          <w:tcPr>
            <w:tcW w:w="571" w:type="dxa"/>
            <w:vMerge w:val="restart"/>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kern w:val="2"/>
                <w:sz w:val="18"/>
                <w:szCs w:val="13"/>
                <w:u w:val="single"/>
                <w:lang w:val="zh-CN"/>
              </w:rPr>
            </w:pPr>
            <w:r>
              <w:rPr>
                <w:rFonts w:ascii="Times New Roman" w:hAnsi="Times New Roman" w:eastAsia="宋体" w:cs="Times New Roman"/>
                <w:b/>
                <w:kern w:val="2"/>
                <w:sz w:val="18"/>
                <w:szCs w:val="13"/>
                <w:u w:val="single"/>
              </w:rPr>
              <w:t>T1</w:t>
            </w:r>
          </w:p>
        </w:tc>
        <w:tc>
          <w:tcPr>
            <w:tcW w:w="1718" w:type="dxa"/>
            <w:gridSpan w:val="3"/>
            <w:tcBorders>
              <w:tl2br w:val="nil"/>
              <w:tr2bl w:val="nil"/>
            </w:tcBorders>
            <w:vAlign w:val="center"/>
          </w:tcPr>
          <w:p>
            <w:pPr>
              <w:pStyle w:val="22"/>
              <w:spacing w:before="141" w:line="362" w:lineRule="auto"/>
              <w:ind w:right="313"/>
              <w:jc w:val="center"/>
              <w:rPr>
                <w:b/>
                <w:sz w:val="18"/>
                <w:szCs w:val="13"/>
                <w:u w:val="single"/>
                <w:lang w:val="zh-CN"/>
              </w:rPr>
            </w:pPr>
            <w:r>
              <w:rPr>
                <w:b/>
                <w:sz w:val="18"/>
                <w:szCs w:val="13"/>
                <w:u w:val="single"/>
              </w:rPr>
              <w:t>T2</w:t>
            </w:r>
          </w:p>
        </w:tc>
        <w:tc>
          <w:tcPr>
            <w:tcW w:w="1718" w:type="dxa"/>
            <w:gridSpan w:val="3"/>
            <w:tcBorders>
              <w:tl2br w:val="nil"/>
              <w:tr2bl w:val="nil"/>
            </w:tcBorders>
            <w:vAlign w:val="center"/>
          </w:tcPr>
          <w:p>
            <w:pPr>
              <w:pStyle w:val="22"/>
              <w:spacing w:before="141" w:line="362" w:lineRule="auto"/>
              <w:ind w:right="313"/>
              <w:jc w:val="center"/>
              <w:rPr>
                <w:b/>
                <w:sz w:val="18"/>
                <w:szCs w:val="13"/>
                <w:u w:val="single"/>
                <w:lang w:val="zh-CN"/>
              </w:rPr>
            </w:pPr>
            <w:r>
              <w:rPr>
                <w:b/>
                <w:sz w:val="18"/>
                <w:szCs w:val="13"/>
                <w:u w:val="single"/>
              </w:rPr>
              <w:t>T3</w:t>
            </w:r>
          </w:p>
        </w:tc>
        <w:tc>
          <w:tcPr>
            <w:tcW w:w="1722" w:type="dxa"/>
            <w:gridSpan w:val="3"/>
            <w:tcBorders>
              <w:tl2br w:val="nil"/>
              <w:tr2bl w:val="nil"/>
            </w:tcBorders>
            <w:vAlign w:val="center"/>
          </w:tcPr>
          <w:p>
            <w:pPr>
              <w:pStyle w:val="22"/>
              <w:spacing w:before="141" w:line="362" w:lineRule="auto"/>
              <w:ind w:right="313"/>
              <w:jc w:val="center"/>
              <w:rPr>
                <w:b/>
                <w:sz w:val="18"/>
                <w:szCs w:val="13"/>
                <w:u w:val="single"/>
                <w:lang w:val="zh-CN"/>
              </w:rPr>
            </w:pPr>
            <w:r>
              <w:rPr>
                <w:b/>
                <w:sz w:val="18"/>
                <w:szCs w:val="13"/>
                <w:u w:val="single"/>
              </w:rPr>
              <w:t>T4</w:t>
            </w:r>
          </w:p>
        </w:tc>
        <w:tc>
          <w:tcPr>
            <w:tcW w:w="577" w:type="dxa"/>
            <w:vMerge w:val="restart"/>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kern w:val="2"/>
                <w:sz w:val="18"/>
                <w:szCs w:val="13"/>
                <w:u w:val="single"/>
              </w:rPr>
            </w:pPr>
            <w:r>
              <w:rPr>
                <w:rFonts w:ascii="Times New Roman" w:hAnsi="Times New Roman" w:eastAsia="宋体" w:cs="Times New Roman"/>
                <w:b/>
                <w:kern w:val="2"/>
                <w:sz w:val="18"/>
                <w:szCs w:val="13"/>
                <w:u w:val="single"/>
              </w:rPr>
              <w:t>T5</w:t>
            </w:r>
          </w:p>
        </w:tc>
        <w:tc>
          <w:tcPr>
            <w:tcW w:w="577" w:type="dxa"/>
            <w:vMerge w:val="restart"/>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kern w:val="2"/>
                <w:sz w:val="18"/>
                <w:szCs w:val="13"/>
                <w:u w:val="single"/>
                <w:lang w:val="zh-CN"/>
              </w:rPr>
            </w:pPr>
            <w:r>
              <w:rPr>
                <w:rFonts w:ascii="Times New Roman" w:hAnsi="Times New Roman" w:eastAsia="宋体" w:cs="Times New Roman"/>
                <w:b/>
                <w:kern w:val="2"/>
                <w:sz w:val="18"/>
                <w:szCs w:val="13"/>
                <w:u w:val="single"/>
              </w:rPr>
              <w:t>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1647" w:type="dxa"/>
            <w:vMerge w:val="continue"/>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u w:val="single"/>
              </w:rPr>
            </w:pPr>
          </w:p>
        </w:tc>
        <w:tc>
          <w:tcPr>
            <w:tcW w:w="571" w:type="dxa"/>
            <w:vMerge w:val="continue"/>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sz w:val="18"/>
                <w:szCs w:val="13"/>
                <w:u w:val="single"/>
              </w:rPr>
            </w:pPr>
          </w:p>
        </w:tc>
        <w:tc>
          <w:tcPr>
            <w:tcW w:w="572"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rPr>
            </w:pPr>
            <w:r>
              <w:rPr>
                <w:rFonts w:ascii="Times New Roman" w:hAnsi="Times New Roman" w:eastAsia="宋体" w:cs="Times New Roman"/>
                <w:szCs w:val="21"/>
                <w:u w:val="single"/>
              </w:rPr>
              <w:t>一层</w:t>
            </w:r>
          </w:p>
        </w:tc>
        <w:tc>
          <w:tcPr>
            <w:tcW w:w="572"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rPr>
            </w:pPr>
            <w:r>
              <w:rPr>
                <w:rFonts w:ascii="Times New Roman" w:hAnsi="Times New Roman" w:eastAsia="宋体" w:cs="Times New Roman"/>
                <w:szCs w:val="21"/>
                <w:u w:val="single"/>
              </w:rPr>
              <w:t>二层</w:t>
            </w:r>
          </w:p>
        </w:tc>
        <w:tc>
          <w:tcPr>
            <w:tcW w:w="574"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rPr>
            </w:pPr>
            <w:r>
              <w:rPr>
                <w:rFonts w:ascii="Times New Roman" w:hAnsi="Times New Roman" w:eastAsia="宋体" w:cs="Times New Roman"/>
                <w:szCs w:val="21"/>
                <w:u w:val="single"/>
              </w:rPr>
              <w:t>三层</w:t>
            </w:r>
          </w:p>
        </w:tc>
        <w:tc>
          <w:tcPr>
            <w:tcW w:w="572"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rPr>
              <w:t>一层</w:t>
            </w:r>
          </w:p>
        </w:tc>
        <w:tc>
          <w:tcPr>
            <w:tcW w:w="572"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rPr>
              <w:t>二层</w:t>
            </w:r>
          </w:p>
        </w:tc>
        <w:tc>
          <w:tcPr>
            <w:tcW w:w="574"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rPr>
              <w:t>三层</w:t>
            </w:r>
          </w:p>
        </w:tc>
        <w:tc>
          <w:tcPr>
            <w:tcW w:w="572"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rPr>
              <w:t>一层</w:t>
            </w:r>
          </w:p>
        </w:tc>
        <w:tc>
          <w:tcPr>
            <w:tcW w:w="572"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rPr>
              <w:t>二层</w:t>
            </w:r>
          </w:p>
        </w:tc>
        <w:tc>
          <w:tcPr>
            <w:tcW w:w="578" w:type="dxa"/>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rPr>
              <w:t>三层</w:t>
            </w:r>
          </w:p>
        </w:tc>
        <w:tc>
          <w:tcPr>
            <w:tcW w:w="577" w:type="dxa"/>
            <w:vMerge w:val="continue"/>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sz w:val="24"/>
                <w:u w:val="single"/>
                <w:lang w:val="zh-CN"/>
              </w:rPr>
            </w:pPr>
          </w:p>
        </w:tc>
        <w:tc>
          <w:tcPr>
            <w:tcW w:w="577" w:type="dxa"/>
            <w:vMerge w:val="continue"/>
            <w:tcBorders>
              <w:tl2br w:val="nil"/>
              <w:tr2bl w:val="nil"/>
            </w:tcBorders>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sz w:val="24"/>
                <w:u w:val="singl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647"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sz w:val="24"/>
                <w:u w:val="single"/>
              </w:rPr>
            </w:pPr>
            <w:r>
              <w:rPr>
                <w:rFonts w:ascii="Times New Roman" w:hAnsi="Times New Roman" w:eastAsia="宋体" w:cs="Times New Roman"/>
                <w:szCs w:val="21"/>
                <w:u w:val="single"/>
              </w:rPr>
              <w:t>采样深度（m）</w:t>
            </w:r>
          </w:p>
        </w:tc>
        <w:tc>
          <w:tcPr>
            <w:tcW w:w="571"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0.2</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0.2</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0.5</w:t>
            </w:r>
          </w:p>
        </w:tc>
        <w:tc>
          <w:tcPr>
            <w:tcW w:w="574"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1.5</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0.2</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0.5</w:t>
            </w:r>
          </w:p>
        </w:tc>
        <w:tc>
          <w:tcPr>
            <w:tcW w:w="574"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1.5</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0.2</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0.5</w:t>
            </w:r>
          </w:p>
        </w:tc>
        <w:tc>
          <w:tcPr>
            <w:tcW w:w="578"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1.5</w:t>
            </w:r>
          </w:p>
        </w:tc>
        <w:tc>
          <w:tcPr>
            <w:tcW w:w="577"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0.2</w:t>
            </w:r>
          </w:p>
        </w:tc>
        <w:tc>
          <w:tcPr>
            <w:tcW w:w="577"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647"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sz w:val="24"/>
                <w:u w:val="single"/>
              </w:rPr>
            </w:pPr>
            <w:r>
              <w:rPr>
                <w:rFonts w:ascii="Times New Roman" w:hAnsi="Times New Roman" w:eastAsia="宋体" w:cs="Times New Roman"/>
                <w:szCs w:val="21"/>
                <w:u w:val="single"/>
              </w:rPr>
              <w:t>石油烃</w:t>
            </w:r>
          </w:p>
        </w:tc>
        <w:tc>
          <w:tcPr>
            <w:tcW w:w="571"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4"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b/>
                <w:bCs/>
                <w:szCs w:val="21"/>
                <w:u w:val="single"/>
                <w:lang w:val="zh-CN"/>
              </w:rPr>
            </w:pPr>
            <w:r>
              <w:rPr>
                <w:rFonts w:ascii="Times New Roman" w:hAnsi="Times New Roman" w:eastAsia="宋体" w:cs="Times New Roman"/>
                <w:szCs w:val="21"/>
                <w:u w:val="single"/>
                <w:lang w:val="zh-CN"/>
              </w:rPr>
              <w:t>ND</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4"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2"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8"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7"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c>
          <w:tcPr>
            <w:tcW w:w="577" w:type="dxa"/>
            <w:tcBorders>
              <w:tl2br w:val="nil"/>
              <w:tr2bl w:val="nil"/>
            </w:tcBorders>
            <w:vAlign w:val="center"/>
          </w:tcPr>
          <w:p>
            <w:pPr>
              <w:pStyle w:val="23"/>
              <w:pBdr>
                <w:top w:val="none" w:color="auto" w:sz="0" w:space="0"/>
                <w:left w:val="none" w:color="auto" w:sz="0" w:space="0"/>
                <w:bottom w:val="none" w:color="auto" w:sz="0" w:space="0"/>
                <w:right w:val="none" w:color="auto" w:sz="0" w:space="0"/>
              </w:pBdr>
              <w:rPr>
                <w:rFonts w:ascii="Times New Roman" w:hAnsi="Times New Roman" w:eastAsia="宋体" w:cs="Times New Roman"/>
                <w:szCs w:val="21"/>
                <w:u w:val="single"/>
                <w:lang w:val="zh-CN"/>
              </w:rPr>
            </w:pPr>
            <w:r>
              <w:rPr>
                <w:rFonts w:ascii="Times New Roman" w:hAnsi="Times New Roman" w:eastAsia="宋体" w:cs="Times New Roman"/>
                <w:szCs w:val="21"/>
                <w:u w:val="single"/>
                <w:lang w:val="zh-CN"/>
              </w:rPr>
              <w:t>ND</w:t>
            </w:r>
          </w:p>
        </w:tc>
      </w:tr>
    </w:tbl>
    <w:p>
      <w:pPr>
        <w:pStyle w:val="22"/>
        <w:spacing w:before="141" w:line="362" w:lineRule="auto"/>
        <w:ind w:right="313"/>
        <w:jc w:val="center"/>
        <w:rPr>
          <w:b/>
          <w:sz w:val="24"/>
          <w:u w:val="single"/>
          <w:lang w:val="zh-CN"/>
        </w:rPr>
      </w:pPr>
    </w:p>
    <w:p>
      <w:pPr>
        <w:pStyle w:val="22"/>
        <w:spacing w:before="141" w:line="362" w:lineRule="auto"/>
        <w:ind w:right="313"/>
        <w:jc w:val="center"/>
        <w:rPr>
          <w:b/>
          <w:bCs/>
          <w:spacing w:val="-2"/>
          <w:sz w:val="24"/>
          <w:szCs w:val="24"/>
          <w:u w:val="single"/>
        </w:rPr>
      </w:pPr>
      <w:r>
        <w:rPr>
          <w:b/>
          <w:sz w:val="24"/>
          <w:u w:val="single"/>
          <w:lang w:val="zh-CN"/>
        </w:rPr>
        <w:t xml:space="preserve">表 </w:t>
      </w:r>
      <w:r>
        <w:rPr>
          <w:b/>
          <w:sz w:val="24"/>
          <w:u w:val="single"/>
        </w:rPr>
        <w:t>4</w:t>
      </w:r>
      <w:r>
        <w:rPr>
          <w:b/>
          <w:sz w:val="24"/>
          <w:u w:val="single"/>
          <w:lang w:val="zh-CN"/>
        </w:rPr>
        <w:t>.</w:t>
      </w:r>
      <w:r>
        <w:rPr>
          <w:b/>
          <w:sz w:val="24"/>
          <w:u w:val="single"/>
        </w:rPr>
        <w:t>7</w:t>
      </w:r>
      <w:r>
        <w:rPr>
          <w:b/>
          <w:sz w:val="24"/>
          <w:u w:val="single"/>
          <w:lang w:val="zh-CN"/>
        </w:rPr>
        <w:t>-</w:t>
      </w:r>
      <w:r>
        <w:rPr>
          <w:b/>
          <w:sz w:val="24"/>
          <w:u w:val="single"/>
        </w:rPr>
        <w:t>3</w:t>
      </w:r>
      <w:r>
        <w:rPr>
          <w:b/>
          <w:sz w:val="24"/>
          <w:u w:val="single"/>
          <w:lang w:val="zh-CN"/>
        </w:rPr>
        <w:t>土壤环境现状监测统计结果</w:t>
      </w:r>
      <w:r>
        <w:rPr>
          <w:b/>
          <w:sz w:val="24"/>
          <w:u w:val="single"/>
          <w:lang w:val="zh-CN"/>
        </w:rPr>
        <w:tab/>
      </w:r>
      <w:r>
        <w:rPr>
          <w:b/>
          <w:sz w:val="24"/>
          <w:u w:val="single"/>
          <w:lang w:val="zh-CN"/>
        </w:rPr>
        <w:t>单位：</w:t>
      </w:r>
      <w:r>
        <w:rPr>
          <w:b/>
          <w:sz w:val="24"/>
          <w:u w:val="single"/>
        </w:rPr>
        <w:t>mg/kg</w:t>
      </w:r>
    </w:p>
    <w:tbl>
      <w:tblPr>
        <w:tblStyle w:val="45"/>
        <w:tblpPr w:leftFromText="180" w:rightFromText="180" w:vertAnchor="text" w:horzAnchor="page" w:tblpX="1540" w:tblpY="465"/>
        <w:tblOverlap w:val="never"/>
        <w:tblW w:w="88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64" w:type="dxa"/>
          <w:bottom w:w="0" w:type="dxa"/>
          <w:right w:w="51" w:type="dxa"/>
        </w:tblCellMar>
      </w:tblPr>
      <w:tblGrid>
        <w:gridCol w:w="2625"/>
        <w:gridCol w:w="2227"/>
        <w:gridCol w:w="2002"/>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采样日期</w:t>
            </w:r>
          </w:p>
        </w:tc>
        <w:tc>
          <w:tcPr>
            <w:tcW w:w="2227"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点位名称</w:t>
            </w:r>
          </w:p>
        </w:tc>
        <w:tc>
          <w:tcPr>
            <w:tcW w:w="2002"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检测项目</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检测结果</w:t>
            </w:r>
          </w:p>
          <w:p>
            <w:pPr>
              <w:spacing w:line="240" w:lineRule="exact"/>
              <w:jc w:val="center"/>
              <w:rPr>
                <w:rFonts w:ascii="Times New Roman" w:hAnsi="Times New Roman"/>
                <w:szCs w:val="21"/>
                <w:u w:val="single"/>
              </w:rPr>
            </w:pPr>
            <w:r>
              <w:rPr>
                <w:rFonts w:ascii="Times New Roman" w:hAnsi="Times New Roman"/>
                <w:szCs w:val="21"/>
                <w:u w:val="single"/>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restart"/>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2020.3.19</w:t>
            </w:r>
          </w:p>
        </w:tc>
        <w:tc>
          <w:tcPr>
            <w:tcW w:w="2227" w:type="dxa"/>
            <w:vMerge w:val="restart"/>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项目所在地▲T1</w:t>
            </w: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砷</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镉</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六价铬</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铜</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铅</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汞</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镍</w:t>
            </w:r>
          </w:p>
        </w:tc>
        <w:tc>
          <w:tcPr>
            <w:tcW w:w="2025" w:type="dxa"/>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四氯化碳</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氯仿</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氯甲烷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1,1-二氯乙烷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1,2-二氯乙烷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1,1-二氯乙烯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顺式-1,2-二氯乙烯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反式-1,2-二氯乙烯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二氯甲烷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1,2-二氯丙烷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1,1,1,2-四氯乙烷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1,1,2,2-四氯乙烷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四氯乙烯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1,1,1-三氯乙烷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1,1,2-三氯乙烷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三氯乙烯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1,2,3-三氯丙烷</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restart"/>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2020.3.19</w:t>
            </w:r>
          </w:p>
        </w:tc>
        <w:tc>
          <w:tcPr>
            <w:tcW w:w="2227" w:type="dxa"/>
            <w:vMerge w:val="restart"/>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项目所在地▲T1</w:t>
            </w: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氯苯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1,2-二氯苯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1,4-二氯苯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乙苯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苯乙烯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甲苯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邻-二甲苯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间-二甲苯+对-二甲苯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硝基苯</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苯胺</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2-氯酚</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苯并(a)蒽</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苯并(a)芘</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苯并(b)荧蒽</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苯并(k)荧蒽</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䓛</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二苯并(a, h)蒽</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茚并(1,2,3-c,d)芘</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2625"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227" w:type="dxa"/>
            <w:vMerge w:val="continue"/>
            <w:tcBorders>
              <w:tl2br w:val="nil"/>
              <w:tr2bl w:val="nil"/>
            </w:tcBorders>
            <w:vAlign w:val="center"/>
          </w:tcPr>
          <w:p>
            <w:pPr>
              <w:jc w:val="center"/>
              <w:rPr>
                <w:rFonts w:ascii="Times New Roman" w:hAnsi="Times New Roman"/>
                <w:szCs w:val="21"/>
                <w:u w:val="single"/>
              </w:rPr>
            </w:pPr>
          </w:p>
        </w:tc>
        <w:tc>
          <w:tcPr>
            <w:tcW w:w="2002" w:type="dxa"/>
            <w:tcBorders>
              <w:tl2br w:val="nil"/>
              <w:tr2bl w:val="nil"/>
            </w:tcBorders>
            <w:vAlign w:val="center"/>
          </w:tcPr>
          <w:p>
            <w:pPr>
              <w:jc w:val="center"/>
              <w:rPr>
                <w:rFonts w:ascii="Times New Roman" w:hAnsi="Times New Roman"/>
                <w:szCs w:val="21"/>
                <w:u w:val="single"/>
              </w:rPr>
            </w:pPr>
            <w:r>
              <w:rPr>
                <w:rFonts w:ascii="Times New Roman" w:hAnsi="Times New Roman"/>
                <w:szCs w:val="21"/>
                <w:u w:val="single"/>
              </w:rPr>
              <w:t>萘</w:t>
            </w:r>
          </w:p>
        </w:tc>
        <w:tc>
          <w:tcPr>
            <w:tcW w:w="202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kern w:val="0"/>
                <w:szCs w:val="21"/>
                <w:u w:val="single"/>
                <w:lang w:bidi="ar"/>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8879" w:type="dxa"/>
            <w:gridSpan w:val="4"/>
            <w:tcBorders>
              <w:tl2br w:val="nil"/>
              <w:tr2bl w:val="nil"/>
            </w:tcBorders>
            <w:vAlign w:val="center"/>
          </w:tcPr>
          <w:p>
            <w:pPr>
              <w:spacing w:line="240" w:lineRule="exact"/>
              <w:jc w:val="center"/>
              <w:rPr>
                <w:rFonts w:ascii="Times New Roman" w:hAnsi="Times New Roman"/>
                <w:kern w:val="0"/>
                <w:szCs w:val="21"/>
                <w:u w:val="single"/>
                <w:lang w:bidi="ar"/>
              </w:rPr>
            </w:pPr>
            <w:r>
              <w:rPr>
                <w:rFonts w:ascii="Times New Roman" w:hAnsi="Times New Roman"/>
                <w:szCs w:val="21"/>
                <w:u w:val="single"/>
              </w:rPr>
              <w:t>深度:20cm   颜色:黄棕    质地: 轻壤土   湿度:干    植物根系:中量    砂砾含量:8％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8879" w:type="dxa"/>
            <w:gridSpan w:val="4"/>
            <w:tcBorders>
              <w:tl2br w:val="nil"/>
              <w:tr2bl w:val="nil"/>
            </w:tcBorders>
            <w:vAlign w:val="center"/>
          </w:tcPr>
          <w:p>
            <w:pPr>
              <w:rPr>
                <w:rFonts w:ascii="Times New Roman" w:hAnsi="Times New Roman"/>
                <w:szCs w:val="21"/>
                <w:u w:val="single"/>
              </w:rPr>
            </w:pPr>
            <w:r>
              <w:rPr>
                <w:rFonts w:ascii="Times New Roman" w:hAnsi="Times New Roman"/>
                <w:b/>
                <w:szCs w:val="21"/>
                <w:u w:val="single"/>
              </w:rPr>
              <w:t>备注</w:t>
            </w:r>
            <w:r>
              <w:rPr>
                <w:rFonts w:ascii="Times New Roman" w:hAnsi="Times New Roman"/>
                <w:szCs w:val="21"/>
                <w:u w:val="single"/>
              </w:rPr>
              <w:t>：1、</w:t>
            </w:r>
            <w:r>
              <w:rPr>
                <w:rFonts w:ascii="Times New Roman" w:hAnsi="Times New Roman"/>
                <w:bCs/>
                <w:szCs w:val="21"/>
                <w:u w:val="single"/>
              </w:rPr>
              <w:t>分包情况</w:t>
            </w:r>
            <w:r>
              <w:rPr>
                <w:rFonts w:ascii="Times New Roman" w:hAnsi="Times New Roman"/>
                <w:szCs w:val="21"/>
                <w:u w:val="single"/>
              </w:rPr>
              <w:t>：挥发性有机物、半挥发性有机物；2、“ND”表示检测结果低于最低检出限</w:t>
            </w:r>
          </w:p>
        </w:tc>
      </w:tr>
    </w:tbl>
    <w:p>
      <w:pPr>
        <w:pStyle w:val="22"/>
        <w:spacing w:before="141" w:line="362" w:lineRule="auto"/>
        <w:ind w:right="313"/>
        <w:jc w:val="center"/>
        <w:rPr>
          <w:spacing w:val="-2"/>
          <w:sz w:val="24"/>
          <w:szCs w:val="24"/>
          <w:u w:val="single"/>
        </w:rPr>
      </w:pPr>
      <w:r>
        <w:rPr>
          <w:b/>
          <w:sz w:val="24"/>
          <w:u w:val="single"/>
          <w:lang w:val="zh-CN"/>
        </w:rPr>
        <w:t xml:space="preserve">表 </w:t>
      </w:r>
      <w:r>
        <w:rPr>
          <w:b/>
          <w:sz w:val="24"/>
          <w:u w:val="single"/>
        </w:rPr>
        <w:t>4.7-4</w:t>
      </w:r>
      <w:r>
        <w:rPr>
          <w:b/>
          <w:sz w:val="24"/>
          <w:u w:val="single"/>
          <w:lang w:val="zh-CN"/>
        </w:rPr>
        <w:t>土壤环境现状监测统计结果</w:t>
      </w:r>
      <w:r>
        <w:rPr>
          <w:b/>
          <w:sz w:val="24"/>
          <w:u w:val="single"/>
          <w:lang w:val="zh-CN"/>
        </w:rPr>
        <w:tab/>
      </w:r>
      <w:r>
        <w:rPr>
          <w:b/>
          <w:sz w:val="24"/>
          <w:u w:val="single"/>
          <w:lang w:val="zh-CN"/>
        </w:rPr>
        <w:t>单位：</w:t>
      </w:r>
      <w:r>
        <w:rPr>
          <w:b/>
          <w:sz w:val="24"/>
          <w:u w:val="single"/>
        </w:rPr>
        <w:t>mg/kg</w:t>
      </w:r>
    </w:p>
    <w:p>
      <w:pPr>
        <w:pStyle w:val="61"/>
        <w:rPr>
          <w:rFonts w:ascii="Times New Roman" w:cs="Times New Roman"/>
          <w:color w:val="auto"/>
          <w:u w:val="single"/>
        </w:rPr>
      </w:pPr>
      <w:r>
        <w:rPr>
          <w:rFonts w:ascii="Times New Roman" w:cs="Times New Roman"/>
          <w:color w:val="auto"/>
          <w:u w:val="single"/>
        </w:rPr>
        <w:t>土壤柱状样</w:t>
      </w:r>
    </w:p>
    <w:tbl>
      <w:tblPr>
        <w:tblStyle w:val="45"/>
        <w:tblW w:w="8931" w:type="dxa"/>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64" w:type="dxa"/>
          <w:bottom w:w="0" w:type="dxa"/>
          <w:right w:w="51" w:type="dxa"/>
        </w:tblCellMar>
      </w:tblPr>
      <w:tblGrid>
        <w:gridCol w:w="1446"/>
        <w:gridCol w:w="2730"/>
        <w:gridCol w:w="2625"/>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采样日期</w:t>
            </w:r>
          </w:p>
        </w:tc>
        <w:tc>
          <w:tcPr>
            <w:tcW w:w="2730"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点位名称</w:t>
            </w:r>
          </w:p>
        </w:tc>
        <w:tc>
          <w:tcPr>
            <w:tcW w:w="2625"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检测项目</w:t>
            </w:r>
          </w:p>
        </w:tc>
        <w:tc>
          <w:tcPr>
            <w:tcW w:w="2130"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检测结果</w:t>
            </w:r>
          </w:p>
          <w:p>
            <w:pPr>
              <w:spacing w:line="240" w:lineRule="exact"/>
              <w:jc w:val="center"/>
              <w:rPr>
                <w:rFonts w:ascii="Times New Roman" w:hAnsi="Times New Roman"/>
                <w:szCs w:val="21"/>
                <w:u w:val="single"/>
              </w:rPr>
            </w:pPr>
            <w:r>
              <w:rPr>
                <w:rFonts w:ascii="Times New Roman" w:hAnsi="Times New Roman"/>
                <w:szCs w:val="21"/>
                <w:u w:val="single"/>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vMerge w:val="restart"/>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2020.3.19</w:t>
            </w:r>
          </w:p>
        </w:tc>
        <w:tc>
          <w:tcPr>
            <w:tcW w:w="2730"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T2</w:t>
            </w:r>
          </w:p>
        </w:tc>
        <w:tc>
          <w:tcPr>
            <w:tcW w:w="262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3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485"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深度:20cm        颜色:黄棕     质地:砂壤土      湿度:干</w:t>
            </w:r>
          </w:p>
          <w:p>
            <w:pPr>
              <w:spacing w:line="320" w:lineRule="exact"/>
              <w:jc w:val="center"/>
              <w:rPr>
                <w:rFonts w:ascii="Times New Roman" w:hAnsi="Times New Roman"/>
                <w:szCs w:val="21"/>
                <w:u w:val="single"/>
              </w:rPr>
            </w:pPr>
            <w:r>
              <w:rPr>
                <w:rFonts w:ascii="Times New Roman" w:hAnsi="Times New Roman"/>
                <w:szCs w:val="21"/>
                <w:u w:val="single"/>
              </w:rPr>
              <w:t> 植物根系:少量      砂砾含量:3％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730"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T2</w:t>
            </w:r>
          </w:p>
        </w:tc>
        <w:tc>
          <w:tcPr>
            <w:tcW w:w="262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3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485"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深度:50cm        颜色:黄棕     质地:轻壤土      湿度:潮</w:t>
            </w:r>
          </w:p>
          <w:p>
            <w:pPr>
              <w:widowControl/>
              <w:jc w:val="center"/>
              <w:textAlignment w:val="center"/>
              <w:rPr>
                <w:rFonts w:ascii="Times New Roman" w:hAnsi="Times New Roman"/>
                <w:szCs w:val="21"/>
                <w:u w:val="single"/>
              </w:rPr>
            </w:pPr>
            <w:r>
              <w:rPr>
                <w:rFonts w:ascii="Times New Roman" w:hAnsi="Times New Roman"/>
                <w:szCs w:val="21"/>
                <w:u w:val="single"/>
              </w:rPr>
              <w:t> 植物根系:无      砂砾含量:10％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730"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T2</w:t>
            </w:r>
          </w:p>
        </w:tc>
        <w:tc>
          <w:tcPr>
            <w:tcW w:w="262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3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46" w:type="dxa"/>
            <w:vMerge w:val="continue"/>
            <w:tcBorders>
              <w:tl2br w:val="nil"/>
              <w:tr2bl w:val="nil"/>
            </w:tcBorders>
            <w:vAlign w:val="center"/>
          </w:tcPr>
          <w:p>
            <w:pPr>
              <w:widowControl/>
              <w:textAlignment w:val="center"/>
              <w:rPr>
                <w:rFonts w:ascii="Times New Roman" w:hAnsi="Times New Roman"/>
                <w:szCs w:val="21"/>
                <w:u w:val="single"/>
              </w:rPr>
            </w:pPr>
          </w:p>
        </w:tc>
        <w:tc>
          <w:tcPr>
            <w:tcW w:w="7485" w:type="dxa"/>
            <w:gridSpan w:val="3"/>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 xml:space="preserve">深度:150cm   颜色:浅棕色    质地:中壤土   湿度:潮  </w:t>
            </w:r>
          </w:p>
          <w:p>
            <w:pPr>
              <w:widowControl/>
              <w:jc w:val="center"/>
              <w:textAlignment w:val="center"/>
              <w:rPr>
                <w:rFonts w:ascii="Times New Roman" w:hAnsi="Times New Roman"/>
                <w:szCs w:val="21"/>
                <w:u w:val="single"/>
              </w:rPr>
            </w:pPr>
            <w:r>
              <w:rPr>
                <w:rFonts w:ascii="Times New Roman" w:hAnsi="Times New Roman"/>
                <w:szCs w:val="21"/>
                <w:u w:val="single"/>
              </w:rPr>
              <w:t>植物根系:无    砂砾含量: 18％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8931" w:type="dxa"/>
            <w:gridSpan w:val="4"/>
            <w:tcBorders>
              <w:tl2br w:val="nil"/>
              <w:tr2bl w:val="nil"/>
            </w:tcBorders>
            <w:vAlign w:val="center"/>
          </w:tcPr>
          <w:p>
            <w:pPr>
              <w:rPr>
                <w:rFonts w:ascii="Times New Roman" w:hAnsi="Times New Roman"/>
                <w:szCs w:val="21"/>
                <w:u w:val="single"/>
              </w:rPr>
            </w:pPr>
            <w:r>
              <w:rPr>
                <w:rFonts w:ascii="Times New Roman" w:hAnsi="Times New Roman"/>
                <w:szCs w:val="21"/>
                <w:u w:val="single"/>
              </w:rPr>
              <w:t>备注：1、分包情况：石油烃（C10～C40）</w:t>
            </w:r>
          </w:p>
          <w:p>
            <w:pPr>
              <w:widowControl/>
              <w:ind w:firstLine="630" w:firstLineChars="300"/>
              <w:textAlignment w:val="center"/>
              <w:rPr>
                <w:rFonts w:ascii="Times New Roman" w:hAnsi="Times New Roman"/>
                <w:kern w:val="0"/>
                <w:szCs w:val="21"/>
                <w:u w:val="single"/>
                <w:lang w:bidi="ar"/>
              </w:rPr>
            </w:pPr>
            <w:r>
              <w:rPr>
                <w:rFonts w:ascii="Times New Roman" w:hAnsi="Times New Roman"/>
                <w:szCs w:val="21"/>
                <w:u w:val="single"/>
              </w:rPr>
              <w:t>2、“ND”表示检测结果低于最低检出限</w:t>
            </w:r>
          </w:p>
        </w:tc>
      </w:tr>
    </w:tbl>
    <w:p>
      <w:pPr>
        <w:pStyle w:val="61"/>
        <w:rPr>
          <w:rFonts w:ascii="Times New Roman" w:cs="Times New Roman"/>
          <w:b/>
          <w:bCs/>
          <w:color w:val="auto"/>
          <w:sz w:val="28"/>
          <w:szCs w:val="28"/>
          <w:u w:val="single"/>
        </w:rPr>
      </w:pPr>
    </w:p>
    <w:p>
      <w:pPr>
        <w:pStyle w:val="61"/>
        <w:rPr>
          <w:rFonts w:ascii="Times New Roman" w:cs="Times New Roman"/>
          <w:b/>
          <w:bCs/>
          <w:color w:val="auto"/>
          <w:sz w:val="28"/>
          <w:szCs w:val="28"/>
          <w:u w:val="single"/>
        </w:rPr>
      </w:pPr>
    </w:p>
    <w:tbl>
      <w:tblPr>
        <w:tblStyle w:val="45"/>
        <w:tblW w:w="8931" w:type="dxa"/>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64" w:type="dxa"/>
          <w:bottom w:w="0" w:type="dxa"/>
          <w:right w:w="51" w:type="dxa"/>
        </w:tblCellMar>
      </w:tblPr>
      <w:tblGrid>
        <w:gridCol w:w="1431"/>
        <w:gridCol w:w="2745"/>
        <w:gridCol w:w="2610"/>
        <w:gridCol w:w="2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采样日期</w:t>
            </w:r>
          </w:p>
        </w:tc>
        <w:tc>
          <w:tcPr>
            <w:tcW w:w="2745"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点位名称</w:t>
            </w:r>
          </w:p>
        </w:tc>
        <w:tc>
          <w:tcPr>
            <w:tcW w:w="2610"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检测项目</w:t>
            </w:r>
          </w:p>
        </w:tc>
        <w:tc>
          <w:tcPr>
            <w:tcW w:w="214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检测结果</w:t>
            </w:r>
          </w:p>
          <w:p>
            <w:pPr>
              <w:spacing w:line="240" w:lineRule="exact"/>
              <w:jc w:val="center"/>
              <w:rPr>
                <w:rFonts w:ascii="Times New Roman" w:hAnsi="Times New Roman"/>
                <w:szCs w:val="21"/>
                <w:u w:val="single"/>
              </w:rPr>
            </w:pPr>
            <w:r>
              <w:rPr>
                <w:rFonts w:ascii="Times New Roman" w:hAnsi="Times New Roman"/>
                <w:szCs w:val="21"/>
                <w:u w:val="single"/>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vMerge w:val="restart"/>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2020.3.19</w:t>
            </w:r>
          </w:p>
        </w:tc>
        <w:tc>
          <w:tcPr>
            <w:tcW w:w="2745"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T3</w:t>
            </w:r>
          </w:p>
        </w:tc>
        <w:tc>
          <w:tcPr>
            <w:tcW w:w="261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4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500"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深度:20cm        颜色:会     质地:砂壤土      湿度:干</w:t>
            </w:r>
          </w:p>
          <w:p>
            <w:pPr>
              <w:spacing w:line="320" w:lineRule="exact"/>
              <w:jc w:val="center"/>
              <w:rPr>
                <w:rFonts w:ascii="Times New Roman" w:hAnsi="Times New Roman"/>
                <w:szCs w:val="21"/>
                <w:u w:val="single"/>
              </w:rPr>
            </w:pPr>
            <w:r>
              <w:rPr>
                <w:rFonts w:ascii="Times New Roman" w:hAnsi="Times New Roman"/>
                <w:szCs w:val="21"/>
                <w:u w:val="single"/>
              </w:rPr>
              <w:t> 植物根系:少量      砂砾含量:1％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745"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T3</w:t>
            </w:r>
          </w:p>
        </w:tc>
        <w:tc>
          <w:tcPr>
            <w:tcW w:w="261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4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500"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深度:50cm        颜色:暗灰     质地:砂壤土      湿度:干</w:t>
            </w:r>
          </w:p>
          <w:p>
            <w:pPr>
              <w:widowControl/>
              <w:jc w:val="center"/>
              <w:textAlignment w:val="center"/>
              <w:rPr>
                <w:rFonts w:ascii="Times New Roman" w:hAnsi="Times New Roman"/>
                <w:szCs w:val="21"/>
                <w:u w:val="single"/>
              </w:rPr>
            </w:pPr>
            <w:r>
              <w:rPr>
                <w:rFonts w:ascii="Times New Roman" w:hAnsi="Times New Roman"/>
                <w:szCs w:val="21"/>
                <w:u w:val="single"/>
              </w:rPr>
              <w:t> 植物根系:无      砂砾含量:4％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745"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T3</w:t>
            </w:r>
          </w:p>
        </w:tc>
        <w:tc>
          <w:tcPr>
            <w:tcW w:w="261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4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1431" w:type="dxa"/>
            <w:vMerge w:val="continue"/>
            <w:tcBorders>
              <w:tl2br w:val="nil"/>
              <w:tr2bl w:val="nil"/>
            </w:tcBorders>
            <w:vAlign w:val="center"/>
          </w:tcPr>
          <w:p>
            <w:pPr>
              <w:widowControl/>
              <w:textAlignment w:val="center"/>
              <w:rPr>
                <w:rFonts w:ascii="Times New Roman" w:hAnsi="Times New Roman"/>
                <w:szCs w:val="21"/>
                <w:u w:val="single"/>
              </w:rPr>
            </w:pPr>
          </w:p>
        </w:tc>
        <w:tc>
          <w:tcPr>
            <w:tcW w:w="7500" w:type="dxa"/>
            <w:gridSpan w:val="3"/>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 xml:space="preserve">深度:150cm   颜色: 栗   质地:中壤土   湿度:潮  </w:t>
            </w:r>
          </w:p>
          <w:p>
            <w:pPr>
              <w:widowControl/>
              <w:jc w:val="center"/>
              <w:textAlignment w:val="center"/>
              <w:rPr>
                <w:rFonts w:ascii="Times New Roman" w:hAnsi="Times New Roman"/>
                <w:szCs w:val="21"/>
                <w:u w:val="single"/>
              </w:rPr>
            </w:pPr>
            <w:r>
              <w:rPr>
                <w:rFonts w:ascii="Times New Roman" w:hAnsi="Times New Roman"/>
                <w:szCs w:val="21"/>
                <w:u w:val="single"/>
              </w:rPr>
              <w:t>植物根系:无    砂砾含量: 8％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227" w:hRule="atLeast"/>
        </w:trPr>
        <w:tc>
          <w:tcPr>
            <w:tcW w:w="8931" w:type="dxa"/>
            <w:gridSpan w:val="4"/>
            <w:tcBorders>
              <w:tl2br w:val="nil"/>
              <w:tr2bl w:val="nil"/>
            </w:tcBorders>
            <w:vAlign w:val="center"/>
          </w:tcPr>
          <w:p>
            <w:pPr>
              <w:rPr>
                <w:rFonts w:ascii="Times New Roman" w:hAnsi="Times New Roman"/>
                <w:szCs w:val="21"/>
                <w:u w:val="single"/>
              </w:rPr>
            </w:pPr>
            <w:r>
              <w:rPr>
                <w:rFonts w:ascii="Times New Roman" w:hAnsi="Times New Roman"/>
                <w:szCs w:val="21"/>
                <w:u w:val="single"/>
              </w:rPr>
              <w:t>备注：1、分包情况：石油烃（C10～C40）</w:t>
            </w:r>
          </w:p>
          <w:p>
            <w:pPr>
              <w:widowControl/>
              <w:ind w:firstLine="630" w:firstLineChars="300"/>
              <w:textAlignment w:val="center"/>
              <w:rPr>
                <w:rFonts w:ascii="Times New Roman" w:hAnsi="Times New Roman"/>
                <w:kern w:val="0"/>
                <w:szCs w:val="21"/>
                <w:u w:val="single"/>
                <w:lang w:bidi="ar"/>
              </w:rPr>
            </w:pPr>
            <w:r>
              <w:rPr>
                <w:rFonts w:ascii="Times New Roman" w:hAnsi="Times New Roman"/>
                <w:szCs w:val="21"/>
                <w:u w:val="single"/>
              </w:rPr>
              <w:t>2、“ND”表示检测结果低于最低检出限</w:t>
            </w:r>
          </w:p>
        </w:tc>
      </w:tr>
    </w:tbl>
    <w:p>
      <w:pPr>
        <w:pStyle w:val="61"/>
        <w:rPr>
          <w:rFonts w:ascii="Times New Roman" w:cs="Times New Roman"/>
          <w:b/>
          <w:bCs/>
          <w:color w:val="auto"/>
          <w:sz w:val="28"/>
          <w:szCs w:val="28"/>
          <w:u w:val="single"/>
        </w:rPr>
      </w:pPr>
    </w:p>
    <w:tbl>
      <w:tblPr>
        <w:tblStyle w:val="45"/>
        <w:tblW w:w="8961" w:type="dxa"/>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64" w:type="dxa"/>
          <w:bottom w:w="0" w:type="dxa"/>
          <w:right w:w="51" w:type="dxa"/>
        </w:tblCellMar>
      </w:tblPr>
      <w:tblGrid>
        <w:gridCol w:w="1401"/>
        <w:gridCol w:w="2715"/>
        <w:gridCol w:w="2685"/>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采样日期</w:t>
            </w:r>
          </w:p>
        </w:tc>
        <w:tc>
          <w:tcPr>
            <w:tcW w:w="2715"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点位名称</w:t>
            </w:r>
          </w:p>
        </w:tc>
        <w:tc>
          <w:tcPr>
            <w:tcW w:w="2685"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检测项目</w:t>
            </w:r>
          </w:p>
        </w:tc>
        <w:tc>
          <w:tcPr>
            <w:tcW w:w="2160"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检测结果</w:t>
            </w:r>
          </w:p>
          <w:p>
            <w:pPr>
              <w:spacing w:line="240" w:lineRule="exact"/>
              <w:jc w:val="center"/>
              <w:rPr>
                <w:rFonts w:ascii="Times New Roman" w:hAnsi="Times New Roman"/>
                <w:szCs w:val="21"/>
                <w:u w:val="single"/>
              </w:rPr>
            </w:pPr>
            <w:r>
              <w:rPr>
                <w:rFonts w:ascii="Times New Roman" w:hAnsi="Times New Roman"/>
                <w:szCs w:val="21"/>
                <w:u w:val="single"/>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vMerge w:val="restart"/>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2020.3.19</w:t>
            </w:r>
          </w:p>
        </w:tc>
        <w:tc>
          <w:tcPr>
            <w:tcW w:w="2715"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T4</w:t>
            </w:r>
          </w:p>
        </w:tc>
        <w:tc>
          <w:tcPr>
            <w:tcW w:w="268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6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560"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深度:20cm        颜色:红棕     质地:砂壤土      湿度:干</w:t>
            </w:r>
          </w:p>
          <w:p>
            <w:pPr>
              <w:spacing w:line="320" w:lineRule="exact"/>
              <w:jc w:val="center"/>
              <w:rPr>
                <w:rFonts w:ascii="Times New Roman" w:hAnsi="Times New Roman"/>
                <w:szCs w:val="21"/>
                <w:u w:val="single"/>
              </w:rPr>
            </w:pPr>
            <w:r>
              <w:rPr>
                <w:rFonts w:ascii="Times New Roman" w:hAnsi="Times New Roman"/>
                <w:szCs w:val="21"/>
                <w:u w:val="single"/>
              </w:rPr>
              <w:t> 植物根系:中量      砂砾含量:3％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715"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T4</w:t>
            </w:r>
          </w:p>
        </w:tc>
        <w:tc>
          <w:tcPr>
            <w:tcW w:w="268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6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560"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深度:50cm        颜色:棕     质地:轻壤土      湿度:干</w:t>
            </w:r>
          </w:p>
          <w:p>
            <w:pPr>
              <w:widowControl/>
              <w:jc w:val="center"/>
              <w:textAlignment w:val="center"/>
              <w:rPr>
                <w:rFonts w:ascii="Times New Roman" w:hAnsi="Times New Roman"/>
                <w:szCs w:val="21"/>
                <w:u w:val="single"/>
              </w:rPr>
            </w:pPr>
            <w:r>
              <w:rPr>
                <w:rFonts w:ascii="Times New Roman" w:hAnsi="Times New Roman"/>
                <w:szCs w:val="21"/>
                <w:u w:val="single"/>
              </w:rPr>
              <w:t> 植物根系:少量      砂砾含量:7％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715"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T4</w:t>
            </w:r>
          </w:p>
        </w:tc>
        <w:tc>
          <w:tcPr>
            <w:tcW w:w="268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16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01" w:type="dxa"/>
            <w:vMerge w:val="continue"/>
            <w:tcBorders>
              <w:tl2br w:val="nil"/>
              <w:tr2bl w:val="nil"/>
            </w:tcBorders>
            <w:vAlign w:val="center"/>
          </w:tcPr>
          <w:p>
            <w:pPr>
              <w:widowControl/>
              <w:textAlignment w:val="center"/>
              <w:rPr>
                <w:rFonts w:ascii="Times New Roman" w:hAnsi="Times New Roman"/>
                <w:szCs w:val="21"/>
                <w:u w:val="single"/>
              </w:rPr>
            </w:pPr>
          </w:p>
        </w:tc>
        <w:tc>
          <w:tcPr>
            <w:tcW w:w="7560" w:type="dxa"/>
            <w:gridSpan w:val="3"/>
            <w:tcBorders>
              <w:tl2br w:val="nil"/>
              <w:tr2bl w:val="nil"/>
            </w:tcBorders>
            <w:vAlign w:val="center"/>
          </w:tcPr>
          <w:p>
            <w:pPr>
              <w:widowControl/>
              <w:jc w:val="center"/>
              <w:textAlignment w:val="center"/>
              <w:rPr>
                <w:rFonts w:ascii="Times New Roman" w:hAnsi="Times New Roman"/>
                <w:szCs w:val="21"/>
                <w:u w:val="single"/>
              </w:rPr>
            </w:pPr>
            <w:r>
              <w:rPr>
                <w:rFonts w:ascii="Times New Roman" w:hAnsi="Times New Roman"/>
                <w:szCs w:val="21"/>
                <w:u w:val="single"/>
              </w:rPr>
              <w:t xml:space="preserve">深度:150cm   颜色:棕    质地:轻壤土   湿度:干  </w:t>
            </w:r>
          </w:p>
          <w:p>
            <w:pPr>
              <w:widowControl/>
              <w:jc w:val="center"/>
              <w:textAlignment w:val="center"/>
              <w:rPr>
                <w:rFonts w:ascii="Times New Roman" w:hAnsi="Times New Roman"/>
                <w:szCs w:val="21"/>
                <w:u w:val="single"/>
              </w:rPr>
            </w:pPr>
            <w:r>
              <w:rPr>
                <w:rFonts w:ascii="Times New Roman" w:hAnsi="Times New Roman"/>
                <w:szCs w:val="21"/>
                <w:u w:val="single"/>
              </w:rPr>
              <w:t>植物根系:无    砂砾含量:9％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8961" w:type="dxa"/>
            <w:gridSpan w:val="4"/>
            <w:tcBorders>
              <w:tl2br w:val="nil"/>
              <w:tr2bl w:val="nil"/>
            </w:tcBorders>
            <w:vAlign w:val="center"/>
          </w:tcPr>
          <w:p>
            <w:pPr>
              <w:rPr>
                <w:rFonts w:ascii="Times New Roman" w:hAnsi="Times New Roman"/>
                <w:szCs w:val="21"/>
                <w:u w:val="single"/>
              </w:rPr>
            </w:pPr>
            <w:r>
              <w:rPr>
                <w:rFonts w:ascii="Times New Roman" w:hAnsi="Times New Roman"/>
                <w:szCs w:val="21"/>
                <w:u w:val="single"/>
              </w:rPr>
              <w:t>备注：1、分包情况：石油烃（C10～C40）</w:t>
            </w:r>
          </w:p>
          <w:p>
            <w:pPr>
              <w:widowControl/>
              <w:ind w:firstLine="630" w:firstLineChars="300"/>
              <w:textAlignment w:val="center"/>
              <w:rPr>
                <w:rFonts w:ascii="Times New Roman" w:hAnsi="Times New Roman"/>
                <w:kern w:val="0"/>
                <w:szCs w:val="21"/>
                <w:u w:val="single"/>
                <w:lang w:bidi="ar"/>
              </w:rPr>
            </w:pPr>
            <w:r>
              <w:rPr>
                <w:rFonts w:ascii="Times New Roman" w:hAnsi="Times New Roman"/>
                <w:szCs w:val="21"/>
                <w:u w:val="single"/>
              </w:rPr>
              <w:t>2、“ND”表示检测结果低于最低检出限</w:t>
            </w:r>
          </w:p>
        </w:tc>
      </w:tr>
    </w:tbl>
    <w:p>
      <w:pPr>
        <w:wordWrap w:val="0"/>
        <w:spacing w:line="360" w:lineRule="auto"/>
        <w:ind w:right="-309" w:rightChars="-147"/>
        <w:rPr>
          <w:rFonts w:ascii="Times New Roman" w:hAnsi="Times New Roman"/>
          <w:spacing w:val="-2"/>
          <w:sz w:val="24"/>
          <w:szCs w:val="24"/>
          <w:u w:val="single"/>
        </w:rPr>
      </w:pPr>
    </w:p>
    <w:tbl>
      <w:tblPr>
        <w:tblStyle w:val="45"/>
        <w:tblW w:w="8946" w:type="dxa"/>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64" w:type="dxa"/>
          <w:bottom w:w="0" w:type="dxa"/>
          <w:right w:w="51" w:type="dxa"/>
        </w:tblCellMar>
      </w:tblPr>
      <w:tblGrid>
        <w:gridCol w:w="1431"/>
        <w:gridCol w:w="2640"/>
        <w:gridCol w:w="2520"/>
        <w:gridCol w:w="2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31"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采样日期</w:t>
            </w:r>
          </w:p>
        </w:tc>
        <w:tc>
          <w:tcPr>
            <w:tcW w:w="2640"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点位名称</w:t>
            </w:r>
          </w:p>
        </w:tc>
        <w:tc>
          <w:tcPr>
            <w:tcW w:w="2520" w:type="dxa"/>
            <w:tcBorders>
              <w:tl2br w:val="nil"/>
              <w:tr2bl w:val="nil"/>
            </w:tcBorders>
            <w:vAlign w:val="center"/>
          </w:tcPr>
          <w:p>
            <w:pPr>
              <w:spacing w:line="420" w:lineRule="exact"/>
              <w:jc w:val="center"/>
              <w:rPr>
                <w:rFonts w:ascii="Times New Roman" w:hAnsi="Times New Roman"/>
                <w:szCs w:val="21"/>
                <w:u w:val="single"/>
              </w:rPr>
            </w:pPr>
            <w:r>
              <w:rPr>
                <w:rFonts w:ascii="Times New Roman" w:hAnsi="Times New Roman"/>
                <w:szCs w:val="21"/>
                <w:u w:val="single"/>
              </w:rPr>
              <w:t>检测项目</w:t>
            </w:r>
          </w:p>
        </w:tc>
        <w:tc>
          <w:tcPr>
            <w:tcW w:w="2355" w:type="dxa"/>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检测结果</w:t>
            </w:r>
          </w:p>
          <w:p>
            <w:pPr>
              <w:spacing w:line="240" w:lineRule="exact"/>
              <w:jc w:val="center"/>
              <w:rPr>
                <w:rFonts w:ascii="Times New Roman" w:hAnsi="Times New Roman"/>
                <w:szCs w:val="21"/>
                <w:u w:val="single"/>
              </w:rPr>
            </w:pPr>
            <w:r>
              <w:rPr>
                <w:rFonts w:ascii="Times New Roman" w:hAnsi="Times New Roman"/>
                <w:szCs w:val="21"/>
                <w:u w:val="single"/>
              </w:rPr>
              <w:t>（mg/kg）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31" w:type="dxa"/>
            <w:vMerge w:val="restart"/>
            <w:tcBorders>
              <w:tl2br w:val="nil"/>
              <w:tr2bl w:val="nil"/>
            </w:tcBorders>
            <w:vAlign w:val="center"/>
          </w:tcPr>
          <w:p>
            <w:pPr>
              <w:spacing w:line="240" w:lineRule="exact"/>
              <w:jc w:val="center"/>
              <w:rPr>
                <w:rFonts w:ascii="Times New Roman" w:hAnsi="Times New Roman"/>
                <w:szCs w:val="21"/>
                <w:u w:val="single"/>
              </w:rPr>
            </w:pPr>
            <w:r>
              <w:rPr>
                <w:rFonts w:ascii="Times New Roman" w:hAnsi="Times New Roman"/>
                <w:szCs w:val="21"/>
                <w:u w:val="single"/>
              </w:rPr>
              <w:t>2020.3.19</w:t>
            </w:r>
          </w:p>
        </w:tc>
        <w:tc>
          <w:tcPr>
            <w:tcW w:w="2640"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T5</w:t>
            </w:r>
          </w:p>
        </w:tc>
        <w:tc>
          <w:tcPr>
            <w:tcW w:w="252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35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515"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深度:20cm        颜色:黄棕     质地:轻壤土      湿度:8</w:t>
            </w:r>
          </w:p>
          <w:p>
            <w:pPr>
              <w:spacing w:line="320" w:lineRule="exact"/>
              <w:jc w:val="center"/>
              <w:rPr>
                <w:rFonts w:ascii="Times New Roman" w:hAnsi="Times New Roman"/>
                <w:szCs w:val="21"/>
                <w:u w:val="single"/>
              </w:rPr>
            </w:pPr>
            <w:r>
              <w:rPr>
                <w:rFonts w:ascii="Times New Roman" w:hAnsi="Times New Roman"/>
                <w:szCs w:val="21"/>
                <w:u w:val="single"/>
              </w:rPr>
              <w:t> 植物根系:中量      砂砾含量:8％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2640" w:type="dxa"/>
            <w:tcBorders>
              <w:tl2br w:val="nil"/>
              <w:tr2bl w:val="nil"/>
            </w:tcBorders>
            <w:vAlign w:val="center"/>
          </w:tcPr>
          <w:p>
            <w:pPr>
              <w:pStyle w:val="61"/>
              <w:jc w:val="center"/>
              <w:rPr>
                <w:rFonts w:ascii="Times New Roman" w:cs="Times New Roman"/>
                <w:color w:val="auto"/>
                <w:sz w:val="21"/>
                <w:szCs w:val="21"/>
                <w:u w:val="single"/>
              </w:rPr>
            </w:pPr>
            <w:r>
              <w:rPr>
                <w:rFonts w:ascii="Times New Roman" w:cs="Times New Roman"/>
                <w:color w:val="auto"/>
                <w:sz w:val="21"/>
                <w:szCs w:val="21"/>
                <w:u w:val="single"/>
              </w:rPr>
              <w:t>T6</w:t>
            </w:r>
          </w:p>
        </w:tc>
        <w:tc>
          <w:tcPr>
            <w:tcW w:w="2520"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石油烃（C10～C40）</w:t>
            </w:r>
          </w:p>
        </w:tc>
        <w:tc>
          <w:tcPr>
            <w:tcW w:w="2355" w:type="dxa"/>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1431" w:type="dxa"/>
            <w:vMerge w:val="continue"/>
            <w:tcBorders>
              <w:tl2br w:val="nil"/>
              <w:tr2bl w:val="nil"/>
            </w:tcBorders>
            <w:vAlign w:val="center"/>
          </w:tcPr>
          <w:p>
            <w:pPr>
              <w:spacing w:line="240" w:lineRule="exact"/>
              <w:jc w:val="center"/>
              <w:rPr>
                <w:rFonts w:ascii="Times New Roman" w:hAnsi="Times New Roman"/>
                <w:szCs w:val="21"/>
                <w:u w:val="single"/>
              </w:rPr>
            </w:pPr>
          </w:p>
        </w:tc>
        <w:tc>
          <w:tcPr>
            <w:tcW w:w="7515" w:type="dxa"/>
            <w:gridSpan w:val="3"/>
            <w:tcBorders>
              <w:tl2br w:val="nil"/>
              <w:tr2bl w:val="nil"/>
            </w:tcBorders>
            <w:vAlign w:val="center"/>
          </w:tcPr>
          <w:p>
            <w:pPr>
              <w:spacing w:line="320" w:lineRule="exact"/>
              <w:jc w:val="center"/>
              <w:rPr>
                <w:rFonts w:ascii="Times New Roman" w:hAnsi="Times New Roman"/>
                <w:szCs w:val="21"/>
                <w:u w:val="single"/>
              </w:rPr>
            </w:pPr>
            <w:r>
              <w:rPr>
                <w:rFonts w:ascii="Times New Roman" w:hAnsi="Times New Roman"/>
                <w:szCs w:val="21"/>
                <w:u w:val="single"/>
              </w:rPr>
              <w:t>深度:20cm        颜色:浅棕     质地:砂壤土      湿度:干</w:t>
            </w:r>
          </w:p>
          <w:p>
            <w:pPr>
              <w:widowControl/>
              <w:jc w:val="center"/>
              <w:textAlignment w:val="center"/>
              <w:rPr>
                <w:rFonts w:ascii="Times New Roman" w:hAnsi="Times New Roman"/>
                <w:szCs w:val="21"/>
                <w:u w:val="single"/>
              </w:rPr>
            </w:pPr>
            <w:r>
              <w:rPr>
                <w:rFonts w:ascii="Times New Roman" w:hAnsi="Times New Roman"/>
                <w:szCs w:val="21"/>
                <w:u w:val="single"/>
              </w:rPr>
              <w:t> 植物根系:少量      砂砾含量:5％   其它异物:无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64" w:type="dxa"/>
            <w:bottom w:w="0" w:type="dxa"/>
            <w:right w:w="51" w:type="dxa"/>
          </w:tblCellMar>
        </w:tblPrEx>
        <w:trPr>
          <w:cantSplit/>
          <w:trHeight w:val="340" w:hRule="atLeast"/>
        </w:trPr>
        <w:tc>
          <w:tcPr>
            <w:tcW w:w="8946" w:type="dxa"/>
            <w:gridSpan w:val="4"/>
            <w:tcBorders>
              <w:tl2br w:val="nil"/>
              <w:tr2bl w:val="nil"/>
            </w:tcBorders>
            <w:vAlign w:val="center"/>
          </w:tcPr>
          <w:p>
            <w:pPr>
              <w:rPr>
                <w:rFonts w:ascii="Times New Roman" w:hAnsi="Times New Roman"/>
                <w:szCs w:val="21"/>
                <w:u w:val="single"/>
              </w:rPr>
            </w:pPr>
            <w:r>
              <w:rPr>
                <w:rFonts w:ascii="Times New Roman" w:hAnsi="Times New Roman"/>
                <w:szCs w:val="21"/>
                <w:u w:val="single"/>
              </w:rPr>
              <w:t>备注：1、分包情况：石油烃（C10～C40）</w:t>
            </w:r>
          </w:p>
          <w:p>
            <w:pPr>
              <w:widowControl/>
              <w:ind w:firstLine="630" w:firstLineChars="300"/>
              <w:textAlignment w:val="center"/>
              <w:rPr>
                <w:rFonts w:ascii="Times New Roman" w:hAnsi="Times New Roman"/>
                <w:kern w:val="0"/>
                <w:szCs w:val="21"/>
                <w:u w:val="single"/>
                <w:lang w:bidi="ar"/>
              </w:rPr>
            </w:pPr>
            <w:r>
              <w:rPr>
                <w:rFonts w:ascii="Times New Roman" w:hAnsi="Times New Roman"/>
                <w:szCs w:val="21"/>
                <w:u w:val="single"/>
              </w:rPr>
              <w:t>2、“ND”表示检测结果低于最低检出限</w:t>
            </w:r>
          </w:p>
        </w:tc>
      </w:tr>
    </w:tbl>
    <w:p>
      <w:pPr>
        <w:wordWrap w:val="0"/>
        <w:spacing w:line="360" w:lineRule="auto"/>
        <w:ind w:right="-309" w:rightChars="-147" w:firstLine="472" w:firstLineChars="200"/>
        <w:rPr>
          <w:rFonts w:ascii="Times New Roman" w:hAnsi="Times New Roman"/>
          <w:spacing w:val="-2"/>
          <w:sz w:val="24"/>
          <w:szCs w:val="24"/>
          <w:u w:val="single"/>
        </w:rPr>
      </w:pPr>
    </w:p>
    <w:p>
      <w:pPr>
        <w:wordWrap w:val="0"/>
        <w:spacing w:line="360" w:lineRule="auto"/>
        <w:ind w:right="-309" w:rightChars="-147" w:firstLine="472" w:firstLineChars="200"/>
        <w:rPr>
          <w:rFonts w:ascii="Times New Roman" w:hAnsi="Times New Roman"/>
          <w:spacing w:val="-2"/>
          <w:sz w:val="24"/>
          <w:szCs w:val="24"/>
        </w:rPr>
      </w:pPr>
      <w:r>
        <w:rPr>
          <w:rFonts w:ascii="Times New Roman" w:hAnsi="Times New Roman"/>
          <w:spacing w:val="-2"/>
          <w:sz w:val="24"/>
          <w:szCs w:val="24"/>
          <w:u w:val="single"/>
        </w:rPr>
        <w:t>根据上表监测结果，项目区各监测点土壤环境均能满足《</w:t>
      </w:r>
      <w:bookmarkStart w:id="319" w:name="_Hlk24233071"/>
      <w:r>
        <w:rPr>
          <w:rFonts w:ascii="Times New Roman" w:hAnsi="Times New Roman"/>
          <w:spacing w:val="-2"/>
          <w:sz w:val="24"/>
          <w:szCs w:val="24"/>
          <w:u w:val="single"/>
        </w:rPr>
        <w:t>《土壤环境质量 建设用地土壤污染风险管控标准（试行）》第二类用地筛选值（GB36600-2018</w:t>
      </w:r>
      <w:bookmarkEnd w:id="319"/>
      <w:r>
        <w:rPr>
          <w:rFonts w:ascii="Times New Roman" w:hAnsi="Times New Roman"/>
          <w:spacing w:val="-2"/>
          <w:sz w:val="24"/>
          <w:szCs w:val="24"/>
          <w:u w:val="single"/>
        </w:rPr>
        <w:t>）标准要求。</w:t>
      </w:r>
    </w:p>
    <w:p>
      <w:pPr>
        <w:pStyle w:val="6"/>
        <w:numPr>
          <w:ilvl w:val="1"/>
          <w:numId w:val="0"/>
        </w:numPr>
        <w:tabs>
          <w:tab w:val="clear" w:pos="0"/>
        </w:tabs>
        <w:spacing w:before="120" w:after="120"/>
      </w:pPr>
      <w:r>
        <w:rPr>
          <w:sz w:val="32"/>
        </w:rPr>
        <w:t>4.8. 生态环境质量现状评价</w:t>
      </w:r>
    </w:p>
    <w:p>
      <w:pPr>
        <w:wordWrap w:val="0"/>
        <w:spacing w:line="360" w:lineRule="auto"/>
        <w:ind w:firstLine="472" w:firstLineChars="200"/>
        <w:rPr>
          <w:rFonts w:ascii="Times New Roman" w:hAnsi="Times New Roman"/>
          <w:spacing w:val="-2"/>
          <w:sz w:val="24"/>
          <w:szCs w:val="24"/>
        </w:rPr>
      </w:pPr>
      <w:r>
        <w:rPr>
          <w:rFonts w:ascii="Times New Roman" w:hAnsi="Times New Roman"/>
          <w:spacing w:val="-2"/>
          <w:sz w:val="24"/>
          <w:szCs w:val="24"/>
        </w:rPr>
        <w:t>本项目位于岳阳市云溪区长岭分公司厂内，四周为生产装置或厂区马路，所在区域内无自然保护区和重点文物保护单位，未发现珍稀保护植物物种、古树名木及珍稀野生动物。</w:t>
      </w:r>
    </w:p>
    <w:p>
      <w:pPr>
        <w:wordWrap w:val="0"/>
        <w:spacing w:line="360" w:lineRule="auto"/>
        <w:ind w:firstLine="472" w:firstLineChars="200"/>
        <w:rPr>
          <w:rFonts w:ascii="Times New Roman" w:hAnsi="Times New Roman"/>
          <w:spacing w:val="-2"/>
          <w:sz w:val="24"/>
          <w:szCs w:val="24"/>
        </w:rPr>
        <w:sectPr>
          <w:pgSz w:w="11910" w:h="16840"/>
          <w:pgMar w:top="1440" w:right="1800" w:bottom="1440" w:left="1800" w:header="1016" w:footer="1116" w:gutter="0"/>
          <w:cols w:space="720" w:num="1"/>
        </w:sectPr>
      </w:pPr>
    </w:p>
    <w:bookmarkEnd w:id="274"/>
    <w:bookmarkEnd w:id="275"/>
    <w:bookmarkEnd w:id="276"/>
    <w:p>
      <w:pPr>
        <w:pStyle w:val="4"/>
        <w:numPr>
          <w:ilvl w:val="0"/>
          <w:numId w:val="0"/>
        </w:numPr>
        <w:tabs>
          <w:tab w:val="clear" w:pos="0"/>
        </w:tabs>
      </w:pPr>
      <w:bookmarkStart w:id="320" w:name="第四章__环境影响预测与评价"/>
      <w:bookmarkEnd w:id="320"/>
      <w:bookmarkStart w:id="321" w:name="_Toc30618"/>
      <w:bookmarkStart w:id="322" w:name="_Toc19177"/>
      <w:bookmarkStart w:id="323" w:name="_Toc14720"/>
      <w:bookmarkStart w:id="324" w:name="_Toc15632"/>
      <w:r>
        <w:t>5. 施工期环境影响分析</w:t>
      </w:r>
      <w:bookmarkEnd w:id="321"/>
      <w:bookmarkEnd w:id="322"/>
      <w:bookmarkEnd w:id="323"/>
      <w:bookmarkEnd w:id="324"/>
    </w:p>
    <w:p>
      <w:pPr>
        <w:pStyle w:val="6"/>
        <w:numPr>
          <w:ilvl w:val="1"/>
          <w:numId w:val="0"/>
        </w:numPr>
        <w:spacing w:before="156" w:after="156"/>
      </w:pPr>
      <w:bookmarkStart w:id="325" w:name="_Toc8254"/>
      <w:bookmarkStart w:id="326" w:name="_Toc2640"/>
      <w:bookmarkStart w:id="327" w:name="_Toc6712"/>
      <w:bookmarkStart w:id="328" w:name="_Toc7575"/>
      <w:r>
        <w:t>5.1 施工期大气环境影响分析</w:t>
      </w:r>
      <w:bookmarkEnd w:id="325"/>
      <w:bookmarkEnd w:id="326"/>
      <w:bookmarkEnd w:id="327"/>
      <w:bookmarkEnd w:id="328"/>
    </w:p>
    <w:p>
      <w:pPr>
        <w:spacing w:line="480" w:lineRule="exact"/>
        <w:ind w:firstLine="480" w:firstLineChars="200"/>
        <w:rPr>
          <w:rFonts w:ascii="Times New Roman" w:hAnsi="Times New Roman"/>
          <w:sz w:val="24"/>
          <w:szCs w:val="24"/>
        </w:rPr>
      </w:pPr>
      <w:r>
        <w:rPr>
          <w:rFonts w:ascii="Times New Roman" w:hAnsi="Times New Roman"/>
          <w:sz w:val="24"/>
          <w:szCs w:val="24"/>
        </w:rPr>
        <w:t>施工期间对环境空气产生的污染主要是施工扬尘，对区域造成暂时性不利影响，这些污染会随着施工期的结束而消失。</w:t>
      </w:r>
    </w:p>
    <w:p>
      <w:pPr>
        <w:spacing w:line="480" w:lineRule="exact"/>
        <w:ind w:firstLine="480" w:firstLineChars="200"/>
        <w:rPr>
          <w:rFonts w:ascii="Times New Roman" w:hAnsi="Times New Roman"/>
          <w:sz w:val="24"/>
          <w:szCs w:val="24"/>
        </w:rPr>
      </w:pPr>
      <w:r>
        <w:rPr>
          <w:rFonts w:ascii="Times New Roman" w:hAnsi="Times New Roman"/>
          <w:sz w:val="24"/>
          <w:szCs w:val="24"/>
        </w:rPr>
        <w:t>本项目主要依托长岭分公司现有工程，新增一台油泥泵、部分管线等少量零件，施工扬尘产生的主要环节为：泵基础施工和材料的运输等。仅增加少量扬尘。</w:t>
      </w:r>
    </w:p>
    <w:p>
      <w:pPr>
        <w:spacing w:line="480" w:lineRule="exact"/>
        <w:ind w:firstLine="480" w:firstLineChars="200"/>
        <w:rPr>
          <w:rFonts w:ascii="Times New Roman" w:hAnsi="Times New Roman"/>
          <w:sz w:val="24"/>
          <w:szCs w:val="24"/>
        </w:rPr>
      </w:pPr>
      <w:r>
        <w:rPr>
          <w:rFonts w:ascii="Times New Roman" w:hAnsi="Times New Roman"/>
          <w:sz w:val="24"/>
          <w:szCs w:val="24"/>
        </w:rPr>
        <w:t>为有效控制施工期间的扬尘影响，根据本项目具体情况，结合《国务院关于印发大气污染防治行动计划的通知》(国发[2013]37号)和《防治城市扬尘污染防治技术规范》(HJ/T393-2007)要求，对本项目施工期提出以下要求：</w:t>
      </w:r>
    </w:p>
    <w:p>
      <w:pPr>
        <w:spacing w:line="480" w:lineRule="exact"/>
        <w:ind w:firstLine="480" w:firstLineChars="200"/>
        <w:rPr>
          <w:rFonts w:ascii="Times New Roman" w:hAnsi="Times New Roman"/>
          <w:sz w:val="24"/>
          <w:szCs w:val="24"/>
        </w:rPr>
      </w:pPr>
      <w:r>
        <w:rPr>
          <w:rFonts w:ascii="Times New Roman" w:hAnsi="Times New Roman"/>
          <w:sz w:val="24"/>
          <w:szCs w:val="24"/>
        </w:rPr>
        <w:t>①每天定时对施工现场各扬尘点及道路洒水，安排专人定期对施工场地清扫、洒水，以减轻扬尘的飞扬。洒水次数根据天气状况而定，一般每天洒水1-2次，若遇大风或干燥天气，可适当增加洒水次数。施工场地洒水扬尘量将降低28%-75%，可极大减少其对环境的影响；</w:t>
      </w:r>
    </w:p>
    <w:p>
      <w:pPr>
        <w:spacing w:line="480" w:lineRule="exact"/>
        <w:ind w:firstLine="480" w:firstLineChars="200"/>
        <w:rPr>
          <w:rFonts w:ascii="Times New Roman" w:hAnsi="Times New Roman"/>
          <w:sz w:val="24"/>
          <w:szCs w:val="24"/>
        </w:rPr>
      </w:pPr>
      <w:r>
        <w:rPr>
          <w:rFonts w:ascii="Times New Roman" w:hAnsi="Times New Roman"/>
          <w:sz w:val="24"/>
          <w:szCs w:val="24"/>
        </w:rPr>
        <w:t>②水泥、石灰粉等建筑材料存放于库房或严密遮盖，砂石、土方等散体材料必须覆盖，场内装卸、搬运物料应遮盖、封闭或洒水，不得凌空抛掷、抛洒；</w:t>
      </w:r>
    </w:p>
    <w:p>
      <w:pPr>
        <w:spacing w:line="480" w:lineRule="exact"/>
        <w:ind w:firstLine="480" w:firstLineChars="200"/>
        <w:rPr>
          <w:rFonts w:ascii="Times New Roman" w:hAnsi="Times New Roman"/>
          <w:sz w:val="24"/>
          <w:szCs w:val="24"/>
        </w:rPr>
      </w:pPr>
      <w:r>
        <w:rPr>
          <w:rFonts w:ascii="Times New Roman" w:hAnsi="Times New Roman"/>
          <w:sz w:val="24"/>
          <w:szCs w:val="24"/>
        </w:rPr>
        <w:t>③地基挖掘产生的弃土应及时用于厂区平整，并压实；</w:t>
      </w:r>
    </w:p>
    <w:p>
      <w:pPr>
        <w:spacing w:line="480" w:lineRule="exact"/>
        <w:ind w:firstLine="480" w:firstLineChars="200"/>
        <w:rPr>
          <w:rFonts w:ascii="Times New Roman" w:hAnsi="Times New Roman"/>
          <w:sz w:val="24"/>
          <w:szCs w:val="24"/>
        </w:rPr>
      </w:pPr>
      <w:r>
        <w:rPr>
          <w:rFonts w:ascii="Times New Roman" w:hAnsi="Times New Roman"/>
          <w:sz w:val="24"/>
          <w:szCs w:val="24"/>
        </w:rPr>
        <w:t>④材料运输中要采取遮盖措施或利用密闭性运输车，运输车辆行驶路线要避开居民区等环境敏感点，并限制运输车辆的车速。</w:t>
      </w:r>
    </w:p>
    <w:p>
      <w:pPr>
        <w:spacing w:line="480" w:lineRule="exact"/>
        <w:ind w:firstLine="480" w:firstLineChars="200"/>
        <w:rPr>
          <w:rFonts w:ascii="Times New Roman" w:hAnsi="Times New Roman"/>
          <w:sz w:val="24"/>
          <w:szCs w:val="24"/>
        </w:rPr>
      </w:pPr>
      <w:r>
        <w:rPr>
          <w:rFonts w:ascii="Times New Roman" w:hAnsi="Times New Roman"/>
          <w:kern w:val="0"/>
          <w:sz w:val="24"/>
          <w:szCs w:val="24"/>
        </w:rPr>
        <w:t>在采取上述措施的前提下，施工期产生的扬尘对周围环境的影响可以有效控制。</w:t>
      </w:r>
      <w:r>
        <w:rPr>
          <w:rFonts w:ascii="Times New Roman" w:hAnsi="Times New Roman"/>
          <w:sz w:val="24"/>
          <w:szCs w:val="24"/>
        </w:rPr>
        <w:t>施工作业属短期行为，施工期结束，施工扬尘影响随之不复存在。</w:t>
      </w:r>
    </w:p>
    <w:p>
      <w:pPr>
        <w:pStyle w:val="6"/>
        <w:numPr>
          <w:ilvl w:val="1"/>
          <w:numId w:val="0"/>
        </w:numPr>
        <w:spacing w:before="156" w:after="156"/>
      </w:pPr>
      <w:bookmarkStart w:id="329" w:name="_Toc310"/>
      <w:bookmarkStart w:id="330" w:name="_Toc30090"/>
      <w:bookmarkStart w:id="331" w:name="_Toc30661"/>
      <w:bookmarkStart w:id="332" w:name="_Toc11214"/>
      <w:r>
        <w:t>5.2 施工废水影响分析</w:t>
      </w:r>
      <w:bookmarkEnd w:id="329"/>
      <w:bookmarkEnd w:id="330"/>
      <w:bookmarkEnd w:id="331"/>
      <w:bookmarkEnd w:id="332"/>
    </w:p>
    <w:p>
      <w:pPr>
        <w:ind w:firstLine="480" w:firstLineChars="200"/>
        <w:rPr>
          <w:rFonts w:ascii="Times New Roman" w:hAnsi="Times New Roman"/>
          <w:kern w:val="24"/>
          <w:sz w:val="24"/>
          <w:szCs w:val="24"/>
        </w:rPr>
      </w:pPr>
      <w:bookmarkStart w:id="333" w:name="_Toc338230629"/>
      <w:r>
        <w:rPr>
          <w:rFonts w:ascii="Times New Roman" w:hAnsi="Times New Roman"/>
          <w:kern w:val="24"/>
          <w:sz w:val="24"/>
          <w:szCs w:val="24"/>
        </w:rPr>
        <w:t>施工期排放的废水主要有施工废水和施工人员产生的生活污水。</w:t>
      </w:r>
    </w:p>
    <w:p>
      <w:pPr>
        <w:tabs>
          <w:tab w:val="left" w:pos="900"/>
        </w:tabs>
        <w:spacing w:line="480" w:lineRule="exact"/>
        <w:ind w:firstLine="480" w:firstLineChars="200"/>
        <w:rPr>
          <w:rFonts w:ascii="Times New Roman" w:hAnsi="Times New Roman"/>
          <w:kern w:val="24"/>
          <w:sz w:val="24"/>
          <w:szCs w:val="24"/>
        </w:rPr>
      </w:pPr>
      <w:r>
        <w:rPr>
          <w:rFonts w:ascii="Times New Roman" w:hAnsi="Times New Roman"/>
          <w:kern w:val="24"/>
          <w:sz w:val="24"/>
          <w:szCs w:val="24"/>
        </w:rPr>
        <w:t>（1）施工废水</w:t>
      </w:r>
    </w:p>
    <w:p>
      <w:pPr>
        <w:tabs>
          <w:tab w:val="left" w:pos="900"/>
        </w:tabs>
        <w:spacing w:line="480" w:lineRule="exact"/>
        <w:ind w:firstLine="480" w:firstLineChars="200"/>
        <w:rPr>
          <w:rFonts w:ascii="Times New Roman" w:hAnsi="Times New Roman"/>
          <w:kern w:val="24"/>
          <w:sz w:val="24"/>
          <w:szCs w:val="24"/>
        </w:rPr>
      </w:pPr>
      <w:r>
        <w:rPr>
          <w:rFonts w:ascii="Times New Roman" w:hAnsi="Times New Roman"/>
          <w:kern w:val="24"/>
          <w:sz w:val="24"/>
          <w:szCs w:val="24"/>
        </w:rPr>
        <w:t>施工期产生的施工废水有：各种施工机械设备产生的带有油污的冷却及洗涤用水；施工现场清洗废水、管道试压废水。由于施工活动内容不同，所排废水中的污染物不同。清洗废水、试压废水中的主要污染物是悬浮物，基本上不含有害物质。废水中悬浮物的收集在沉淀池后就可以除去，经沉淀处理后可以重复利用或外排；机械设备产生的废水中的主要污染物是石油类，对这类废水应减少排放量，并将产生的含油废水集中收集后，送公司污水处理场处理后达标排放。则施工废水可得到妥善处理和达标排放，对周边水体影响小。</w:t>
      </w:r>
    </w:p>
    <w:p>
      <w:pPr>
        <w:tabs>
          <w:tab w:val="left" w:pos="900"/>
        </w:tabs>
        <w:spacing w:line="480" w:lineRule="exact"/>
        <w:ind w:firstLine="480" w:firstLineChars="200"/>
        <w:rPr>
          <w:rFonts w:ascii="Times New Roman" w:hAnsi="Times New Roman"/>
          <w:kern w:val="24"/>
          <w:sz w:val="24"/>
          <w:szCs w:val="24"/>
        </w:rPr>
      </w:pPr>
      <w:r>
        <w:rPr>
          <w:rFonts w:ascii="Times New Roman" w:hAnsi="Times New Roman"/>
          <w:kern w:val="24"/>
          <w:sz w:val="24"/>
          <w:szCs w:val="24"/>
        </w:rPr>
        <w:t>（2）生活污水</w:t>
      </w:r>
    </w:p>
    <w:p>
      <w:pPr>
        <w:tabs>
          <w:tab w:val="left" w:pos="900"/>
        </w:tabs>
        <w:spacing w:line="480" w:lineRule="exact"/>
        <w:ind w:firstLine="480" w:firstLineChars="200"/>
        <w:rPr>
          <w:rFonts w:ascii="Times New Roman" w:hAnsi="Times New Roman"/>
          <w:sz w:val="24"/>
          <w:szCs w:val="24"/>
        </w:rPr>
      </w:pPr>
      <w:r>
        <w:rPr>
          <w:rFonts w:ascii="Times New Roman" w:hAnsi="Times New Roman"/>
          <w:kern w:val="24"/>
          <w:sz w:val="24"/>
          <w:szCs w:val="24"/>
        </w:rPr>
        <w:t>施</w:t>
      </w:r>
      <w:r>
        <w:rPr>
          <w:rFonts w:ascii="Times New Roman" w:hAnsi="Times New Roman"/>
          <w:sz w:val="24"/>
          <w:szCs w:val="24"/>
        </w:rPr>
        <w:t>工期工人不在项目现场食宿，生活污水仅为洗手及冲厕水。项目在公司CFB锅炉装置区内，装置内设有厕所，经化粪池处理后过污水管网排入公司污水处理厂处理，可以避免对附近地表水的影响。</w:t>
      </w:r>
    </w:p>
    <w:bookmarkEnd w:id="333"/>
    <w:p>
      <w:pPr>
        <w:pStyle w:val="6"/>
        <w:numPr>
          <w:ilvl w:val="1"/>
          <w:numId w:val="0"/>
        </w:numPr>
        <w:spacing w:before="156" w:after="156"/>
      </w:pPr>
      <w:bookmarkStart w:id="334" w:name="_Toc13373"/>
      <w:bookmarkStart w:id="335" w:name="_Toc29815"/>
      <w:bookmarkStart w:id="336" w:name="_Toc6662"/>
      <w:bookmarkStart w:id="337" w:name="_Toc17601"/>
      <w:bookmarkStart w:id="338" w:name="_Toc338230630"/>
      <w:r>
        <w:t>5.3 施工噪声</w:t>
      </w:r>
      <w:bookmarkEnd w:id="334"/>
      <w:bookmarkEnd w:id="335"/>
      <w:bookmarkEnd w:id="336"/>
      <w:bookmarkEnd w:id="337"/>
      <w:r>
        <w:t>影响分析</w:t>
      </w:r>
      <w:bookmarkStart w:id="339" w:name="_Toc5593"/>
      <w:bookmarkStart w:id="340" w:name="_Toc5026"/>
      <w:bookmarkStart w:id="341" w:name="_Toc21502"/>
      <w:bookmarkStart w:id="342" w:name="_Toc4775"/>
    </w:p>
    <w:p>
      <w:pPr>
        <w:spacing w:line="360" w:lineRule="auto"/>
        <w:ind w:firstLine="480" w:firstLineChars="200"/>
        <w:rPr>
          <w:rFonts w:ascii="Times New Roman" w:hAnsi="Times New Roman"/>
          <w:sz w:val="24"/>
          <w:szCs w:val="24"/>
        </w:rPr>
      </w:pPr>
      <w:r>
        <w:rPr>
          <w:rFonts w:ascii="Times New Roman" w:hAnsi="Times New Roman"/>
          <w:sz w:val="24"/>
          <w:szCs w:val="24"/>
        </w:rPr>
        <w:t>项目施工过程产生的噪声主要来自施工机械和运输车辆，施工机械和运输车辆的单体声级一般均在80dB(A)以上，施工机械和运输车辆的噪声将影响施工场地周围区域声环境质量，但本项目周围200m范围内没有环境敏感点，项目施工产生的噪声在可接受范围内。</w:t>
      </w:r>
    </w:p>
    <w:p>
      <w:pPr>
        <w:pStyle w:val="6"/>
        <w:numPr>
          <w:ilvl w:val="1"/>
          <w:numId w:val="0"/>
        </w:numPr>
        <w:spacing w:before="156" w:after="156"/>
      </w:pPr>
      <w:r>
        <w:t>5.4 施工期固废环境影响分析</w:t>
      </w:r>
      <w:bookmarkEnd w:id="339"/>
      <w:bookmarkEnd w:id="340"/>
      <w:bookmarkEnd w:id="341"/>
      <w:bookmarkEnd w:id="342"/>
    </w:p>
    <w:p>
      <w:pPr>
        <w:spacing w:line="480" w:lineRule="exact"/>
        <w:ind w:firstLine="480" w:firstLineChars="200"/>
        <w:rPr>
          <w:rFonts w:ascii="Times New Roman" w:hAnsi="Times New Roman"/>
          <w:sz w:val="24"/>
          <w:szCs w:val="24"/>
        </w:rPr>
      </w:pPr>
      <w:r>
        <w:rPr>
          <w:rFonts w:ascii="Times New Roman" w:hAnsi="Times New Roman"/>
          <w:sz w:val="24"/>
          <w:szCs w:val="24"/>
        </w:rPr>
        <w:t>本项目建设用地为三通一平场地，施工期主要固体废物为施工垃圾，少量弃土和生活垃圾。</w:t>
      </w:r>
    </w:p>
    <w:p>
      <w:pPr>
        <w:spacing w:line="480" w:lineRule="exact"/>
        <w:ind w:firstLine="480" w:firstLineChars="200"/>
        <w:rPr>
          <w:rFonts w:ascii="Times New Roman" w:hAnsi="Times New Roman"/>
          <w:sz w:val="24"/>
          <w:szCs w:val="24"/>
        </w:rPr>
      </w:pPr>
      <w:r>
        <w:rPr>
          <w:rFonts w:ascii="Times New Roman" w:hAnsi="Times New Roman"/>
          <w:sz w:val="24"/>
          <w:szCs w:val="24"/>
        </w:rPr>
        <w:t>（1）施工垃圾和弃土</w:t>
      </w:r>
    </w:p>
    <w:p>
      <w:pPr>
        <w:spacing w:line="480" w:lineRule="exact"/>
        <w:ind w:firstLine="480" w:firstLineChars="200"/>
        <w:rPr>
          <w:rFonts w:ascii="Times New Roman" w:hAnsi="Times New Roman"/>
          <w:sz w:val="24"/>
          <w:szCs w:val="24"/>
        </w:rPr>
      </w:pPr>
      <w:r>
        <w:rPr>
          <w:rFonts w:ascii="Times New Roman" w:hAnsi="Times New Roman"/>
          <w:sz w:val="24"/>
          <w:szCs w:val="24"/>
        </w:rPr>
        <w:t>本项目建筑施工垃圾包括结构工程阶段产生的混凝土碎块、废弃钢筋、施工下脚料、废弃建筑包装材料等。</w:t>
      </w:r>
    </w:p>
    <w:p>
      <w:pPr>
        <w:spacing w:line="480" w:lineRule="exact"/>
        <w:ind w:firstLine="480" w:firstLineChars="200"/>
        <w:rPr>
          <w:rFonts w:ascii="Times New Roman" w:hAnsi="Times New Roman"/>
          <w:sz w:val="24"/>
          <w:szCs w:val="24"/>
        </w:rPr>
      </w:pPr>
      <w:r>
        <w:rPr>
          <w:rFonts w:ascii="Times New Roman" w:hAnsi="Times New Roman"/>
          <w:sz w:val="24"/>
          <w:szCs w:val="24"/>
        </w:rPr>
        <w:t>对于可以回收的建筑垃圾如废钢、铁等，应集中收集送到回收站；不能回收利用的，不得随意堆放，应按有关规定报地方建设主管部门，将建筑废弃物堆放至指定地点；严禁将危险废物混入建筑垃圾中，也不允许将建筑垃圾混入生活垃圾。施工中产生的少量弃土可用于回填地基。其余建筑垃圾可送环卫部门指定地点堆存，基本上不会对环境产生明显影响。</w:t>
      </w:r>
    </w:p>
    <w:p>
      <w:pPr>
        <w:spacing w:line="480" w:lineRule="exact"/>
        <w:ind w:firstLine="480" w:firstLineChars="200"/>
        <w:rPr>
          <w:rFonts w:ascii="Times New Roman" w:hAnsi="Times New Roman"/>
          <w:sz w:val="24"/>
          <w:szCs w:val="24"/>
        </w:rPr>
      </w:pPr>
      <w:r>
        <w:rPr>
          <w:rFonts w:ascii="Times New Roman" w:hAnsi="Times New Roman"/>
          <w:sz w:val="24"/>
          <w:szCs w:val="24"/>
        </w:rPr>
        <w:t>（2）生活垃圾</w:t>
      </w:r>
    </w:p>
    <w:p>
      <w:pPr>
        <w:spacing w:line="480" w:lineRule="exact"/>
        <w:ind w:firstLine="480" w:firstLineChars="200"/>
        <w:rPr>
          <w:rFonts w:ascii="Times New Roman" w:hAnsi="Times New Roman"/>
          <w:sz w:val="24"/>
          <w:szCs w:val="24"/>
        </w:rPr>
      </w:pPr>
      <w:r>
        <w:rPr>
          <w:rFonts w:ascii="Times New Roman" w:hAnsi="Times New Roman"/>
          <w:sz w:val="24"/>
          <w:szCs w:val="24"/>
        </w:rPr>
        <w:t>施工人员产生的生活垃圾主要以有机类废物为主，主要包括易拉罐、矿泉水瓶、塑料袋、一次性饭盒、剩余食品等。由于这些生活垃圾的污染物含量很高，如处置不当，将会影响景观，散发恶臭，对周围环境造成不良影响。</w:t>
      </w:r>
    </w:p>
    <w:p>
      <w:pPr>
        <w:spacing w:line="480" w:lineRule="exact"/>
        <w:ind w:firstLine="480" w:firstLineChars="200"/>
        <w:rPr>
          <w:rFonts w:ascii="Times New Roman" w:hAnsi="Times New Roman"/>
          <w:sz w:val="24"/>
          <w:szCs w:val="24"/>
        </w:rPr>
      </w:pPr>
      <w:r>
        <w:rPr>
          <w:rFonts w:ascii="Times New Roman" w:hAnsi="Times New Roman"/>
          <w:sz w:val="24"/>
          <w:szCs w:val="24"/>
        </w:rPr>
        <w:t>施工人员的以上生活垃圾，须统一集中收集起来，交由环卫部门定期清运。</w:t>
      </w:r>
    </w:p>
    <w:bookmarkEnd w:id="338"/>
    <w:p>
      <w:pPr>
        <w:pStyle w:val="4"/>
        <w:numPr>
          <w:ilvl w:val="0"/>
          <w:numId w:val="0"/>
        </w:numPr>
        <w:tabs>
          <w:tab w:val="clear" w:pos="0"/>
        </w:tabs>
      </w:pPr>
      <w:bookmarkStart w:id="343" w:name="_Toc15625"/>
      <w:bookmarkStart w:id="344" w:name="_Toc306034553"/>
      <w:bookmarkStart w:id="345" w:name="_Toc304810303"/>
      <w:bookmarkStart w:id="346" w:name="_Toc12549"/>
      <w:bookmarkStart w:id="347" w:name="_Toc260215160"/>
      <w:bookmarkStart w:id="348" w:name="_Toc6710"/>
      <w:bookmarkStart w:id="349" w:name="_Toc11552"/>
      <w:bookmarkStart w:id="350" w:name="_Toc280188843"/>
      <w:bookmarkStart w:id="351" w:name="_Toc219258532"/>
      <w:bookmarkStart w:id="352" w:name="_Toc220122818"/>
      <w:r>
        <w:t>6. 运营期环境影响预测与评价</w:t>
      </w:r>
      <w:bookmarkEnd w:id="343"/>
      <w:bookmarkEnd w:id="344"/>
      <w:bookmarkEnd w:id="345"/>
      <w:bookmarkEnd w:id="346"/>
      <w:bookmarkEnd w:id="347"/>
      <w:bookmarkEnd w:id="348"/>
      <w:bookmarkEnd w:id="349"/>
      <w:bookmarkEnd w:id="350"/>
    </w:p>
    <w:p>
      <w:pPr>
        <w:widowControl/>
        <w:spacing w:before="78" w:beforeLines="25" w:after="78" w:afterLines="25" w:line="360" w:lineRule="auto"/>
        <w:jc w:val="left"/>
        <w:outlineLvl w:val="1"/>
        <w:rPr>
          <w:rFonts w:ascii="Times New Roman" w:hAnsi="Times New Roman"/>
          <w:b/>
          <w:kern w:val="0"/>
          <w:sz w:val="30"/>
          <w:szCs w:val="30"/>
        </w:rPr>
      </w:pPr>
      <w:bookmarkStart w:id="353" w:name="_Toc30108306"/>
      <w:bookmarkStart w:id="354" w:name="_Toc27845"/>
      <w:bookmarkStart w:id="355" w:name="_Toc1062"/>
      <w:bookmarkStart w:id="356" w:name="_Toc15853"/>
      <w:bookmarkStart w:id="357" w:name="_Toc12613"/>
      <w:bookmarkStart w:id="358" w:name="_Toc292806833"/>
      <w:bookmarkStart w:id="359" w:name="_Toc280188851"/>
      <w:r>
        <w:rPr>
          <w:rFonts w:ascii="Times New Roman" w:hAnsi="Times New Roman"/>
          <w:b/>
          <w:kern w:val="0"/>
          <w:sz w:val="30"/>
          <w:szCs w:val="30"/>
        </w:rPr>
        <w:t>6.1营运期大气环境影响预测与评价</w:t>
      </w:r>
      <w:bookmarkEnd w:id="353"/>
    </w:p>
    <w:p>
      <w:pPr>
        <w:widowControl/>
        <w:adjustRightInd w:val="0"/>
        <w:spacing w:before="78" w:beforeLines="25" w:after="78"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6.1.1气象分析</w:t>
      </w:r>
    </w:p>
    <w:p>
      <w:pPr>
        <w:widowControl/>
        <w:tabs>
          <w:tab w:val="left" w:pos="567"/>
          <w:tab w:val="left" w:pos="851"/>
        </w:tabs>
        <w:adjustRightInd w:val="0"/>
        <w:spacing w:before="78" w:beforeLines="25" w:after="78" w:afterLines="25" w:line="360" w:lineRule="auto"/>
        <w:jc w:val="left"/>
        <w:outlineLvl w:val="3"/>
        <w:rPr>
          <w:rFonts w:ascii="Times New Roman" w:hAnsi="Times New Roman"/>
          <w:b/>
          <w:kern w:val="0"/>
          <w:sz w:val="28"/>
          <w:szCs w:val="28"/>
        </w:rPr>
      </w:pPr>
      <w:r>
        <w:rPr>
          <w:rFonts w:ascii="Times New Roman" w:hAnsi="Times New Roman"/>
          <w:b/>
          <w:kern w:val="0"/>
          <w:sz w:val="28"/>
          <w:szCs w:val="28"/>
        </w:rPr>
        <w:t>6.1.1.1多年气象特征分析</w:t>
      </w:r>
    </w:p>
    <w:p>
      <w:pPr>
        <w:spacing w:line="360" w:lineRule="auto"/>
        <w:ind w:firstLine="480" w:firstLineChars="200"/>
        <w:rPr>
          <w:rFonts w:ascii="Times New Roman" w:hAnsi="Times New Roman"/>
        </w:rPr>
      </w:pPr>
      <w:r>
        <w:rPr>
          <w:rFonts w:ascii="Times New Roman" w:hAnsi="Times New Roman"/>
          <w:sz w:val="24"/>
          <w:szCs w:val="24"/>
          <w:lang w:val="zh-TW"/>
        </w:rPr>
        <w:t>本项目位于中国石油化工股份有限公司长岭分公司现有厂区内，本评价地面气象数据采用北京尚云环境有限公司提供的经气象部分授权的岳阳气象站（57584）的数据。根据岳阳气象站1998~2017年气象数据统计分析，常规气象项目统计具体情况如下。</w:t>
      </w: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表6.1.1.1-1岳阳气象站常规气象项目统计（1998-2017）</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
      <w:tblGrid>
        <w:gridCol w:w="1297"/>
        <w:gridCol w:w="2830"/>
        <w:gridCol w:w="1740"/>
        <w:gridCol w:w="1586"/>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tblHeader/>
          <w:jc w:val="center"/>
        </w:trPr>
        <w:tc>
          <w:tcPr>
            <w:tcW w:w="4127" w:type="dxa"/>
            <w:gridSpan w:val="2"/>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b/>
                <w:color w:val="auto"/>
                <w:lang w:eastAsia="en-US"/>
              </w:rPr>
            </w:pPr>
            <w:r>
              <w:rPr>
                <w:rFonts w:eastAsia="宋体" w:cs="Times New Roman"/>
                <w:b/>
                <w:color w:val="auto"/>
                <w:lang w:val="zh-TW" w:eastAsia="zh-TW"/>
              </w:rPr>
              <w:t>统计项目</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b/>
                <w:color w:val="auto"/>
                <w:lang w:eastAsia="en-US"/>
              </w:rPr>
            </w:pPr>
            <w:r>
              <w:rPr>
                <w:rFonts w:eastAsia="宋体" w:cs="Times New Roman"/>
                <w:b/>
                <w:color w:val="auto"/>
                <w:lang w:val="zh-TW" w:eastAsia="zh-TW"/>
              </w:rPr>
              <w:t>统计值</w:t>
            </w:r>
          </w:p>
        </w:tc>
        <w:tc>
          <w:tcPr>
            <w:tcW w:w="1586"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b/>
                <w:color w:val="auto"/>
                <w:lang w:eastAsia="en-US"/>
              </w:rPr>
            </w:pPr>
            <w:r>
              <w:rPr>
                <w:rFonts w:eastAsia="宋体" w:cs="Times New Roman"/>
                <w:b/>
                <w:color w:val="auto"/>
                <w:lang w:val="zh-TW" w:eastAsia="zh-TW"/>
              </w:rPr>
              <w:t>极值出现时间</w:t>
            </w:r>
          </w:p>
        </w:tc>
        <w:tc>
          <w:tcPr>
            <w:tcW w:w="1445"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b/>
                <w:color w:val="auto"/>
                <w:lang w:eastAsia="en-US"/>
              </w:rPr>
            </w:pPr>
            <w:r>
              <w:rPr>
                <w:rFonts w:eastAsia="宋体" w:cs="Times New Roman"/>
                <w:b/>
                <w:color w:val="auto"/>
                <w:lang w:val="zh-TW" w:eastAsia="zh-TW"/>
              </w:rPr>
              <w:t>极值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多年平均气温（</w:t>
            </w:r>
            <w:r>
              <w:rPr>
                <w:rFonts w:eastAsia="宋体" w:cs="Times New Roman"/>
                <w:color w:val="auto"/>
                <w:lang w:eastAsia="en-US"/>
              </w:rPr>
              <w:t>℃</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17.9</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累年极端最高气温（</w:t>
            </w:r>
            <w:r>
              <w:rPr>
                <w:rFonts w:eastAsia="宋体" w:cs="Times New Roman"/>
                <w:color w:val="auto"/>
              </w:rPr>
              <w:t>℃</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36.7</w:t>
            </w:r>
          </w:p>
        </w:tc>
        <w:tc>
          <w:tcPr>
            <w:tcW w:w="1586" w:type="dxa"/>
            <w:shd w:val="clear" w:color="auto" w:fill="auto"/>
            <w:tcMar>
              <w:top w:w="80" w:type="dxa"/>
              <w:left w:w="80" w:type="dxa"/>
              <w:bottom w:w="80" w:type="dxa"/>
              <w:right w:w="80" w:type="dxa"/>
            </w:tcMar>
            <w:vAlign w:val="center"/>
          </w:tcPr>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lang w:eastAsia="en-US"/>
              </w:rPr>
            </w:pPr>
            <w:r>
              <w:rPr>
                <w:rFonts w:ascii="Times New Roman" w:hAnsi="Times New Roman" w:eastAsia="宋体" w:cs="Times New Roman"/>
                <w:color w:val="auto"/>
                <w:sz w:val="21"/>
                <w:szCs w:val="21"/>
                <w:lang w:eastAsia="en-US"/>
              </w:rPr>
              <w:t>2009-07-19</w:t>
            </w:r>
          </w:p>
        </w:tc>
        <w:tc>
          <w:tcPr>
            <w:tcW w:w="1445" w:type="dxa"/>
            <w:shd w:val="clear" w:color="auto" w:fill="auto"/>
            <w:tcMar>
              <w:top w:w="80" w:type="dxa"/>
              <w:left w:w="80" w:type="dxa"/>
              <w:bottom w:w="80" w:type="dxa"/>
              <w:right w:w="80" w:type="dxa"/>
            </w:tcMar>
            <w:vAlign w:val="center"/>
          </w:tcPr>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lang w:eastAsia="en-US"/>
              </w:rPr>
            </w:pPr>
            <w:r>
              <w:rPr>
                <w:rFonts w:ascii="Times New Roman" w:hAnsi="Times New Roman" w:eastAsia="宋体" w:cs="Times New Roman"/>
                <w:color w:val="auto"/>
                <w:sz w:val="21"/>
                <w:szCs w:val="21"/>
                <w:lang w:eastAsia="en-US"/>
              </w:rPr>
              <w:t>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累年极端最低气温（</w:t>
            </w:r>
            <w:r>
              <w:rPr>
                <w:rFonts w:eastAsia="宋体" w:cs="Times New Roman"/>
                <w:color w:val="auto"/>
              </w:rPr>
              <w:t>℃</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-2.4</w:t>
            </w:r>
          </w:p>
        </w:tc>
        <w:tc>
          <w:tcPr>
            <w:tcW w:w="1586" w:type="dxa"/>
            <w:shd w:val="clear" w:color="auto" w:fill="auto"/>
            <w:tcMar>
              <w:top w:w="80" w:type="dxa"/>
              <w:left w:w="80" w:type="dxa"/>
              <w:bottom w:w="80" w:type="dxa"/>
              <w:right w:w="80" w:type="dxa"/>
            </w:tcMar>
            <w:vAlign w:val="center"/>
          </w:tcPr>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lang w:eastAsia="en-US"/>
              </w:rPr>
            </w:pPr>
            <w:r>
              <w:rPr>
                <w:rFonts w:ascii="Times New Roman" w:hAnsi="Times New Roman" w:eastAsia="宋体" w:cs="Times New Roman"/>
                <w:color w:val="auto"/>
                <w:sz w:val="21"/>
                <w:szCs w:val="21"/>
                <w:lang w:eastAsia="en-US"/>
              </w:rPr>
              <w:t>2013-01-04</w:t>
            </w:r>
          </w:p>
        </w:tc>
        <w:tc>
          <w:tcPr>
            <w:tcW w:w="1445"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多年平均气压（</w:t>
            </w:r>
            <w:r>
              <w:rPr>
                <w:rFonts w:eastAsia="宋体" w:cs="Times New Roman"/>
                <w:color w:val="auto"/>
              </w:rPr>
              <w:t>hPa</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1009.7</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多年平均水汽压（</w:t>
            </w:r>
            <w:r>
              <w:rPr>
                <w:rFonts w:eastAsia="宋体" w:cs="Times New Roman"/>
                <w:color w:val="auto"/>
              </w:rPr>
              <w:t>hPa</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17.3</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多年平均相对湿度</w:t>
            </w:r>
            <w:r>
              <w:rPr>
                <w:rFonts w:eastAsia="宋体" w:cs="Times New Roman"/>
                <w:color w:val="auto"/>
                <w:lang w:eastAsia="en-US"/>
              </w:rPr>
              <w:t>(%)</w:t>
            </w:r>
          </w:p>
        </w:tc>
        <w:tc>
          <w:tcPr>
            <w:tcW w:w="1740"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r>
              <w:rPr>
                <w:rFonts w:ascii="Times New Roman" w:hAnsi="Times New Roman"/>
                <w:szCs w:val="21"/>
              </w:rPr>
              <w:t>75.5</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多年平均降雨量</w:t>
            </w:r>
            <w:r>
              <w:rPr>
                <w:rFonts w:eastAsia="宋体" w:cs="Times New Roman"/>
                <w:color w:val="auto"/>
                <w:lang w:eastAsia="en-US"/>
              </w:rPr>
              <w:t>(mm)</w:t>
            </w:r>
          </w:p>
        </w:tc>
        <w:tc>
          <w:tcPr>
            <w:tcW w:w="1740"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r>
              <w:rPr>
                <w:rFonts w:ascii="Times New Roman" w:hAnsi="Times New Roman"/>
                <w:szCs w:val="21"/>
              </w:rPr>
              <w:t>1380.6</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r>
              <w:rPr>
                <w:rFonts w:ascii="Times New Roman" w:hAnsi="Times New Roman"/>
                <w:szCs w:val="21"/>
              </w:rPr>
              <w:t>2017-06-23</w:t>
            </w:r>
          </w:p>
        </w:tc>
        <w:tc>
          <w:tcPr>
            <w:tcW w:w="1445"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239.0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1297" w:type="dxa"/>
            <w:vMerge w:val="restart"/>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灾害天气统计</w:t>
            </w:r>
          </w:p>
        </w:tc>
        <w:tc>
          <w:tcPr>
            <w:tcW w:w="2830" w:type="dxa"/>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多年平均沙暴日数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0.0</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1297" w:type="dxa"/>
            <w:vMerge w:val="continue"/>
            <w:shd w:val="clear" w:color="auto" w:fill="FFFFFF"/>
            <w:vAlign w:val="center"/>
          </w:tcPr>
          <w:p>
            <w:pPr>
              <w:autoSpaceDE w:val="0"/>
              <w:autoSpaceDN w:val="0"/>
              <w:adjustRightInd w:val="0"/>
              <w:snapToGrid w:val="0"/>
              <w:jc w:val="center"/>
              <w:rPr>
                <w:rFonts w:ascii="Times New Roman" w:hAnsi="Times New Roman"/>
              </w:rPr>
            </w:pPr>
          </w:p>
        </w:tc>
        <w:tc>
          <w:tcPr>
            <w:tcW w:w="2830" w:type="dxa"/>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多年平均雷暴日数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24.0</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1297" w:type="dxa"/>
            <w:vMerge w:val="continue"/>
            <w:shd w:val="clear" w:color="auto" w:fill="FFFFFF"/>
            <w:vAlign w:val="center"/>
          </w:tcPr>
          <w:p>
            <w:pPr>
              <w:autoSpaceDE w:val="0"/>
              <w:autoSpaceDN w:val="0"/>
              <w:adjustRightInd w:val="0"/>
              <w:snapToGrid w:val="0"/>
              <w:jc w:val="center"/>
              <w:rPr>
                <w:rFonts w:ascii="Times New Roman" w:hAnsi="Times New Roman"/>
              </w:rPr>
            </w:pPr>
          </w:p>
        </w:tc>
        <w:tc>
          <w:tcPr>
            <w:tcW w:w="2830" w:type="dxa"/>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多年平均冰雹日数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0.4</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1297" w:type="dxa"/>
            <w:vMerge w:val="continue"/>
            <w:shd w:val="clear" w:color="auto" w:fill="FFFFFF"/>
            <w:vAlign w:val="center"/>
          </w:tcPr>
          <w:p>
            <w:pPr>
              <w:autoSpaceDE w:val="0"/>
              <w:autoSpaceDN w:val="0"/>
              <w:adjustRightInd w:val="0"/>
              <w:snapToGrid w:val="0"/>
              <w:jc w:val="center"/>
              <w:rPr>
                <w:rFonts w:ascii="Times New Roman" w:hAnsi="Times New Roman"/>
              </w:rPr>
            </w:pPr>
          </w:p>
        </w:tc>
        <w:tc>
          <w:tcPr>
            <w:tcW w:w="2830" w:type="dxa"/>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val="zh-TW" w:eastAsia="zh-TW"/>
              </w:rPr>
              <w:t>多年平均大风日数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3.1</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多年实测极大风速（</w:t>
            </w:r>
            <w:r>
              <w:rPr>
                <w:rFonts w:eastAsia="宋体" w:cs="Times New Roman"/>
                <w:color w:val="auto"/>
              </w:rPr>
              <w:t>m/s</w:t>
            </w:r>
            <w:r>
              <w:rPr>
                <w:rFonts w:eastAsia="宋体" w:cs="Times New Roman"/>
                <w:color w:val="auto"/>
                <w:lang w:val="zh-TW" w:eastAsia="zh-TW"/>
              </w:rPr>
              <w:t>）、相应风向</w:t>
            </w:r>
          </w:p>
        </w:tc>
        <w:tc>
          <w:tcPr>
            <w:tcW w:w="1740"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8.2</w:t>
            </w:r>
          </w:p>
        </w:tc>
        <w:tc>
          <w:tcPr>
            <w:tcW w:w="1586" w:type="dxa"/>
            <w:shd w:val="clear" w:color="auto" w:fill="auto"/>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eastAsia="en-US"/>
              </w:rPr>
            </w:pPr>
            <w:r>
              <w:rPr>
                <w:rFonts w:eastAsia="宋体" w:cs="Times New Roman"/>
                <w:color w:val="auto"/>
                <w:lang w:eastAsia="en-US"/>
              </w:rPr>
              <w:t>2002-04-04</w:t>
            </w:r>
          </w:p>
        </w:tc>
        <w:tc>
          <w:tcPr>
            <w:tcW w:w="1445" w:type="dxa"/>
            <w:shd w:val="clear" w:color="auto" w:fill="auto"/>
            <w:tcMar>
              <w:top w:w="80" w:type="dxa"/>
              <w:left w:w="80" w:type="dxa"/>
              <w:bottom w:w="80" w:type="dxa"/>
              <w:right w:w="80" w:type="dxa"/>
            </w:tcMar>
            <w:vAlign w:val="center"/>
          </w:tcPr>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29.8</w:t>
            </w:r>
          </w:p>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lang w:eastAsia="en-US"/>
              </w:rPr>
            </w:pPr>
            <w:r>
              <w:rPr>
                <w:rFonts w:ascii="Times New Roman" w:hAnsi="Times New Roman" w:eastAsia="宋体" w:cs="Times New Roman"/>
                <w:color w:val="auto"/>
                <w:sz w:val="21"/>
                <w:szCs w:val="21"/>
                <w:lang w:eastAsia="en-US"/>
              </w:rPr>
              <w:t>WNW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多年平均风速（</w:t>
            </w:r>
            <w:r>
              <w:rPr>
                <w:rFonts w:eastAsia="宋体" w:cs="Times New Roman"/>
                <w:color w:val="auto"/>
              </w:rPr>
              <w:t>m/s</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r>
              <w:rPr>
                <w:rFonts w:ascii="Times New Roman" w:hAnsi="Times New Roman"/>
                <w:szCs w:val="21"/>
              </w:rPr>
              <w:t>2.6</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rPr>
            </w:pPr>
            <w:r>
              <w:rPr>
                <w:rFonts w:eastAsia="宋体" w:cs="Times New Roman"/>
                <w:color w:val="auto"/>
                <w:lang w:val="zh-TW" w:eastAsia="zh-TW"/>
              </w:rPr>
              <w:t>多年主导风向、风向频率</w:t>
            </w:r>
            <w:r>
              <w:rPr>
                <w:rFonts w:eastAsia="宋体" w:cs="Times New Roman"/>
                <w:color w:val="auto"/>
              </w:rPr>
              <w:t>(%)</w:t>
            </w:r>
          </w:p>
        </w:tc>
        <w:tc>
          <w:tcPr>
            <w:tcW w:w="1740" w:type="dxa"/>
            <w:shd w:val="clear" w:color="auto" w:fill="auto"/>
            <w:tcMar>
              <w:top w:w="80" w:type="dxa"/>
              <w:left w:w="80" w:type="dxa"/>
              <w:bottom w:w="80" w:type="dxa"/>
              <w:right w:w="80" w:type="dxa"/>
            </w:tcMar>
            <w:vAlign w:val="center"/>
          </w:tcPr>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eastAsia="en-US"/>
              </w:rPr>
              <w:t>NNE</w:t>
            </w:r>
          </w:p>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lang w:eastAsia="en-US"/>
              </w:rPr>
            </w:pPr>
            <w:r>
              <w:rPr>
                <w:rFonts w:ascii="Times New Roman" w:hAnsi="Times New Roman" w:eastAsia="宋体" w:cs="Times New Roman"/>
                <w:color w:val="auto"/>
                <w:sz w:val="21"/>
                <w:szCs w:val="21"/>
                <w:lang w:eastAsia="en-US"/>
              </w:rPr>
              <w:t>16.5</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0" w:type="dxa"/>
            <w:bottom w:w="0" w:type="dxa"/>
            <w:right w:w="0" w:type="dxa"/>
          </w:tblCellMar>
        </w:tblPrEx>
        <w:trPr>
          <w:trHeight w:val="340" w:hRule="exact"/>
          <w:jc w:val="center"/>
        </w:trPr>
        <w:tc>
          <w:tcPr>
            <w:tcW w:w="4127" w:type="dxa"/>
            <w:gridSpan w:val="2"/>
            <w:shd w:val="clear" w:color="auto" w:fill="FFFFFF"/>
            <w:tcMar>
              <w:top w:w="80" w:type="dxa"/>
              <w:left w:w="80" w:type="dxa"/>
              <w:bottom w:w="80" w:type="dxa"/>
              <w:right w:w="80" w:type="dxa"/>
            </w:tcMar>
            <w:vAlign w:val="center"/>
          </w:tcPr>
          <w:p>
            <w:pPr>
              <w:pStyle w:val="303"/>
              <w:autoSpaceDE w:val="0"/>
              <w:autoSpaceDN w:val="0"/>
              <w:adjustRightInd w:val="0"/>
              <w:snapToGrid w:val="0"/>
              <w:jc w:val="center"/>
              <w:rPr>
                <w:rFonts w:eastAsia="宋体" w:cs="Times New Roman"/>
                <w:color w:val="auto"/>
                <w:lang w:val="zh-TW" w:eastAsia="zh-TW"/>
              </w:rPr>
            </w:pPr>
            <w:r>
              <w:rPr>
                <w:rFonts w:eastAsia="宋体" w:cs="Times New Roman"/>
                <w:color w:val="auto"/>
                <w:lang w:val="zh-TW" w:eastAsia="zh-TW"/>
              </w:rPr>
              <w:t>多年静风频率(风速&lt;0.2m/s)</w:t>
            </w:r>
            <w:r>
              <w:rPr>
                <w:rFonts w:eastAsia="宋体" w:cs="Times New Roman"/>
                <w:color w:val="auto"/>
              </w:rPr>
              <w:t>(%)</w:t>
            </w:r>
          </w:p>
        </w:tc>
        <w:tc>
          <w:tcPr>
            <w:tcW w:w="1740" w:type="dxa"/>
            <w:shd w:val="clear" w:color="auto" w:fill="auto"/>
            <w:tcMar>
              <w:top w:w="80" w:type="dxa"/>
              <w:left w:w="80" w:type="dxa"/>
              <w:bottom w:w="80" w:type="dxa"/>
              <w:right w:w="80" w:type="dxa"/>
            </w:tcMar>
            <w:vAlign w:val="center"/>
          </w:tcPr>
          <w:p>
            <w:pPr>
              <w:pStyle w:val="304"/>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hAnsi="Times New Roman" w:eastAsia="宋体" w:cs="Times New Roman"/>
                <w:color w:val="auto"/>
                <w:sz w:val="21"/>
                <w:szCs w:val="21"/>
                <w:lang w:eastAsia="en-US"/>
              </w:rPr>
            </w:pPr>
            <w:r>
              <w:rPr>
                <w:rFonts w:ascii="Times New Roman" w:hAnsi="Times New Roman" w:eastAsia="宋体" w:cs="Times New Roman"/>
                <w:color w:val="auto"/>
                <w:sz w:val="21"/>
                <w:szCs w:val="21"/>
                <w:lang w:val="zh-TW" w:eastAsia="zh-TW"/>
              </w:rPr>
              <w:t>6.0</w:t>
            </w:r>
          </w:p>
        </w:tc>
        <w:tc>
          <w:tcPr>
            <w:tcW w:w="1586"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c>
          <w:tcPr>
            <w:tcW w:w="1445" w:type="dxa"/>
            <w:shd w:val="clear" w:color="auto" w:fill="auto"/>
            <w:tcMar>
              <w:top w:w="80" w:type="dxa"/>
              <w:left w:w="80" w:type="dxa"/>
              <w:bottom w:w="80" w:type="dxa"/>
              <w:right w:w="80" w:type="dxa"/>
            </w:tcMar>
            <w:vAlign w:val="center"/>
          </w:tcPr>
          <w:p>
            <w:pPr>
              <w:autoSpaceDE w:val="0"/>
              <w:autoSpaceDN w:val="0"/>
              <w:adjustRightInd w:val="0"/>
              <w:snapToGrid w:val="0"/>
              <w:jc w:val="center"/>
              <w:rPr>
                <w:rFonts w:ascii="Times New Roman" w:hAnsi="Times New Roman"/>
              </w:rPr>
            </w:pPr>
          </w:p>
        </w:tc>
      </w:tr>
    </w:tbl>
    <w:p>
      <w:pPr>
        <w:pStyle w:val="303"/>
        <w:ind w:left="756" w:hanging="756"/>
        <w:jc w:val="center"/>
        <w:rPr>
          <w:rFonts w:eastAsia="宋体" w:cs="Times New Roman"/>
          <w:color w:val="auto"/>
          <w:kern w:val="0"/>
        </w:rPr>
      </w:pPr>
    </w:p>
    <w:p>
      <w:pPr>
        <w:spacing w:line="360" w:lineRule="auto"/>
        <w:ind w:firstLine="480" w:firstLineChars="200"/>
        <w:rPr>
          <w:rFonts w:ascii="Times New Roman" w:hAnsi="Times New Roman"/>
          <w:sz w:val="24"/>
        </w:rPr>
      </w:pPr>
      <w:r>
        <w:rPr>
          <w:rFonts w:ascii="Times New Roman" w:hAnsi="Times New Roman"/>
          <w:sz w:val="24"/>
        </w:rPr>
        <w:t>1、风速</w:t>
      </w:r>
    </w:p>
    <w:p>
      <w:pPr>
        <w:spacing w:line="360" w:lineRule="auto"/>
        <w:ind w:firstLine="480" w:firstLineChars="200"/>
        <w:rPr>
          <w:rFonts w:ascii="Times New Roman" w:hAnsi="Times New Roman"/>
          <w:sz w:val="24"/>
        </w:rPr>
      </w:pPr>
      <w:r>
        <w:rPr>
          <w:rFonts w:ascii="Times New Roman" w:hAnsi="Times New Roman"/>
          <w:sz w:val="24"/>
        </w:rPr>
        <w:t>岳阳气象站月平均风速如下表，07月平均风速最大（3.04米/秒），06月风最小（2.33米/秒）。</w:t>
      </w: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表6.1.1.1-2岳阳气象站月平均风速统计（单位m/s）</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658"/>
        <w:gridCol w:w="654"/>
        <w:gridCol w:w="653"/>
        <w:gridCol w:w="655"/>
        <w:gridCol w:w="653"/>
        <w:gridCol w:w="655"/>
        <w:gridCol w:w="657"/>
        <w:gridCol w:w="653"/>
        <w:gridCol w:w="653"/>
        <w:gridCol w:w="653"/>
        <w:gridCol w:w="651"/>
        <w:gridCol w:w="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 w:hRule="atLeast"/>
          <w:jc w:val="center"/>
        </w:trPr>
        <w:tc>
          <w:tcPr>
            <w:tcW w:w="1025" w:type="dxa"/>
            <w:shd w:val="clear" w:color="auto" w:fill="FFFFFF"/>
            <w:tcMar>
              <w:top w:w="80" w:type="dxa"/>
              <w:left w:w="80" w:type="dxa"/>
              <w:bottom w:w="80" w:type="dxa"/>
              <w:right w:w="80" w:type="dxa"/>
            </w:tcMar>
            <w:vAlign w:val="center"/>
          </w:tcPr>
          <w:p>
            <w:pPr>
              <w:jc w:val="center"/>
              <w:rPr>
                <w:rFonts w:ascii="Times New Roman" w:hAnsi="Times New Roman"/>
                <w:snapToGrid w:val="0"/>
                <w:kern w:val="24"/>
                <w:szCs w:val="21"/>
              </w:rPr>
            </w:pPr>
            <w:r>
              <w:rPr>
                <w:rFonts w:ascii="Times New Roman" w:hAnsi="Times New Roman"/>
                <w:snapToGrid w:val="0"/>
                <w:kern w:val="24"/>
                <w:szCs w:val="21"/>
              </w:rPr>
              <w:t>月份</w:t>
            </w:r>
          </w:p>
        </w:tc>
        <w:tc>
          <w:tcPr>
            <w:tcW w:w="658"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1</w:t>
            </w:r>
          </w:p>
        </w:tc>
        <w:tc>
          <w:tcPr>
            <w:tcW w:w="654"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3</w:t>
            </w:r>
          </w:p>
        </w:tc>
        <w:tc>
          <w:tcPr>
            <w:tcW w:w="655"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4</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5</w:t>
            </w:r>
          </w:p>
        </w:tc>
        <w:tc>
          <w:tcPr>
            <w:tcW w:w="655"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6</w:t>
            </w:r>
          </w:p>
        </w:tc>
        <w:tc>
          <w:tcPr>
            <w:tcW w:w="657"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7</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8</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9</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10</w:t>
            </w:r>
          </w:p>
        </w:tc>
        <w:tc>
          <w:tcPr>
            <w:tcW w:w="651"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11</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025" w:type="dxa"/>
            <w:shd w:val="clear" w:color="auto" w:fill="FFFFFF"/>
            <w:tcMar>
              <w:top w:w="80" w:type="dxa"/>
              <w:left w:w="80" w:type="dxa"/>
              <w:bottom w:w="80" w:type="dxa"/>
              <w:right w:w="80" w:type="dxa"/>
            </w:tcMar>
            <w:vAlign w:val="center"/>
          </w:tcPr>
          <w:p>
            <w:pPr>
              <w:jc w:val="center"/>
              <w:rPr>
                <w:rFonts w:ascii="Times New Roman" w:hAnsi="Times New Roman"/>
                <w:snapToGrid w:val="0"/>
                <w:kern w:val="24"/>
                <w:szCs w:val="21"/>
              </w:rPr>
            </w:pPr>
            <w:r>
              <w:rPr>
                <w:rFonts w:ascii="Times New Roman" w:hAnsi="Times New Roman"/>
                <w:snapToGrid w:val="0"/>
                <w:kern w:val="24"/>
                <w:szCs w:val="21"/>
              </w:rPr>
              <w:t>平均风速</w:t>
            </w:r>
          </w:p>
        </w:tc>
        <w:tc>
          <w:tcPr>
            <w:tcW w:w="658"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2.5</w:t>
            </w:r>
          </w:p>
        </w:tc>
        <w:tc>
          <w:tcPr>
            <w:tcW w:w="654"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2.7</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2.7</w:t>
            </w:r>
          </w:p>
        </w:tc>
        <w:tc>
          <w:tcPr>
            <w:tcW w:w="655"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2.8</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2.6</w:t>
            </w:r>
          </w:p>
        </w:tc>
        <w:tc>
          <w:tcPr>
            <w:tcW w:w="655"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2.3</w:t>
            </w:r>
          </w:p>
        </w:tc>
        <w:tc>
          <w:tcPr>
            <w:tcW w:w="657"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3.0</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2.8</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2.6</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2.4</w:t>
            </w:r>
          </w:p>
        </w:tc>
        <w:tc>
          <w:tcPr>
            <w:tcW w:w="651"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2.4</w:t>
            </w:r>
          </w:p>
        </w:tc>
        <w:tc>
          <w:tcPr>
            <w:tcW w:w="653" w:type="dxa"/>
            <w:vAlign w:val="center"/>
          </w:tcPr>
          <w:p>
            <w:pPr>
              <w:jc w:val="center"/>
              <w:rPr>
                <w:rFonts w:ascii="Times New Roman" w:hAnsi="Times New Roman"/>
                <w:snapToGrid w:val="0"/>
                <w:kern w:val="24"/>
                <w:szCs w:val="21"/>
              </w:rPr>
            </w:pPr>
            <w:r>
              <w:rPr>
                <w:rFonts w:ascii="Times New Roman" w:hAnsi="Times New Roman"/>
                <w:snapToGrid w:val="0"/>
                <w:kern w:val="24"/>
                <w:szCs w:val="21"/>
              </w:rPr>
              <w:t>2.5</w:t>
            </w:r>
          </w:p>
        </w:tc>
      </w:tr>
    </w:tbl>
    <w:p>
      <w:pPr>
        <w:spacing w:line="360" w:lineRule="auto"/>
        <w:ind w:firstLine="480" w:firstLineChars="200"/>
        <w:rPr>
          <w:rFonts w:ascii="Times New Roman" w:hAnsi="Times New Roman"/>
          <w:sz w:val="24"/>
        </w:rPr>
      </w:pPr>
      <w:r>
        <w:rPr>
          <w:rFonts w:ascii="Times New Roman" w:hAnsi="Times New Roman"/>
          <w:sz w:val="24"/>
        </w:rPr>
        <w:t>2、风向</w:t>
      </w:r>
    </w:p>
    <w:p>
      <w:pPr>
        <w:spacing w:line="360" w:lineRule="auto"/>
        <w:ind w:firstLine="480" w:firstLineChars="200"/>
        <w:rPr>
          <w:rFonts w:ascii="Times New Roman" w:hAnsi="Times New Roman"/>
          <w:sz w:val="24"/>
        </w:rPr>
      </w:pPr>
      <w:r>
        <w:rPr>
          <w:rFonts w:ascii="Times New Roman" w:hAnsi="Times New Roman"/>
          <w:sz w:val="24"/>
        </w:rPr>
        <w:t>近20年资料分析的风向玫瑰图下图所示，岳阳气象站主要风向为NNE和N、NE、S，占48.9％，其中以NNE为主风向，占到全年16.5％左右。</w:t>
      </w:r>
    </w:p>
    <w:p>
      <w:pPr>
        <w:pStyle w:val="305"/>
        <w:jc w:val="center"/>
        <w:rPr>
          <w:rFonts w:eastAsia="宋体" w:cs="Times New Roman"/>
          <w:color w:val="auto"/>
        </w:rPr>
      </w:pPr>
      <w:r>
        <w:rPr>
          <w:rFonts w:eastAsia="宋体" w:cs="Times New Roman"/>
          <w:color w:val="auto"/>
        </w:rPr>
        <w:drawing>
          <wp:inline distT="0" distB="0" distL="114300" distR="114300">
            <wp:extent cx="4455160" cy="3357880"/>
            <wp:effectExtent l="0" t="0" r="2540" b="13970"/>
            <wp:docPr id="69" name="图片 3" descr="说明: 说明: 57584_wf_avg_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说明: 说明: 57584_wf_avg_year.png"/>
                    <pic:cNvPicPr>
                      <a:picLocks noChangeAspect="1"/>
                    </pic:cNvPicPr>
                  </pic:nvPicPr>
                  <pic:blipFill>
                    <a:blip r:embed="rId30"/>
                    <a:stretch>
                      <a:fillRect/>
                    </a:stretch>
                  </pic:blipFill>
                  <pic:spPr>
                    <a:xfrm>
                      <a:off x="0" y="0"/>
                      <a:ext cx="4455160" cy="3357880"/>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b/>
          <w:sz w:val="24"/>
          <w:szCs w:val="20"/>
        </w:rPr>
      </w:pPr>
      <w:r>
        <w:rPr>
          <w:rFonts w:ascii="Times New Roman" w:hAnsi="Times New Roman" w:cs="Times New Roman"/>
          <w:b/>
          <w:sz w:val="24"/>
          <w:szCs w:val="20"/>
        </w:rPr>
        <w:t>图6.1.1.1 岳阳风向玫瑰图（静风频率 6.0%）</w:t>
      </w:r>
    </w:p>
    <w:p>
      <w:pPr>
        <w:spacing w:line="360" w:lineRule="auto"/>
        <w:ind w:firstLine="480" w:firstLineChars="200"/>
        <w:rPr>
          <w:rFonts w:ascii="Times New Roman" w:hAnsi="Times New Roman"/>
          <w:sz w:val="24"/>
        </w:rPr>
      </w:pPr>
      <w:r>
        <w:rPr>
          <w:rFonts w:ascii="Times New Roman" w:hAnsi="Times New Roman"/>
          <w:sz w:val="24"/>
        </w:rPr>
        <w:t>3、气温</w:t>
      </w:r>
    </w:p>
    <w:p>
      <w:pPr>
        <w:spacing w:line="360" w:lineRule="auto"/>
        <w:ind w:firstLine="480" w:firstLineChars="200"/>
        <w:rPr>
          <w:rFonts w:ascii="Times New Roman" w:hAnsi="Times New Roman"/>
          <w:sz w:val="24"/>
        </w:rPr>
      </w:pPr>
      <w:r>
        <w:rPr>
          <w:rFonts w:ascii="Times New Roman" w:hAnsi="Times New Roman"/>
          <w:sz w:val="24"/>
        </w:rPr>
        <w:t>岳阳气象站07月气温最高（29.39℃），01月气温最低（5.38℃），近20年极端最高气温出现在2009-07-19（39.2），近20年极端最低气温出现在2013-01-04（-4.2）。</w:t>
      </w:r>
    </w:p>
    <w:p>
      <w:pPr>
        <w:pStyle w:val="306"/>
        <w:spacing w:line="360" w:lineRule="auto"/>
        <w:ind w:firstLine="0"/>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5076825" cy="3807460"/>
            <wp:effectExtent l="0" t="0" r="9525" b="2540"/>
            <wp:docPr id="70" name="图片 4" descr="说明: 说明: 57584_t_avg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说明: 说明: 57584_t_avg_month.png"/>
                    <pic:cNvPicPr>
                      <a:picLocks noChangeAspect="1"/>
                    </pic:cNvPicPr>
                  </pic:nvPicPr>
                  <pic:blipFill>
                    <a:blip r:embed="rId31">
                      <a:grayscl/>
                    </a:blip>
                    <a:stretch>
                      <a:fillRect/>
                    </a:stretch>
                  </pic:blipFill>
                  <pic:spPr>
                    <a:xfrm>
                      <a:off x="0" y="0"/>
                      <a:ext cx="5076825" cy="3807460"/>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b/>
          <w:sz w:val="24"/>
          <w:szCs w:val="20"/>
        </w:rPr>
      </w:pPr>
      <w:r>
        <w:rPr>
          <w:rFonts w:ascii="Times New Roman" w:hAnsi="Times New Roman" w:cs="Times New Roman"/>
          <w:b/>
          <w:sz w:val="24"/>
          <w:szCs w:val="20"/>
        </w:rPr>
        <w:t>图6.1.1.2 岳阳月平均气温（单位：℃）</w:t>
      </w:r>
    </w:p>
    <w:p>
      <w:pPr>
        <w:tabs>
          <w:tab w:val="left" w:pos="567"/>
          <w:tab w:val="left" w:pos="851"/>
        </w:tabs>
        <w:adjustRightInd w:val="0"/>
        <w:spacing w:before="78" w:beforeLines="25" w:after="78" w:afterLines="25" w:line="360" w:lineRule="auto"/>
        <w:jc w:val="left"/>
        <w:outlineLvl w:val="3"/>
        <w:rPr>
          <w:rFonts w:ascii="Times New Roman" w:hAnsi="Times New Roman"/>
          <w:b/>
          <w:sz w:val="28"/>
          <w:szCs w:val="28"/>
        </w:rPr>
      </w:pPr>
      <w:r>
        <w:rPr>
          <w:rFonts w:ascii="Times New Roman" w:hAnsi="Times New Roman"/>
          <w:b/>
          <w:sz w:val="28"/>
          <w:szCs w:val="28"/>
        </w:rPr>
        <w:t>6.1.2基准年气象特征分析</w:t>
      </w:r>
    </w:p>
    <w:p>
      <w:pPr>
        <w:tabs>
          <w:tab w:val="left" w:pos="567"/>
          <w:tab w:val="left" w:pos="851"/>
          <w:tab w:val="left" w:pos="1134"/>
        </w:tabs>
        <w:adjustRightInd w:val="0"/>
        <w:spacing w:before="78" w:beforeLines="25" w:after="78" w:afterLines="25" w:line="360" w:lineRule="auto"/>
        <w:jc w:val="left"/>
        <w:outlineLvl w:val="4"/>
        <w:rPr>
          <w:rFonts w:ascii="Times New Roman" w:hAnsi="Times New Roman"/>
          <w:b/>
          <w:sz w:val="28"/>
          <w:szCs w:val="28"/>
        </w:rPr>
      </w:pPr>
      <w:r>
        <w:rPr>
          <w:rFonts w:ascii="Times New Roman" w:hAnsi="Times New Roman"/>
          <w:b/>
          <w:sz w:val="28"/>
          <w:szCs w:val="28"/>
        </w:rPr>
        <w:t>6.1.2.1地面气象资料</w:t>
      </w:r>
    </w:p>
    <w:p>
      <w:pPr>
        <w:spacing w:line="360" w:lineRule="auto"/>
        <w:ind w:firstLine="480" w:firstLineChars="200"/>
        <w:rPr>
          <w:rFonts w:ascii="Times New Roman" w:hAnsi="Times New Roman"/>
          <w:sz w:val="24"/>
        </w:rPr>
      </w:pPr>
      <w:r>
        <w:rPr>
          <w:rFonts w:ascii="Times New Roman" w:hAnsi="Times New Roman"/>
          <w:sz w:val="24"/>
        </w:rPr>
        <w:t>本评价的基准年为2017年，采用距项目最近的气象站——岳阳市气象站2017年1月1日~2017年12月31日一年的气象资料作为地面气象资料。</w:t>
      </w: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表6.1.2.1-1 观测气象数据信息</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7"/>
        <w:gridCol w:w="974"/>
        <w:gridCol w:w="976"/>
        <w:gridCol w:w="1132"/>
        <w:gridCol w:w="1052"/>
        <w:gridCol w:w="981"/>
        <w:gridCol w:w="741"/>
        <w:gridCol w:w="886"/>
        <w:gridCol w:w="1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977"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气象站</w:t>
            </w:r>
            <w:r>
              <w:rPr>
                <w:rFonts w:ascii="Times New Roman" w:hAnsi="Times New Roman" w:cs="Times New Roman"/>
                <w:sz w:val="20"/>
              </w:rPr>
              <w:br w:type="textWrapping"/>
            </w:r>
            <w:r>
              <w:rPr>
                <w:rFonts w:ascii="Times New Roman" w:hAnsi="Times New Roman" w:cs="Times New Roman"/>
                <w:sz w:val="20"/>
              </w:rPr>
              <w:t>名称</w:t>
            </w:r>
          </w:p>
        </w:tc>
        <w:tc>
          <w:tcPr>
            <w:tcW w:w="974"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气象站</w:t>
            </w:r>
            <w:r>
              <w:rPr>
                <w:rFonts w:ascii="Times New Roman" w:hAnsi="Times New Roman" w:cs="Times New Roman"/>
                <w:sz w:val="20"/>
              </w:rPr>
              <w:br w:type="textWrapping"/>
            </w:r>
            <w:r>
              <w:rPr>
                <w:rFonts w:ascii="Times New Roman" w:hAnsi="Times New Roman" w:cs="Times New Roman"/>
                <w:sz w:val="20"/>
              </w:rPr>
              <w:t>编号</w:t>
            </w:r>
          </w:p>
        </w:tc>
        <w:tc>
          <w:tcPr>
            <w:tcW w:w="976"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气象站</w:t>
            </w:r>
            <w:r>
              <w:rPr>
                <w:rFonts w:ascii="Times New Roman" w:hAnsi="Times New Roman" w:cs="Times New Roman"/>
                <w:sz w:val="20"/>
              </w:rPr>
              <w:br w:type="textWrapping"/>
            </w:r>
            <w:r>
              <w:rPr>
                <w:rFonts w:ascii="Times New Roman" w:hAnsi="Times New Roman" w:cs="Times New Roman"/>
                <w:sz w:val="20"/>
              </w:rPr>
              <w:t>等级</w:t>
            </w:r>
          </w:p>
        </w:tc>
        <w:tc>
          <w:tcPr>
            <w:tcW w:w="2184" w:type="dxa"/>
            <w:gridSpan w:val="2"/>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气象站经纬度</w:t>
            </w:r>
          </w:p>
        </w:tc>
        <w:tc>
          <w:tcPr>
            <w:tcW w:w="981"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相对距离/km</w:t>
            </w:r>
          </w:p>
        </w:tc>
        <w:tc>
          <w:tcPr>
            <w:tcW w:w="741"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海拔高度/m</w:t>
            </w:r>
          </w:p>
        </w:tc>
        <w:tc>
          <w:tcPr>
            <w:tcW w:w="886"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数据年份</w:t>
            </w:r>
          </w:p>
        </w:tc>
        <w:tc>
          <w:tcPr>
            <w:tcW w:w="1121"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气象要素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vMerge w:val="continue"/>
            <w:shd w:val="clear" w:color="auto" w:fill="FFFFFF"/>
            <w:vAlign w:val="center"/>
          </w:tcPr>
          <w:p>
            <w:pPr>
              <w:pStyle w:val="82"/>
              <w:spacing w:before="24" w:after="24"/>
              <w:rPr>
                <w:rFonts w:ascii="Times New Roman" w:hAnsi="Times New Roman" w:cs="Times New Roman"/>
                <w:sz w:val="20"/>
              </w:rPr>
            </w:pPr>
          </w:p>
        </w:tc>
        <w:tc>
          <w:tcPr>
            <w:tcW w:w="974" w:type="dxa"/>
            <w:vMerge w:val="continue"/>
            <w:shd w:val="clear" w:color="auto" w:fill="FFFFFF"/>
            <w:vAlign w:val="center"/>
          </w:tcPr>
          <w:p>
            <w:pPr>
              <w:pStyle w:val="82"/>
              <w:spacing w:before="24" w:after="24"/>
              <w:rPr>
                <w:rFonts w:ascii="Times New Roman" w:hAnsi="Times New Roman" w:cs="Times New Roman"/>
                <w:sz w:val="20"/>
              </w:rPr>
            </w:pPr>
          </w:p>
        </w:tc>
        <w:tc>
          <w:tcPr>
            <w:tcW w:w="976" w:type="dxa"/>
            <w:vMerge w:val="continue"/>
            <w:shd w:val="clear" w:color="auto" w:fill="FFFFFF"/>
            <w:vAlign w:val="center"/>
          </w:tcPr>
          <w:p>
            <w:pPr>
              <w:pStyle w:val="82"/>
              <w:spacing w:before="24" w:after="24"/>
              <w:rPr>
                <w:rFonts w:ascii="Times New Roman" w:hAnsi="Times New Roman" w:cs="Times New Roman"/>
                <w:sz w:val="20"/>
              </w:rPr>
            </w:pPr>
          </w:p>
        </w:tc>
        <w:tc>
          <w:tcPr>
            <w:tcW w:w="1132" w:type="dxa"/>
            <w:shd w:val="clear" w:color="auto" w:fill="FFFFFF"/>
            <w:vAlign w:val="center"/>
          </w:tcPr>
          <w:p>
            <w:pPr>
              <w:spacing w:before="62" w:beforeLines="20" w:after="62" w:afterLines="20"/>
              <w:jc w:val="center"/>
              <w:rPr>
                <w:rFonts w:ascii="Times New Roman" w:hAnsi="Times New Roman"/>
                <w:snapToGrid w:val="0"/>
                <w:kern w:val="24"/>
                <w:sz w:val="20"/>
                <w:szCs w:val="20"/>
              </w:rPr>
            </w:pPr>
            <w:r>
              <w:rPr>
                <w:rFonts w:ascii="Times New Roman" w:hAnsi="Times New Roman"/>
                <w:snapToGrid w:val="0"/>
                <w:kern w:val="24"/>
                <w:sz w:val="20"/>
                <w:szCs w:val="20"/>
              </w:rPr>
              <w:t>经度</w:t>
            </w:r>
          </w:p>
        </w:tc>
        <w:tc>
          <w:tcPr>
            <w:tcW w:w="1052" w:type="dxa"/>
            <w:shd w:val="clear" w:color="auto" w:fill="FFFFFF"/>
            <w:vAlign w:val="center"/>
          </w:tcPr>
          <w:p>
            <w:pPr>
              <w:spacing w:before="62" w:beforeLines="20" w:after="62" w:afterLines="20"/>
              <w:jc w:val="center"/>
              <w:rPr>
                <w:rFonts w:ascii="Times New Roman" w:hAnsi="Times New Roman"/>
                <w:snapToGrid w:val="0"/>
                <w:kern w:val="24"/>
                <w:sz w:val="20"/>
                <w:szCs w:val="20"/>
              </w:rPr>
            </w:pPr>
            <w:r>
              <w:rPr>
                <w:rFonts w:ascii="Times New Roman" w:hAnsi="Times New Roman"/>
                <w:snapToGrid w:val="0"/>
                <w:kern w:val="24"/>
                <w:sz w:val="20"/>
                <w:szCs w:val="20"/>
              </w:rPr>
              <w:t>纬度</w:t>
            </w:r>
          </w:p>
        </w:tc>
        <w:tc>
          <w:tcPr>
            <w:tcW w:w="981" w:type="dxa"/>
            <w:vMerge w:val="continue"/>
            <w:shd w:val="clear" w:color="auto" w:fill="FFFFFF"/>
            <w:vAlign w:val="center"/>
          </w:tcPr>
          <w:p>
            <w:pPr>
              <w:pStyle w:val="82"/>
              <w:spacing w:before="24" w:after="24"/>
              <w:rPr>
                <w:rFonts w:ascii="Times New Roman" w:hAnsi="Times New Roman" w:cs="Times New Roman"/>
                <w:sz w:val="20"/>
              </w:rPr>
            </w:pPr>
          </w:p>
        </w:tc>
        <w:tc>
          <w:tcPr>
            <w:tcW w:w="741" w:type="dxa"/>
            <w:vMerge w:val="continue"/>
            <w:shd w:val="clear" w:color="auto" w:fill="FFFFFF"/>
            <w:vAlign w:val="center"/>
          </w:tcPr>
          <w:p>
            <w:pPr>
              <w:pStyle w:val="82"/>
              <w:spacing w:before="24" w:after="24"/>
              <w:rPr>
                <w:rFonts w:ascii="Times New Roman" w:hAnsi="Times New Roman" w:cs="Times New Roman"/>
                <w:sz w:val="20"/>
              </w:rPr>
            </w:pPr>
          </w:p>
        </w:tc>
        <w:tc>
          <w:tcPr>
            <w:tcW w:w="886" w:type="dxa"/>
            <w:vMerge w:val="continue"/>
            <w:shd w:val="clear" w:color="auto" w:fill="FFFFFF"/>
            <w:vAlign w:val="center"/>
          </w:tcPr>
          <w:p>
            <w:pPr>
              <w:pStyle w:val="82"/>
              <w:spacing w:before="24" w:after="24"/>
              <w:rPr>
                <w:rFonts w:ascii="Times New Roman" w:hAnsi="Times New Roman" w:cs="Times New Roman"/>
                <w:sz w:val="20"/>
              </w:rPr>
            </w:pPr>
          </w:p>
        </w:tc>
        <w:tc>
          <w:tcPr>
            <w:tcW w:w="1121" w:type="dxa"/>
            <w:vMerge w:val="continue"/>
            <w:shd w:val="clear" w:color="auto" w:fill="FFFFFF"/>
            <w:vAlign w:val="center"/>
          </w:tcPr>
          <w:p>
            <w:pPr>
              <w:pStyle w:val="82"/>
              <w:spacing w:before="24" w:after="24"/>
              <w:rPr>
                <w:rFonts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7"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napToGrid w:val="0"/>
                <w:kern w:val="24"/>
                <w:sz w:val="20"/>
              </w:rPr>
              <w:t>岳阳气象站</w:t>
            </w:r>
          </w:p>
        </w:tc>
        <w:tc>
          <w:tcPr>
            <w:tcW w:w="974"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napToGrid w:val="0"/>
                <w:kern w:val="24"/>
                <w:sz w:val="20"/>
              </w:rPr>
              <w:t>57584</w:t>
            </w:r>
          </w:p>
        </w:tc>
        <w:tc>
          <w:tcPr>
            <w:tcW w:w="976"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基本站</w:t>
            </w:r>
          </w:p>
        </w:tc>
        <w:tc>
          <w:tcPr>
            <w:tcW w:w="1132" w:type="dxa"/>
            <w:shd w:val="clear" w:color="auto" w:fill="FFFFFF"/>
            <w:vAlign w:val="center"/>
          </w:tcPr>
          <w:p>
            <w:pPr>
              <w:spacing w:before="62" w:beforeLines="20" w:after="62" w:afterLines="20"/>
              <w:jc w:val="center"/>
              <w:rPr>
                <w:rFonts w:ascii="Times New Roman" w:hAnsi="Times New Roman"/>
                <w:snapToGrid w:val="0"/>
                <w:kern w:val="24"/>
                <w:sz w:val="20"/>
                <w:szCs w:val="20"/>
              </w:rPr>
            </w:pPr>
            <w:r>
              <w:rPr>
                <w:rFonts w:ascii="Times New Roman" w:hAnsi="Times New Roman"/>
                <w:snapToGrid w:val="0"/>
                <w:kern w:val="24"/>
                <w:sz w:val="20"/>
                <w:szCs w:val="20"/>
              </w:rPr>
              <w:t>113.08E</w:t>
            </w:r>
          </w:p>
        </w:tc>
        <w:tc>
          <w:tcPr>
            <w:tcW w:w="1052" w:type="dxa"/>
            <w:shd w:val="clear" w:color="auto" w:fill="FFFFFF"/>
            <w:vAlign w:val="center"/>
          </w:tcPr>
          <w:p>
            <w:pPr>
              <w:spacing w:before="62" w:beforeLines="20" w:after="62" w:afterLines="20"/>
              <w:jc w:val="center"/>
              <w:rPr>
                <w:rFonts w:ascii="Times New Roman" w:hAnsi="Times New Roman"/>
                <w:snapToGrid w:val="0"/>
                <w:kern w:val="24"/>
                <w:sz w:val="20"/>
                <w:szCs w:val="20"/>
              </w:rPr>
            </w:pPr>
            <w:r>
              <w:rPr>
                <w:rFonts w:ascii="Times New Roman" w:hAnsi="Times New Roman"/>
                <w:snapToGrid w:val="0"/>
                <w:kern w:val="24"/>
                <w:sz w:val="20"/>
                <w:szCs w:val="20"/>
              </w:rPr>
              <w:t>29.38N</w:t>
            </w:r>
          </w:p>
        </w:tc>
        <w:tc>
          <w:tcPr>
            <w:tcW w:w="981"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11.1</w:t>
            </w:r>
          </w:p>
        </w:tc>
        <w:tc>
          <w:tcPr>
            <w:tcW w:w="741"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53m</w:t>
            </w:r>
          </w:p>
        </w:tc>
        <w:tc>
          <w:tcPr>
            <w:tcW w:w="886"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2017</w:t>
            </w:r>
          </w:p>
        </w:tc>
        <w:tc>
          <w:tcPr>
            <w:tcW w:w="1121"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温度、风向、风速、总云、低云</w:t>
            </w:r>
          </w:p>
        </w:tc>
      </w:tr>
    </w:tbl>
    <w:p>
      <w:pPr>
        <w:spacing w:line="360" w:lineRule="auto"/>
        <w:ind w:firstLine="480" w:firstLineChars="200"/>
        <w:rPr>
          <w:rFonts w:ascii="Times New Roman" w:hAnsi="Times New Roman"/>
          <w:sz w:val="24"/>
        </w:rPr>
      </w:pPr>
      <w:r>
        <w:rPr>
          <w:rFonts w:ascii="Times New Roman" w:hAnsi="Times New Roman"/>
          <w:sz w:val="24"/>
        </w:rPr>
        <w:t>根据岳阳气象站2017年全年小时数据对当地的温度、风速、风向风频等进行统计，具体情况如下：</w:t>
      </w:r>
    </w:p>
    <w:p>
      <w:pPr>
        <w:spacing w:line="360" w:lineRule="auto"/>
        <w:ind w:firstLine="480" w:firstLineChars="200"/>
        <w:rPr>
          <w:rFonts w:ascii="Times New Roman" w:hAnsi="Times New Roman"/>
          <w:sz w:val="24"/>
        </w:rPr>
      </w:pPr>
      <w:r>
        <w:rPr>
          <w:rFonts w:ascii="Times New Roman" w:hAnsi="Times New Roman"/>
          <w:sz w:val="24"/>
        </w:rPr>
        <w:t>1、温度</w:t>
      </w:r>
    </w:p>
    <w:p>
      <w:pPr>
        <w:widowControl/>
        <w:adjustRightInd w:val="0"/>
        <w:snapToGrid w:val="0"/>
        <w:spacing w:before="156" w:beforeLines="50" w:line="360" w:lineRule="auto"/>
        <w:ind w:left="992"/>
        <w:jc w:val="center"/>
        <w:rPr>
          <w:rFonts w:ascii="Times New Roman" w:hAnsi="Times New Roman"/>
          <w:b/>
          <w:sz w:val="24"/>
          <w:szCs w:val="20"/>
        </w:rPr>
      </w:pPr>
    </w:p>
    <w:p>
      <w:pPr>
        <w:widowControl/>
        <w:adjustRightInd w:val="0"/>
        <w:snapToGrid w:val="0"/>
        <w:spacing w:before="156" w:beforeLines="50" w:line="360" w:lineRule="auto"/>
        <w:ind w:left="992"/>
        <w:jc w:val="center"/>
        <w:rPr>
          <w:rFonts w:ascii="Times New Roman" w:hAnsi="Times New Roman"/>
          <w:b/>
          <w:sz w:val="24"/>
          <w:szCs w:val="20"/>
        </w:rPr>
      </w:pP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表6.1.2.1-2  2017年平均温度的月变化</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606"/>
        <w:gridCol w:w="606"/>
        <w:gridCol w:w="702"/>
        <w:gridCol w:w="702"/>
        <w:gridCol w:w="702"/>
        <w:gridCol w:w="702"/>
        <w:gridCol w:w="702"/>
        <w:gridCol w:w="702"/>
        <w:gridCol w:w="702"/>
        <w:gridCol w:w="702"/>
        <w:gridCol w:w="702"/>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91"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月份</w:t>
            </w:r>
          </w:p>
        </w:tc>
        <w:tc>
          <w:tcPr>
            <w:tcW w:w="606"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1月</w:t>
            </w:r>
          </w:p>
        </w:tc>
        <w:tc>
          <w:tcPr>
            <w:tcW w:w="606"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3月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4月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5月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6月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7月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8月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9月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10月</w:t>
            </w:r>
          </w:p>
        </w:tc>
        <w:tc>
          <w:tcPr>
            <w:tcW w:w="702"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11月</w:t>
            </w:r>
          </w:p>
        </w:tc>
        <w:tc>
          <w:tcPr>
            <w:tcW w:w="606"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91"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温度（ºC）</w:t>
            </w:r>
          </w:p>
        </w:tc>
        <w:tc>
          <w:tcPr>
            <w:tcW w:w="606" w:type="dxa"/>
            <w:vAlign w:val="center"/>
          </w:tcPr>
          <w:p>
            <w:pPr>
              <w:jc w:val="center"/>
              <w:rPr>
                <w:rFonts w:ascii="Times New Roman" w:hAnsi="Times New Roman"/>
                <w:sz w:val="20"/>
                <w:szCs w:val="20"/>
              </w:rPr>
            </w:pPr>
            <w:r>
              <w:rPr>
                <w:rFonts w:ascii="Times New Roman" w:hAnsi="Times New Roman"/>
                <w:sz w:val="20"/>
                <w:szCs w:val="20"/>
              </w:rPr>
              <w:t>7.78</w:t>
            </w:r>
          </w:p>
        </w:tc>
        <w:tc>
          <w:tcPr>
            <w:tcW w:w="606" w:type="dxa"/>
            <w:vAlign w:val="center"/>
          </w:tcPr>
          <w:p>
            <w:pPr>
              <w:jc w:val="center"/>
              <w:rPr>
                <w:rFonts w:ascii="Times New Roman" w:hAnsi="Times New Roman"/>
                <w:sz w:val="20"/>
                <w:szCs w:val="20"/>
              </w:rPr>
            </w:pPr>
            <w:r>
              <w:rPr>
                <w:rFonts w:ascii="Times New Roman" w:hAnsi="Times New Roman"/>
                <w:sz w:val="20"/>
                <w:szCs w:val="20"/>
              </w:rPr>
              <w:t>9.00</w:t>
            </w:r>
          </w:p>
        </w:tc>
        <w:tc>
          <w:tcPr>
            <w:tcW w:w="702" w:type="dxa"/>
            <w:vAlign w:val="center"/>
          </w:tcPr>
          <w:p>
            <w:pPr>
              <w:jc w:val="center"/>
              <w:rPr>
                <w:rFonts w:ascii="Times New Roman" w:hAnsi="Times New Roman"/>
                <w:sz w:val="20"/>
                <w:szCs w:val="20"/>
              </w:rPr>
            </w:pPr>
            <w:r>
              <w:rPr>
                <w:rFonts w:ascii="Times New Roman" w:hAnsi="Times New Roman"/>
                <w:sz w:val="20"/>
                <w:szCs w:val="20"/>
              </w:rPr>
              <w:t>12.16</w:t>
            </w:r>
          </w:p>
        </w:tc>
        <w:tc>
          <w:tcPr>
            <w:tcW w:w="702" w:type="dxa"/>
            <w:vAlign w:val="center"/>
          </w:tcPr>
          <w:p>
            <w:pPr>
              <w:jc w:val="center"/>
              <w:rPr>
                <w:rFonts w:ascii="Times New Roman" w:hAnsi="Times New Roman"/>
                <w:sz w:val="20"/>
                <w:szCs w:val="20"/>
              </w:rPr>
            </w:pPr>
            <w:r>
              <w:rPr>
                <w:rFonts w:ascii="Times New Roman" w:hAnsi="Times New Roman"/>
                <w:sz w:val="20"/>
                <w:szCs w:val="20"/>
              </w:rPr>
              <w:t>18.68</w:t>
            </w:r>
          </w:p>
        </w:tc>
        <w:tc>
          <w:tcPr>
            <w:tcW w:w="702" w:type="dxa"/>
            <w:vAlign w:val="center"/>
          </w:tcPr>
          <w:p>
            <w:pPr>
              <w:jc w:val="center"/>
              <w:rPr>
                <w:rFonts w:ascii="Times New Roman" w:hAnsi="Times New Roman"/>
                <w:sz w:val="20"/>
                <w:szCs w:val="20"/>
              </w:rPr>
            </w:pPr>
            <w:r>
              <w:rPr>
                <w:rFonts w:ascii="Times New Roman" w:hAnsi="Times New Roman"/>
                <w:sz w:val="20"/>
                <w:szCs w:val="20"/>
              </w:rPr>
              <w:t>23.50</w:t>
            </w:r>
          </w:p>
        </w:tc>
        <w:tc>
          <w:tcPr>
            <w:tcW w:w="702" w:type="dxa"/>
            <w:vAlign w:val="center"/>
          </w:tcPr>
          <w:p>
            <w:pPr>
              <w:jc w:val="center"/>
              <w:rPr>
                <w:rFonts w:ascii="Times New Roman" w:hAnsi="Times New Roman"/>
                <w:sz w:val="20"/>
                <w:szCs w:val="20"/>
              </w:rPr>
            </w:pPr>
            <w:r>
              <w:rPr>
                <w:rFonts w:ascii="Times New Roman" w:hAnsi="Times New Roman"/>
                <w:sz w:val="20"/>
                <w:szCs w:val="20"/>
              </w:rPr>
              <w:t>24.75</w:t>
            </w:r>
          </w:p>
        </w:tc>
        <w:tc>
          <w:tcPr>
            <w:tcW w:w="702" w:type="dxa"/>
            <w:vAlign w:val="center"/>
          </w:tcPr>
          <w:p>
            <w:pPr>
              <w:jc w:val="center"/>
              <w:rPr>
                <w:rFonts w:ascii="Times New Roman" w:hAnsi="Times New Roman"/>
                <w:sz w:val="20"/>
                <w:szCs w:val="20"/>
              </w:rPr>
            </w:pPr>
            <w:r>
              <w:rPr>
                <w:rFonts w:ascii="Times New Roman" w:hAnsi="Times New Roman"/>
                <w:sz w:val="20"/>
                <w:szCs w:val="20"/>
              </w:rPr>
              <w:t>30.51</w:t>
            </w:r>
          </w:p>
        </w:tc>
        <w:tc>
          <w:tcPr>
            <w:tcW w:w="702" w:type="dxa"/>
            <w:vAlign w:val="center"/>
          </w:tcPr>
          <w:p>
            <w:pPr>
              <w:jc w:val="center"/>
              <w:rPr>
                <w:rFonts w:ascii="Times New Roman" w:hAnsi="Times New Roman"/>
                <w:sz w:val="20"/>
                <w:szCs w:val="20"/>
              </w:rPr>
            </w:pPr>
            <w:r>
              <w:rPr>
                <w:rFonts w:ascii="Times New Roman" w:hAnsi="Times New Roman"/>
                <w:sz w:val="20"/>
                <w:szCs w:val="20"/>
              </w:rPr>
              <w:t>29.21</w:t>
            </w:r>
          </w:p>
        </w:tc>
        <w:tc>
          <w:tcPr>
            <w:tcW w:w="702" w:type="dxa"/>
            <w:vAlign w:val="center"/>
          </w:tcPr>
          <w:p>
            <w:pPr>
              <w:jc w:val="center"/>
              <w:rPr>
                <w:rFonts w:ascii="Times New Roman" w:hAnsi="Times New Roman"/>
                <w:sz w:val="20"/>
                <w:szCs w:val="20"/>
              </w:rPr>
            </w:pPr>
            <w:r>
              <w:rPr>
                <w:rFonts w:ascii="Times New Roman" w:hAnsi="Times New Roman"/>
                <w:sz w:val="20"/>
                <w:szCs w:val="20"/>
              </w:rPr>
              <w:t>24.65</w:t>
            </w:r>
          </w:p>
        </w:tc>
        <w:tc>
          <w:tcPr>
            <w:tcW w:w="702" w:type="dxa"/>
            <w:vAlign w:val="center"/>
          </w:tcPr>
          <w:p>
            <w:pPr>
              <w:jc w:val="center"/>
              <w:rPr>
                <w:rFonts w:ascii="Times New Roman" w:hAnsi="Times New Roman"/>
                <w:sz w:val="20"/>
                <w:szCs w:val="20"/>
              </w:rPr>
            </w:pPr>
            <w:r>
              <w:rPr>
                <w:rFonts w:ascii="Times New Roman" w:hAnsi="Times New Roman"/>
                <w:sz w:val="20"/>
                <w:szCs w:val="20"/>
              </w:rPr>
              <w:t>17.70</w:t>
            </w:r>
          </w:p>
        </w:tc>
        <w:tc>
          <w:tcPr>
            <w:tcW w:w="702" w:type="dxa"/>
            <w:vAlign w:val="center"/>
          </w:tcPr>
          <w:p>
            <w:pPr>
              <w:jc w:val="center"/>
              <w:rPr>
                <w:rFonts w:ascii="Times New Roman" w:hAnsi="Times New Roman"/>
                <w:sz w:val="20"/>
                <w:szCs w:val="20"/>
              </w:rPr>
            </w:pPr>
            <w:r>
              <w:rPr>
                <w:rFonts w:ascii="Times New Roman" w:hAnsi="Times New Roman"/>
                <w:sz w:val="20"/>
                <w:szCs w:val="20"/>
              </w:rPr>
              <w:t>13.59</w:t>
            </w:r>
          </w:p>
        </w:tc>
        <w:tc>
          <w:tcPr>
            <w:tcW w:w="606" w:type="dxa"/>
            <w:vAlign w:val="center"/>
          </w:tcPr>
          <w:p>
            <w:pPr>
              <w:jc w:val="center"/>
              <w:rPr>
                <w:rFonts w:ascii="Times New Roman" w:hAnsi="Times New Roman"/>
                <w:sz w:val="20"/>
                <w:szCs w:val="20"/>
              </w:rPr>
            </w:pPr>
            <w:r>
              <w:rPr>
                <w:rFonts w:ascii="Times New Roman" w:hAnsi="Times New Roman"/>
                <w:sz w:val="20"/>
                <w:szCs w:val="20"/>
              </w:rPr>
              <w:t>8.55</w:t>
            </w:r>
          </w:p>
        </w:tc>
      </w:tr>
    </w:tbl>
    <w:p>
      <w:pPr>
        <w:adjustRightInd w:val="0"/>
        <w:snapToGrid w:val="0"/>
        <w:spacing w:line="360" w:lineRule="auto"/>
        <w:ind w:left="-210" w:leftChars="-100"/>
        <w:jc w:val="center"/>
        <w:rPr>
          <w:rFonts w:ascii="Times New Roman" w:hAnsi="Times New Roman"/>
          <w:snapToGrid w:val="0"/>
        </w:rPr>
      </w:pPr>
      <w:r>
        <w:rPr>
          <w:rFonts w:ascii="Times New Roman" w:hAnsi="Times New Roman"/>
        </w:rPr>
        <w:drawing>
          <wp:inline distT="0" distB="0" distL="114300" distR="114300">
            <wp:extent cx="5484495" cy="1772920"/>
            <wp:effectExtent l="0" t="0" r="1905" b="1778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32">
                      <a:grayscl/>
                    </a:blip>
                    <a:srcRect t="4616"/>
                    <a:stretch>
                      <a:fillRect/>
                    </a:stretch>
                  </pic:blipFill>
                  <pic:spPr>
                    <a:xfrm>
                      <a:off x="0" y="0"/>
                      <a:ext cx="5484495" cy="1772920"/>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sz w:val="24"/>
          <w:szCs w:val="24"/>
        </w:rPr>
      </w:pPr>
      <w:r>
        <w:rPr>
          <w:rFonts w:ascii="Times New Roman" w:hAnsi="Times New Roman" w:cs="Times New Roman"/>
          <w:b/>
          <w:sz w:val="24"/>
          <w:szCs w:val="20"/>
        </w:rPr>
        <w:t>图6.1.1.3   2017年年平均气温月变化曲线</w:t>
      </w:r>
    </w:p>
    <w:p>
      <w:pPr>
        <w:spacing w:line="360" w:lineRule="auto"/>
        <w:ind w:firstLine="480" w:firstLineChars="200"/>
        <w:rPr>
          <w:rFonts w:ascii="Times New Roman" w:hAnsi="Times New Roman"/>
        </w:rPr>
      </w:pPr>
      <w:r>
        <w:rPr>
          <w:rFonts w:ascii="Times New Roman" w:hAnsi="Times New Roman"/>
          <w:sz w:val="24"/>
        </w:rPr>
        <w:t>2、风速</w:t>
      </w: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表6.1.2.1-3  2017年年平均风速的月变化</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634"/>
        <w:gridCol w:w="634"/>
        <w:gridCol w:w="634"/>
        <w:gridCol w:w="634"/>
        <w:gridCol w:w="634"/>
        <w:gridCol w:w="634"/>
        <w:gridCol w:w="634"/>
        <w:gridCol w:w="634"/>
        <w:gridCol w:w="634"/>
        <w:gridCol w:w="646"/>
        <w:gridCol w:w="645"/>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8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月份</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3月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4月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5月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6月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7月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8月</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9月</w:t>
            </w:r>
          </w:p>
        </w:tc>
        <w:tc>
          <w:tcPr>
            <w:tcW w:w="646"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10月</w:t>
            </w:r>
          </w:p>
        </w:tc>
        <w:tc>
          <w:tcPr>
            <w:tcW w:w="645"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11月</w:t>
            </w:r>
          </w:p>
        </w:tc>
        <w:tc>
          <w:tcPr>
            <w:tcW w:w="555"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8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风速（m/s）</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2.35</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2.54</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2.32</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2.90</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2.66</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2.37</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3.43</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2.85</w:t>
            </w:r>
          </w:p>
        </w:tc>
        <w:tc>
          <w:tcPr>
            <w:tcW w:w="634"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2.23</w:t>
            </w:r>
          </w:p>
        </w:tc>
        <w:tc>
          <w:tcPr>
            <w:tcW w:w="646"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2.68</w:t>
            </w:r>
          </w:p>
        </w:tc>
        <w:tc>
          <w:tcPr>
            <w:tcW w:w="645"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2.12</w:t>
            </w:r>
          </w:p>
        </w:tc>
        <w:tc>
          <w:tcPr>
            <w:tcW w:w="555" w:type="dxa"/>
            <w:vAlign w:val="center"/>
          </w:tcPr>
          <w:p>
            <w:pPr>
              <w:ind w:left="-105" w:leftChars="-50" w:right="-105" w:rightChars="-50"/>
              <w:jc w:val="center"/>
              <w:rPr>
                <w:rFonts w:ascii="Times New Roman" w:hAnsi="Times New Roman"/>
                <w:sz w:val="20"/>
                <w:szCs w:val="20"/>
              </w:rPr>
            </w:pPr>
            <w:r>
              <w:rPr>
                <w:rFonts w:ascii="Times New Roman" w:hAnsi="Times New Roman"/>
                <w:sz w:val="20"/>
                <w:szCs w:val="20"/>
              </w:rPr>
              <w:t>2.02</w:t>
            </w:r>
          </w:p>
        </w:tc>
      </w:tr>
    </w:tbl>
    <w:p>
      <w:pPr>
        <w:adjustRightInd w:val="0"/>
        <w:snapToGrid w:val="0"/>
        <w:spacing w:line="360" w:lineRule="auto"/>
        <w:ind w:left="-210" w:leftChars="-100"/>
        <w:jc w:val="center"/>
        <w:rPr>
          <w:rFonts w:ascii="Times New Roman" w:hAnsi="Times New Roman"/>
          <w:snapToGrid w:val="0"/>
        </w:rPr>
      </w:pPr>
      <w:r>
        <w:rPr>
          <w:rFonts w:ascii="Times New Roman" w:hAnsi="Times New Roman"/>
        </w:rPr>
        <w:drawing>
          <wp:inline distT="0" distB="0" distL="114300" distR="114300">
            <wp:extent cx="5420995" cy="1780540"/>
            <wp:effectExtent l="0" t="0" r="8255" b="1016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33">
                      <a:grayscl/>
                    </a:blip>
                    <a:srcRect l="1215" t="9662"/>
                    <a:stretch>
                      <a:fillRect/>
                    </a:stretch>
                  </pic:blipFill>
                  <pic:spPr>
                    <a:xfrm>
                      <a:off x="0" y="0"/>
                      <a:ext cx="5420995" cy="1780540"/>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sz w:val="24"/>
          <w:szCs w:val="24"/>
        </w:rPr>
      </w:pPr>
      <w:r>
        <w:rPr>
          <w:rFonts w:ascii="Times New Roman" w:hAnsi="Times New Roman" w:cs="Times New Roman"/>
          <w:b/>
          <w:sz w:val="24"/>
          <w:szCs w:val="20"/>
        </w:rPr>
        <w:t>图6.1.1.4  2017年年平均风速月变化曲线</w:t>
      </w:r>
    </w:p>
    <w:p>
      <w:pPr>
        <w:spacing w:line="360" w:lineRule="auto"/>
        <w:ind w:firstLine="480" w:firstLineChars="200"/>
        <w:rPr>
          <w:rFonts w:ascii="Times New Roman" w:hAnsi="Times New Roman"/>
          <w:sz w:val="24"/>
        </w:rPr>
      </w:pPr>
      <w:r>
        <w:rPr>
          <w:rFonts w:ascii="Times New Roman" w:hAnsi="Times New Roman"/>
          <w:sz w:val="24"/>
        </w:rPr>
        <w:t>3、风向、风频</w:t>
      </w:r>
    </w:p>
    <w:p>
      <w:pPr>
        <w:widowControl/>
        <w:adjustRightInd w:val="0"/>
        <w:snapToGrid w:val="0"/>
        <w:spacing w:before="156" w:beforeLines="50" w:line="360" w:lineRule="auto"/>
        <w:ind w:left="992"/>
        <w:jc w:val="center"/>
        <w:rPr>
          <w:rFonts w:ascii="Times New Roman" w:hAnsi="Times New Roman"/>
          <w:b/>
          <w:snapToGrid w:val="0"/>
          <w:kern w:val="0"/>
          <w:sz w:val="24"/>
          <w:szCs w:val="24"/>
        </w:rPr>
      </w:pPr>
      <w:r>
        <w:rPr>
          <w:rFonts w:ascii="Times New Roman" w:hAnsi="Times New Roman"/>
          <w:b/>
          <w:sz w:val="24"/>
          <w:szCs w:val="20"/>
        </w:rPr>
        <w:t>表6.1.2.1-4</w:t>
      </w:r>
      <w:r>
        <w:rPr>
          <w:rFonts w:ascii="Times New Roman" w:hAnsi="Times New Roman"/>
          <w:b/>
          <w:snapToGrid w:val="0"/>
          <w:kern w:val="0"/>
          <w:sz w:val="24"/>
          <w:szCs w:val="24"/>
        </w:rPr>
        <w:t xml:space="preserve">  2017年年均风频的月变化及年变化情况</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527"/>
        <w:gridCol w:w="528"/>
        <w:gridCol w:w="528"/>
        <w:gridCol w:w="440"/>
        <w:gridCol w:w="428"/>
        <w:gridCol w:w="428"/>
        <w:gridCol w:w="428"/>
        <w:gridCol w:w="428"/>
        <w:gridCol w:w="528"/>
        <w:gridCol w:w="528"/>
        <w:gridCol w:w="528"/>
        <w:gridCol w:w="543"/>
        <w:gridCol w:w="428"/>
        <w:gridCol w:w="578"/>
        <w:gridCol w:w="428"/>
        <w:gridCol w:w="513"/>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570" w:type="dxa"/>
            <w:vAlign w:val="center"/>
          </w:tcPr>
          <w:p>
            <w:pPr>
              <w:adjustRightInd w:val="0"/>
              <w:snapToGrid w:val="0"/>
              <w:ind w:left="-105" w:leftChars="-50" w:right="-105" w:rightChars="-50"/>
              <w:jc w:val="center"/>
              <w:rPr>
                <w:rFonts w:ascii="Times New Roman" w:hAnsi="Times New Roman"/>
                <w:b/>
                <w:sz w:val="20"/>
                <w:szCs w:val="20"/>
              </w:rPr>
            </w:pPr>
            <w:r>
              <w:rPr>
                <w:rFonts w:ascii="Times New Roman" w:hAnsi="Times New Roman"/>
                <w:b/>
                <w:sz w:val="20"/>
                <w:szCs w:val="20"/>
              </w:rPr>
              <w:t>风向</w:t>
            </w:r>
          </w:p>
          <w:p>
            <w:pPr>
              <w:adjustRightInd w:val="0"/>
              <w:snapToGrid w:val="0"/>
              <w:ind w:left="-105" w:leftChars="-50" w:right="-105" w:rightChars="-50"/>
              <w:jc w:val="center"/>
              <w:rPr>
                <w:rFonts w:ascii="Times New Roman" w:hAnsi="Times New Roman"/>
                <w:b/>
                <w:sz w:val="20"/>
                <w:szCs w:val="20"/>
              </w:rPr>
            </w:pPr>
            <w:r>
              <w:rPr>
                <w:rFonts w:ascii="Times New Roman" w:hAnsi="Times New Roman"/>
                <w:b/>
                <w:sz w:val="20"/>
                <w:szCs w:val="20"/>
              </w:rPr>
              <w:t>风频%</w:t>
            </w:r>
          </w:p>
        </w:tc>
        <w:tc>
          <w:tcPr>
            <w:tcW w:w="527"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N</w:t>
            </w:r>
          </w:p>
        </w:tc>
        <w:tc>
          <w:tcPr>
            <w:tcW w:w="5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NNE</w:t>
            </w:r>
          </w:p>
        </w:tc>
        <w:tc>
          <w:tcPr>
            <w:tcW w:w="5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NE</w:t>
            </w:r>
          </w:p>
        </w:tc>
        <w:tc>
          <w:tcPr>
            <w:tcW w:w="440"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ENE</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E</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ESE</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SE</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SSE</w:t>
            </w:r>
          </w:p>
        </w:tc>
        <w:tc>
          <w:tcPr>
            <w:tcW w:w="5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S</w:t>
            </w:r>
          </w:p>
        </w:tc>
        <w:tc>
          <w:tcPr>
            <w:tcW w:w="5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SSW</w:t>
            </w:r>
          </w:p>
        </w:tc>
        <w:tc>
          <w:tcPr>
            <w:tcW w:w="5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SW</w:t>
            </w:r>
          </w:p>
        </w:tc>
        <w:tc>
          <w:tcPr>
            <w:tcW w:w="543"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WSW</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W</w:t>
            </w:r>
          </w:p>
        </w:tc>
        <w:tc>
          <w:tcPr>
            <w:tcW w:w="57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WNW</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NW</w:t>
            </w:r>
          </w:p>
        </w:tc>
        <w:tc>
          <w:tcPr>
            <w:tcW w:w="513" w:type="dxa"/>
            <w:vAlign w:val="center"/>
          </w:tcPr>
          <w:p>
            <w:pPr>
              <w:adjustRightInd w:val="0"/>
              <w:snapToGrid w:val="0"/>
              <w:jc w:val="center"/>
              <w:rPr>
                <w:rFonts w:ascii="Times New Roman" w:hAnsi="Times New Roman"/>
                <w:b/>
                <w:sz w:val="20"/>
                <w:szCs w:val="20"/>
              </w:rPr>
            </w:pPr>
            <w:r>
              <w:rPr>
                <w:rFonts w:ascii="Times New Roman" w:hAnsi="Times New Roman"/>
                <w:b/>
                <w:sz w:val="20"/>
                <w:szCs w:val="20"/>
              </w:rPr>
              <w:t>NNW</w:t>
            </w:r>
          </w:p>
        </w:tc>
        <w:tc>
          <w:tcPr>
            <w:tcW w:w="428" w:type="dxa"/>
            <w:noWrap/>
            <w:tcMar>
              <w:top w:w="14" w:type="dxa"/>
              <w:left w:w="14" w:type="dxa"/>
              <w:bottom w:w="0" w:type="dxa"/>
              <w:right w:w="14" w:type="dxa"/>
            </w:tcMar>
            <w:vAlign w:val="center"/>
          </w:tcPr>
          <w:p>
            <w:pPr>
              <w:adjustRightInd w:val="0"/>
              <w:snapToGrid w:val="0"/>
              <w:jc w:val="center"/>
              <w:rPr>
                <w:rFonts w:ascii="Times New Roman" w:hAnsi="Times New Roman"/>
                <w:b/>
                <w:sz w:val="20"/>
                <w:szCs w:val="20"/>
              </w:rPr>
            </w:pPr>
            <w:r>
              <w:rPr>
                <w:rFonts w:ascii="Times New Roman" w:hAnsi="Times New Roman"/>
                <w:b/>
                <w:sz w:val="20"/>
                <w:szCs w:val="20"/>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1月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28.49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31.18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14.11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3.76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3.23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2.15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0.40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1.34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1.21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2.69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1.08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2.15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1.34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3.49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2月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30.06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13.84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6.40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3.27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3.13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3.42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5.06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5.36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5.80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5.21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5.06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2.98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4.02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2.23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1.34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2.53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3月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27.02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19.22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11.16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3.76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3.49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2.55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4.03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2.42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5.11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2.96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4.03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2.42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1.88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0.94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3.49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5.51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4月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19.58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9.72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5.97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1.94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1.67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4.58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9.17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8.06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12.08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4.86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11.94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2.08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1.94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1.94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2.92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5月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18.01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11.02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6.32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2.02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3.36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6.85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9.14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3.49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9.01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6.99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11.96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3.90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2.28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0.27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1.88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3.36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6月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14.17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9.58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7.78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2.64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3.33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7.78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4.86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12.22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7.78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11.39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6.11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3.33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1.53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1.81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4.03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7月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9.81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1.34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0.94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0.94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8.06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8.60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33.33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15.59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7.12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4.17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0.67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0.13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1.34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8月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19.09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7.12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7.12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3.76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5.24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5.91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16.13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7.39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7.39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5.11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3.76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1.75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5.24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9月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39.44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18.47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14.31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4.58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1.67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0.97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0.97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1.25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0.69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2.08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2.50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0.83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1.11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4.72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10月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49.33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21.10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7.80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5.11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1.61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1.61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0.67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0.00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0.81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1.08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1.75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2.15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1.34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1.48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11月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29.44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21.25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6.39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4.44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6.94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4.31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3.33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2.08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4.17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3.19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3.47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1.67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2.22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3.19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12月</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18.41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22.45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13.17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8.20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7.93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4.57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3.23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2.42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2.82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2.42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4.84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1.88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0.67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2.15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2.15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70" w:type="dxa"/>
            <w:vAlign w:val="center"/>
          </w:tcPr>
          <w:p>
            <w:pPr>
              <w:adjustRightInd w:val="0"/>
              <w:snapToGrid w:val="0"/>
              <w:jc w:val="center"/>
              <w:rPr>
                <w:rFonts w:ascii="Times New Roman" w:hAnsi="Times New Roman"/>
                <w:sz w:val="20"/>
                <w:szCs w:val="20"/>
              </w:rPr>
            </w:pPr>
            <w:r>
              <w:rPr>
                <w:rFonts w:ascii="Times New Roman" w:hAnsi="Times New Roman"/>
                <w:sz w:val="20"/>
                <w:szCs w:val="20"/>
              </w:rPr>
              <w:t>全年</w:t>
            </w:r>
          </w:p>
        </w:tc>
        <w:tc>
          <w:tcPr>
            <w:tcW w:w="527"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25.19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15.55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8.47 </w:t>
            </w:r>
          </w:p>
        </w:tc>
        <w:tc>
          <w:tcPr>
            <w:tcW w:w="440"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3.76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3.07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3.14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4.89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3.70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8.52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4.81 </w:t>
            </w:r>
          </w:p>
        </w:tc>
        <w:tc>
          <w:tcPr>
            <w:tcW w:w="5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6.18 </w:t>
            </w:r>
          </w:p>
        </w:tc>
        <w:tc>
          <w:tcPr>
            <w:tcW w:w="543"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3.38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2.69 </w:t>
            </w:r>
          </w:p>
        </w:tc>
        <w:tc>
          <w:tcPr>
            <w:tcW w:w="57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1.27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1.71 </w:t>
            </w:r>
          </w:p>
        </w:tc>
        <w:tc>
          <w:tcPr>
            <w:tcW w:w="513" w:type="dxa"/>
            <w:vAlign w:val="bottom"/>
          </w:tcPr>
          <w:p>
            <w:pPr>
              <w:jc w:val="right"/>
              <w:rPr>
                <w:rFonts w:ascii="Times New Roman" w:hAnsi="Times New Roman"/>
                <w:sz w:val="20"/>
                <w:szCs w:val="20"/>
              </w:rPr>
            </w:pPr>
            <w:r>
              <w:rPr>
                <w:rFonts w:ascii="Times New Roman" w:hAnsi="Times New Roman"/>
                <w:sz w:val="20"/>
                <w:szCs w:val="20"/>
              </w:rPr>
              <w:t xml:space="preserve">3.33 </w:t>
            </w:r>
          </w:p>
        </w:tc>
        <w:tc>
          <w:tcPr>
            <w:tcW w:w="428" w:type="dxa"/>
            <w:noWrap/>
            <w:tcMar>
              <w:top w:w="14" w:type="dxa"/>
              <w:left w:w="14" w:type="dxa"/>
              <w:bottom w:w="0" w:type="dxa"/>
              <w:right w:w="14" w:type="dxa"/>
            </w:tcMar>
            <w:vAlign w:val="bottom"/>
          </w:tcPr>
          <w:p>
            <w:pPr>
              <w:jc w:val="right"/>
              <w:rPr>
                <w:rFonts w:ascii="Times New Roman" w:hAnsi="Times New Roman"/>
                <w:sz w:val="20"/>
                <w:szCs w:val="20"/>
              </w:rPr>
            </w:pPr>
            <w:r>
              <w:rPr>
                <w:rFonts w:ascii="Times New Roman" w:hAnsi="Times New Roman"/>
                <w:sz w:val="20"/>
                <w:szCs w:val="20"/>
              </w:rPr>
              <w:t xml:space="preserve">0.35 </w:t>
            </w:r>
          </w:p>
        </w:tc>
      </w:tr>
    </w:tbl>
    <w:p>
      <w:pPr>
        <w:rPr>
          <w:rFonts w:ascii="Times New Roman" w:hAnsi="Times New Roman"/>
        </w:rPr>
      </w:pPr>
    </w:p>
    <w:p>
      <w:pPr>
        <w:jc w:val="center"/>
        <w:rPr>
          <w:rFonts w:ascii="Times New Roman" w:hAnsi="Times New Roman"/>
        </w:rPr>
      </w:pPr>
      <w:r>
        <w:rPr>
          <w:rFonts w:ascii="Times New Roman" w:hAnsi="Times New Roman"/>
        </w:rPr>
        <w:drawing>
          <wp:inline distT="0" distB="0" distL="114300" distR="114300">
            <wp:extent cx="5579110" cy="5205730"/>
            <wp:effectExtent l="0" t="0" r="2540" b="1397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34"/>
                    <a:stretch>
                      <a:fillRect/>
                    </a:stretch>
                  </pic:blipFill>
                  <pic:spPr>
                    <a:xfrm>
                      <a:off x="0" y="0"/>
                      <a:ext cx="5579110" cy="5205730"/>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b/>
          <w:sz w:val="24"/>
          <w:szCs w:val="20"/>
        </w:rPr>
      </w:pPr>
      <w:r>
        <w:rPr>
          <w:rFonts w:ascii="Times New Roman" w:hAnsi="Times New Roman" w:cs="Times New Roman"/>
          <w:b/>
          <w:sz w:val="24"/>
          <w:szCs w:val="20"/>
        </w:rPr>
        <w:t>图6.1.1.5  2017年风频玫瑰图</w:t>
      </w:r>
    </w:p>
    <w:p>
      <w:pPr>
        <w:tabs>
          <w:tab w:val="left" w:pos="567"/>
          <w:tab w:val="left" w:pos="851"/>
          <w:tab w:val="left" w:pos="1134"/>
        </w:tabs>
        <w:adjustRightInd w:val="0"/>
        <w:spacing w:line="360" w:lineRule="auto"/>
        <w:jc w:val="left"/>
        <w:outlineLvl w:val="4"/>
        <w:rPr>
          <w:rFonts w:ascii="Times New Roman" w:hAnsi="Times New Roman"/>
          <w:b/>
          <w:sz w:val="28"/>
          <w:szCs w:val="28"/>
        </w:rPr>
      </w:pPr>
      <w:r>
        <w:rPr>
          <w:rFonts w:ascii="Times New Roman" w:hAnsi="Times New Roman"/>
          <w:b/>
          <w:sz w:val="28"/>
          <w:szCs w:val="28"/>
        </w:rPr>
        <w:t>6.1.2.2高空气象资料</w:t>
      </w:r>
    </w:p>
    <w:p>
      <w:pPr>
        <w:spacing w:line="360" w:lineRule="auto"/>
        <w:ind w:firstLine="480" w:firstLineChars="200"/>
        <w:rPr>
          <w:rFonts w:ascii="Times New Roman" w:hAnsi="Times New Roman"/>
          <w:sz w:val="24"/>
        </w:rPr>
      </w:pPr>
      <w:r>
        <w:rPr>
          <w:rFonts w:ascii="Times New Roman" w:hAnsi="Times New Roman"/>
          <w:sz w:val="24"/>
        </w:rPr>
        <w:t>高空气象数据采用北京尚云环境有限公司提供的项目区模拟高空气象数据，其基本信息如下。</w:t>
      </w:r>
    </w:p>
    <w:p>
      <w:pPr>
        <w:spacing w:line="360" w:lineRule="auto"/>
        <w:ind w:firstLine="480" w:firstLineChars="200"/>
        <w:rPr>
          <w:rFonts w:ascii="Times New Roman" w:hAnsi="Times New Roman"/>
          <w:sz w:val="24"/>
        </w:rPr>
      </w:pP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表6.1.2.2-1 模拟气象数据信息</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8"/>
        <w:gridCol w:w="1019"/>
        <w:gridCol w:w="1603"/>
        <w:gridCol w:w="1412"/>
        <w:gridCol w:w="1842"/>
        <w:gridCol w:w="1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2137" w:type="dxa"/>
            <w:gridSpan w:val="2"/>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模拟点经纬度</w:t>
            </w:r>
          </w:p>
        </w:tc>
        <w:tc>
          <w:tcPr>
            <w:tcW w:w="1603"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相对距离/km</w:t>
            </w:r>
          </w:p>
        </w:tc>
        <w:tc>
          <w:tcPr>
            <w:tcW w:w="1412"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数据年份</w:t>
            </w:r>
          </w:p>
        </w:tc>
        <w:tc>
          <w:tcPr>
            <w:tcW w:w="1842"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模拟气象要素</w:t>
            </w:r>
          </w:p>
        </w:tc>
        <w:tc>
          <w:tcPr>
            <w:tcW w:w="1889" w:type="dxa"/>
            <w:vMerge w:val="restart"/>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模拟方式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8" w:type="dxa"/>
            <w:shd w:val="clear" w:color="auto" w:fill="FFFFFF"/>
            <w:vAlign w:val="center"/>
          </w:tcPr>
          <w:p>
            <w:pPr>
              <w:spacing w:before="62" w:beforeLines="20" w:after="62" w:afterLines="20"/>
              <w:jc w:val="center"/>
              <w:rPr>
                <w:rFonts w:ascii="Times New Roman" w:hAnsi="Times New Roman"/>
                <w:snapToGrid w:val="0"/>
                <w:kern w:val="24"/>
                <w:sz w:val="20"/>
                <w:szCs w:val="20"/>
              </w:rPr>
            </w:pPr>
            <w:r>
              <w:rPr>
                <w:rFonts w:ascii="Times New Roman" w:hAnsi="Times New Roman"/>
                <w:snapToGrid w:val="0"/>
                <w:kern w:val="24"/>
                <w:sz w:val="20"/>
                <w:szCs w:val="20"/>
              </w:rPr>
              <w:t>经度</w:t>
            </w:r>
          </w:p>
        </w:tc>
        <w:tc>
          <w:tcPr>
            <w:tcW w:w="1019" w:type="dxa"/>
            <w:shd w:val="clear" w:color="auto" w:fill="FFFFFF"/>
            <w:vAlign w:val="center"/>
          </w:tcPr>
          <w:p>
            <w:pPr>
              <w:spacing w:before="62" w:beforeLines="20" w:after="62" w:afterLines="20"/>
              <w:jc w:val="center"/>
              <w:rPr>
                <w:rFonts w:ascii="Times New Roman" w:hAnsi="Times New Roman"/>
                <w:snapToGrid w:val="0"/>
                <w:kern w:val="24"/>
                <w:sz w:val="20"/>
                <w:szCs w:val="20"/>
              </w:rPr>
            </w:pPr>
            <w:r>
              <w:rPr>
                <w:rFonts w:ascii="Times New Roman" w:hAnsi="Times New Roman"/>
                <w:snapToGrid w:val="0"/>
                <w:kern w:val="24"/>
                <w:sz w:val="20"/>
                <w:szCs w:val="20"/>
              </w:rPr>
              <w:t>纬度</w:t>
            </w:r>
          </w:p>
        </w:tc>
        <w:tc>
          <w:tcPr>
            <w:tcW w:w="1603" w:type="dxa"/>
            <w:vMerge w:val="continue"/>
            <w:shd w:val="clear" w:color="auto" w:fill="FFFFFF"/>
            <w:vAlign w:val="center"/>
          </w:tcPr>
          <w:p>
            <w:pPr>
              <w:pStyle w:val="82"/>
              <w:spacing w:before="24" w:after="24"/>
              <w:rPr>
                <w:rFonts w:ascii="Times New Roman" w:hAnsi="Times New Roman" w:cs="Times New Roman"/>
                <w:sz w:val="20"/>
              </w:rPr>
            </w:pPr>
          </w:p>
        </w:tc>
        <w:tc>
          <w:tcPr>
            <w:tcW w:w="1412" w:type="dxa"/>
            <w:vMerge w:val="continue"/>
            <w:shd w:val="clear" w:color="auto" w:fill="FFFFFF"/>
            <w:vAlign w:val="center"/>
          </w:tcPr>
          <w:p>
            <w:pPr>
              <w:pStyle w:val="82"/>
              <w:spacing w:before="24" w:after="24"/>
              <w:rPr>
                <w:rFonts w:ascii="Times New Roman" w:hAnsi="Times New Roman" w:cs="Times New Roman"/>
                <w:sz w:val="20"/>
              </w:rPr>
            </w:pPr>
          </w:p>
        </w:tc>
        <w:tc>
          <w:tcPr>
            <w:tcW w:w="1842" w:type="dxa"/>
            <w:vMerge w:val="continue"/>
            <w:shd w:val="clear" w:color="auto" w:fill="FFFFFF"/>
            <w:vAlign w:val="center"/>
          </w:tcPr>
          <w:p>
            <w:pPr>
              <w:pStyle w:val="82"/>
              <w:spacing w:before="24" w:after="24"/>
              <w:rPr>
                <w:rFonts w:ascii="Times New Roman" w:hAnsi="Times New Roman" w:cs="Times New Roman"/>
                <w:sz w:val="20"/>
              </w:rPr>
            </w:pPr>
          </w:p>
        </w:tc>
        <w:tc>
          <w:tcPr>
            <w:tcW w:w="1889" w:type="dxa"/>
            <w:vMerge w:val="continue"/>
            <w:shd w:val="clear" w:color="auto" w:fill="FFFFFF"/>
            <w:vAlign w:val="center"/>
          </w:tcPr>
          <w:p>
            <w:pPr>
              <w:pStyle w:val="82"/>
              <w:spacing w:before="24" w:after="24"/>
              <w:rPr>
                <w:rFonts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8"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113.24E</w:t>
            </w:r>
          </w:p>
        </w:tc>
        <w:tc>
          <w:tcPr>
            <w:tcW w:w="1019"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29.50N</w:t>
            </w:r>
          </w:p>
        </w:tc>
        <w:tc>
          <w:tcPr>
            <w:tcW w:w="1603"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9.1</w:t>
            </w:r>
          </w:p>
        </w:tc>
        <w:tc>
          <w:tcPr>
            <w:tcW w:w="1412"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2017</w:t>
            </w:r>
          </w:p>
        </w:tc>
        <w:tc>
          <w:tcPr>
            <w:tcW w:w="1842"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气压、离地高度、干球温度</w:t>
            </w:r>
          </w:p>
        </w:tc>
        <w:tc>
          <w:tcPr>
            <w:tcW w:w="1889" w:type="dxa"/>
            <w:shd w:val="clear" w:color="auto" w:fill="FFFFFF"/>
            <w:vAlign w:val="center"/>
          </w:tcPr>
          <w:p>
            <w:pPr>
              <w:pStyle w:val="82"/>
              <w:spacing w:before="24" w:after="24"/>
              <w:rPr>
                <w:rFonts w:ascii="Times New Roman" w:hAnsi="Times New Roman" w:cs="Times New Roman"/>
                <w:sz w:val="20"/>
              </w:rPr>
            </w:pPr>
            <w:r>
              <w:rPr>
                <w:rFonts w:ascii="Times New Roman" w:hAnsi="Times New Roman" w:cs="Times New Roman"/>
                <w:sz w:val="20"/>
              </w:rPr>
              <w:t>中尺度气象模型WRF模拟数据</w:t>
            </w:r>
          </w:p>
        </w:tc>
      </w:tr>
    </w:tbl>
    <w:p>
      <w:pPr>
        <w:widowControl/>
        <w:adjustRightInd w:val="0"/>
        <w:spacing w:before="78" w:beforeLines="25" w:after="78"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6.1.2地形数据</w:t>
      </w:r>
    </w:p>
    <w:p>
      <w:pPr>
        <w:spacing w:line="360" w:lineRule="auto"/>
        <w:ind w:firstLine="442"/>
        <w:rPr>
          <w:rFonts w:ascii="Times New Roman" w:hAnsi="Times New Roman"/>
          <w:sz w:val="24"/>
          <w:szCs w:val="24"/>
          <w:lang w:val="en-GB"/>
        </w:rPr>
      </w:pPr>
      <w:r>
        <w:rPr>
          <w:rFonts w:ascii="Times New Roman" w:hAnsi="Times New Roman"/>
          <w:sz w:val="24"/>
          <w:szCs w:val="24"/>
          <w:lang w:val="en-GB"/>
        </w:rPr>
        <w:t>本预测采用的地形资料取自SRTM 数据库，分辨率90m。项目区地形高程如下图所示。</w:t>
      </w:r>
    </w:p>
    <w:p>
      <w:pPr>
        <w:widowControl/>
        <w:adjustRightInd w:val="0"/>
        <w:snapToGrid w:val="0"/>
        <w:ind w:left="-210" w:leftChars="-100"/>
        <w:jc w:val="center"/>
        <w:rPr>
          <w:rFonts w:ascii="Times New Roman" w:hAnsi="Times New Roman"/>
          <w:kern w:val="0"/>
          <w:sz w:val="24"/>
          <w:szCs w:val="24"/>
        </w:rPr>
      </w:pPr>
      <w:r>
        <w:rPr>
          <w:rFonts w:ascii="Times New Roman" w:hAnsi="Times New Roman"/>
          <w:b/>
          <w:kern w:val="0"/>
          <w:sz w:val="28"/>
          <w:szCs w:val="28"/>
        </w:rPr>
        <mc:AlternateContent>
          <mc:Choice Requires="wpg">
            <w:drawing>
              <wp:anchor distT="0" distB="0" distL="114300" distR="114300" simplePos="0" relativeHeight="486759424" behindDoc="0" locked="0" layoutInCell="1" allowOverlap="1">
                <wp:simplePos x="0" y="0"/>
                <wp:positionH relativeFrom="column">
                  <wp:posOffset>1614170</wp:posOffset>
                </wp:positionH>
                <wp:positionV relativeFrom="paragraph">
                  <wp:posOffset>1414145</wp:posOffset>
                </wp:positionV>
                <wp:extent cx="968375" cy="662940"/>
                <wp:effectExtent l="4445" t="4445" r="17780" b="18415"/>
                <wp:wrapNone/>
                <wp:docPr id="76" name="组合 76"/>
                <wp:cNvGraphicFramePr/>
                <a:graphic xmlns:a="http://schemas.openxmlformats.org/drawingml/2006/main">
                  <a:graphicData uri="http://schemas.microsoft.com/office/word/2010/wordprocessingGroup">
                    <wpg:wgp>
                      <wpg:cNvGrpSpPr/>
                      <wpg:grpSpPr>
                        <a:xfrm>
                          <a:off x="0" y="0"/>
                          <a:ext cx="968375" cy="662940"/>
                          <a:chOff x="3960" y="7978"/>
                          <a:chExt cx="1525" cy="1044"/>
                        </a:xfrm>
                      </wpg:grpSpPr>
                      <wps:wsp>
                        <wps:cNvPr id="72" name="圆角矩形标注 72"/>
                        <wps:cNvSpPr/>
                        <wps:spPr>
                          <a:xfrm>
                            <a:off x="3960" y="7978"/>
                            <a:ext cx="1126" cy="525"/>
                          </a:xfrm>
                          <a:prstGeom prst="wedgeRoundRectCallout">
                            <a:avLst>
                              <a:gd name="adj1" fmla="val 74690"/>
                              <a:gd name="adj2" fmla="val 137810"/>
                              <a:gd name="adj3" fmla="val 16667"/>
                            </a:avLst>
                          </a:prstGeom>
                          <a:solidFill>
                            <a:srgbClr val="6D6D6D"/>
                          </a:solidFill>
                          <a:ln w="6350" cap="flat" cmpd="sng">
                            <a:solidFill>
                              <a:srgbClr val="000000"/>
                            </a:solidFill>
                            <a:prstDash val="solid"/>
                            <a:miter/>
                            <a:headEnd type="none" w="med" len="med"/>
                            <a:tailEnd type="none" w="med" len="med"/>
                          </a:ln>
                        </wps:spPr>
                        <wps:txbx>
                          <w:txbxContent>
                            <w:p>
                              <w:pPr>
                                <w:ind w:left="-105" w:leftChars="-50" w:right="-105" w:rightChars="-50"/>
                                <w:jc w:val="center"/>
                                <w:rPr>
                                  <w:color w:val="000000"/>
                                </w:rPr>
                              </w:pPr>
                              <w:r>
                                <w:rPr>
                                  <w:rFonts w:hint="eastAsia"/>
                                  <w:color w:val="000000"/>
                                </w:rPr>
                                <w:t>项目位置</w:t>
                              </w:r>
                            </w:p>
                          </w:txbxContent>
                        </wps:txbx>
                        <wps:bodyPr anchor="ctr" upright="1"/>
                      </wps:wsp>
                      <wps:wsp>
                        <wps:cNvPr id="73" name="流程图: 联系 73"/>
                        <wps:cNvSpPr/>
                        <wps:spPr>
                          <a:xfrm>
                            <a:off x="5372" y="8909"/>
                            <a:ext cx="113" cy="113"/>
                          </a:xfrm>
                          <a:prstGeom prst="flowChartConnector">
                            <a:avLst/>
                          </a:prstGeom>
                          <a:solidFill>
                            <a:srgbClr val="FF0000"/>
                          </a:solidFill>
                          <a:ln w="9525"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1pt;margin-top:111.35pt;height:52.2pt;width:76.25pt;z-index:486759424;mso-width-relative:page;mso-height-relative:page;" coordorigin="3960,7978" coordsize="1525,1044" o:gfxdata="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5yiOT2gAAAAsBAAAPAAAAAAAAAAEA&#10;IAAAACIAAABkcnMvZG93bnJldi54bWxQSwECFAAUAAAACACHTuJA/DgEPyoDAAD+BwAADgAAAAAA&#10;AAABACAAAAApAQAAZHJzL2Uyb0RvYy54bWxQSwUGAAAAAAYABgBZAQAAxQYAAAAA&#10;">
                <o:lock v:ext="edit" aspectratio="f"/>
                <v:shape id="_x0000_s1026" o:spid="_x0000_s1026" o:spt="62" type="#_x0000_t62" style="position:absolute;left:3960;top:7978;height:525;width:1126;v-text-anchor:middle;" fillcolor="#6D6D6D" filled="t" stroked="t" coordsize="21600,21600" o:gfxdata="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RtOm8AAAA&#10;2wAAAA8AAAAAAAAAAQAgAAAAIgAAAGRycy9kb3ducmV2LnhtbFBLAQIUABQAAAAIAIdO4kAzLwWe&#10;OwAAADkAAAAQAAAAAAAAAAEAIAAAAAsBAABkcnMvc2hhcGV4bWwueG1sUEsFBgAAAAAGAAYAWwEA&#10;ALUDAAAAAA==&#10;" adj="26933,40567,14400">
                  <v:fill on="t" focussize="0,0"/>
                  <v:stroke weight="0.5pt" color="#000000" joinstyle="miter"/>
                  <v:imagedata o:title=""/>
                  <o:lock v:ext="edit" aspectratio="f"/>
                  <v:textbox>
                    <w:txbxContent>
                      <w:p>
                        <w:pPr>
                          <w:ind w:left="-105" w:leftChars="-50" w:right="-105" w:rightChars="-50"/>
                          <w:jc w:val="center"/>
                          <w:rPr>
                            <w:color w:val="000000"/>
                          </w:rPr>
                        </w:pPr>
                        <w:r>
                          <w:rPr>
                            <w:rFonts w:hint="eastAsia"/>
                            <w:color w:val="000000"/>
                          </w:rPr>
                          <w:t>项目位置</w:t>
                        </w:r>
                      </w:p>
                    </w:txbxContent>
                  </v:textbox>
                </v:shape>
                <v:shape id="_x0000_s1026" o:spid="_x0000_s1026" o:spt="120" type="#_x0000_t120" style="position:absolute;left:5372;top:8909;height:113;width:113;" fillcolor="#FF0000" filled="t" stroked="t" coordsize="21600,21600" o:gfxdata="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FBar4A&#10;AADbAAAADwAAAAAAAAABACAAAAAiAAAAZHJzL2Rvd25yZXYueG1sUEsBAhQAFAAAAAgAh07iQDMv&#10;BZ47AAAAOQAAABAAAAAAAAAAAQAgAAAADQEAAGRycy9zaGFwZXhtbC54bWxQSwUGAAAAAAYABgBb&#10;AQAAtwMAAAAA&#10;">
                  <v:fill on="t" focussize="0,0"/>
                  <v:stroke color="#FF0000" joinstyle="round"/>
                  <v:imagedata o:title=""/>
                  <o:lock v:ext="edit" aspectratio="f"/>
                </v:shape>
              </v:group>
            </w:pict>
          </mc:Fallback>
        </mc:AlternateContent>
      </w:r>
      <w:r>
        <w:rPr>
          <w:rFonts w:ascii="Times New Roman" w:hAnsi="Times New Roman"/>
        </w:rPr>
        <w:drawing>
          <wp:inline distT="0" distB="0" distL="114300" distR="114300">
            <wp:extent cx="5358130" cy="4133215"/>
            <wp:effectExtent l="0" t="0" r="13970" b="63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35"/>
                    <a:srcRect r="1276"/>
                    <a:stretch>
                      <a:fillRect/>
                    </a:stretch>
                  </pic:blipFill>
                  <pic:spPr>
                    <a:xfrm>
                      <a:off x="0" y="0"/>
                      <a:ext cx="5358130" cy="4133215"/>
                    </a:xfrm>
                    <a:prstGeom prst="rect">
                      <a:avLst/>
                    </a:prstGeom>
                    <a:noFill/>
                    <a:ln>
                      <a:noFill/>
                    </a:ln>
                  </pic:spPr>
                </pic:pic>
              </a:graphicData>
            </a:graphic>
          </wp:inline>
        </w:drawing>
      </w:r>
    </w:p>
    <w:p>
      <w:pPr>
        <w:widowControl/>
        <w:adjustRightInd w:val="0"/>
        <w:snapToGrid w:val="0"/>
        <w:ind w:left="-210" w:leftChars="-100"/>
        <w:jc w:val="center"/>
        <w:rPr>
          <w:rFonts w:ascii="Times New Roman" w:hAnsi="Times New Roman"/>
          <w:kern w:val="0"/>
          <w:sz w:val="24"/>
          <w:szCs w:val="24"/>
        </w:rPr>
      </w:pPr>
    </w:p>
    <w:p>
      <w:pPr>
        <w:pStyle w:val="246"/>
        <w:spacing w:line="360" w:lineRule="auto"/>
        <w:ind w:firstLine="0" w:firstLineChars="0"/>
        <w:jc w:val="center"/>
        <w:rPr>
          <w:rFonts w:ascii="Times New Roman" w:hAnsi="Times New Roman" w:cs="Times New Roman"/>
          <w:sz w:val="24"/>
          <w:szCs w:val="24"/>
        </w:rPr>
      </w:pPr>
      <w:r>
        <w:rPr>
          <w:rFonts w:ascii="Times New Roman" w:hAnsi="Times New Roman" w:cs="Times New Roman"/>
          <w:b/>
          <w:sz w:val="24"/>
          <w:szCs w:val="20"/>
        </w:rPr>
        <w:t>图6.1.1.6 评价区地形高程示意图</w:t>
      </w:r>
    </w:p>
    <w:p>
      <w:pPr>
        <w:widowControl/>
        <w:adjustRightInd w:val="0"/>
        <w:spacing w:before="78" w:beforeLines="25" w:after="78"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6.1.3地表特征参数</w:t>
      </w:r>
    </w:p>
    <w:p>
      <w:pPr>
        <w:spacing w:line="360" w:lineRule="auto"/>
        <w:ind w:firstLine="480" w:firstLineChars="200"/>
        <w:rPr>
          <w:rFonts w:ascii="Times New Roman" w:hAnsi="Times New Roman"/>
          <w:sz w:val="24"/>
          <w:szCs w:val="24"/>
        </w:rPr>
      </w:pPr>
      <w:r>
        <w:rPr>
          <w:rFonts w:ascii="Times New Roman" w:hAnsi="Times New Roman"/>
          <w:sz w:val="24"/>
          <w:szCs w:val="24"/>
        </w:rPr>
        <w:t>根据项目所处位置及地表特征，本项目不分扇区，地面时间周期按年取值，AERMET通用地表类型为水面，AERMET通用地表湿度条件为潮湿气候，根据地表类型得到的地面特征参数见下表。</w:t>
      </w:r>
    </w:p>
    <w:p>
      <w:pPr>
        <w:widowControl/>
        <w:adjustRightInd w:val="0"/>
        <w:snapToGrid w:val="0"/>
        <w:spacing w:before="156" w:beforeLines="50" w:line="360" w:lineRule="auto"/>
        <w:ind w:left="992"/>
        <w:jc w:val="center"/>
        <w:rPr>
          <w:rFonts w:ascii="Times New Roman" w:hAnsi="Times New Roman"/>
          <w:b/>
          <w:sz w:val="24"/>
          <w:szCs w:val="20"/>
        </w:rPr>
      </w:pPr>
      <w:r>
        <w:rPr>
          <w:rFonts w:ascii="Times New Roman" w:hAnsi="Times New Roman"/>
          <w:b/>
          <w:sz w:val="24"/>
          <w:szCs w:val="20"/>
        </w:rPr>
        <w:t>表6.1.3-1进一步预测地面特征参数表</w:t>
      </w:r>
    </w:p>
    <w:tbl>
      <w:tblPr>
        <w:tblStyle w:val="45"/>
        <w:tblW w:w="893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763"/>
        <w:gridCol w:w="1689"/>
        <w:gridCol w:w="1371"/>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Align w:val="center"/>
          </w:tcPr>
          <w:p>
            <w:pPr>
              <w:widowControl/>
              <w:jc w:val="center"/>
              <w:rPr>
                <w:rFonts w:ascii="Times New Roman" w:hAnsi="Times New Roman"/>
                <w:b/>
                <w:kern w:val="0"/>
                <w:szCs w:val="21"/>
              </w:rPr>
            </w:pPr>
            <w:r>
              <w:rPr>
                <w:rFonts w:ascii="Times New Roman" w:hAnsi="Times New Roman"/>
                <w:b/>
                <w:kern w:val="0"/>
                <w:szCs w:val="21"/>
              </w:rPr>
              <w:t>序号</w:t>
            </w:r>
          </w:p>
        </w:tc>
        <w:tc>
          <w:tcPr>
            <w:tcW w:w="1763" w:type="dxa"/>
            <w:vAlign w:val="center"/>
          </w:tcPr>
          <w:p>
            <w:pPr>
              <w:widowControl/>
              <w:jc w:val="center"/>
              <w:rPr>
                <w:rFonts w:ascii="Times New Roman" w:hAnsi="Times New Roman"/>
                <w:b/>
                <w:kern w:val="0"/>
                <w:szCs w:val="21"/>
              </w:rPr>
            </w:pPr>
            <w:r>
              <w:rPr>
                <w:rFonts w:ascii="Times New Roman" w:hAnsi="Times New Roman"/>
                <w:b/>
                <w:kern w:val="0"/>
                <w:szCs w:val="21"/>
              </w:rPr>
              <w:t>扇区</w:t>
            </w:r>
          </w:p>
        </w:tc>
        <w:tc>
          <w:tcPr>
            <w:tcW w:w="1689" w:type="dxa"/>
            <w:vAlign w:val="center"/>
          </w:tcPr>
          <w:p>
            <w:pPr>
              <w:widowControl/>
              <w:jc w:val="center"/>
              <w:rPr>
                <w:rFonts w:ascii="Times New Roman" w:hAnsi="Times New Roman"/>
                <w:b/>
                <w:kern w:val="0"/>
                <w:szCs w:val="21"/>
              </w:rPr>
            </w:pPr>
            <w:r>
              <w:rPr>
                <w:rFonts w:ascii="Times New Roman" w:hAnsi="Times New Roman"/>
                <w:b/>
                <w:kern w:val="0"/>
                <w:szCs w:val="21"/>
              </w:rPr>
              <w:t>时段</w:t>
            </w:r>
          </w:p>
        </w:tc>
        <w:tc>
          <w:tcPr>
            <w:tcW w:w="1371" w:type="dxa"/>
            <w:vAlign w:val="center"/>
          </w:tcPr>
          <w:p>
            <w:pPr>
              <w:widowControl/>
              <w:jc w:val="center"/>
              <w:rPr>
                <w:rFonts w:ascii="Times New Roman" w:hAnsi="Times New Roman"/>
                <w:b/>
                <w:kern w:val="0"/>
                <w:szCs w:val="21"/>
              </w:rPr>
            </w:pPr>
            <w:r>
              <w:rPr>
                <w:rFonts w:ascii="Times New Roman" w:hAnsi="Times New Roman"/>
                <w:b/>
                <w:kern w:val="0"/>
                <w:szCs w:val="21"/>
              </w:rPr>
              <w:t>正午反照率</w:t>
            </w:r>
          </w:p>
        </w:tc>
        <w:tc>
          <w:tcPr>
            <w:tcW w:w="1371" w:type="dxa"/>
            <w:vAlign w:val="center"/>
          </w:tcPr>
          <w:p>
            <w:pPr>
              <w:widowControl/>
              <w:jc w:val="center"/>
              <w:rPr>
                <w:rFonts w:ascii="Times New Roman" w:hAnsi="Times New Roman"/>
                <w:b/>
                <w:kern w:val="0"/>
                <w:szCs w:val="21"/>
              </w:rPr>
            </w:pPr>
            <w:r>
              <w:rPr>
                <w:rFonts w:ascii="Times New Roman" w:hAnsi="Times New Roman"/>
                <w:b/>
                <w:kern w:val="0"/>
                <w:szCs w:val="21"/>
              </w:rPr>
              <w:t>BOWEN</w:t>
            </w:r>
          </w:p>
        </w:tc>
        <w:tc>
          <w:tcPr>
            <w:tcW w:w="1371" w:type="dxa"/>
            <w:vAlign w:val="center"/>
          </w:tcPr>
          <w:p>
            <w:pPr>
              <w:widowControl/>
              <w:jc w:val="center"/>
              <w:rPr>
                <w:rFonts w:ascii="Times New Roman" w:hAnsi="Times New Roman"/>
                <w:b/>
                <w:kern w:val="0"/>
                <w:szCs w:val="21"/>
              </w:rPr>
            </w:pPr>
            <w:r>
              <w:rPr>
                <w:rFonts w:ascii="Times New Roman" w:hAnsi="Times New Roman"/>
                <w:b/>
                <w:kern w:val="0"/>
                <w:szCs w:val="21"/>
              </w:rPr>
              <w:t>粗糙度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63" w:type="dxa"/>
            <w:vAlign w:val="center"/>
          </w:tcPr>
          <w:p>
            <w:pPr>
              <w:widowControl/>
              <w:jc w:val="center"/>
              <w:rPr>
                <w:rFonts w:ascii="Times New Roman" w:hAnsi="Times New Roman"/>
                <w:kern w:val="0"/>
                <w:szCs w:val="21"/>
              </w:rPr>
            </w:pPr>
            <w:r>
              <w:rPr>
                <w:rFonts w:ascii="Times New Roman" w:hAnsi="Times New Roman"/>
                <w:kern w:val="0"/>
                <w:szCs w:val="21"/>
              </w:rPr>
              <w:t>0~360</w:t>
            </w:r>
          </w:p>
        </w:tc>
        <w:tc>
          <w:tcPr>
            <w:tcW w:w="1689" w:type="dxa"/>
            <w:vAlign w:val="center"/>
          </w:tcPr>
          <w:p>
            <w:pPr>
              <w:widowControl/>
              <w:jc w:val="center"/>
              <w:rPr>
                <w:rFonts w:ascii="Times New Roman" w:hAnsi="Times New Roman"/>
                <w:kern w:val="0"/>
                <w:szCs w:val="21"/>
              </w:rPr>
            </w:pPr>
            <w:r>
              <w:rPr>
                <w:rFonts w:ascii="Times New Roman" w:hAnsi="Times New Roman"/>
                <w:kern w:val="0"/>
                <w:szCs w:val="21"/>
              </w:rPr>
              <w:t>全年</w:t>
            </w:r>
          </w:p>
        </w:tc>
        <w:tc>
          <w:tcPr>
            <w:tcW w:w="1371" w:type="dxa"/>
            <w:vAlign w:val="center"/>
          </w:tcPr>
          <w:p>
            <w:pPr>
              <w:jc w:val="center"/>
              <w:rPr>
                <w:rFonts w:ascii="Times New Roman" w:hAnsi="Times New Roman"/>
                <w:kern w:val="0"/>
                <w:szCs w:val="21"/>
              </w:rPr>
            </w:pPr>
            <w:r>
              <w:rPr>
                <w:rFonts w:ascii="Times New Roman" w:hAnsi="Times New Roman"/>
                <w:kern w:val="0"/>
                <w:szCs w:val="21"/>
              </w:rPr>
              <w:t>0.14</w:t>
            </w:r>
          </w:p>
        </w:tc>
        <w:tc>
          <w:tcPr>
            <w:tcW w:w="1371" w:type="dxa"/>
            <w:vAlign w:val="center"/>
          </w:tcPr>
          <w:p>
            <w:pPr>
              <w:jc w:val="center"/>
              <w:rPr>
                <w:rFonts w:ascii="Times New Roman" w:hAnsi="Times New Roman"/>
                <w:kern w:val="0"/>
                <w:szCs w:val="21"/>
              </w:rPr>
            </w:pPr>
            <w:r>
              <w:rPr>
                <w:rFonts w:ascii="Times New Roman" w:hAnsi="Times New Roman"/>
                <w:kern w:val="0"/>
                <w:szCs w:val="21"/>
              </w:rPr>
              <w:t>0.15</w:t>
            </w:r>
          </w:p>
        </w:tc>
        <w:tc>
          <w:tcPr>
            <w:tcW w:w="1371" w:type="dxa"/>
            <w:vAlign w:val="center"/>
          </w:tcPr>
          <w:p>
            <w:pPr>
              <w:jc w:val="center"/>
              <w:rPr>
                <w:rFonts w:ascii="Times New Roman" w:hAnsi="Times New Roman"/>
                <w:kern w:val="0"/>
                <w:szCs w:val="21"/>
              </w:rPr>
            </w:pPr>
            <w:r>
              <w:rPr>
                <w:rFonts w:ascii="Times New Roman" w:hAnsi="Times New Roman"/>
                <w:kern w:val="0"/>
                <w:szCs w:val="21"/>
              </w:rPr>
              <w:t>0.0001</w:t>
            </w:r>
          </w:p>
        </w:tc>
      </w:tr>
    </w:tbl>
    <w:p>
      <w:pPr>
        <w:widowControl/>
        <w:adjustRightInd w:val="0"/>
        <w:spacing w:before="78" w:beforeLines="25" w:after="78"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6.1.4预测模型</w:t>
      </w:r>
    </w:p>
    <w:p>
      <w:pPr>
        <w:spacing w:line="360" w:lineRule="auto"/>
        <w:ind w:firstLine="480" w:firstLineChars="200"/>
        <w:rPr>
          <w:rFonts w:ascii="Times New Roman" w:hAnsi="Times New Roman"/>
          <w:sz w:val="24"/>
          <w:szCs w:val="24"/>
        </w:rPr>
      </w:pPr>
      <w:r>
        <w:rPr>
          <w:rFonts w:ascii="Times New Roman" w:hAnsi="Times New Roman"/>
          <w:sz w:val="24"/>
          <w:szCs w:val="24"/>
        </w:rPr>
        <w:t>根据估算结果可知，本项目大气评价等级为一级，本报告采用大气导则推荐的AERMOD模型，采用六五软件工作室及北京尚云环境有限公司开发的EIAProA2018 Ver2.6版软件对项目大气环境影响进行预测评价。评价基准年（2017年）内存在风速≤0.5 m/s 的持续时间为7h，未超过 72 h，全年静风频率为0.35%，未超过 35%时，可直接采用AERMOD模型预测结果，无需使用CALPUFF 模型进行进一步模拟。</w:t>
      </w:r>
    </w:p>
    <w:p>
      <w:pPr>
        <w:widowControl/>
        <w:adjustRightInd w:val="0"/>
        <w:spacing w:before="78" w:beforeLines="25" w:after="78"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6.1.5预测范围和预测内容</w:t>
      </w:r>
    </w:p>
    <w:p>
      <w:pPr>
        <w:tabs>
          <w:tab w:val="left" w:pos="567"/>
          <w:tab w:val="left" w:pos="851"/>
          <w:tab w:val="left" w:pos="1134"/>
        </w:tabs>
        <w:adjustRightInd w:val="0"/>
        <w:spacing w:line="360" w:lineRule="auto"/>
        <w:jc w:val="left"/>
        <w:outlineLvl w:val="4"/>
        <w:rPr>
          <w:rFonts w:ascii="Times New Roman" w:hAnsi="Times New Roman"/>
          <w:b/>
          <w:sz w:val="28"/>
          <w:szCs w:val="28"/>
        </w:rPr>
      </w:pPr>
      <w:r>
        <w:rPr>
          <w:rFonts w:ascii="Times New Roman" w:hAnsi="Times New Roman"/>
          <w:b/>
          <w:sz w:val="28"/>
          <w:szCs w:val="28"/>
        </w:rPr>
        <w:t>6.1.5.1预测范围</w:t>
      </w:r>
    </w:p>
    <w:p>
      <w:pPr>
        <w:spacing w:line="360" w:lineRule="auto"/>
        <w:ind w:firstLine="480" w:firstLineChars="200"/>
        <w:rPr>
          <w:rFonts w:ascii="Times New Roman" w:hAnsi="Times New Roman"/>
          <w:sz w:val="24"/>
          <w:szCs w:val="24"/>
        </w:rPr>
      </w:pPr>
      <w:r>
        <w:rPr>
          <w:rFonts w:ascii="Times New Roman" w:hAnsi="Times New Roman"/>
          <w:sz w:val="24"/>
          <w:szCs w:val="24"/>
        </w:rPr>
        <w:t>根据本项目大气评价工作等级及评价范围，综合考虑拟建项目实际建设情况，结合厂区周边环境特征和气象条件，本次大气环境影响预测范围覆盖整个评价范围，为以项目排气筒为中心，边长17×17km的矩形区域。预测网格采用直角坐标网格，东西为 X 轴，南北为 Y 轴。由于本项目预测范围较大，预测网格采用近密远疏的设置，距离源中心5km的网格间距为100 m，5～17km的网格间距为250m本项目预测范围见下图。</w:t>
      </w:r>
    </w:p>
    <w:p>
      <w:pPr>
        <w:spacing w:line="360" w:lineRule="auto"/>
        <w:jc w:val="center"/>
        <w:rPr>
          <w:rFonts w:ascii="Times New Roman" w:hAnsi="Times New Roman"/>
          <w:spacing w:val="6"/>
          <w:kern w:val="0"/>
          <w:sz w:val="24"/>
          <w:szCs w:val="24"/>
        </w:rPr>
      </w:pPr>
      <w:r>
        <w:rPr>
          <w:rFonts w:ascii="Times New Roman" w:hAnsi="Times New Roman"/>
        </w:rPr>
        <w:drawing>
          <wp:inline distT="0" distB="0" distL="114300" distR="114300">
            <wp:extent cx="5485765" cy="4351655"/>
            <wp:effectExtent l="0" t="0" r="635" b="1079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36"/>
                    <a:stretch>
                      <a:fillRect/>
                    </a:stretch>
                  </pic:blipFill>
                  <pic:spPr>
                    <a:xfrm>
                      <a:off x="0" y="0"/>
                      <a:ext cx="5485765" cy="4351655"/>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b/>
          <w:sz w:val="24"/>
          <w:szCs w:val="20"/>
        </w:rPr>
      </w:pPr>
      <w:r>
        <w:rPr>
          <w:rFonts w:ascii="Times New Roman" w:hAnsi="Times New Roman" w:cs="Times New Roman"/>
          <w:b/>
          <w:sz w:val="24"/>
          <w:szCs w:val="20"/>
        </w:rPr>
        <w:t>图6.1.1.7 项目大气评价范围图</w:t>
      </w:r>
    </w:p>
    <w:p>
      <w:pPr>
        <w:tabs>
          <w:tab w:val="left" w:pos="567"/>
          <w:tab w:val="left" w:pos="851"/>
          <w:tab w:val="left" w:pos="1134"/>
        </w:tabs>
        <w:adjustRightInd w:val="0"/>
        <w:spacing w:line="360" w:lineRule="auto"/>
        <w:jc w:val="left"/>
        <w:outlineLvl w:val="4"/>
        <w:rPr>
          <w:rFonts w:ascii="Times New Roman" w:hAnsi="Times New Roman"/>
          <w:b/>
          <w:sz w:val="28"/>
          <w:szCs w:val="28"/>
        </w:rPr>
      </w:pPr>
      <w:r>
        <w:rPr>
          <w:rFonts w:ascii="Times New Roman" w:hAnsi="Times New Roman"/>
          <w:b/>
          <w:sz w:val="28"/>
          <w:szCs w:val="28"/>
        </w:rPr>
        <w:t>6.1.5.2预测因子</w:t>
      </w:r>
    </w:p>
    <w:p>
      <w:pPr>
        <w:spacing w:line="360" w:lineRule="auto"/>
        <w:ind w:firstLine="480" w:firstLineChars="200"/>
        <w:rPr>
          <w:rFonts w:ascii="Times New Roman" w:hAnsi="Times New Roman"/>
          <w:sz w:val="24"/>
          <w:szCs w:val="24"/>
        </w:rPr>
      </w:pPr>
      <w:r>
        <w:rPr>
          <w:rFonts w:ascii="Times New Roman" w:hAnsi="Times New Roman"/>
          <w:sz w:val="24"/>
          <w:szCs w:val="24"/>
        </w:rPr>
        <w:t>根据本项目特点，选取的预测因子为：二氧化硫（SO</w:t>
      </w:r>
      <w:r>
        <w:rPr>
          <w:rFonts w:ascii="Times New Roman" w:hAnsi="Times New Roman"/>
          <w:sz w:val="24"/>
          <w:szCs w:val="24"/>
          <w:vertAlign w:val="subscript"/>
        </w:rPr>
        <w:t>2</w:t>
      </w:r>
      <w:r>
        <w:rPr>
          <w:rFonts w:ascii="Times New Roman" w:hAnsi="Times New Roman"/>
          <w:sz w:val="24"/>
          <w:szCs w:val="24"/>
        </w:rPr>
        <w:t>）、氮氧化物（以NO</w:t>
      </w:r>
      <w:r>
        <w:rPr>
          <w:rFonts w:ascii="Times New Roman" w:hAnsi="Times New Roman"/>
          <w:sz w:val="24"/>
          <w:szCs w:val="24"/>
          <w:vertAlign w:val="subscript"/>
        </w:rPr>
        <w:t>2</w:t>
      </w:r>
      <w:r>
        <w:rPr>
          <w:rFonts w:ascii="Times New Roman" w:hAnsi="Times New Roman"/>
          <w:sz w:val="24"/>
          <w:szCs w:val="24"/>
        </w:rPr>
        <w:t>计）、颗粒物（以PM</w:t>
      </w:r>
      <w:r>
        <w:rPr>
          <w:rFonts w:ascii="Times New Roman" w:hAnsi="Times New Roman"/>
          <w:sz w:val="24"/>
          <w:szCs w:val="24"/>
          <w:vertAlign w:val="subscript"/>
        </w:rPr>
        <w:t>10</w:t>
      </w:r>
      <w:r>
        <w:rPr>
          <w:rFonts w:ascii="Times New Roman" w:hAnsi="Times New Roman"/>
          <w:sz w:val="24"/>
          <w:szCs w:val="24"/>
        </w:rPr>
        <w:t>计）、镍、二噁英、硫化氢和氨。</w:t>
      </w:r>
    </w:p>
    <w:p>
      <w:pPr>
        <w:tabs>
          <w:tab w:val="left" w:pos="567"/>
          <w:tab w:val="left" w:pos="851"/>
          <w:tab w:val="left" w:pos="1134"/>
        </w:tabs>
        <w:adjustRightInd w:val="0"/>
        <w:spacing w:line="360" w:lineRule="auto"/>
        <w:jc w:val="left"/>
        <w:outlineLvl w:val="4"/>
        <w:rPr>
          <w:rFonts w:ascii="Times New Roman" w:hAnsi="Times New Roman"/>
          <w:b/>
          <w:sz w:val="28"/>
          <w:szCs w:val="28"/>
        </w:rPr>
      </w:pPr>
      <w:r>
        <w:rPr>
          <w:rFonts w:ascii="Times New Roman" w:hAnsi="Times New Roman"/>
          <w:b/>
          <w:sz w:val="28"/>
          <w:szCs w:val="28"/>
        </w:rPr>
        <w:t>6.1.5.3预测内容</w:t>
      </w:r>
    </w:p>
    <w:p>
      <w:pPr>
        <w:spacing w:line="360" w:lineRule="auto"/>
        <w:ind w:firstLine="480" w:firstLineChars="200"/>
        <w:rPr>
          <w:rFonts w:ascii="Times New Roman" w:hAnsi="Times New Roman"/>
          <w:sz w:val="24"/>
          <w:szCs w:val="24"/>
        </w:rPr>
      </w:pPr>
      <w:r>
        <w:rPr>
          <w:rFonts w:ascii="Times New Roman" w:hAnsi="Times New Roman"/>
          <w:sz w:val="24"/>
          <w:szCs w:val="24"/>
        </w:rPr>
        <w:t>根据拟建项目污染物排放特点及大气导则的要求，结合该区域的污染气象特征，预测内容详下表。</w:t>
      </w:r>
    </w:p>
    <w:p>
      <w:pPr>
        <w:widowControl/>
        <w:adjustRightInd w:val="0"/>
        <w:snapToGrid w:val="0"/>
        <w:spacing w:before="156" w:beforeLines="50" w:line="360" w:lineRule="auto"/>
        <w:ind w:left="992"/>
        <w:jc w:val="center"/>
        <w:rPr>
          <w:rFonts w:ascii="Times New Roman" w:hAnsi="Times New Roman"/>
          <w:snapToGrid w:val="0"/>
          <w:kern w:val="0"/>
          <w:sz w:val="24"/>
          <w:szCs w:val="24"/>
        </w:rPr>
      </w:pPr>
      <w:r>
        <w:rPr>
          <w:rFonts w:ascii="Times New Roman" w:hAnsi="Times New Roman"/>
          <w:b/>
          <w:sz w:val="24"/>
          <w:szCs w:val="20"/>
        </w:rPr>
        <w:t>表6.1.5.3-1预测内容和评价要求表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268"/>
        <w:gridCol w:w="1133"/>
        <w:gridCol w:w="1418"/>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评价</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对象</w:t>
            </w:r>
          </w:p>
        </w:tc>
        <w:tc>
          <w:tcPr>
            <w:tcW w:w="226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污染源</w:t>
            </w:r>
          </w:p>
        </w:tc>
        <w:tc>
          <w:tcPr>
            <w:tcW w:w="1133"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排放形式</w:t>
            </w:r>
          </w:p>
        </w:tc>
        <w:tc>
          <w:tcPr>
            <w:tcW w:w="141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预测内容</w:t>
            </w:r>
          </w:p>
        </w:tc>
        <w:tc>
          <w:tcPr>
            <w:tcW w:w="3509"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Merge w:val="restart"/>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评价项目</w:t>
            </w:r>
          </w:p>
        </w:tc>
        <w:tc>
          <w:tcPr>
            <w:tcW w:w="226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新增污染源</w:t>
            </w:r>
          </w:p>
        </w:tc>
        <w:tc>
          <w:tcPr>
            <w:tcW w:w="1133"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正常排放</w:t>
            </w:r>
          </w:p>
        </w:tc>
        <w:tc>
          <w:tcPr>
            <w:tcW w:w="1418" w:type="dxa"/>
            <w:vAlign w:val="center"/>
          </w:tcPr>
          <w:p>
            <w:pPr>
              <w:jc w:val="center"/>
              <w:rPr>
                <w:rFonts w:ascii="Times New Roman" w:hAnsi="Times New Roman"/>
                <w:sz w:val="20"/>
                <w:szCs w:val="20"/>
                <w:lang w:val="en-GB"/>
              </w:rPr>
            </w:pPr>
            <w:r>
              <w:rPr>
                <w:rFonts w:ascii="Times New Roman" w:hAnsi="Times New Roman"/>
                <w:sz w:val="20"/>
                <w:szCs w:val="20"/>
                <w:lang w:val="en-GB"/>
              </w:rPr>
              <w:t>短期浓度</w:t>
            </w:r>
          </w:p>
          <w:p>
            <w:pPr>
              <w:jc w:val="center"/>
              <w:rPr>
                <w:rFonts w:ascii="Times New Roman" w:hAnsi="Times New Roman"/>
                <w:sz w:val="20"/>
                <w:szCs w:val="20"/>
                <w:lang w:val="en-GB"/>
              </w:rPr>
            </w:pPr>
            <w:r>
              <w:rPr>
                <w:rFonts w:ascii="Times New Roman" w:hAnsi="Times New Roman"/>
                <w:sz w:val="20"/>
                <w:szCs w:val="20"/>
                <w:lang w:val="en-GB"/>
              </w:rPr>
              <w:t>长期浓度</w:t>
            </w:r>
          </w:p>
        </w:tc>
        <w:tc>
          <w:tcPr>
            <w:tcW w:w="3509"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Merge w:val="continue"/>
            <w:vAlign w:val="center"/>
          </w:tcPr>
          <w:p>
            <w:pPr>
              <w:spacing w:before="62" w:beforeLines="20" w:after="62" w:afterLines="20"/>
              <w:ind w:left="-105" w:leftChars="-50" w:right="-105" w:rightChars="-50"/>
              <w:jc w:val="center"/>
              <w:rPr>
                <w:rFonts w:ascii="Times New Roman" w:hAnsi="Times New Roman"/>
                <w:sz w:val="20"/>
                <w:szCs w:val="20"/>
                <w:lang w:val="en-GB"/>
              </w:rPr>
            </w:pPr>
          </w:p>
        </w:tc>
        <w:tc>
          <w:tcPr>
            <w:tcW w:w="226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新增污染源</w:t>
            </w:r>
          </w:p>
          <w:p>
            <w:pPr>
              <w:spacing w:before="62" w:beforeLines="20" w:after="62" w:afterLines="20"/>
              <w:ind w:left="-105" w:leftChars="-50" w:right="-105" w:rightChars="-50"/>
              <w:jc w:val="center"/>
              <w:rPr>
                <w:rFonts w:ascii="Times New Roman" w:hAnsi="Times New Roman"/>
                <w:b/>
                <w:sz w:val="20"/>
                <w:szCs w:val="20"/>
                <w:lang w:val="en-GB"/>
              </w:rPr>
            </w:pPr>
            <w:r>
              <w:rPr>
                <w:rFonts w:ascii="Times New Roman" w:hAnsi="Times New Roman"/>
                <w:b/>
                <w:sz w:val="20"/>
                <w:szCs w:val="20"/>
                <w:lang w:val="en-GB"/>
              </w:rPr>
              <w:t>—</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 xml:space="preserve"> “以新带老”污染源</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其他在建、拟建污染源</w:t>
            </w:r>
          </w:p>
        </w:tc>
        <w:tc>
          <w:tcPr>
            <w:tcW w:w="1133"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正常排放</w:t>
            </w:r>
          </w:p>
        </w:tc>
        <w:tc>
          <w:tcPr>
            <w:tcW w:w="1418" w:type="dxa"/>
            <w:vAlign w:val="center"/>
          </w:tcPr>
          <w:p>
            <w:pPr>
              <w:jc w:val="center"/>
              <w:rPr>
                <w:rFonts w:ascii="Times New Roman" w:hAnsi="Times New Roman"/>
                <w:sz w:val="20"/>
                <w:szCs w:val="20"/>
                <w:lang w:val="en-GB"/>
              </w:rPr>
            </w:pPr>
            <w:r>
              <w:rPr>
                <w:rFonts w:ascii="Times New Roman" w:hAnsi="Times New Roman"/>
                <w:sz w:val="20"/>
                <w:szCs w:val="20"/>
                <w:lang w:val="en-GB"/>
              </w:rPr>
              <w:t>短期浓度</w:t>
            </w:r>
          </w:p>
          <w:p>
            <w:pPr>
              <w:jc w:val="center"/>
              <w:rPr>
                <w:rFonts w:ascii="Times New Roman" w:hAnsi="Times New Roman"/>
                <w:sz w:val="20"/>
                <w:szCs w:val="20"/>
                <w:lang w:val="en-GB"/>
              </w:rPr>
            </w:pPr>
            <w:r>
              <w:rPr>
                <w:rFonts w:ascii="Times New Roman" w:hAnsi="Times New Roman"/>
                <w:sz w:val="20"/>
                <w:szCs w:val="20"/>
                <w:lang w:val="en-GB"/>
              </w:rPr>
              <w:t>长期浓度</w:t>
            </w:r>
          </w:p>
        </w:tc>
        <w:tc>
          <w:tcPr>
            <w:tcW w:w="3509" w:type="dxa"/>
            <w:vAlign w:val="center"/>
          </w:tcPr>
          <w:p>
            <w:pPr>
              <w:spacing w:before="62" w:beforeLines="20" w:after="62" w:afterLines="20"/>
              <w:ind w:right="-105" w:rightChars="-50"/>
              <w:rPr>
                <w:rFonts w:ascii="Times New Roman" w:hAnsi="Times New Roman"/>
                <w:sz w:val="20"/>
                <w:szCs w:val="20"/>
                <w:lang w:val="en-GB"/>
              </w:rPr>
            </w:pPr>
            <w:r>
              <w:rPr>
                <w:rFonts w:ascii="Times New Roman" w:hAnsi="Times New Roman"/>
                <w:sz w:val="20"/>
                <w:szCs w:val="20"/>
                <w:lang w:val="en-GB"/>
              </w:rPr>
              <w:t>PM</w:t>
            </w:r>
            <w:r>
              <w:rPr>
                <w:rFonts w:ascii="Times New Roman" w:hAnsi="Times New Roman"/>
                <w:sz w:val="20"/>
                <w:szCs w:val="20"/>
                <w:vertAlign w:val="subscript"/>
                <w:lang w:val="en-GB"/>
              </w:rPr>
              <w:t>10</w:t>
            </w:r>
            <w:r>
              <w:rPr>
                <w:rFonts w:ascii="Times New Roman" w:hAnsi="Times New Roman"/>
                <w:b/>
                <w:sz w:val="20"/>
                <w:szCs w:val="20"/>
                <w:vertAlign w:val="superscript"/>
                <w:lang w:val="en-GB"/>
              </w:rPr>
              <w:t>注</w:t>
            </w:r>
            <w:r>
              <w:rPr>
                <w:rFonts w:ascii="Times New Roman" w:hAnsi="Times New Roman"/>
                <w:sz w:val="20"/>
                <w:szCs w:val="20"/>
                <w:lang w:val="en-GB"/>
              </w:rPr>
              <w:t>评价年平均质量浓度变化率；</w:t>
            </w:r>
          </w:p>
          <w:p>
            <w:pPr>
              <w:spacing w:before="62" w:beforeLines="20" w:after="62" w:afterLines="20"/>
              <w:ind w:right="-105" w:rightChars="-50"/>
              <w:rPr>
                <w:rFonts w:ascii="Times New Roman" w:hAnsi="Times New Roman"/>
                <w:sz w:val="20"/>
                <w:szCs w:val="20"/>
                <w:lang w:val="en-GB"/>
              </w:rPr>
            </w:pPr>
            <w:r>
              <w:rPr>
                <w:rFonts w:ascii="Times New Roman" w:hAnsi="Times New Roman"/>
                <w:sz w:val="20"/>
                <w:szCs w:val="20"/>
                <w:lang w:val="en-GB"/>
              </w:rPr>
              <w:t>SO</w:t>
            </w:r>
            <w:r>
              <w:rPr>
                <w:rFonts w:ascii="Times New Roman" w:hAnsi="Times New Roman"/>
                <w:sz w:val="20"/>
                <w:szCs w:val="20"/>
                <w:vertAlign w:val="subscript"/>
                <w:lang w:val="en-GB"/>
              </w:rPr>
              <w:t>2</w:t>
            </w:r>
            <w:r>
              <w:rPr>
                <w:rFonts w:ascii="Times New Roman" w:hAnsi="Times New Roman"/>
                <w:sz w:val="20"/>
                <w:szCs w:val="20"/>
                <w:lang w:val="en-GB"/>
              </w:rPr>
              <w:t>和NO</w:t>
            </w:r>
            <w:r>
              <w:rPr>
                <w:rFonts w:ascii="Times New Roman" w:hAnsi="Times New Roman"/>
                <w:sz w:val="20"/>
                <w:szCs w:val="20"/>
                <w:vertAlign w:val="subscript"/>
                <w:lang w:val="en-GB"/>
              </w:rPr>
              <w:t>2</w:t>
            </w:r>
            <w:r>
              <w:rPr>
                <w:rFonts w:ascii="Times New Roman" w:hAnsi="Times New Roman"/>
                <w:sz w:val="20"/>
                <w:szCs w:val="20"/>
                <w:lang w:val="en-GB"/>
              </w:rPr>
              <w:t>叠加环境质量现状浓度后保证率日均浓度和年平均浓度的占标率；</w:t>
            </w:r>
          </w:p>
          <w:p>
            <w:pPr>
              <w:spacing w:before="62" w:beforeLines="20" w:after="62" w:afterLines="20"/>
              <w:ind w:right="-105" w:rightChars="-50"/>
              <w:rPr>
                <w:rFonts w:ascii="Times New Roman" w:hAnsi="Times New Roman"/>
                <w:sz w:val="20"/>
                <w:szCs w:val="20"/>
                <w:lang w:val="en-GB"/>
              </w:rPr>
            </w:pPr>
            <w:r>
              <w:rPr>
                <w:rFonts w:ascii="Times New Roman" w:hAnsi="Times New Roman"/>
                <w:sz w:val="20"/>
                <w:szCs w:val="20"/>
                <w:lang w:val="en-GB"/>
              </w:rPr>
              <w:t>二噁英、镍、仅有年均质量浓度标准限值，且无年均背景浓度，不考虑叠加后的影响；</w:t>
            </w:r>
          </w:p>
          <w:p>
            <w:pPr>
              <w:spacing w:before="62" w:beforeLines="20" w:after="62" w:afterLines="20"/>
              <w:ind w:right="-105" w:rightChars="-50"/>
              <w:jc w:val="left"/>
              <w:rPr>
                <w:rFonts w:ascii="Times New Roman" w:hAnsi="Times New Roman"/>
                <w:sz w:val="20"/>
                <w:szCs w:val="20"/>
                <w:lang w:val="en-GB"/>
              </w:rPr>
            </w:pPr>
            <w:r>
              <w:rPr>
                <w:rFonts w:ascii="Times New Roman" w:hAnsi="Times New Roman"/>
                <w:sz w:val="20"/>
                <w:szCs w:val="20"/>
                <w:lang w:val="en-GB"/>
              </w:rPr>
              <w:t>硫化氢和氨叠加后短期浓度的达标情况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Merge w:val="continue"/>
            <w:vAlign w:val="center"/>
          </w:tcPr>
          <w:p>
            <w:pPr>
              <w:spacing w:before="62" w:beforeLines="20" w:after="62" w:afterLines="20"/>
              <w:ind w:left="-105" w:leftChars="-50" w:right="-105" w:rightChars="-50"/>
              <w:jc w:val="center"/>
              <w:rPr>
                <w:rFonts w:ascii="Times New Roman" w:hAnsi="Times New Roman"/>
                <w:sz w:val="20"/>
                <w:szCs w:val="20"/>
                <w:lang w:val="en-GB"/>
              </w:rPr>
            </w:pPr>
          </w:p>
        </w:tc>
        <w:tc>
          <w:tcPr>
            <w:tcW w:w="226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新增污染源</w:t>
            </w:r>
          </w:p>
        </w:tc>
        <w:tc>
          <w:tcPr>
            <w:tcW w:w="1133"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非正常排放</w:t>
            </w:r>
          </w:p>
        </w:tc>
        <w:tc>
          <w:tcPr>
            <w:tcW w:w="1418" w:type="dxa"/>
            <w:vAlign w:val="center"/>
          </w:tcPr>
          <w:p>
            <w:pPr>
              <w:jc w:val="center"/>
              <w:rPr>
                <w:rFonts w:ascii="Times New Roman" w:hAnsi="Times New Roman"/>
                <w:sz w:val="20"/>
                <w:szCs w:val="20"/>
                <w:lang w:val="en-GB"/>
              </w:rPr>
            </w:pPr>
            <w:r>
              <w:rPr>
                <w:rFonts w:ascii="Times New Roman" w:hAnsi="Times New Roman"/>
                <w:sz w:val="20"/>
                <w:szCs w:val="20"/>
                <w:lang w:val="en-GB"/>
              </w:rPr>
              <w:t>1h平均质量浓度</w:t>
            </w:r>
          </w:p>
        </w:tc>
        <w:tc>
          <w:tcPr>
            <w:tcW w:w="3509"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大气环境防护距离</w:t>
            </w:r>
          </w:p>
        </w:tc>
        <w:tc>
          <w:tcPr>
            <w:tcW w:w="226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新增污染源</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“以新带老”污染源</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w:t>
            </w:r>
          </w:p>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项目全厂现有污染源</w:t>
            </w:r>
          </w:p>
        </w:tc>
        <w:tc>
          <w:tcPr>
            <w:tcW w:w="1133" w:type="dxa"/>
            <w:vAlign w:val="center"/>
          </w:tcPr>
          <w:p>
            <w:pPr>
              <w:spacing w:before="62" w:beforeLines="20" w:after="62" w:afterLines="20"/>
              <w:ind w:left="-105" w:leftChars="-50" w:right="-105" w:rightChars="-50"/>
              <w:jc w:val="center"/>
              <w:rPr>
                <w:rFonts w:ascii="Times New Roman" w:hAnsi="Times New Roman"/>
                <w:sz w:val="20"/>
                <w:szCs w:val="20"/>
              </w:rPr>
            </w:pPr>
            <w:r>
              <w:rPr>
                <w:rFonts w:ascii="Times New Roman" w:hAnsi="Times New Roman"/>
                <w:sz w:val="20"/>
                <w:szCs w:val="20"/>
                <w:lang w:val="en-GB"/>
              </w:rPr>
              <w:t>正常排放</w:t>
            </w:r>
          </w:p>
        </w:tc>
        <w:tc>
          <w:tcPr>
            <w:tcW w:w="1418"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短期浓度</w:t>
            </w:r>
          </w:p>
        </w:tc>
        <w:tc>
          <w:tcPr>
            <w:tcW w:w="3509" w:type="dxa"/>
            <w:vAlign w:val="center"/>
          </w:tcPr>
          <w:p>
            <w:pPr>
              <w:spacing w:before="62" w:beforeLines="20" w:after="62" w:afterLines="20"/>
              <w:ind w:left="-105" w:leftChars="-50" w:right="-105" w:rightChars="-50"/>
              <w:jc w:val="center"/>
              <w:rPr>
                <w:rFonts w:ascii="Times New Roman" w:hAnsi="Times New Roman"/>
                <w:sz w:val="20"/>
                <w:szCs w:val="20"/>
                <w:lang w:val="en-GB"/>
              </w:rPr>
            </w:pPr>
            <w:r>
              <w:rPr>
                <w:rFonts w:ascii="Times New Roman" w:hAnsi="Times New Roman"/>
                <w:sz w:val="20"/>
                <w:szCs w:val="20"/>
                <w:lang w:val="en-GB"/>
              </w:rPr>
              <w:t>大气环境防护距离</w:t>
            </w:r>
          </w:p>
        </w:tc>
      </w:tr>
    </w:tbl>
    <w:p>
      <w:pPr>
        <w:ind w:firstLine="420" w:firstLineChars="200"/>
        <w:rPr>
          <w:rFonts w:ascii="Times New Roman" w:hAnsi="Times New Roman"/>
          <w:szCs w:val="21"/>
        </w:rPr>
      </w:pPr>
      <w:r>
        <w:rPr>
          <w:rFonts w:ascii="Times New Roman" w:hAnsi="Times New Roman"/>
          <w:szCs w:val="21"/>
        </w:rPr>
        <w:t>注：岳阳市暂未制定环境空气达标规划，对于大气超标因子PM</w:t>
      </w:r>
      <w:r>
        <w:rPr>
          <w:rFonts w:ascii="Times New Roman" w:hAnsi="Times New Roman"/>
          <w:szCs w:val="21"/>
          <w:vertAlign w:val="subscript"/>
        </w:rPr>
        <w:t>10</w:t>
      </w:r>
      <w:r>
        <w:rPr>
          <w:rFonts w:ascii="Times New Roman" w:hAnsi="Times New Roman"/>
          <w:szCs w:val="21"/>
        </w:rPr>
        <w:t>采用评价年平均质量浓度变化率进行评价。</w:t>
      </w:r>
    </w:p>
    <w:p>
      <w:pPr>
        <w:spacing w:before="156" w:beforeLines="50" w:line="360" w:lineRule="auto"/>
        <w:ind w:firstLine="480" w:firstLineChars="200"/>
        <w:rPr>
          <w:rFonts w:ascii="Times New Roman" w:hAnsi="Times New Roman"/>
          <w:sz w:val="24"/>
          <w:szCs w:val="24"/>
        </w:rPr>
      </w:pPr>
      <w:r>
        <w:rPr>
          <w:rFonts w:ascii="Times New Roman" w:hAnsi="Times New Roman"/>
          <w:sz w:val="24"/>
          <w:szCs w:val="24"/>
        </w:rPr>
        <w:t>1、新增污染源：本项目新增污染源主要包括燃烧废气及油泥浮渣储仓无组织排放废气，其中根据掺烧油泥浮渣种类的不同和排放方式的不同，燃烧废气主要包括①掺烧油泥浮渣-单独运行1台；②掺烧油泥浮渣-同时运行2台锅炉两种情景。</w:t>
      </w:r>
    </w:p>
    <w:p>
      <w:pPr>
        <w:spacing w:line="360" w:lineRule="auto"/>
        <w:ind w:firstLine="480" w:firstLineChars="200"/>
        <w:rPr>
          <w:rFonts w:ascii="Times New Roman" w:hAnsi="Times New Roman"/>
          <w:sz w:val="24"/>
          <w:szCs w:val="24"/>
        </w:rPr>
      </w:pPr>
      <w:r>
        <w:rPr>
          <w:rFonts w:ascii="Times New Roman" w:hAnsi="Times New Roman"/>
          <w:sz w:val="24"/>
          <w:szCs w:val="24"/>
        </w:rPr>
        <w:t>2、“以新带老”污染源：本项目利用原有锅炉进行油泥浮渣掺烧，掺烧前原有燃烧废气污染源按“以新带老”污染源考虑，主要包括不掺烧时1台锅炉单独运行和不掺烧时2台锅炉同时运行两种情景。</w:t>
      </w:r>
    </w:p>
    <w:p>
      <w:pPr>
        <w:spacing w:line="360" w:lineRule="auto"/>
        <w:ind w:right="-113" w:firstLine="480" w:firstLineChars="200"/>
        <w:jc w:val="left"/>
        <w:rPr>
          <w:rFonts w:ascii="Times New Roman" w:hAnsi="Times New Roman"/>
          <w:sz w:val="24"/>
          <w:szCs w:val="24"/>
        </w:rPr>
      </w:pPr>
      <w:r>
        <w:rPr>
          <w:rFonts w:ascii="Times New Roman" w:hAnsi="Times New Roman"/>
          <w:sz w:val="24"/>
          <w:szCs w:val="24"/>
        </w:rPr>
        <w:t>3、其他在建、拟建污染源包括：主要为项目大气评价范围内本项目排放的污染物（二氧化硫、氮氧化物、镍、PM</w:t>
      </w:r>
      <w:r>
        <w:rPr>
          <w:rFonts w:ascii="Times New Roman" w:hAnsi="Times New Roman"/>
          <w:sz w:val="24"/>
          <w:szCs w:val="24"/>
          <w:vertAlign w:val="subscript"/>
        </w:rPr>
        <w:t>10</w:t>
      </w:r>
      <w:r>
        <w:rPr>
          <w:rFonts w:ascii="Times New Roman" w:hAnsi="Times New Roman"/>
          <w:sz w:val="24"/>
          <w:szCs w:val="24"/>
        </w:rPr>
        <w:t>、二噁英、硫化氢和氨）有关的项目，主要为临湘海创水泥窑综合利用固废危废项目、岳阳兴长石化股份有限公司、岳阳市长岭中顺化工有限责任公司、湖南长岭石化科技开发有限公司等</w:t>
      </w:r>
      <w:r>
        <w:rPr>
          <w:rFonts w:ascii="Times New Roman" w:hAnsi="Times New Roman"/>
          <w:spacing w:val="6"/>
          <w:kern w:val="0"/>
          <w:sz w:val="24"/>
          <w:szCs w:val="24"/>
        </w:rPr>
        <w:t>项目</w:t>
      </w:r>
      <w:r>
        <w:rPr>
          <w:rFonts w:ascii="Times New Roman" w:hAnsi="Times New Roman"/>
          <w:sz w:val="24"/>
          <w:szCs w:val="24"/>
        </w:rPr>
        <w:t>排放的污染物。</w:t>
      </w:r>
    </w:p>
    <w:p>
      <w:pPr>
        <w:tabs>
          <w:tab w:val="left" w:pos="567"/>
          <w:tab w:val="left" w:pos="851"/>
          <w:tab w:val="left" w:pos="1134"/>
        </w:tabs>
        <w:adjustRightInd w:val="0"/>
        <w:spacing w:line="360" w:lineRule="auto"/>
        <w:jc w:val="left"/>
        <w:outlineLvl w:val="4"/>
        <w:rPr>
          <w:rFonts w:ascii="Times New Roman" w:hAnsi="Times New Roman"/>
          <w:b/>
          <w:sz w:val="28"/>
          <w:szCs w:val="28"/>
        </w:rPr>
      </w:pPr>
      <w:r>
        <w:rPr>
          <w:rFonts w:ascii="Times New Roman" w:hAnsi="Times New Roman"/>
          <w:b/>
          <w:sz w:val="28"/>
          <w:szCs w:val="28"/>
        </w:rPr>
        <w:t>6.1.5.4预测源强</w:t>
      </w:r>
    </w:p>
    <w:p>
      <w:pPr>
        <w:spacing w:line="360" w:lineRule="auto"/>
        <w:ind w:firstLine="480" w:firstLineChars="200"/>
        <w:rPr>
          <w:rFonts w:ascii="Times New Roman" w:hAnsi="Times New Roman"/>
          <w:sz w:val="24"/>
          <w:szCs w:val="24"/>
        </w:rPr>
      </w:pPr>
      <w:r>
        <w:rPr>
          <w:rFonts w:ascii="Times New Roman" w:hAnsi="Times New Roman"/>
          <w:sz w:val="24"/>
          <w:szCs w:val="24"/>
        </w:rPr>
        <w:t>根据工程分析，本项目新增污染源强见表6.1.5.4-1和表6.1.5.4-2，“以新带老”污染源见表6.1.5.4-3，评价范围内其他在建、拟建污染源见表6.1.5.4-4和表6.1.5.4-5。</w:t>
      </w:r>
    </w:p>
    <w:p>
      <w:pPr>
        <w:spacing w:line="360" w:lineRule="auto"/>
        <w:ind w:firstLine="480" w:firstLineChars="200"/>
        <w:rPr>
          <w:rFonts w:ascii="Times New Roman" w:hAnsi="Times New Roman"/>
          <w:sz w:val="24"/>
          <w:szCs w:val="24"/>
        </w:rPr>
        <w:sectPr>
          <w:type w:val="continuous"/>
          <w:pgSz w:w="11906" w:h="16838"/>
          <w:pgMar w:top="1418" w:right="1418" w:bottom="1418" w:left="1418" w:header="851" w:footer="992" w:gutter="0"/>
          <w:cols w:space="720" w:num="1"/>
          <w:docGrid w:type="lines" w:linePitch="312" w:charSpace="0"/>
        </w:sectPr>
      </w:pPr>
    </w:p>
    <w:p>
      <w:pPr>
        <w:widowControl/>
        <w:adjustRightInd w:val="0"/>
        <w:snapToGrid w:val="0"/>
        <w:spacing w:before="156" w:beforeLines="50" w:line="360" w:lineRule="auto"/>
        <w:ind w:left="-420" w:leftChars="-200"/>
        <w:jc w:val="center"/>
        <w:rPr>
          <w:rFonts w:ascii="Times New Roman" w:hAnsi="Times New Roman"/>
          <w:b/>
          <w:snapToGrid w:val="0"/>
          <w:kern w:val="0"/>
          <w:sz w:val="24"/>
          <w:szCs w:val="24"/>
        </w:rPr>
      </w:pPr>
      <w:r>
        <w:rPr>
          <w:rFonts w:ascii="Times New Roman" w:hAnsi="Times New Roman"/>
          <w:b/>
          <w:sz w:val="24"/>
          <w:szCs w:val="20"/>
        </w:rPr>
        <w:t>表6.1.5.4-1</w:t>
      </w:r>
      <w:r>
        <w:rPr>
          <w:rFonts w:ascii="Times New Roman" w:hAnsi="Times New Roman"/>
          <w:b/>
          <w:snapToGrid w:val="0"/>
          <w:kern w:val="0"/>
          <w:sz w:val="24"/>
          <w:szCs w:val="24"/>
        </w:rPr>
        <w:t xml:space="preserve"> 项目新增点源参数表</w:t>
      </w:r>
    </w:p>
    <w:tbl>
      <w:tblPr>
        <w:tblStyle w:val="45"/>
        <w:tblW w:w="148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62"/>
        <w:gridCol w:w="711"/>
        <w:gridCol w:w="787"/>
        <w:gridCol w:w="1049"/>
        <w:gridCol w:w="918"/>
        <w:gridCol w:w="919"/>
        <w:gridCol w:w="918"/>
        <w:gridCol w:w="918"/>
        <w:gridCol w:w="918"/>
        <w:gridCol w:w="1173"/>
        <w:gridCol w:w="957"/>
        <w:gridCol w:w="957"/>
        <w:gridCol w:w="957"/>
        <w:gridCol w:w="95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编号</w:t>
            </w:r>
          </w:p>
        </w:tc>
        <w:tc>
          <w:tcPr>
            <w:tcW w:w="1262"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名称</w:t>
            </w:r>
          </w:p>
        </w:tc>
        <w:tc>
          <w:tcPr>
            <w:tcW w:w="1498" w:type="dxa"/>
            <w:gridSpan w:val="2"/>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排气筒底部中心坐标 /m</w:t>
            </w:r>
          </w:p>
        </w:tc>
        <w:tc>
          <w:tcPr>
            <w:tcW w:w="1049"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排气筒底部海拔高度/m</w:t>
            </w:r>
          </w:p>
        </w:tc>
        <w:tc>
          <w:tcPr>
            <w:tcW w:w="918"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排气筒高度/m</w:t>
            </w:r>
          </w:p>
        </w:tc>
        <w:tc>
          <w:tcPr>
            <w:tcW w:w="919"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排气筒出口内径/m</w:t>
            </w:r>
          </w:p>
        </w:tc>
        <w:tc>
          <w:tcPr>
            <w:tcW w:w="918"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烟气流量/（m</w:t>
            </w:r>
            <w:r>
              <w:rPr>
                <w:rFonts w:ascii="Times New Roman" w:hAnsi="Times New Roman"/>
                <w:b/>
                <w:bCs/>
                <w:kern w:val="0"/>
                <w:sz w:val="20"/>
                <w:szCs w:val="20"/>
                <w:vertAlign w:val="superscript"/>
              </w:rPr>
              <w:t>3</w:t>
            </w:r>
            <w:r>
              <w:rPr>
                <w:rFonts w:ascii="Times New Roman" w:hAnsi="Times New Roman"/>
                <w:b/>
                <w:bCs/>
                <w:kern w:val="0"/>
                <w:sz w:val="20"/>
                <w:szCs w:val="20"/>
              </w:rPr>
              <w:t>/h）</w:t>
            </w:r>
          </w:p>
        </w:tc>
        <w:tc>
          <w:tcPr>
            <w:tcW w:w="918"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烟气温度/℃</w:t>
            </w:r>
          </w:p>
        </w:tc>
        <w:tc>
          <w:tcPr>
            <w:tcW w:w="918"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年排放小时数/h</w:t>
            </w:r>
          </w:p>
        </w:tc>
        <w:tc>
          <w:tcPr>
            <w:tcW w:w="1173" w:type="dxa"/>
            <w:vMerge w:val="restart"/>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排放工况</w:t>
            </w:r>
          </w:p>
        </w:tc>
        <w:tc>
          <w:tcPr>
            <w:tcW w:w="4785" w:type="dxa"/>
            <w:gridSpan w:val="5"/>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vMerge w:val="continue"/>
            <w:shd w:val="clear" w:color="auto" w:fill="auto"/>
            <w:vAlign w:val="center"/>
          </w:tcPr>
          <w:p>
            <w:pPr>
              <w:widowControl/>
              <w:jc w:val="center"/>
              <w:rPr>
                <w:rFonts w:ascii="Times New Roman" w:hAnsi="Times New Roman"/>
                <w:b/>
                <w:bCs/>
                <w:kern w:val="0"/>
                <w:sz w:val="20"/>
                <w:szCs w:val="20"/>
              </w:rPr>
            </w:pPr>
          </w:p>
        </w:tc>
        <w:tc>
          <w:tcPr>
            <w:tcW w:w="1262" w:type="dxa"/>
            <w:vMerge w:val="continue"/>
            <w:shd w:val="clear" w:color="auto" w:fill="auto"/>
            <w:vAlign w:val="center"/>
          </w:tcPr>
          <w:p>
            <w:pPr>
              <w:widowControl/>
              <w:jc w:val="center"/>
              <w:rPr>
                <w:rFonts w:ascii="Times New Roman" w:hAnsi="Times New Roman"/>
                <w:b/>
                <w:bCs/>
                <w:kern w:val="0"/>
                <w:sz w:val="20"/>
                <w:szCs w:val="20"/>
              </w:rPr>
            </w:pPr>
          </w:p>
        </w:tc>
        <w:tc>
          <w:tcPr>
            <w:tcW w:w="711" w:type="dxa"/>
            <w:shd w:val="clear" w:color="000000" w:fill="FFFFFF"/>
            <w:vAlign w:val="center"/>
          </w:tcPr>
          <w:p>
            <w:pPr>
              <w:widowControl/>
              <w:jc w:val="center"/>
              <w:rPr>
                <w:rFonts w:ascii="Times New Roman" w:hAnsi="Times New Roman"/>
                <w:b/>
                <w:i/>
                <w:iCs/>
                <w:kern w:val="0"/>
                <w:sz w:val="20"/>
                <w:szCs w:val="20"/>
              </w:rPr>
            </w:pPr>
            <w:r>
              <w:rPr>
                <w:rFonts w:ascii="Times New Roman" w:hAnsi="Times New Roman"/>
                <w:b/>
                <w:i/>
                <w:iCs/>
                <w:kern w:val="0"/>
                <w:sz w:val="20"/>
                <w:szCs w:val="20"/>
              </w:rPr>
              <w:t>X</w:t>
            </w:r>
          </w:p>
        </w:tc>
        <w:tc>
          <w:tcPr>
            <w:tcW w:w="787" w:type="dxa"/>
            <w:shd w:val="clear" w:color="000000" w:fill="FFFFFF"/>
            <w:vAlign w:val="center"/>
          </w:tcPr>
          <w:p>
            <w:pPr>
              <w:widowControl/>
              <w:jc w:val="center"/>
              <w:rPr>
                <w:rFonts w:ascii="Times New Roman" w:hAnsi="Times New Roman"/>
                <w:b/>
                <w:i/>
                <w:iCs/>
                <w:kern w:val="0"/>
                <w:sz w:val="20"/>
                <w:szCs w:val="20"/>
              </w:rPr>
            </w:pPr>
            <w:r>
              <w:rPr>
                <w:rFonts w:ascii="Times New Roman" w:hAnsi="Times New Roman"/>
                <w:b/>
                <w:i/>
                <w:iCs/>
                <w:kern w:val="0"/>
                <w:sz w:val="20"/>
                <w:szCs w:val="20"/>
              </w:rPr>
              <w:t>Y</w:t>
            </w:r>
          </w:p>
        </w:tc>
        <w:tc>
          <w:tcPr>
            <w:tcW w:w="1049" w:type="dxa"/>
            <w:vMerge w:val="continue"/>
            <w:shd w:val="clear" w:color="auto" w:fill="auto"/>
            <w:vAlign w:val="center"/>
          </w:tcPr>
          <w:p>
            <w:pPr>
              <w:widowControl/>
              <w:jc w:val="center"/>
              <w:rPr>
                <w:rFonts w:ascii="Times New Roman" w:hAnsi="Times New Roman"/>
                <w:b/>
                <w:bCs/>
                <w:kern w:val="0"/>
                <w:sz w:val="20"/>
                <w:szCs w:val="20"/>
              </w:rPr>
            </w:pPr>
          </w:p>
        </w:tc>
        <w:tc>
          <w:tcPr>
            <w:tcW w:w="918" w:type="dxa"/>
            <w:vMerge w:val="continue"/>
            <w:shd w:val="clear" w:color="auto" w:fill="auto"/>
            <w:vAlign w:val="center"/>
          </w:tcPr>
          <w:p>
            <w:pPr>
              <w:widowControl/>
              <w:jc w:val="center"/>
              <w:rPr>
                <w:rFonts w:ascii="Times New Roman" w:hAnsi="Times New Roman"/>
                <w:b/>
                <w:bCs/>
                <w:kern w:val="0"/>
                <w:sz w:val="20"/>
                <w:szCs w:val="20"/>
              </w:rPr>
            </w:pPr>
          </w:p>
        </w:tc>
        <w:tc>
          <w:tcPr>
            <w:tcW w:w="919" w:type="dxa"/>
            <w:vMerge w:val="continue"/>
            <w:shd w:val="clear" w:color="auto" w:fill="auto"/>
            <w:vAlign w:val="center"/>
          </w:tcPr>
          <w:p>
            <w:pPr>
              <w:widowControl/>
              <w:jc w:val="center"/>
              <w:rPr>
                <w:rFonts w:ascii="Times New Roman" w:hAnsi="Times New Roman"/>
                <w:b/>
                <w:bCs/>
                <w:kern w:val="0"/>
                <w:sz w:val="20"/>
                <w:szCs w:val="20"/>
              </w:rPr>
            </w:pPr>
          </w:p>
        </w:tc>
        <w:tc>
          <w:tcPr>
            <w:tcW w:w="918" w:type="dxa"/>
            <w:vMerge w:val="continue"/>
            <w:shd w:val="clear" w:color="auto" w:fill="auto"/>
            <w:vAlign w:val="center"/>
          </w:tcPr>
          <w:p>
            <w:pPr>
              <w:widowControl/>
              <w:jc w:val="center"/>
              <w:rPr>
                <w:rFonts w:ascii="Times New Roman" w:hAnsi="Times New Roman"/>
                <w:b/>
                <w:bCs/>
                <w:kern w:val="0"/>
                <w:sz w:val="20"/>
                <w:szCs w:val="20"/>
              </w:rPr>
            </w:pPr>
          </w:p>
        </w:tc>
        <w:tc>
          <w:tcPr>
            <w:tcW w:w="918" w:type="dxa"/>
            <w:vMerge w:val="continue"/>
            <w:shd w:val="clear" w:color="auto" w:fill="auto"/>
            <w:vAlign w:val="center"/>
          </w:tcPr>
          <w:p>
            <w:pPr>
              <w:widowControl/>
              <w:jc w:val="center"/>
              <w:rPr>
                <w:rFonts w:ascii="Times New Roman" w:hAnsi="Times New Roman"/>
                <w:b/>
                <w:bCs/>
                <w:kern w:val="0"/>
                <w:sz w:val="20"/>
                <w:szCs w:val="20"/>
              </w:rPr>
            </w:pPr>
          </w:p>
        </w:tc>
        <w:tc>
          <w:tcPr>
            <w:tcW w:w="918" w:type="dxa"/>
            <w:vMerge w:val="continue"/>
            <w:shd w:val="clear" w:color="auto" w:fill="auto"/>
            <w:vAlign w:val="center"/>
          </w:tcPr>
          <w:p>
            <w:pPr>
              <w:widowControl/>
              <w:jc w:val="center"/>
              <w:rPr>
                <w:rFonts w:ascii="Times New Roman" w:hAnsi="Times New Roman"/>
                <w:b/>
                <w:bCs/>
                <w:kern w:val="0"/>
                <w:sz w:val="20"/>
                <w:szCs w:val="20"/>
              </w:rPr>
            </w:pPr>
          </w:p>
        </w:tc>
        <w:tc>
          <w:tcPr>
            <w:tcW w:w="1173" w:type="dxa"/>
            <w:vMerge w:val="continue"/>
            <w:shd w:val="clear" w:color="auto" w:fill="auto"/>
            <w:vAlign w:val="center"/>
          </w:tcPr>
          <w:p>
            <w:pPr>
              <w:widowControl/>
              <w:jc w:val="center"/>
              <w:rPr>
                <w:rFonts w:ascii="Times New Roman" w:hAnsi="Times New Roman"/>
                <w:b/>
                <w:bCs/>
                <w:kern w:val="0"/>
                <w:sz w:val="20"/>
                <w:szCs w:val="20"/>
              </w:rPr>
            </w:pPr>
          </w:p>
        </w:tc>
        <w:tc>
          <w:tcPr>
            <w:tcW w:w="957" w:type="dxa"/>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颗粒物</w:t>
            </w:r>
          </w:p>
        </w:tc>
        <w:tc>
          <w:tcPr>
            <w:tcW w:w="957" w:type="dxa"/>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SO</w:t>
            </w:r>
            <w:r>
              <w:rPr>
                <w:rFonts w:ascii="Times New Roman" w:hAnsi="Times New Roman"/>
                <w:b/>
                <w:bCs/>
                <w:kern w:val="0"/>
                <w:sz w:val="20"/>
                <w:szCs w:val="20"/>
                <w:vertAlign w:val="subscript"/>
              </w:rPr>
              <w:t>2</w:t>
            </w:r>
          </w:p>
        </w:tc>
        <w:tc>
          <w:tcPr>
            <w:tcW w:w="957" w:type="dxa"/>
            <w:shd w:val="clear" w:color="000000" w:fill="FFFFFF"/>
            <w:vAlign w:val="center"/>
          </w:tcPr>
          <w:p>
            <w:pPr>
              <w:widowControl/>
              <w:jc w:val="center"/>
              <w:rPr>
                <w:rFonts w:ascii="Times New Roman" w:hAnsi="Times New Roman"/>
                <w:b/>
                <w:bCs/>
                <w:i/>
                <w:kern w:val="0"/>
                <w:sz w:val="20"/>
                <w:szCs w:val="20"/>
                <w:u w:val="wave"/>
              </w:rPr>
            </w:pPr>
            <w:r>
              <w:rPr>
                <w:rFonts w:ascii="Times New Roman" w:hAnsi="Times New Roman"/>
                <w:b/>
                <w:bCs/>
                <w:i/>
                <w:kern w:val="0"/>
                <w:sz w:val="20"/>
                <w:szCs w:val="20"/>
                <w:u w:val="wave"/>
              </w:rPr>
              <w:t>NO</w:t>
            </w:r>
            <w:r>
              <w:rPr>
                <w:rFonts w:ascii="Times New Roman" w:hAnsi="Times New Roman"/>
                <w:b/>
                <w:bCs/>
                <w:i/>
                <w:kern w:val="0"/>
                <w:sz w:val="20"/>
                <w:szCs w:val="20"/>
                <w:u w:val="wave"/>
                <w:vertAlign w:val="subscript"/>
              </w:rPr>
              <w:t>2</w:t>
            </w:r>
          </w:p>
        </w:tc>
        <w:tc>
          <w:tcPr>
            <w:tcW w:w="957" w:type="dxa"/>
            <w:shd w:val="clear" w:color="000000" w:fill="FFFFFF"/>
          </w:tcPr>
          <w:p>
            <w:pPr>
              <w:widowControl/>
              <w:jc w:val="center"/>
              <w:rPr>
                <w:rFonts w:ascii="Times New Roman" w:hAnsi="Times New Roman"/>
                <w:b/>
                <w:bCs/>
                <w:kern w:val="0"/>
                <w:sz w:val="20"/>
                <w:szCs w:val="20"/>
              </w:rPr>
            </w:pPr>
            <w:r>
              <w:rPr>
                <w:rFonts w:ascii="Times New Roman" w:hAnsi="Times New Roman"/>
                <w:b/>
                <w:bCs/>
                <w:kern w:val="0"/>
                <w:sz w:val="20"/>
                <w:szCs w:val="20"/>
              </w:rPr>
              <w:t>镍</w:t>
            </w:r>
          </w:p>
        </w:tc>
        <w:tc>
          <w:tcPr>
            <w:tcW w:w="957" w:type="dxa"/>
            <w:shd w:val="clear" w:color="000000" w:fill="FFFFFF"/>
            <w:vAlign w:val="center"/>
          </w:tcPr>
          <w:p>
            <w:pPr>
              <w:widowControl/>
              <w:jc w:val="center"/>
              <w:rPr>
                <w:rFonts w:ascii="Times New Roman" w:hAnsi="Times New Roman"/>
                <w:b/>
                <w:bCs/>
                <w:kern w:val="0"/>
                <w:sz w:val="20"/>
                <w:szCs w:val="20"/>
              </w:rPr>
            </w:pPr>
            <w:r>
              <w:rPr>
                <w:rFonts w:ascii="Times New Roman" w:hAnsi="Times New Roman"/>
                <w:b/>
                <w:bCs/>
                <w:kern w:val="0"/>
                <w:sz w:val="20"/>
                <w:szCs w:val="20"/>
              </w:rPr>
              <w:t>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1262"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掺烧油泥浮渣单独运行1台锅炉</w:t>
            </w:r>
          </w:p>
        </w:tc>
        <w:tc>
          <w:tcPr>
            <w:tcW w:w="711"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78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1049"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64</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100</w:t>
            </w:r>
          </w:p>
        </w:tc>
        <w:tc>
          <w:tcPr>
            <w:tcW w:w="919"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15.89</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238524</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48.93</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8760</w:t>
            </w:r>
          </w:p>
        </w:tc>
        <w:tc>
          <w:tcPr>
            <w:tcW w:w="1173"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正常排放</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1.81</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1.96</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2.096</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0.0005</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5.0E-09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3"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1262"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掺烧油泥浮渣-同时运行2台锅炉</w:t>
            </w:r>
          </w:p>
        </w:tc>
        <w:tc>
          <w:tcPr>
            <w:tcW w:w="711"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78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1049"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64</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100</w:t>
            </w:r>
          </w:p>
        </w:tc>
        <w:tc>
          <w:tcPr>
            <w:tcW w:w="919"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15.89</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477048</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46.55</w:t>
            </w:r>
          </w:p>
        </w:tc>
        <w:tc>
          <w:tcPr>
            <w:tcW w:w="918"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8760</w:t>
            </w:r>
          </w:p>
        </w:tc>
        <w:tc>
          <w:tcPr>
            <w:tcW w:w="1173"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正常排放</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3.62</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3.92</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4.192</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0.001</w:t>
            </w:r>
          </w:p>
        </w:tc>
        <w:tc>
          <w:tcPr>
            <w:tcW w:w="957" w:type="dxa"/>
            <w:shd w:val="clear" w:color="000000" w:fill="FFFFFF"/>
            <w:vAlign w:val="center"/>
          </w:tcPr>
          <w:p>
            <w:pPr>
              <w:widowControl/>
              <w:jc w:val="center"/>
              <w:rPr>
                <w:rFonts w:ascii="Times New Roman" w:hAnsi="Times New Roman"/>
                <w:kern w:val="0"/>
                <w:sz w:val="20"/>
                <w:szCs w:val="20"/>
              </w:rPr>
            </w:pPr>
            <w:r>
              <w:rPr>
                <w:rFonts w:ascii="Times New Roman" w:hAnsi="Times New Roman"/>
                <w:kern w:val="0"/>
                <w:sz w:val="20"/>
                <w:szCs w:val="20"/>
              </w:rPr>
              <w:t>1.0E-08</w:t>
            </w:r>
          </w:p>
        </w:tc>
      </w:tr>
    </w:tbl>
    <w:p>
      <w:pPr>
        <w:spacing w:line="360" w:lineRule="auto"/>
        <w:ind w:firstLine="420" w:firstLineChars="200"/>
        <w:rPr>
          <w:rFonts w:ascii="Times New Roman" w:hAnsi="Times New Roman"/>
          <w:szCs w:val="21"/>
        </w:rPr>
      </w:pPr>
    </w:p>
    <w:p>
      <w:pPr>
        <w:widowControl/>
        <w:adjustRightInd w:val="0"/>
        <w:snapToGrid w:val="0"/>
        <w:spacing w:before="156" w:beforeLines="50" w:line="360" w:lineRule="auto"/>
        <w:ind w:left="-420" w:leftChars="-200"/>
        <w:jc w:val="center"/>
        <w:rPr>
          <w:rFonts w:ascii="Times New Roman" w:hAnsi="Times New Roman"/>
          <w:b/>
          <w:sz w:val="24"/>
          <w:szCs w:val="20"/>
        </w:rPr>
      </w:pPr>
      <w:r>
        <w:rPr>
          <w:rFonts w:ascii="Times New Roman" w:hAnsi="Times New Roman"/>
          <w:b/>
          <w:sz w:val="24"/>
          <w:szCs w:val="20"/>
        </w:rPr>
        <w:t>表6.1.5.4-2 项目新增面源参数表</w:t>
      </w:r>
    </w:p>
    <w:tbl>
      <w:tblPr>
        <w:tblStyle w:val="45"/>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843"/>
        <w:gridCol w:w="875"/>
        <w:gridCol w:w="964"/>
        <w:gridCol w:w="964"/>
        <w:gridCol w:w="964"/>
        <w:gridCol w:w="964"/>
        <w:gridCol w:w="964"/>
        <w:gridCol w:w="964"/>
        <w:gridCol w:w="964"/>
        <w:gridCol w:w="1024"/>
        <w:gridCol w:w="1417"/>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编号</w:t>
            </w:r>
          </w:p>
        </w:tc>
        <w:tc>
          <w:tcPr>
            <w:tcW w:w="1843"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名称</w:t>
            </w:r>
          </w:p>
        </w:tc>
        <w:tc>
          <w:tcPr>
            <w:tcW w:w="1839" w:type="dxa"/>
            <w:gridSpan w:val="2"/>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面源起点坐标/m</w:t>
            </w:r>
          </w:p>
        </w:tc>
        <w:tc>
          <w:tcPr>
            <w:tcW w:w="96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面源海拔高度/m</w:t>
            </w:r>
          </w:p>
        </w:tc>
        <w:tc>
          <w:tcPr>
            <w:tcW w:w="96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面源长度/m</w:t>
            </w:r>
          </w:p>
        </w:tc>
        <w:tc>
          <w:tcPr>
            <w:tcW w:w="96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面源宽度/m</w:t>
            </w:r>
          </w:p>
        </w:tc>
        <w:tc>
          <w:tcPr>
            <w:tcW w:w="96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与正北向夹角/ °</w:t>
            </w:r>
          </w:p>
        </w:tc>
        <w:tc>
          <w:tcPr>
            <w:tcW w:w="96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面源有效排放高度/m</w:t>
            </w:r>
          </w:p>
        </w:tc>
        <w:tc>
          <w:tcPr>
            <w:tcW w:w="96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年排放小时数/h</w:t>
            </w:r>
          </w:p>
        </w:tc>
        <w:tc>
          <w:tcPr>
            <w:tcW w:w="1024"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排放工况</w:t>
            </w:r>
          </w:p>
        </w:tc>
        <w:tc>
          <w:tcPr>
            <w:tcW w:w="2832" w:type="dxa"/>
            <w:gridSpan w:val="2"/>
            <w:vAlign w:val="center"/>
          </w:tcPr>
          <w:p>
            <w:pPr>
              <w:widowControl/>
              <w:jc w:val="center"/>
              <w:rPr>
                <w:rFonts w:ascii="Times New Roman" w:hAnsi="Times New Roman"/>
                <w:b/>
                <w:kern w:val="0"/>
                <w:sz w:val="20"/>
                <w:szCs w:val="20"/>
              </w:rPr>
            </w:pPr>
            <w:r>
              <w:rPr>
                <w:rFonts w:ascii="Times New Roman" w:hAnsi="Times New Roman"/>
                <w:b/>
                <w:kern w:val="0"/>
                <w:sz w:val="20"/>
                <w:szCs w:val="2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continue"/>
            <w:vAlign w:val="center"/>
          </w:tcPr>
          <w:p>
            <w:pPr>
              <w:widowControl/>
              <w:jc w:val="center"/>
              <w:rPr>
                <w:rFonts w:ascii="Times New Roman" w:hAnsi="Times New Roman"/>
                <w:b/>
                <w:kern w:val="0"/>
                <w:sz w:val="20"/>
                <w:szCs w:val="20"/>
              </w:rPr>
            </w:pPr>
          </w:p>
        </w:tc>
        <w:tc>
          <w:tcPr>
            <w:tcW w:w="1843" w:type="dxa"/>
            <w:vMerge w:val="continue"/>
            <w:vAlign w:val="center"/>
          </w:tcPr>
          <w:p>
            <w:pPr>
              <w:widowControl/>
              <w:jc w:val="center"/>
              <w:rPr>
                <w:rFonts w:ascii="Times New Roman" w:hAnsi="Times New Roman"/>
                <w:b/>
                <w:kern w:val="0"/>
                <w:sz w:val="20"/>
                <w:szCs w:val="20"/>
              </w:rPr>
            </w:pPr>
          </w:p>
        </w:tc>
        <w:tc>
          <w:tcPr>
            <w:tcW w:w="1839" w:type="dxa"/>
            <w:gridSpan w:val="2"/>
            <w:vMerge w:val="continue"/>
            <w:vAlign w:val="center"/>
          </w:tcPr>
          <w:p>
            <w:pPr>
              <w:widowControl/>
              <w:jc w:val="center"/>
              <w:rPr>
                <w:rFonts w:ascii="Times New Roman" w:hAnsi="Times New Roman"/>
                <w:b/>
                <w:kern w:val="0"/>
                <w:sz w:val="20"/>
                <w:szCs w:val="20"/>
              </w:rPr>
            </w:pPr>
          </w:p>
        </w:tc>
        <w:tc>
          <w:tcPr>
            <w:tcW w:w="964" w:type="dxa"/>
            <w:vMerge w:val="continue"/>
            <w:vAlign w:val="center"/>
          </w:tcPr>
          <w:p>
            <w:pPr>
              <w:widowControl/>
              <w:jc w:val="center"/>
              <w:rPr>
                <w:rFonts w:ascii="Times New Roman" w:hAnsi="Times New Roman"/>
                <w:b/>
                <w:kern w:val="0"/>
                <w:sz w:val="20"/>
                <w:szCs w:val="20"/>
              </w:rPr>
            </w:pPr>
          </w:p>
        </w:tc>
        <w:tc>
          <w:tcPr>
            <w:tcW w:w="964" w:type="dxa"/>
            <w:vMerge w:val="continue"/>
            <w:vAlign w:val="center"/>
          </w:tcPr>
          <w:p>
            <w:pPr>
              <w:widowControl/>
              <w:jc w:val="center"/>
              <w:rPr>
                <w:rFonts w:ascii="Times New Roman" w:hAnsi="Times New Roman"/>
                <w:b/>
                <w:kern w:val="0"/>
                <w:sz w:val="20"/>
                <w:szCs w:val="20"/>
              </w:rPr>
            </w:pPr>
          </w:p>
        </w:tc>
        <w:tc>
          <w:tcPr>
            <w:tcW w:w="964" w:type="dxa"/>
            <w:vMerge w:val="continue"/>
            <w:vAlign w:val="center"/>
          </w:tcPr>
          <w:p>
            <w:pPr>
              <w:widowControl/>
              <w:jc w:val="center"/>
              <w:rPr>
                <w:rFonts w:ascii="Times New Roman" w:hAnsi="Times New Roman"/>
                <w:b/>
                <w:kern w:val="0"/>
                <w:sz w:val="20"/>
                <w:szCs w:val="20"/>
              </w:rPr>
            </w:pPr>
          </w:p>
        </w:tc>
        <w:tc>
          <w:tcPr>
            <w:tcW w:w="964" w:type="dxa"/>
            <w:vMerge w:val="continue"/>
            <w:vAlign w:val="center"/>
          </w:tcPr>
          <w:p>
            <w:pPr>
              <w:widowControl/>
              <w:jc w:val="center"/>
              <w:rPr>
                <w:rFonts w:ascii="Times New Roman" w:hAnsi="Times New Roman"/>
                <w:b/>
                <w:kern w:val="0"/>
                <w:sz w:val="20"/>
                <w:szCs w:val="20"/>
              </w:rPr>
            </w:pPr>
          </w:p>
        </w:tc>
        <w:tc>
          <w:tcPr>
            <w:tcW w:w="964" w:type="dxa"/>
            <w:vMerge w:val="continue"/>
            <w:vAlign w:val="center"/>
          </w:tcPr>
          <w:p>
            <w:pPr>
              <w:widowControl/>
              <w:jc w:val="center"/>
              <w:rPr>
                <w:rFonts w:ascii="Times New Roman" w:hAnsi="Times New Roman"/>
                <w:b/>
                <w:kern w:val="0"/>
                <w:sz w:val="20"/>
                <w:szCs w:val="20"/>
              </w:rPr>
            </w:pPr>
          </w:p>
        </w:tc>
        <w:tc>
          <w:tcPr>
            <w:tcW w:w="964" w:type="dxa"/>
            <w:vMerge w:val="continue"/>
            <w:vAlign w:val="center"/>
          </w:tcPr>
          <w:p>
            <w:pPr>
              <w:widowControl/>
              <w:jc w:val="center"/>
              <w:rPr>
                <w:rFonts w:ascii="Times New Roman" w:hAnsi="Times New Roman"/>
                <w:b/>
                <w:kern w:val="0"/>
                <w:sz w:val="20"/>
                <w:szCs w:val="20"/>
              </w:rPr>
            </w:pPr>
          </w:p>
        </w:tc>
        <w:tc>
          <w:tcPr>
            <w:tcW w:w="1024" w:type="dxa"/>
            <w:vMerge w:val="continue"/>
            <w:vAlign w:val="center"/>
          </w:tcPr>
          <w:p>
            <w:pPr>
              <w:widowControl/>
              <w:jc w:val="center"/>
              <w:rPr>
                <w:rFonts w:ascii="Times New Roman" w:hAnsi="Times New Roman"/>
                <w:b/>
                <w:kern w:val="0"/>
                <w:sz w:val="20"/>
                <w:szCs w:val="20"/>
              </w:rPr>
            </w:pPr>
          </w:p>
        </w:tc>
        <w:tc>
          <w:tcPr>
            <w:tcW w:w="1417"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硫化氢</w:t>
            </w:r>
          </w:p>
        </w:tc>
        <w:tc>
          <w:tcPr>
            <w:tcW w:w="1415" w:type="dxa"/>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continue"/>
            <w:vAlign w:val="center"/>
          </w:tcPr>
          <w:p>
            <w:pPr>
              <w:widowControl/>
              <w:jc w:val="center"/>
              <w:rPr>
                <w:rFonts w:ascii="Times New Roman" w:hAnsi="Times New Roman"/>
                <w:kern w:val="0"/>
                <w:sz w:val="20"/>
                <w:szCs w:val="20"/>
              </w:rPr>
            </w:pPr>
          </w:p>
        </w:tc>
        <w:tc>
          <w:tcPr>
            <w:tcW w:w="1843" w:type="dxa"/>
            <w:vMerge w:val="continue"/>
            <w:vAlign w:val="center"/>
          </w:tcPr>
          <w:p>
            <w:pPr>
              <w:widowControl/>
              <w:jc w:val="center"/>
              <w:rPr>
                <w:rFonts w:ascii="Times New Roman" w:hAnsi="Times New Roman"/>
                <w:kern w:val="0"/>
                <w:sz w:val="20"/>
                <w:szCs w:val="20"/>
              </w:rPr>
            </w:pPr>
          </w:p>
        </w:tc>
        <w:tc>
          <w:tcPr>
            <w:tcW w:w="875" w:type="dxa"/>
            <w:vAlign w:val="center"/>
          </w:tcPr>
          <w:p>
            <w:pPr>
              <w:widowControl/>
              <w:jc w:val="center"/>
              <w:rPr>
                <w:rFonts w:ascii="Times New Roman" w:hAnsi="Times New Roman"/>
                <w:b/>
                <w:i/>
                <w:iCs/>
                <w:kern w:val="0"/>
                <w:sz w:val="20"/>
                <w:szCs w:val="20"/>
              </w:rPr>
            </w:pPr>
            <w:r>
              <w:rPr>
                <w:rFonts w:ascii="Times New Roman" w:hAnsi="Times New Roman"/>
                <w:b/>
                <w:i/>
                <w:iCs/>
                <w:kern w:val="0"/>
                <w:sz w:val="20"/>
                <w:szCs w:val="20"/>
              </w:rPr>
              <w:t>X</w:t>
            </w:r>
          </w:p>
        </w:tc>
        <w:tc>
          <w:tcPr>
            <w:tcW w:w="964" w:type="dxa"/>
            <w:vAlign w:val="center"/>
          </w:tcPr>
          <w:p>
            <w:pPr>
              <w:widowControl/>
              <w:jc w:val="center"/>
              <w:rPr>
                <w:rFonts w:ascii="Times New Roman" w:hAnsi="Times New Roman"/>
                <w:b/>
                <w:i/>
                <w:iCs/>
                <w:kern w:val="0"/>
                <w:sz w:val="20"/>
                <w:szCs w:val="20"/>
              </w:rPr>
            </w:pPr>
            <w:r>
              <w:rPr>
                <w:rFonts w:ascii="Times New Roman" w:hAnsi="Times New Roman"/>
                <w:b/>
                <w:i/>
                <w:iCs/>
                <w:kern w:val="0"/>
                <w:sz w:val="20"/>
                <w:szCs w:val="20"/>
              </w:rPr>
              <w:t>Y</w:t>
            </w:r>
          </w:p>
        </w:tc>
        <w:tc>
          <w:tcPr>
            <w:tcW w:w="964" w:type="dxa"/>
            <w:vMerge w:val="continue"/>
            <w:vAlign w:val="center"/>
          </w:tcPr>
          <w:p>
            <w:pPr>
              <w:widowControl/>
              <w:jc w:val="center"/>
              <w:rPr>
                <w:rFonts w:ascii="Times New Roman" w:hAnsi="Times New Roman"/>
                <w:kern w:val="0"/>
                <w:sz w:val="20"/>
                <w:szCs w:val="20"/>
              </w:rPr>
            </w:pPr>
          </w:p>
        </w:tc>
        <w:tc>
          <w:tcPr>
            <w:tcW w:w="964" w:type="dxa"/>
            <w:vMerge w:val="continue"/>
            <w:vAlign w:val="center"/>
          </w:tcPr>
          <w:p>
            <w:pPr>
              <w:widowControl/>
              <w:jc w:val="center"/>
              <w:rPr>
                <w:rFonts w:ascii="Times New Roman" w:hAnsi="Times New Roman"/>
                <w:kern w:val="0"/>
                <w:sz w:val="20"/>
                <w:szCs w:val="20"/>
              </w:rPr>
            </w:pPr>
          </w:p>
        </w:tc>
        <w:tc>
          <w:tcPr>
            <w:tcW w:w="964" w:type="dxa"/>
            <w:vMerge w:val="continue"/>
            <w:vAlign w:val="center"/>
          </w:tcPr>
          <w:p>
            <w:pPr>
              <w:widowControl/>
              <w:jc w:val="center"/>
              <w:rPr>
                <w:rFonts w:ascii="Times New Roman" w:hAnsi="Times New Roman"/>
                <w:kern w:val="0"/>
                <w:sz w:val="20"/>
                <w:szCs w:val="20"/>
              </w:rPr>
            </w:pPr>
          </w:p>
        </w:tc>
        <w:tc>
          <w:tcPr>
            <w:tcW w:w="964" w:type="dxa"/>
            <w:vMerge w:val="continue"/>
            <w:vAlign w:val="center"/>
          </w:tcPr>
          <w:p>
            <w:pPr>
              <w:widowControl/>
              <w:jc w:val="center"/>
              <w:rPr>
                <w:rFonts w:ascii="Times New Roman" w:hAnsi="Times New Roman"/>
                <w:kern w:val="0"/>
                <w:sz w:val="20"/>
                <w:szCs w:val="20"/>
              </w:rPr>
            </w:pPr>
          </w:p>
        </w:tc>
        <w:tc>
          <w:tcPr>
            <w:tcW w:w="964" w:type="dxa"/>
            <w:vMerge w:val="continue"/>
            <w:vAlign w:val="center"/>
          </w:tcPr>
          <w:p>
            <w:pPr>
              <w:widowControl/>
              <w:jc w:val="center"/>
              <w:rPr>
                <w:rFonts w:ascii="Times New Roman" w:hAnsi="Times New Roman"/>
                <w:kern w:val="0"/>
                <w:sz w:val="20"/>
                <w:szCs w:val="20"/>
              </w:rPr>
            </w:pPr>
          </w:p>
        </w:tc>
        <w:tc>
          <w:tcPr>
            <w:tcW w:w="964" w:type="dxa"/>
            <w:vMerge w:val="continue"/>
            <w:vAlign w:val="center"/>
          </w:tcPr>
          <w:p>
            <w:pPr>
              <w:widowControl/>
              <w:jc w:val="center"/>
              <w:rPr>
                <w:rFonts w:ascii="Times New Roman" w:hAnsi="Times New Roman"/>
                <w:kern w:val="0"/>
                <w:sz w:val="20"/>
                <w:szCs w:val="20"/>
              </w:rPr>
            </w:pPr>
          </w:p>
        </w:tc>
        <w:tc>
          <w:tcPr>
            <w:tcW w:w="1024" w:type="dxa"/>
            <w:vMerge w:val="continue"/>
            <w:vAlign w:val="center"/>
          </w:tcPr>
          <w:p>
            <w:pPr>
              <w:widowControl/>
              <w:jc w:val="center"/>
              <w:rPr>
                <w:rFonts w:ascii="Times New Roman" w:hAnsi="Times New Roman"/>
                <w:kern w:val="0"/>
                <w:sz w:val="20"/>
                <w:szCs w:val="20"/>
              </w:rPr>
            </w:pPr>
          </w:p>
        </w:tc>
        <w:tc>
          <w:tcPr>
            <w:tcW w:w="1417" w:type="dxa"/>
            <w:vMerge w:val="continue"/>
            <w:vAlign w:val="center"/>
          </w:tcPr>
          <w:p>
            <w:pPr>
              <w:widowControl/>
              <w:jc w:val="center"/>
              <w:rPr>
                <w:rFonts w:ascii="Times New Roman" w:hAnsi="Times New Roman"/>
                <w:kern w:val="0"/>
                <w:sz w:val="20"/>
                <w:szCs w:val="20"/>
              </w:rPr>
            </w:pPr>
          </w:p>
        </w:tc>
        <w:tc>
          <w:tcPr>
            <w:tcW w:w="1415" w:type="dxa"/>
            <w:vMerge w:val="continue"/>
            <w:vAlign w:val="center"/>
          </w:tcPr>
          <w:p>
            <w:pPr>
              <w:widowControl/>
              <w:jc w:val="center"/>
              <w:rPr>
                <w:rFonts w:ascii="Times New Roman" w:hAnsi="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1843" w:type="dxa"/>
            <w:vAlign w:val="center"/>
          </w:tcPr>
          <w:p>
            <w:pPr>
              <w:widowControl/>
              <w:jc w:val="center"/>
              <w:rPr>
                <w:rFonts w:ascii="Times New Roman" w:hAnsi="Times New Roman"/>
                <w:kern w:val="0"/>
                <w:sz w:val="20"/>
                <w:szCs w:val="20"/>
              </w:rPr>
            </w:pPr>
            <w:r>
              <w:rPr>
                <w:rFonts w:ascii="Times New Roman" w:hAnsi="Times New Roman"/>
                <w:kern w:val="0"/>
                <w:sz w:val="20"/>
                <w:szCs w:val="20"/>
              </w:rPr>
              <w:t>油泥浮渣储仓</w:t>
            </w:r>
          </w:p>
        </w:tc>
        <w:tc>
          <w:tcPr>
            <w:tcW w:w="875" w:type="dxa"/>
            <w:vAlign w:val="center"/>
          </w:tcPr>
          <w:p>
            <w:pPr>
              <w:widowControl/>
              <w:jc w:val="center"/>
              <w:rPr>
                <w:rFonts w:ascii="Times New Roman" w:hAnsi="Times New Roman"/>
                <w:kern w:val="0"/>
                <w:sz w:val="20"/>
                <w:szCs w:val="20"/>
              </w:rPr>
            </w:pPr>
            <w:r>
              <w:rPr>
                <w:rFonts w:ascii="Times New Roman" w:hAnsi="Times New Roman"/>
                <w:kern w:val="0"/>
                <w:sz w:val="20"/>
                <w:szCs w:val="20"/>
              </w:rPr>
              <w:t>-64</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-41</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62</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15</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112</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15</w:t>
            </w:r>
          </w:p>
        </w:tc>
        <w:tc>
          <w:tcPr>
            <w:tcW w:w="964" w:type="dxa"/>
            <w:vAlign w:val="center"/>
          </w:tcPr>
          <w:p>
            <w:pPr>
              <w:widowControl/>
              <w:jc w:val="center"/>
              <w:rPr>
                <w:rFonts w:ascii="Times New Roman" w:hAnsi="Times New Roman"/>
                <w:kern w:val="0"/>
                <w:sz w:val="20"/>
                <w:szCs w:val="20"/>
              </w:rPr>
            </w:pPr>
            <w:r>
              <w:rPr>
                <w:rFonts w:ascii="Times New Roman" w:hAnsi="Times New Roman"/>
                <w:kern w:val="0"/>
                <w:sz w:val="20"/>
                <w:szCs w:val="20"/>
              </w:rPr>
              <w:t>8760</w:t>
            </w:r>
          </w:p>
        </w:tc>
        <w:tc>
          <w:tcPr>
            <w:tcW w:w="1024" w:type="dxa"/>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正常排放</w:t>
            </w:r>
          </w:p>
        </w:tc>
        <w:tc>
          <w:tcPr>
            <w:tcW w:w="1417" w:type="dxa"/>
            <w:vAlign w:val="center"/>
          </w:tcPr>
          <w:p>
            <w:pPr>
              <w:widowControl/>
              <w:jc w:val="center"/>
              <w:rPr>
                <w:rFonts w:ascii="Times New Roman" w:hAnsi="Times New Roman"/>
                <w:kern w:val="0"/>
                <w:sz w:val="20"/>
                <w:szCs w:val="20"/>
              </w:rPr>
            </w:pPr>
            <w:r>
              <w:rPr>
                <w:rFonts w:ascii="Times New Roman" w:hAnsi="Times New Roman"/>
                <w:kern w:val="0"/>
                <w:sz w:val="20"/>
                <w:szCs w:val="20"/>
              </w:rPr>
              <w:t>0.0004</w:t>
            </w:r>
          </w:p>
        </w:tc>
        <w:tc>
          <w:tcPr>
            <w:tcW w:w="1415" w:type="dxa"/>
            <w:vAlign w:val="center"/>
          </w:tcPr>
          <w:p>
            <w:pPr>
              <w:widowControl/>
              <w:jc w:val="center"/>
              <w:rPr>
                <w:rFonts w:ascii="Times New Roman" w:hAnsi="Times New Roman"/>
                <w:kern w:val="0"/>
                <w:sz w:val="20"/>
                <w:szCs w:val="20"/>
              </w:rPr>
            </w:pPr>
            <w:r>
              <w:rPr>
                <w:rFonts w:ascii="Times New Roman" w:hAnsi="Times New Roman"/>
                <w:kern w:val="0"/>
                <w:sz w:val="20"/>
                <w:szCs w:val="20"/>
              </w:rPr>
              <w:t>0.0002</w:t>
            </w:r>
          </w:p>
        </w:tc>
      </w:tr>
    </w:tbl>
    <w:p>
      <w:pPr>
        <w:spacing w:line="360" w:lineRule="auto"/>
        <w:ind w:firstLine="480" w:firstLineChars="200"/>
        <w:rPr>
          <w:rFonts w:ascii="Times New Roman" w:hAnsi="Times New Roman"/>
          <w:sz w:val="24"/>
          <w:szCs w:val="24"/>
        </w:rPr>
      </w:pPr>
    </w:p>
    <w:p>
      <w:pPr>
        <w:widowControl/>
        <w:adjustRightInd w:val="0"/>
        <w:snapToGrid w:val="0"/>
        <w:spacing w:before="156" w:beforeLines="50" w:line="360" w:lineRule="auto"/>
        <w:ind w:left="-420" w:leftChars="-200"/>
        <w:jc w:val="center"/>
        <w:rPr>
          <w:rFonts w:ascii="Times New Roman" w:hAnsi="Times New Roman"/>
          <w:b/>
          <w:sz w:val="24"/>
          <w:szCs w:val="20"/>
        </w:rPr>
      </w:pPr>
    </w:p>
    <w:p>
      <w:pPr>
        <w:widowControl/>
        <w:adjustRightInd w:val="0"/>
        <w:snapToGrid w:val="0"/>
        <w:spacing w:before="156" w:beforeLines="50" w:line="360" w:lineRule="auto"/>
        <w:ind w:left="-420" w:leftChars="-200"/>
        <w:jc w:val="center"/>
        <w:rPr>
          <w:rFonts w:ascii="Times New Roman" w:hAnsi="Times New Roman"/>
          <w:b/>
          <w:sz w:val="24"/>
          <w:szCs w:val="20"/>
        </w:rPr>
      </w:pPr>
    </w:p>
    <w:p>
      <w:pPr>
        <w:widowControl/>
        <w:adjustRightInd w:val="0"/>
        <w:snapToGrid w:val="0"/>
        <w:spacing w:before="156" w:beforeLines="50" w:line="360" w:lineRule="auto"/>
        <w:ind w:left="-420" w:leftChars="-200"/>
        <w:jc w:val="center"/>
        <w:rPr>
          <w:rFonts w:ascii="Times New Roman" w:hAnsi="Times New Roman"/>
          <w:b/>
          <w:sz w:val="24"/>
          <w:szCs w:val="20"/>
        </w:rPr>
      </w:pPr>
    </w:p>
    <w:p>
      <w:pPr>
        <w:widowControl/>
        <w:adjustRightInd w:val="0"/>
        <w:snapToGrid w:val="0"/>
        <w:spacing w:before="156" w:beforeLines="50" w:line="360" w:lineRule="auto"/>
        <w:ind w:left="-420" w:leftChars="-200"/>
        <w:jc w:val="center"/>
        <w:rPr>
          <w:rFonts w:ascii="Times New Roman" w:hAnsi="Times New Roman"/>
          <w:b/>
          <w:sz w:val="24"/>
          <w:szCs w:val="20"/>
        </w:rPr>
      </w:pPr>
    </w:p>
    <w:p>
      <w:pPr>
        <w:widowControl/>
        <w:adjustRightInd w:val="0"/>
        <w:snapToGrid w:val="0"/>
        <w:spacing w:before="156" w:beforeLines="50" w:line="360" w:lineRule="auto"/>
        <w:ind w:left="-420" w:leftChars="-200"/>
        <w:jc w:val="center"/>
        <w:rPr>
          <w:rFonts w:ascii="Times New Roman" w:hAnsi="Times New Roman"/>
          <w:b/>
          <w:sz w:val="24"/>
          <w:szCs w:val="20"/>
        </w:rPr>
      </w:pPr>
      <w:r>
        <w:rPr>
          <w:rFonts w:ascii="Times New Roman" w:hAnsi="Times New Roman"/>
          <w:b/>
          <w:sz w:val="24"/>
          <w:szCs w:val="20"/>
        </w:rPr>
        <w:t>表6.1.5.4-3 项目“以新带老”取代点源参数表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231"/>
        <w:gridCol w:w="779"/>
        <w:gridCol w:w="862"/>
        <w:gridCol w:w="1149"/>
        <w:gridCol w:w="1007"/>
        <w:gridCol w:w="1007"/>
        <w:gridCol w:w="1007"/>
        <w:gridCol w:w="1007"/>
        <w:gridCol w:w="1007"/>
        <w:gridCol w:w="1285"/>
        <w:gridCol w:w="1049"/>
        <w:gridCol w:w="1049"/>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8"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编号</w:t>
            </w:r>
          </w:p>
        </w:tc>
        <w:tc>
          <w:tcPr>
            <w:tcW w:w="433"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名称</w:t>
            </w:r>
          </w:p>
        </w:tc>
        <w:tc>
          <w:tcPr>
            <w:tcW w:w="577" w:type="pct"/>
            <w:gridSpan w:val="2"/>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排气筒底部中心坐标 /m</w:t>
            </w:r>
          </w:p>
        </w:tc>
        <w:tc>
          <w:tcPr>
            <w:tcW w:w="404"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排气筒底部海拔高度/m</w:t>
            </w:r>
          </w:p>
        </w:tc>
        <w:tc>
          <w:tcPr>
            <w:tcW w:w="354"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排气筒高度/m</w:t>
            </w:r>
          </w:p>
        </w:tc>
        <w:tc>
          <w:tcPr>
            <w:tcW w:w="354"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排气筒出口内径/m</w:t>
            </w:r>
          </w:p>
        </w:tc>
        <w:tc>
          <w:tcPr>
            <w:tcW w:w="354"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烟气流量/（m</w:t>
            </w:r>
            <w:r>
              <w:rPr>
                <w:rFonts w:ascii="Times New Roman" w:hAnsi="Times New Roman"/>
                <w:b/>
                <w:bCs/>
                <w:kern w:val="0"/>
                <w:sz w:val="20"/>
                <w:szCs w:val="20"/>
                <w:vertAlign w:val="superscript"/>
              </w:rPr>
              <w:t>3</w:t>
            </w:r>
            <w:r>
              <w:rPr>
                <w:rFonts w:ascii="Times New Roman" w:hAnsi="Times New Roman"/>
                <w:b/>
                <w:bCs/>
                <w:kern w:val="0"/>
                <w:sz w:val="20"/>
                <w:szCs w:val="20"/>
              </w:rPr>
              <w:t>/h）</w:t>
            </w:r>
          </w:p>
        </w:tc>
        <w:tc>
          <w:tcPr>
            <w:tcW w:w="354"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烟气温度/℃</w:t>
            </w:r>
          </w:p>
        </w:tc>
        <w:tc>
          <w:tcPr>
            <w:tcW w:w="354"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年排放小时数/h</w:t>
            </w:r>
          </w:p>
        </w:tc>
        <w:tc>
          <w:tcPr>
            <w:tcW w:w="452" w:type="pct"/>
            <w:vMerge w:val="restar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排放工况</w:t>
            </w:r>
          </w:p>
        </w:tc>
        <w:tc>
          <w:tcPr>
            <w:tcW w:w="1106" w:type="pct"/>
            <w:gridSpan w:val="3"/>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8"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433"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274" w:type="pct"/>
            <w:shd w:val="clear" w:color="000000" w:fill="FFFFFF"/>
            <w:vAlign w:val="center"/>
          </w:tcPr>
          <w:p>
            <w:pPr>
              <w:widowControl/>
              <w:spacing w:before="100" w:beforeAutospacing="1"/>
              <w:ind w:left="-105" w:leftChars="-50" w:right="-105" w:rightChars="-50"/>
              <w:jc w:val="center"/>
              <w:rPr>
                <w:rFonts w:ascii="Times New Roman" w:hAnsi="Times New Roman"/>
                <w:i/>
                <w:iCs/>
                <w:kern w:val="0"/>
                <w:sz w:val="20"/>
                <w:szCs w:val="20"/>
              </w:rPr>
            </w:pPr>
            <w:r>
              <w:rPr>
                <w:rFonts w:ascii="Times New Roman" w:hAnsi="Times New Roman"/>
                <w:i/>
                <w:iCs/>
                <w:kern w:val="0"/>
                <w:sz w:val="20"/>
                <w:szCs w:val="20"/>
              </w:rPr>
              <w:t>X</w:t>
            </w:r>
          </w:p>
        </w:tc>
        <w:tc>
          <w:tcPr>
            <w:tcW w:w="303" w:type="pct"/>
            <w:shd w:val="clear" w:color="000000" w:fill="FFFFFF"/>
            <w:vAlign w:val="center"/>
          </w:tcPr>
          <w:p>
            <w:pPr>
              <w:widowControl/>
              <w:spacing w:before="100" w:beforeAutospacing="1"/>
              <w:ind w:left="-105" w:leftChars="-50" w:right="-105" w:rightChars="-50"/>
              <w:jc w:val="center"/>
              <w:rPr>
                <w:rFonts w:ascii="Times New Roman" w:hAnsi="Times New Roman"/>
                <w:i/>
                <w:iCs/>
                <w:kern w:val="0"/>
                <w:sz w:val="20"/>
                <w:szCs w:val="20"/>
              </w:rPr>
            </w:pPr>
            <w:r>
              <w:rPr>
                <w:rFonts w:ascii="Times New Roman" w:hAnsi="Times New Roman"/>
                <w:i/>
                <w:iCs/>
                <w:kern w:val="0"/>
                <w:sz w:val="20"/>
                <w:szCs w:val="20"/>
              </w:rPr>
              <w:t>Y</w:t>
            </w:r>
          </w:p>
        </w:tc>
        <w:tc>
          <w:tcPr>
            <w:tcW w:w="404"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354"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354"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354"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354"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354"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452" w:type="pct"/>
            <w:vMerge w:val="continue"/>
            <w:shd w:val="clear" w:color="auto" w:fill="auto"/>
            <w:vAlign w:val="center"/>
          </w:tcPr>
          <w:p>
            <w:pPr>
              <w:widowControl/>
              <w:spacing w:before="100" w:beforeAutospacing="1"/>
              <w:ind w:left="-105" w:leftChars="-50" w:right="-105" w:rightChars="-50"/>
              <w:jc w:val="center"/>
              <w:rPr>
                <w:rFonts w:ascii="Times New Roman" w:hAnsi="Times New Roman"/>
                <w:b/>
                <w:bCs/>
                <w:kern w:val="0"/>
                <w:sz w:val="20"/>
                <w:szCs w:val="20"/>
              </w:rPr>
            </w:pP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颗粒物</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rPr>
            </w:pPr>
            <w:r>
              <w:rPr>
                <w:rFonts w:ascii="Times New Roman" w:hAnsi="Times New Roman"/>
                <w:b/>
                <w:bCs/>
                <w:kern w:val="0"/>
                <w:sz w:val="20"/>
                <w:szCs w:val="20"/>
              </w:rPr>
              <w:t>SO</w:t>
            </w:r>
            <w:r>
              <w:rPr>
                <w:rFonts w:ascii="Times New Roman" w:hAnsi="Times New Roman"/>
                <w:b/>
                <w:bCs/>
                <w:kern w:val="0"/>
                <w:sz w:val="20"/>
                <w:szCs w:val="20"/>
                <w:vertAlign w:val="subscript"/>
              </w:rPr>
              <w:t>2</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b/>
                <w:bCs/>
                <w:kern w:val="0"/>
                <w:sz w:val="20"/>
                <w:szCs w:val="20"/>
                <w:u w:val="wave"/>
              </w:rPr>
            </w:pPr>
            <w:r>
              <w:rPr>
                <w:rFonts w:ascii="Times New Roman" w:hAnsi="Times New Roman"/>
                <w:b/>
                <w:bCs/>
                <w:kern w:val="0"/>
                <w:sz w:val="20"/>
                <w:szCs w:val="20"/>
                <w:u w:val="wave"/>
              </w:rPr>
              <w:t>NO</w:t>
            </w:r>
            <w:r>
              <w:rPr>
                <w:rFonts w:ascii="Times New Roman" w:hAnsi="Times New Roman"/>
                <w:b/>
                <w:bCs/>
                <w:kern w:val="0"/>
                <w:sz w:val="20"/>
                <w:szCs w:val="20"/>
                <w:u w:val="wave"/>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8"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w:t>
            </w:r>
          </w:p>
        </w:tc>
        <w:tc>
          <w:tcPr>
            <w:tcW w:w="433"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不掺烧单独运行1台锅炉</w:t>
            </w:r>
          </w:p>
        </w:tc>
        <w:tc>
          <w:tcPr>
            <w:tcW w:w="27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0</w:t>
            </w:r>
          </w:p>
        </w:tc>
        <w:tc>
          <w:tcPr>
            <w:tcW w:w="303"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0</w:t>
            </w:r>
          </w:p>
        </w:tc>
        <w:tc>
          <w:tcPr>
            <w:tcW w:w="40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64</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100</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15.89</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313841.2</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48.93</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8760</w:t>
            </w:r>
          </w:p>
        </w:tc>
        <w:tc>
          <w:tcPr>
            <w:tcW w:w="452"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正常排放</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2.2</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1.11</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2.504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8"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2</w:t>
            </w:r>
          </w:p>
        </w:tc>
        <w:tc>
          <w:tcPr>
            <w:tcW w:w="433"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不掺烧同时运行2台锅炉</w:t>
            </w:r>
          </w:p>
        </w:tc>
        <w:tc>
          <w:tcPr>
            <w:tcW w:w="27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0</w:t>
            </w:r>
          </w:p>
        </w:tc>
        <w:tc>
          <w:tcPr>
            <w:tcW w:w="303"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0</w:t>
            </w:r>
          </w:p>
        </w:tc>
        <w:tc>
          <w:tcPr>
            <w:tcW w:w="40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64</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100</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15.89</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477048</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46.55</w:t>
            </w:r>
          </w:p>
        </w:tc>
        <w:tc>
          <w:tcPr>
            <w:tcW w:w="354"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8760</w:t>
            </w:r>
          </w:p>
        </w:tc>
        <w:tc>
          <w:tcPr>
            <w:tcW w:w="452"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正常排放</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4.27</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1.13</w:t>
            </w:r>
          </w:p>
        </w:tc>
        <w:tc>
          <w:tcPr>
            <w:tcW w:w="369" w:type="pct"/>
            <w:shd w:val="clear" w:color="000000" w:fill="FFFFFF"/>
            <w:vAlign w:val="center"/>
          </w:tcPr>
          <w:p>
            <w:pPr>
              <w:widowControl/>
              <w:spacing w:before="100" w:beforeAutospacing="1"/>
              <w:ind w:left="-105" w:leftChars="-50" w:right="-105" w:rightChars="-50"/>
              <w:jc w:val="center"/>
              <w:rPr>
                <w:rFonts w:ascii="Times New Roman" w:hAnsi="Times New Roman"/>
                <w:kern w:val="0"/>
                <w:sz w:val="20"/>
                <w:szCs w:val="20"/>
              </w:rPr>
            </w:pPr>
            <w:r>
              <w:rPr>
                <w:rFonts w:ascii="Times New Roman" w:hAnsi="Times New Roman"/>
                <w:kern w:val="0"/>
                <w:sz w:val="20"/>
                <w:szCs w:val="20"/>
              </w:rPr>
              <w:t>5.808</w:t>
            </w:r>
          </w:p>
        </w:tc>
      </w:tr>
    </w:tbl>
    <w:p>
      <w:pPr>
        <w:widowControl/>
        <w:adjustRightInd w:val="0"/>
        <w:snapToGrid w:val="0"/>
        <w:spacing w:before="156" w:beforeLines="50" w:line="360" w:lineRule="auto"/>
        <w:jc w:val="center"/>
        <w:rPr>
          <w:rFonts w:ascii="Times New Roman" w:hAnsi="Times New Roman"/>
          <w:b/>
          <w:snapToGrid w:val="0"/>
          <w:kern w:val="0"/>
          <w:sz w:val="24"/>
          <w:szCs w:val="24"/>
        </w:rPr>
      </w:pPr>
      <w:r>
        <w:rPr>
          <w:rFonts w:ascii="Times New Roman" w:hAnsi="Times New Roman"/>
          <w:b/>
          <w:sz w:val="24"/>
          <w:szCs w:val="20"/>
        </w:rPr>
        <w:t>表6.1.5.4-4 评价范围内拟建、在建点源参数表</w:t>
      </w:r>
    </w:p>
    <w:tbl>
      <w:tblPr>
        <w:tblStyle w:val="45"/>
        <w:tblpPr w:leftFromText="180" w:rightFromText="180" w:vertAnchor="text" w:horzAnchor="page" w:tblpXSpec="center" w:tblpY="1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937"/>
        <w:gridCol w:w="620"/>
        <w:gridCol w:w="589"/>
        <w:gridCol w:w="748"/>
        <w:gridCol w:w="640"/>
        <w:gridCol w:w="799"/>
        <w:gridCol w:w="918"/>
        <w:gridCol w:w="833"/>
        <w:gridCol w:w="842"/>
        <w:gridCol w:w="876"/>
        <w:gridCol w:w="725"/>
        <w:gridCol w:w="714"/>
        <w:gridCol w:w="731"/>
        <w:gridCol w:w="759"/>
        <w:gridCol w:w="806"/>
        <w:gridCol w:w="77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40"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编号</w:t>
            </w:r>
          </w:p>
        </w:tc>
        <w:tc>
          <w:tcPr>
            <w:tcW w:w="330"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排放源</w:t>
            </w:r>
          </w:p>
        </w:tc>
        <w:tc>
          <w:tcPr>
            <w:tcW w:w="425" w:type="pct"/>
            <w:gridSpan w:val="2"/>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排气筒底部中心坐标 /m</w:t>
            </w:r>
          </w:p>
        </w:tc>
        <w:tc>
          <w:tcPr>
            <w:tcW w:w="263"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排气筒底部海拔高度/m</w:t>
            </w:r>
          </w:p>
        </w:tc>
        <w:tc>
          <w:tcPr>
            <w:tcW w:w="225"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排气筒高度/m</w:t>
            </w:r>
          </w:p>
        </w:tc>
        <w:tc>
          <w:tcPr>
            <w:tcW w:w="281"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排气筒出口内径/m</w:t>
            </w:r>
          </w:p>
        </w:tc>
        <w:tc>
          <w:tcPr>
            <w:tcW w:w="323"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烟气流速/（m/s）</w:t>
            </w:r>
          </w:p>
        </w:tc>
        <w:tc>
          <w:tcPr>
            <w:tcW w:w="293"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烟气温度/℃</w:t>
            </w:r>
          </w:p>
        </w:tc>
        <w:tc>
          <w:tcPr>
            <w:tcW w:w="296"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年排放小时数/h</w:t>
            </w:r>
          </w:p>
        </w:tc>
        <w:tc>
          <w:tcPr>
            <w:tcW w:w="308" w:type="pct"/>
            <w:vMerge w:val="restar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排放工况</w:t>
            </w:r>
          </w:p>
        </w:tc>
        <w:tc>
          <w:tcPr>
            <w:tcW w:w="1817" w:type="pct"/>
            <w:gridSpan w:val="7"/>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40"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330"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218" w:type="pct"/>
            <w:vAlign w:val="center"/>
          </w:tcPr>
          <w:p>
            <w:pPr>
              <w:widowControl/>
              <w:spacing w:before="100" w:beforeAutospacing="1"/>
              <w:ind w:left="-105" w:leftChars="-50" w:right="-105" w:rightChars="-50"/>
              <w:contextualSpacing/>
              <w:jc w:val="center"/>
              <w:rPr>
                <w:rFonts w:ascii="Times New Roman" w:hAnsi="Times New Roman"/>
                <w:b/>
                <w:i/>
                <w:iCs/>
                <w:kern w:val="0"/>
                <w:sz w:val="20"/>
                <w:szCs w:val="20"/>
              </w:rPr>
            </w:pPr>
            <w:r>
              <w:rPr>
                <w:rFonts w:ascii="Times New Roman" w:hAnsi="Times New Roman"/>
                <w:b/>
                <w:i/>
                <w:iCs/>
                <w:kern w:val="0"/>
                <w:sz w:val="20"/>
                <w:szCs w:val="20"/>
              </w:rPr>
              <w:t>X</w:t>
            </w:r>
          </w:p>
        </w:tc>
        <w:tc>
          <w:tcPr>
            <w:tcW w:w="207" w:type="pct"/>
            <w:vAlign w:val="center"/>
          </w:tcPr>
          <w:p>
            <w:pPr>
              <w:widowControl/>
              <w:spacing w:before="100" w:beforeAutospacing="1"/>
              <w:ind w:left="-105" w:leftChars="-50" w:right="-105" w:rightChars="-50"/>
              <w:contextualSpacing/>
              <w:jc w:val="center"/>
              <w:rPr>
                <w:rFonts w:ascii="Times New Roman" w:hAnsi="Times New Roman"/>
                <w:b/>
                <w:i/>
                <w:iCs/>
                <w:kern w:val="0"/>
                <w:sz w:val="20"/>
                <w:szCs w:val="20"/>
              </w:rPr>
            </w:pPr>
            <w:r>
              <w:rPr>
                <w:rFonts w:ascii="Times New Roman" w:hAnsi="Times New Roman"/>
                <w:b/>
                <w:i/>
                <w:iCs/>
                <w:kern w:val="0"/>
                <w:sz w:val="20"/>
                <w:szCs w:val="20"/>
              </w:rPr>
              <w:t>Y</w:t>
            </w:r>
          </w:p>
        </w:tc>
        <w:tc>
          <w:tcPr>
            <w:tcW w:w="263"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225"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281"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323"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293"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296"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308" w:type="pct"/>
            <w:vMerge w:val="continue"/>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p>
        </w:tc>
        <w:tc>
          <w:tcPr>
            <w:tcW w:w="255"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SO</w:t>
            </w:r>
            <w:r>
              <w:rPr>
                <w:rFonts w:ascii="Times New Roman" w:hAnsi="Times New Roman"/>
                <w:b/>
                <w:kern w:val="0"/>
                <w:sz w:val="20"/>
                <w:szCs w:val="20"/>
                <w:vertAlign w:val="subscript"/>
              </w:rPr>
              <w:t>2</w:t>
            </w:r>
          </w:p>
        </w:tc>
        <w:tc>
          <w:tcPr>
            <w:tcW w:w="251"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NO</w:t>
            </w:r>
            <w:r>
              <w:rPr>
                <w:rFonts w:ascii="Times New Roman" w:hAnsi="Times New Roman"/>
                <w:b/>
                <w:kern w:val="0"/>
                <w:sz w:val="20"/>
                <w:szCs w:val="20"/>
                <w:vertAlign w:val="subscript"/>
              </w:rPr>
              <w:t>2</w:t>
            </w:r>
          </w:p>
        </w:tc>
        <w:tc>
          <w:tcPr>
            <w:tcW w:w="257"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颗粒物</w:t>
            </w:r>
          </w:p>
        </w:tc>
        <w:tc>
          <w:tcPr>
            <w:tcW w:w="267"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镍</w:t>
            </w:r>
          </w:p>
        </w:tc>
        <w:tc>
          <w:tcPr>
            <w:tcW w:w="283"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二噁英</w:t>
            </w:r>
          </w:p>
        </w:tc>
        <w:tc>
          <w:tcPr>
            <w:tcW w:w="271"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硫化氢</w:t>
            </w:r>
          </w:p>
        </w:tc>
        <w:tc>
          <w:tcPr>
            <w:tcW w:w="232" w:type="pct"/>
            <w:vAlign w:val="center"/>
          </w:tcPr>
          <w:p>
            <w:pPr>
              <w:widowControl/>
              <w:spacing w:before="100" w:beforeAutospacing="1"/>
              <w:ind w:left="-105" w:leftChars="-50" w:right="-105" w:rightChars="-50"/>
              <w:contextualSpacing/>
              <w:jc w:val="center"/>
              <w:rPr>
                <w:rFonts w:ascii="Times New Roman" w:hAnsi="Times New Roman"/>
                <w:b/>
                <w:kern w:val="0"/>
                <w:sz w:val="20"/>
                <w:szCs w:val="20"/>
              </w:rPr>
            </w:pPr>
            <w:r>
              <w:rPr>
                <w:rFonts w:ascii="Times New Roman" w:hAnsi="Times New Roman"/>
                <w:b/>
                <w:kern w:val="0"/>
                <w:sz w:val="20"/>
                <w:szCs w:val="2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0"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临湘海创水泥窑综合利用固废危废项目</w:t>
            </w:r>
          </w:p>
        </w:tc>
        <w:tc>
          <w:tcPr>
            <w:tcW w:w="330" w:type="pct"/>
            <w:vAlign w:val="center"/>
          </w:tcPr>
          <w:p>
            <w:pPr>
              <w:widowControl/>
              <w:adjustRightInd w:val="0"/>
              <w:snapToGrid w:val="0"/>
              <w:ind w:left="-105" w:leftChars="-50" w:right="-105" w:rightChars="-50"/>
              <w:jc w:val="center"/>
              <w:rPr>
                <w:rFonts w:ascii="Times New Roman" w:hAnsi="Times New Roman"/>
                <w:kern w:val="0"/>
                <w:sz w:val="20"/>
                <w:szCs w:val="20"/>
              </w:rPr>
            </w:pPr>
            <w:r>
              <w:rPr>
                <w:rFonts w:ascii="Times New Roman" w:hAnsi="Times New Roman"/>
                <w:kern w:val="0"/>
                <w:sz w:val="20"/>
                <w:szCs w:val="20"/>
              </w:rPr>
              <w:t>水泥窑</w:t>
            </w:r>
          </w:p>
          <w:p>
            <w:pPr>
              <w:widowControl/>
              <w:adjustRightInd w:val="0"/>
              <w:snapToGrid w:val="0"/>
              <w:ind w:left="-105" w:leftChars="-50" w:right="-105" w:rightChars="-50"/>
              <w:jc w:val="center"/>
              <w:rPr>
                <w:rFonts w:ascii="Times New Roman" w:hAnsi="Times New Roman"/>
                <w:kern w:val="0"/>
                <w:sz w:val="20"/>
                <w:szCs w:val="20"/>
              </w:rPr>
            </w:pPr>
            <w:r>
              <w:rPr>
                <w:rFonts w:ascii="Times New Roman" w:hAnsi="Times New Roman"/>
                <w:kern w:val="0"/>
                <w:sz w:val="20"/>
                <w:szCs w:val="20"/>
              </w:rPr>
              <w:t>窑尾</w:t>
            </w:r>
          </w:p>
        </w:tc>
        <w:tc>
          <w:tcPr>
            <w:tcW w:w="218"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2029</w:t>
            </w:r>
          </w:p>
        </w:tc>
        <w:tc>
          <w:tcPr>
            <w:tcW w:w="207"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-3838</w:t>
            </w:r>
          </w:p>
        </w:tc>
        <w:tc>
          <w:tcPr>
            <w:tcW w:w="26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75</w:t>
            </w:r>
          </w:p>
        </w:tc>
        <w:tc>
          <w:tcPr>
            <w:tcW w:w="225"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90</w:t>
            </w:r>
          </w:p>
        </w:tc>
        <w:tc>
          <w:tcPr>
            <w:tcW w:w="281"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3</w:t>
            </w:r>
          </w:p>
        </w:tc>
        <w:tc>
          <w:tcPr>
            <w:tcW w:w="32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450000</w:t>
            </w:r>
          </w:p>
        </w:tc>
        <w:tc>
          <w:tcPr>
            <w:tcW w:w="29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100</w:t>
            </w:r>
          </w:p>
        </w:tc>
        <w:tc>
          <w:tcPr>
            <w:tcW w:w="296"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7920</w:t>
            </w:r>
          </w:p>
        </w:tc>
        <w:tc>
          <w:tcPr>
            <w:tcW w:w="308"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正常排放</w:t>
            </w:r>
          </w:p>
        </w:tc>
        <w:tc>
          <w:tcPr>
            <w:tcW w:w="255"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51"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57"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67"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8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0.016</w:t>
            </w:r>
            <w:r>
              <w:rPr>
                <w:rFonts w:ascii="Times New Roman" w:hAnsi="Times New Roman"/>
                <w:kern w:val="0"/>
                <w:sz w:val="20"/>
                <w:szCs w:val="20"/>
              </w:rPr>
              <w:br w:type="textWrapping"/>
            </w:r>
            <w:r>
              <w:rPr>
                <w:rFonts w:ascii="Times New Roman" w:hAnsi="Times New Roman"/>
                <w:kern w:val="0"/>
                <w:sz w:val="20"/>
                <w:szCs w:val="20"/>
              </w:rPr>
              <w:t>mgTEQ/h</w:t>
            </w:r>
          </w:p>
        </w:tc>
        <w:tc>
          <w:tcPr>
            <w:tcW w:w="271"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32"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0"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岳阳兴长石化股份有限公司</w:t>
            </w:r>
          </w:p>
        </w:tc>
        <w:tc>
          <w:tcPr>
            <w:tcW w:w="330"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1#排气筒</w:t>
            </w:r>
          </w:p>
        </w:tc>
        <w:tc>
          <w:tcPr>
            <w:tcW w:w="218"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-740</w:t>
            </w:r>
          </w:p>
        </w:tc>
        <w:tc>
          <w:tcPr>
            <w:tcW w:w="207"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802</w:t>
            </w:r>
          </w:p>
        </w:tc>
        <w:tc>
          <w:tcPr>
            <w:tcW w:w="26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63</w:t>
            </w:r>
          </w:p>
        </w:tc>
        <w:tc>
          <w:tcPr>
            <w:tcW w:w="225"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45.0</w:t>
            </w:r>
          </w:p>
        </w:tc>
        <w:tc>
          <w:tcPr>
            <w:tcW w:w="281"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0.5</w:t>
            </w:r>
          </w:p>
        </w:tc>
        <w:tc>
          <w:tcPr>
            <w:tcW w:w="323"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7.78</w:t>
            </w:r>
          </w:p>
        </w:tc>
        <w:tc>
          <w:tcPr>
            <w:tcW w:w="293"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40.0</w:t>
            </w:r>
          </w:p>
        </w:tc>
        <w:tc>
          <w:tcPr>
            <w:tcW w:w="296"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8400</w:t>
            </w:r>
          </w:p>
        </w:tc>
        <w:tc>
          <w:tcPr>
            <w:tcW w:w="308"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kern w:val="0"/>
                <w:sz w:val="20"/>
                <w:szCs w:val="20"/>
              </w:rPr>
              <w:t>正常排放</w:t>
            </w:r>
          </w:p>
        </w:tc>
        <w:tc>
          <w:tcPr>
            <w:tcW w:w="255"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0.5</w:t>
            </w:r>
          </w:p>
        </w:tc>
        <w:tc>
          <w:tcPr>
            <w:tcW w:w="251"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0.44</w:t>
            </w:r>
          </w:p>
        </w:tc>
        <w:tc>
          <w:tcPr>
            <w:tcW w:w="257"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0.011</w:t>
            </w:r>
          </w:p>
        </w:tc>
        <w:tc>
          <w:tcPr>
            <w:tcW w:w="267" w:type="pct"/>
            <w:vAlign w:val="center"/>
          </w:tcPr>
          <w:p>
            <w:pPr>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83"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c>
          <w:tcPr>
            <w:tcW w:w="271"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c>
          <w:tcPr>
            <w:tcW w:w="232"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0"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bCs/>
                <w:kern w:val="0"/>
                <w:sz w:val="20"/>
                <w:szCs w:val="20"/>
              </w:rPr>
              <w:t>岳阳市长岭中顺化工有限责任公司</w:t>
            </w:r>
          </w:p>
        </w:tc>
        <w:tc>
          <w:tcPr>
            <w:tcW w:w="330"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2#排气筒</w:t>
            </w:r>
          </w:p>
        </w:tc>
        <w:tc>
          <w:tcPr>
            <w:tcW w:w="218"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-468</w:t>
            </w:r>
          </w:p>
        </w:tc>
        <w:tc>
          <w:tcPr>
            <w:tcW w:w="207"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771</w:t>
            </w:r>
          </w:p>
        </w:tc>
        <w:tc>
          <w:tcPr>
            <w:tcW w:w="26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62</w:t>
            </w:r>
          </w:p>
        </w:tc>
        <w:tc>
          <w:tcPr>
            <w:tcW w:w="225"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18</w:t>
            </w:r>
          </w:p>
        </w:tc>
        <w:tc>
          <w:tcPr>
            <w:tcW w:w="281"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1.0</w:t>
            </w:r>
          </w:p>
        </w:tc>
        <w:tc>
          <w:tcPr>
            <w:tcW w:w="323"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3.5</w:t>
            </w:r>
          </w:p>
        </w:tc>
        <w:tc>
          <w:tcPr>
            <w:tcW w:w="293"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30</w:t>
            </w:r>
          </w:p>
        </w:tc>
        <w:tc>
          <w:tcPr>
            <w:tcW w:w="296"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7200</w:t>
            </w:r>
          </w:p>
        </w:tc>
        <w:tc>
          <w:tcPr>
            <w:tcW w:w="308"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kern w:val="0"/>
                <w:sz w:val="20"/>
                <w:szCs w:val="20"/>
              </w:rPr>
              <w:t>正常排放</w:t>
            </w:r>
          </w:p>
        </w:tc>
        <w:tc>
          <w:tcPr>
            <w:tcW w:w="255"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0.074</w:t>
            </w:r>
          </w:p>
        </w:tc>
        <w:tc>
          <w:tcPr>
            <w:tcW w:w="251"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0.408</w:t>
            </w:r>
          </w:p>
        </w:tc>
        <w:tc>
          <w:tcPr>
            <w:tcW w:w="257" w:type="pct"/>
            <w:vAlign w:val="center"/>
          </w:tcPr>
          <w:p>
            <w:pPr>
              <w:widowControl/>
              <w:spacing w:before="100" w:beforeAutospacing="1"/>
              <w:ind w:left="-105" w:leftChars="-50" w:right="-105" w:rightChars="-50"/>
              <w:contextualSpacing/>
              <w:jc w:val="center"/>
              <w:rPr>
                <w:rFonts w:ascii="Times New Roman" w:hAnsi="Times New Roman"/>
                <w:bCs/>
                <w:kern w:val="0"/>
                <w:sz w:val="20"/>
                <w:szCs w:val="20"/>
              </w:rPr>
            </w:pPr>
            <w:r>
              <w:rPr>
                <w:rFonts w:ascii="Times New Roman" w:hAnsi="Times New Roman"/>
                <w:bCs/>
                <w:kern w:val="0"/>
                <w:sz w:val="20"/>
                <w:szCs w:val="20"/>
              </w:rPr>
              <w:t>0.029</w:t>
            </w:r>
          </w:p>
        </w:tc>
        <w:tc>
          <w:tcPr>
            <w:tcW w:w="267" w:type="pct"/>
            <w:vAlign w:val="center"/>
          </w:tcPr>
          <w:p>
            <w:pPr>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83"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c>
          <w:tcPr>
            <w:tcW w:w="271"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c>
          <w:tcPr>
            <w:tcW w:w="232"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0"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湖南长岭石化科技开发有限公司</w:t>
            </w:r>
          </w:p>
        </w:tc>
        <w:tc>
          <w:tcPr>
            <w:tcW w:w="330" w:type="pct"/>
            <w:vAlign w:val="center"/>
          </w:tcPr>
          <w:p>
            <w:pPr>
              <w:spacing w:before="100" w:beforeAutospacing="1"/>
              <w:ind w:left="-105" w:leftChars="-50" w:right="-105" w:rightChars="-50"/>
              <w:contextualSpacing/>
              <w:jc w:val="center"/>
              <w:rPr>
                <w:rFonts w:ascii="Times New Roman" w:hAnsi="Times New Roman"/>
                <w:b/>
                <w:bCs/>
                <w:szCs w:val="21"/>
              </w:rPr>
            </w:pPr>
            <w:r>
              <w:rPr>
                <w:rFonts w:ascii="Times New Roman" w:hAnsi="Times New Roman"/>
                <w:szCs w:val="21"/>
              </w:rPr>
              <w:t>2</w:t>
            </w:r>
            <w:r>
              <w:rPr>
                <w:rFonts w:ascii="Times New Roman" w:hAnsi="Times New Roman"/>
                <w:b/>
                <w:bCs/>
                <w:szCs w:val="21"/>
              </w:rPr>
              <w:t>#</w:t>
            </w:r>
            <w:r>
              <w:rPr>
                <w:rFonts w:ascii="Times New Roman" w:hAnsi="Times New Roman"/>
                <w:szCs w:val="21"/>
              </w:rPr>
              <w:t>排气筒</w:t>
            </w:r>
          </w:p>
        </w:tc>
        <w:tc>
          <w:tcPr>
            <w:tcW w:w="218"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-971</w:t>
            </w:r>
          </w:p>
        </w:tc>
        <w:tc>
          <w:tcPr>
            <w:tcW w:w="207"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853</w:t>
            </w:r>
          </w:p>
        </w:tc>
        <w:tc>
          <w:tcPr>
            <w:tcW w:w="263"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54</w:t>
            </w:r>
          </w:p>
        </w:tc>
        <w:tc>
          <w:tcPr>
            <w:tcW w:w="225"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20</w:t>
            </w:r>
          </w:p>
        </w:tc>
        <w:tc>
          <w:tcPr>
            <w:tcW w:w="281"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1.0</w:t>
            </w:r>
          </w:p>
        </w:tc>
        <w:tc>
          <w:tcPr>
            <w:tcW w:w="323"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2.8</w:t>
            </w:r>
          </w:p>
        </w:tc>
        <w:tc>
          <w:tcPr>
            <w:tcW w:w="293"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130</w:t>
            </w:r>
          </w:p>
        </w:tc>
        <w:tc>
          <w:tcPr>
            <w:tcW w:w="296"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7200</w:t>
            </w:r>
          </w:p>
        </w:tc>
        <w:tc>
          <w:tcPr>
            <w:tcW w:w="308" w:type="pct"/>
            <w:vAlign w:val="center"/>
          </w:tcPr>
          <w:p>
            <w:pPr>
              <w:spacing w:before="100" w:beforeAutospacing="1"/>
              <w:ind w:left="-105" w:leftChars="-50" w:right="-105" w:rightChars="-50"/>
              <w:contextualSpacing/>
              <w:jc w:val="center"/>
              <w:rPr>
                <w:rFonts w:ascii="Times New Roman" w:hAnsi="Times New Roman"/>
                <w:szCs w:val="21"/>
              </w:rPr>
            </w:pPr>
            <w:r>
              <w:rPr>
                <w:rFonts w:ascii="Times New Roman" w:hAnsi="Times New Roman"/>
                <w:szCs w:val="21"/>
              </w:rPr>
              <w:t>正常排放</w:t>
            </w:r>
          </w:p>
        </w:tc>
        <w:tc>
          <w:tcPr>
            <w:tcW w:w="255"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c>
          <w:tcPr>
            <w:tcW w:w="251"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0.74</w:t>
            </w:r>
          </w:p>
        </w:tc>
        <w:tc>
          <w:tcPr>
            <w:tcW w:w="257" w:type="pct"/>
            <w:vAlign w:val="center"/>
          </w:tcPr>
          <w:p>
            <w:pPr>
              <w:spacing w:before="100" w:beforeAutospacing="1"/>
              <w:ind w:left="-105" w:leftChars="-50" w:right="-105" w:rightChars="-50"/>
              <w:contextualSpacing/>
              <w:jc w:val="center"/>
              <w:rPr>
                <w:rFonts w:ascii="Times New Roman" w:hAnsi="Times New Roman"/>
                <w:sz w:val="20"/>
                <w:szCs w:val="20"/>
              </w:rPr>
            </w:pPr>
            <w:r>
              <w:rPr>
                <w:rFonts w:ascii="Times New Roman" w:hAnsi="Times New Roman"/>
                <w:kern w:val="0"/>
                <w:sz w:val="20"/>
                <w:szCs w:val="20"/>
              </w:rPr>
              <w:t>/</w:t>
            </w:r>
          </w:p>
        </w:tc>
        <w:tc>
          <w:tcPr>
            <w:tcW w:w="267"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83"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71"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c>
          <w:tcPr>
            <w:tcW w:w="232" w:type="pct"/>
            <w:vAlign w:val="center"/>
          </w:tcPr>
          <w:p>
            <w:pPr>
              <w:widowControl/>
              <w:spacing w:before="100" w:beforeAutospacing="1"/>
              <w:ind w:left="-105" w:leftChars="-50" w:right="-105" w:rightChars="-50"/>
              <w:contextualSpacing/>
              <w:jc w:val="center"/>
              <w:rPr>
                <w:rFonts w:ascii="Times New Roman" w:hAnsi="Times New Roman"/>
                <w:kern w:val="0"/>
                <w:sz w:val="20"/>
                <w:szCs w:val="20"/>
              </w:rPr>
            </w:pPr>
            <w:r>
              <w:rPr>
                <w:rFonts w:ascii="Times New Roman" w:hAnsi="Times New Roman"/>
                <w:kern w:val="0"/>
                <w:sz w:val="20"/>
                <w:szCs w:val="20"/>
              </w:rPr>
              <w:t>/</w:t>
            </w:r>
          </w:p>
        </w:tc>
      </w:tr>
    </w:tbl>
    <w:p>
      <w:pPr>
        <w:widowControl/>
        <w:adjustRightInd w:val="0"/>
        <w:snapToGrid w:val="0"/>
        <w:spacing w:before="156" w:beforeLines="50" w:line="360" w:lineRule="auto"/>
        <w:jc w:val="center"/>
        <w:rPr>
          <w:rFonts w:ascii="Times New Roman" w:hAnsi="Times New Roman"/>
          <w:b/>
          <w:sz w:val="24"/>
          <w:szCs w:val="20"/>
        </w:rPr>
      </w:pPr>
    </w:p>
    <w:p>
      <w:pPr>
        <w:widowControl/>
        <w:adjustRightInd w:val="0"/>
        <w:snapToGrid w:val="0"/>
        <w:spacing w:before="156" w:beforeLines="50" w:line="360" w:lineRule="auto"/>
        <w:jc w:val="center"/>
        <w:rPr>
          <w:rFonts w:ascii="Times New Roman" w:hAnsi="Times New Roman"/>
          <w:b/>
          <w:sz w:val="24"/>
          <w:szCs w:val="20"/>
        </w:rPr>
      </w:pPr>
      <w:r>
        <w:rPr>
          <w:rFonts w:ascii="Times New Roman" w:hAnsi="Times New Roman"/>
          <w:b/>
          <w:sz w:val="24"/>
          <w:szCs w:val="20"/>
        </w:rPr>
        <w:t>表6.1.5.4-5评价范围内拟建、在建面源参数表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183"/>
        <w:gridCol w:w="697"/>
        <w:gridCol w:w="745"/>
        <w:gridCol w:w="887"/>
        <w:gridCol w:w="887"/>
        <w:gridCol w:w="884"/>
        <w:gridCol w:w="884"/>
        <w:gridCol w:w="884"/>
        <w:gridCol w:w="884"/>
        <w:gridCol w:w="981"/>
        <w:gridCol w:w="1291"/>
        <w:gridCol w:w="1291"/>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99"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编号</w:t>
            </w:r>
          </w:p>
        </w:tc>
        <w:tc>
          <w:tcPr>
            <w:tcW w:w="416"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名称</w:t>
            </w:r>
          </w:p>
        </w:tc>
        <w:tc>
          <w:tcPr>
            <w:tcW w:w="507" w:type="pct"/>
            <w:gridSpan w:val="2"/>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面源起点坐标/m</w:t>
            </w:r>
          </w:p>
        </w:tc>
        <w:tc>
          <w:tcPr>
            <w:tcW w:w="312"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面源海拔高度/m</w:t>
            </w:r>
          </w:p>
        </w:tc>
        <w:tc>
          <w:tcPr>
            <w:tcW w:w="312"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面源长度/m</w:t>
            </w:r>
          </w:p>
        </w:tc>
        <w:tc>
          <w:tcPr>
            <w:tcW w:w="311"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面源宽度/m</w:t>
            </w:r>
          </w:p>
        </w:tc>
        <w:tc>
          <w:tcPr>
            <w:tcW w:w="311"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与正北向夹角/ °</w:t>
            </w:r>
          </w:p>
        </w:tc>
        <w:tc>
          <w:tcPr>
            <w:tcW w:w="311"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面源有效排放高度/m</w:t>
            </w:r>
          </w:p>
        </w:tc>
        <w:tc>
          <w:tcPr>
            <w:tcW w:w="311"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年排放小时数/h</w:t>
            </w:r>
          </w:p>
        </w:tc>
        <w:tc>
          <w:tcPr>
            <w:tcW w:w="345"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排放工况</w:t>
            </w:r>
          </w:p>
        </w:tc>
        <w:tc>
          <w:tcPr>
            <w:tcW w:w="1365" w:type="pct"/>
            <w:gridSpan w:val="3"/>
            <w:vAlign w:val="center"/>
          </w:tcPr>
          <w:p>
            <w:pPr>
              <w:widowControl/>
              <w:jc w:val="center"/>
              <w:rPr>
                <w:rFonts w:ascii="Times New Roman" w:hAnsi="Times New Roman"/>
                <w:b/>
                <w:kern w:val="0"/>
                <w:sz w:val="20"/>
                <w:szCs w:val="20"/>
              </w:rPr>
            </w:pPr>
            <w:r>
              <w:rPr>
                <w:rFonts w:ascii="Times New Roman" w:hAnsi="Times New Roman"/>
                <w:b/>
                <w:kern w:val="0"/>
                <w:sz w:val="20"/>
                <w:szCs w:val="2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vAlign w:val="center"/>
          </w:tcPr>
          <w:p>
            <w:pPr>
              <w:widowControl/>
              <w:jc w:val="center"/>
              <w:rPr>
                <w:rFonts w:ascii="Times New Roman" w:hAnsi="Times New Roman"/>
                <w:b/>
                <w:kern w:val="0"/>
                <w:sz w:val="20"/>
                <w:szCs w:val="20"/>
              </w:rPr>
            </w:pPr>
          </w:p>
        </w:tc>
        <w:tc>
          <w:tcPr>
            <w:tcW w:w="416" w:type="pct"/>
            <w:vMerge w:val="continue"/>
            <w:vAlign w:val="center"/>
          </w:tcPr>
          <w:p>
            <w:pPr>
              <w:widowControl/>
              <w:jc w:val="center"/>
              <w:rPr>
                <w:rFonts w:ascii="Times New Roman" w:hAnsi="Times New Roman"/>
                <w:b/>
                <w:kern w:val="0"/>
                <w:sz w:val="20"/>
                <w:szCs w:val="20"/>
              </w:rPr>
            </w:pPr>
          </w:p>
        </w:tc>
        <w:tc>
          <w:tcPr>
            <w:tcW w:w="507" w:type="pct"/>
            <w:gridSpan w:val="2"/>
            <w:vMerge w:val="continue"/>
            <w:vAlign w:val="center"/>
          </w:tcPr>
          <w:p>
            <w:pPr>
              <w:widowControl/>
              <w:jc w:val="center"/>
              <w:rPr>
                <w:rFonts w:ascii="Times New Roman" w:hAnsi="Times New Roman"/>
                <w:b/>
                <w:kern w:val="0"/>
                <w:sz w:val="20"/>
                <w:szCs w:val="20"/>
              </w:rPr>
            </w:pPr>
          </w:p>
        </w:tc>
        <w:tc>
          <w:tcPr>
            <w:tcW w:w="312" w:type="pct"/>
            <w:vMerge w:val="continue"/>
            <w:vAlign w:val="center"/>
          </w:tcPr>
          <w:p>
            <w:pPr>
              <w:widowControl/>
              <w:jc w:val="center"/>
              <w:rPr>
                <w:rFonts w:ascii="Times New Roman" w:hAnsi="Times New Roman"/>
                <w:b/>
                <w:kern w:val="0"/>
                <w:sz w:val="20"/>
                <w:szCs w:val="20"/>
              </w:rPr>
            </w:pPr>
          </w:p>
        </w:tc>
        <w:tc>
          <w:tcPr>
            <w:tcW w:w="312" w:type="pct"/>
            <w:vMerge w:val="continue"/>
            <w:vAlign w:val="center"/>
          </w:tcPr>
          <w:p>
            <w:pPr>
              <w:widowControl/>
              <w:jc w:val="center"/>
              <w:rPr>
                <w:rFonts w:ascii="Times New Roman" w:hAnsi="Times New Roman"/>
                <w:b/>
                <w:kern w:val="0"/>
                <w:sz w:val="20"/>
                <w:szCs w:val="20"/>
              </w:rPr>
            </w:pPr>
          </w:p>
        </w:tc>
        <w:tc>
          <w:tcPr>
            <w:tcW w:w="311" w:type="pct"/>
            <w:vMerge w:val="continue"/>
            <w:vAlign w:val="center"/>
          </w:tcPr>
          <w:p>
            <w:pPr>
              <w:widowControl/>
              <w:jc w:val="center"/>
              <w:rPr>
                <w:rFonts w:ascii="Times New Roman" w:hAnsi="Times New Roman"/>
                <w:b/>
                <w:kern w:val="0"/>
                <w:sz w:val="20"/>
                <w:szCs w:val="20"/>
              </w:rPr>
            </w:pPr>
          </w:p>
        </w:tc>
        <w:tc>
          <w:tcPr>
            <w:tcW w:w="311" w:type="pct"/>
            <w:vMerge w:val="continue"/>
            <w:vAlign w:val="center"/>
          </w:tcPr>
          <w:p>
            <w:pPr>
              <w:widowControl/>
              <w:jc w:val="center"/>
              <w:rPr>
                <w:rFonts w:ascii="Times New Roman" w:hAnsi="Times New Roman"/>
                <w:b/>
                <w:kern w:val="0"/>
                <w:sz w:val="20"/>
                <w:szCs w:val="20"/>
              </w:rPr>
            </w:pPr>
          </w:p>
        </w:tc>
        <w:tc>
          <w:tcPr>
            <w:tcW w:w="311" w:type="pct"/>
            <w:vMerge w:val="continue"/>
            <w:vAlign w:val="center"/>
          </w:tcPr>
          <w:p>
            <w:pPr>
              <w:widowControl/>
              <w:jc w:val="center"/>
              <w:rPr>
                <w:rFonts w:ascii="Times New Roman" w:hAnsi="Times New Roman"/>
                <w:b/>
                <w:kern w:val="0"/>
                <w:sz w:val="20"/>
                <w:szCs w:val="20"/>
              </w:rPr>
            </w:pPr>
          </w:p>
        </w:tc>
        <w:tc>
          <w:tcPr>
            <w:tcW w:w="311" w:type="pct"/>
            <w:vMerge w:val="continue"/>
            <w:vAlign w:val="center"/>
          </w:tcPr>
          <w:p>
            <w:pPr>
              <w:widowControl/>
              <w:jc w:val="center"/>
              <w:rPr>
                <w:rFonts w:ascii="Times New Roman" w:hAnsi="Times New Roman"/>
                <w:b/>
                <w:kern w:val="0"/>
                <w:sz w:val="20"/>
                <w:szCs w:val="20"/>
              </w:rPr>
            </w:pPr>
          </w:p>
        </w:tc>
        <w:tc>
          <w:tcPr>
            <w:tcW w:w="345" w:type="pct"/>
            <w:vMerge w:val="continue"/>
            <w:vAlign w:val="center"/>
          </w:tcPr>
          <w:p>
            <w:pPr>
              <w:widowControl/>
              <w:jc w:val="center"/>
              <w:rPr>
                <w:rFonts w:ascii="Times New Roman" w:hAnsi="Times New Roman"/>
                <w:b/>
                <w:kern w:val="0"/>
                <w:sz w:val="20"/>
                <w:szCs w:val="20"/>
              </w:rPr>
            </w:pPr>
          </w:p>
        </w:tc>
        <w:tc>
          <w:tcPr>
            <w:tcW w:w="454" w:type="pct"/>
            <w:vAlign w:val="center"/>
          </w:tcPr>
          <w:p>
            <w:pPr>
              <w:widowControl/>
              <w:jc w:val="center"/>
              <w:rPr>
                <w:rFonts w:ascii="Times New Roman" w:hAnsi="Times New Roman"/>
                <w:b/>
                <w:kern w:val="0"/>
                <w:sz w:val="20"/>
                <w:szCs w:val="20"/>
              </w:rPr>
            </w:pPr>
            <w:r>
              <w:rPr>
                <w:rFonts w:ascii="Times New Roman" w:hAnsi="Times New Roman"/>
                <w:b/>
                <w:kern w:val="0"/>
                <w:sz w:val="20"/>
                <w:szCs w:val="20"/>
              </w:rPr>
              <w:t>SO</w:t>
            </w:r>
            <w:r>
              <w:rPr>
                <w:rFonts w:ascii="Times New Roman" w:hAnsi="Times New Roman"/>
                <w:b/>
                <w:kern w:val="0"/>
                <w:sz w:val="20"/>
                <w:szCs w:val="20"/>
                <w:vertAlign w:val="subscript"/>
              </w:rPr>
              <w:t>2</w:t>
            </w:r>
          </w:p>
        </w:tc>
        <w:tc>
          <w:tcPr>
            <w:tcW w:w="454"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硫化氢</w:t>
            </w:r>
          </w:p>
        </w:tc>
        <w:tc>
          <w:tcPr>
            <w:tcW w:w="457" w:type="pct"/>
            <w:vMerge w:val="restart"/>
            <w:vAlign w:val="center"/>
          </w:tcPr>
          <w:p>
            <w:pPr>
              <w:widowControl/>
              <w:jc w:val="center"/>
              <w:rPr>
                <w:rFonts w:ascii="Times New Roman" w:hAnsi="Times New Roman"/>
                <w:b/>
                <w:kern w:val="0"/>
                <w:sz w:val="20"/>
                <w:szCs w:val="20"/>
              </w:rPr>
            </w:pPr>
            <w:r>
              <w:rPr>
                <w:rFonts w:ascii="Times New Roman" w:hAnsi="Times New Roman"/>
                <w:b/>
                <w:kern w:val="0"/>
                <w:sz w:val="20"/>
                <w:szCs w:val="2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vAlign w:val="center"/>
          </w:tcPr>
          <w:p>
            <w:pPr>
              <w:widowControl/>
              <w:jc w:val="center"/>
              <w:rPr>
                <w:rFonts w:ascii="Times New Roman" w:hAnsi="Times New Roman"/>
                <w:kern w:val="0"/>
                <w:sz w:val="20"/>
                <w:szCs w:val="20"/>
              </w:rPr>
            </w:pPr>
          </w:p>
        </w:tc>
        <w:tc>
          <w:tcPr>
            <w:tcW w:w="416" w:type="pct"/>
            <w:vMerge w:val="continue"/>
            <w:vAlign w:val="center"/>
          </w:tcPr>
          <w:p>
            <w:pPr>
              <w:widowControl/>
              <w:jc w:val="center"/>
              <w:rPr>
                <w:rFonts w:ascii="Times New Roman" w:hAnsi="Times New Roman"/>
                <w:kern w:val="0"/>
                <w:sz w:val="20"/>
                <w:szCs w:val="20"/>
              </w:rPr>
            </w:pPr>
          </w:p>
        </w:tc>
        <w:tc>
          <w:tcPr>
            <w:tcW w:w="245" w:type="pct"/>
            <w:vAlign w:val="center"/>
          </w:tcPr>
          <w:p>
            <w:pPr>
              <w:widowControl/>
              <w:jc w:val="center"/>
              <w:rPr>
                <w:rFonts w:ascii="Times New Roman" w:hAnsi="Times New Roman"/>
                <w:b/>
                <w:i/>
                <w:iCs/>
                <w:kern w:val="0"/>
                <w:sz w:val="20"/>
                <w:szCs w:val="20"/>
              </w:rPr>
            </w:pPr>
            <w:r>
              <w:rPr>
                <w:rFonts w:ascii="Times New Roman" w:hAnsi="Times New Roman"/>
                <w:b/>
                <w:i/>
                <w:iCs/>
                <w:kern w:val="0"/>
                <w:sz w:val="20"/>
                <w:szCs w:val="20"/>
              </w:rPr>
              <w:t>X</w:t>
            </w:r>
          </w:p>
        </w:tc>
        <w:tc>
          <w:tcPr>
            <w:tcW w:w="262" w:type="pct"/>
            <w:vAlign w:val="center"/>
          </w:tcPr>
          <w:p>
            <w:pPr>
              <w:widowControl/>
              <w:jc w:val="center"/>
              <w:rPr>
                <w:rFonts w:ascii="Times New Roman" w:hAnsi="Times New Roman"/>
                <w:b/>
                <w:i/>
                <w:iCs/>
                <w:kern w:val="0"/>
                <w:sz w:val="20"/>
                <w:szCs w:val="20"/>
              </w:rPr>
            </w:pPr>
            <w:r>
              <w:rPr>
                <w:rFonts w:ascii="Times New Roman" w:hAnsi="Times New Roman"/>
                <w:b/>
                <w:i/>
                <w:iCs/>
                <w:kern w:val="0"/>
                <w:sz w:val="20"/>
                <w:szCs w:val="20"/>
              </w:rPr>
              <w:t>Y</w:t>
            </w:r>
          </w:p>
        </w:tc>
        <w:tc>
          <w:tcPr>
            <w:tcW w:w="312" w:type="pct"/>
            <w:vMerge w:val="continue"/>
            <w:vAlign w:val="center"/>
          </w:tcPr>
          <w:p>
            <w:pPr>
              <w:widowControl/>
              <w:jc w:val="center"/>
              <w:rPr>
                <w:rFonts w:ascii="Times New Roman" w:hAnsi="Times New Roman"/>
                <w:kern w:val="0"/>
                <w:sz w:val="20"/>
                <w:szCs w:val="20"/>
              </w:rPr>
            </w:pPr>
          </w:p>
        </w:tc>
        <w:tc>
          <w:tcPr>
            <w:tcW w:w="312" w:type="pct"/>
            <w:vMerge w:val="continue"/>
            <w:vAlign w:val="center"/>
          </w:tcPr>
          <w:p>
            <w:pPr>
              <w:widowControl/>
              <w:jc w:val="center"/>
              <w:rPr>
                <w:rFonts w:ascii="Times New Roman" w:hAnsi="Times New Roman"/>
                <w:kern w:val="0"/>
                <w:sz w:val="20"/>
                <w:szCs w:val="20"/>
              </w:rPr>
            </w:pPr>
          </w:p>
        </w:tc>
        <w:tc>
          <w:tcPr>
            <w:tcW w:w="311" w:type="pct"/>
            <w:vMerge w:val="continue"/>
            <w:vAlign w:val="center"/>
          </w:tcPr>
          <w:p>
            <w:pPr>
              <w:widowControl/>
              <w:jc w:val="center"/>
              <w:rPr>
                <w:rFonts w:ascii="Times New Roman" w:hAnsi="Times New Roman"/>
                <w:kern w:val="0"/>
                <w:sz w:val="20"/>
                <w:szCs w:val="20"/>
              </w:rPr>
            </w:pPr>
          </w:p>
        </w:tc>
        <w:tc>
          <w:tcPr>
            <w:tcW w:w="311" w:type="pct"/>
            <w:vMerge w:val="continue"/>
            <w:vAlign w:val="center"/>
          </w:tcPr>
          <w:p>
            <w:pPr>
              <w:widowControl/>
              <w:jc w:val="center"/>
              <w:rPr>
                <w:rFonts w:ascii="Times New Roman" w:hAnsi="Times New Roman"/>
                <w:kern w:val="0"/>
                <w:sz w:val="20"/>
                <w:szCs w:val="20"/>
              </w:rPr>
            </w:pPr>
          </w:p>
        </w:tc>
        <w:tc>
          <w:tcPr>
            <w:tcW w:w="311" w:type="pct"/>
            <w:vMerge w:val="continue"/>
            <w:vAlign w:val="center"/>
          </w:tcPr>
          <w:p>
            <w:pPr>
              <w:widowControl/>
              <w:jc w:val="center"/>
              <w:rPr>
                <w:rFonts w:ascii="Times New Roman" w:hAnsi="Times New Roman"/>
                <w:kern w:val="0"/>
                <w:sz w:val="20"/>
                <w:szCs w:val="20"/>
              </w:rPr>
            </w:pPr>
          </w:p>
        </w:tc>
        <w:tc>
          <w:tcPr>
            <w:tcW w:w="311" w:type="pct"/>
            <w:vMerge w:val="continue"/>
            <w:vAlign w:val="center"/>
          </w:tcPr>
          <w:p>
            <w:pPr>
              <w:widowControl/>
              <w:jc w:val="center"/>
              <w:rPr>
                <w:rFonts w:ascii="Times New Roman" w:hAnsi="Times New Roman"/>
                <w:kern w:val="0"/>
                <w:sz w:val="20"/>
                <w:szCs w:val="20"/>
              </w:rPr>
            </w:pPr>
          </w:p>
        </w:tc>
        <w:tc>
          <w:tcPr>
            <w:tcW w:w="345" w:type="pct"/>
            <w:vMerge w:val="continue"/>
            <w:vAlign w:val="center"/>
          </w:tcPr>
          <w:p>
            <w:pPr>
              <w:widowControl/>
              <w:jc w:val="center"/>
              <w:rPr>
                <w:rFonts w:ascii="Times New Roman" w:hAnsi="Times New Roman"/>
                <w:kern w:val="0"/>
                <w:sz w:val="20"/>
                <w:szCs w:val="20"/>
              </w:rPr>
            </w:pPr>
          </w:p>
        </w:tc>
        <w:tc>
          <w:tcPr>
            <w:tcW w:w="454" w:type="pct"/>
            <w:vAlign w:val="center"/>
          </w:tcPr>
          <w:p>
            <w:pPr>
              <w:widowControl/>
              <w:jc w:val="center"/>
              <w:rPr>
                <w:rFonts w:ascii="Times New Roman" w:hAnsi="Times New Roman"/>
                <w:kern w:val="0"/>
                <w:sz w:val="20"/>
                <w:szCs w:val="20"/>
              </w:rPr>
            </w:pPr>
          </w:p>
        </w:tc>
        <w:tc>
          <w:tcPr>
            <w:tcW w:w="454" w:type="pct"/>
            <w:vMerge w:val="continue"/>
            <w:vAlign w:val="center"/>
          </w:tcPr>
          <w:p>
            <w:pPr>
              <w:widowControl/>
              <w:jc w:val="center"/>
              <w:rPr>
                <w:rFonts w:ascii="Times New Roman" w:hAnsi="Times New Roman"/>
                <w:kern w:val="0"/>
                <w:sz w:val="20"/>
                <w:szCs w:val="20"/>
              </w:rPr>
            </w:pPr>
          </w:p>
        </w:tc>
        <w:tc>
          <w:tcPr>
            <w:tcW w:w="457" w:type="pct"/>
            <w:vMerge w:val="continue"/>
            <w:vAlign w:val="center"/>
          </w:tcPr>
          <w:p>
            <w:pPr>
              <w:widowControl/>
              <w:jc w:val="center"/>
              <w:rPr>
                <w:rFonts w:ascii="Times New Roman" w:hAnsi="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restart"/>
            <w:vAlign w:val="center"/>
          </w:tcPr>
          <w:p>
            <w:pPr>
              <w:widowControl/>
              <w:jc w:val="center"/>
              <w:rPr>
                <w:rFonts w:ascii="Times New Roman" w:hAnsi="Times New Roman"/>
                <w:kern w:val="0"/>
                <w:sz w:val="20"/>
                <w:szCs w:val="20"/>
              </w:rPr>
            </w:pPr>
            <w:r>
              <w:rPr>
                <w:rFonts w:ascii="Times New Roman" w:hAnsi="Times New Roman"/>
                <w:kern w:val="0"/>
                <w:sz w:val="20"/>
                <w:szCs w:val="20"/>
              </w:rPr>
              <w:t>临湘海创水泥窑综合利用固废危废项目</w:t>
            </w:r>
          </w:p>
        </w:tc>
        <w:tc>
          <w:tcPr>
            <w:tcW w:w="416" w:type="pct"/>
            <w:vAlign w:val="center"/>
          </w:tcPr>
          <w:p>
            <w:pPr>
              <w:widowControl/>
              <w:jc w:val="center"/>
              <w:rPr>
                <w:rFonts w:ascii="Times New Roman" w:hAnsi="Times New Roman"/>
                <w:kern w:val="0"/>
                <w:sz w:val="20"/>
                <w:szCs w:val="20"/>
              </w:rPr>
            </w:pPr>
            <w:r>
              <w:rPr>
                <w:rFonts w:ascii="Times New Roman" w:hAnsi="Times New Roman"/>
                <w:kern w:val="0"/>
                <w:sz w:val="20"/>
                <w:szCs w:val="20"/>
              </w:rPr>
              <w:t>1 号危废暂存库</w:t>
            </w:r>
          </w:p>
        </w:tc>
        <w:tc>
          <w:tcPr>
            <w:tcW w:w="245" w:type="pct"/>
            <w:vAlign w:val="center"/>
          </w:tcPr>
          <w:p>
            <w:pPr>
              <w:widowControl/>
              <w:jc w:val="center"/>
              <w:rPr>
                <w:rFonts w:ascii="Times New Roman" w:hAnsi="Times New Roman"/>
                <w:kern w:val="0"/>
                <w:sz w:val="20"/>
                <w:szCs w:val="20"/>
              </w:rPr>
            </w:pPr>
            <w:r>
              <w:rPr>
                <w:rFonts w:ascii="Times New Roman" w:hAnsi="Times New Roman"/>
                <w:kern w:val="0"/>
                <w:sz w:val="20"/>
                <w:szCs w:val="20"/>
              </w:rPr>
              <w:t>2081</w:t>
            </w:r>
          </w:p>
        </w:tc>
        <w:tc>
          <w:tcPr>
            <w:tcW w:w="262" w:type="pct"/>
            <w:vAlign w:val="center"/>
          </w:tcPr>
          <w:p>
            <w:pPr>
              <w:widowControl/>
              <w:jc w:val="center"/>
              <w:rPr>
                <w:rFonts w:ascii="Times New Roman" w:hAnsi="Times New Roman"/>
                <w:kern w:val="0"/>
                <w:sz w:val="20"/>
                <w:szCs w:val="20"/>
              </w:rPr>
            </w:pPr>
            <w:r>
              <w:rPr>
                <w:rFonts w:ascii="Times New Roman" w:hAnsi="Times New Roman"/>
                <w:kern w:val="0"/>
                <w:sz w:val="20"/>
                <w:szCs w:val="20"/>
              </w:rPr>
              <w:t>-4046</w:t>
            </w:r>
          </w:p>
        </w:tc>
        <w:tc>
          <w:tcPr>
            <w:tcW w:w="312" w:type="pct"/>
            <w:vAlign w:val="center"/>
          </w:tcPr>
          <w:p>
            <w:pPr>
              <w:widowControl/>
              <w:jc w:val="center"/>
              <w:rPr>
                <w:rFonts w:ascii="Times New Roman" w:hAnsi="Times New Roman"/>
                <w:kern w:val="0"/>
                <w:sz w:val="20"/>
                <w:szCs w:val="20"/>
              </w:rPr>
            </w:pPr>
            <w:r>
              <w:rPr>
                <w:rFonts w:ascii="Times New Roman" w:hAnsi="Times New Roman"/>
                <w:kern w:val="0"/>
                <w:sz w:val="20"/>
                <w:szCs w:val="20"/>
              </w:rPr>
              <w:t>90</w:t>
            </w:r>
          </w:p>
        </w:tc>
        <w:tc>
          <w:tcPr>
            <w:tcW w:w="312" w:type="pct"/>
            <w:vAlign w:val="center"/>
          </w:tcPr>
          <w:p>
            <w:pPr>
              <w:widowControl/>
              <w:jc w:val="center"/>
              <w:rPr>
                <w:rFonts w:ascii="Times New Roman" w:hAnsi="Times New Roman"/>
                <w:kern w:val="0"/>
                <w:sz w:val="20"/>
                <w:szCs w:val="20"/>
              </w:rPr>
            </w:pPr>
            <w:r>
              <w:rPr>
                <w:rFonts w:ascii="Times New Roman" w:hAnsi="Times New Roman"/>
                <w:kern w:val="0"/>
                <w:sz w:val="20"/>
                <w:szCs w:val="20"/>
              </w:rPr>
              <w:t>60</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12</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8</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8640</w:t>
            </w:r>
          </w:p>
        </w:tc>
        <w:tc>
          <w:tcPr>
            <w:tcW w:w="345" w:type="pct"/>
            <w:vAlign w:val="center"/>
          </w:tcPr>
          <w:p>
            <w:pPr>
              <w:widowControl/>
              <w:jc w:val="center"/>
              <w:rPr>
                <w:rFonts w:ascii="Times New Roman" w:hAnsi="Times New Roman"/>
                <w:kern w:val="0"/>
                <w:sz w:val="20"/>
                <w:szCs w:val="20"/>
              </w:rPr>
            </w:pPr>
            <w:r>
              <w:rPr>
                <w:rFonts w:ascii="Times New Roman" w:hAnsi="Times New Roman"/>
                <w:kern w:val="0"/>
                <w:sz w:val="20"/>
                <w:szCs w:val="20"/>
              </w:rPr>
              <w:t>正常排放</w:t>
            </w:r>
          </w:p>
        </w:tc>
        <w:tc>
          <w:tcPr>
            <w:tcW w:w="454" w:type="pct"/>
            <w:vAlign w:val="center"/>
          </w:tcPr>
          <w:p>
            <w:pPr>
              <w:widowControl/>
              <w:jc w:val="center"/>
              <w:rPr>
                <w:rFonts w:ascii="Times New Roman" w:hAnsi="Times New Roman"/>
                <w:kern w:val="0"/>
                <w:sz w:val="20"/>
                <w:szCs w:val="20"/>
              </w:rPr>
            </w:pPr>
            <w:r>
              <w:rPr>
                <w:rFonts w:ascii="Times New Roman" w:hAnsi="Times New Roman"/>
                <w:kern w:val="0"/>
                <w:sz w:val="20"/>
                <w:szCs w:val="20"/>
              </w:rPr>
              <w:t>-</w:t>
            </w:r>
          </w:p>
        </w:tc>
        <w:tc>
          <w:tcPr>
            <w:tcW w:w="454" w:type="pct"/>
            <w:vAlign w:val="center"/>
          </w:tcPr>
          <w:p>
            <w:pPr>
              <w:widowControl/>
              <w:jc w:val="center"/>
              <w:rPr>
                <w:rFonts w:ascii="Times New Roman" w:hAnsi="Times New Roman"/>
                <w:kern w:val="0"/>
                <w:sz w:val="20"/>
                <w:szCs w:val="20"/>
              </w:rPr>
            </w:pPr>
            <w:r>
              <w:rPr>
                <w:rFonts w:ascii="Times New Roman" w:hAnsi="Times New Roman"/>
                <w:kern w:val="0"/>
                <w:sz w:val="20"/>
                <w:szCs w:val="20"/>
              </w:rPr>
              <w:t>0.0002</w:t>
            </w:r>
          </w:p>
        </w:tc>
        <w:tc>
          <w:tcPr>
            <w:tcW w:w="457" w:type="pct"/>
            <w:vAlign w:val="center"/>
          </w:tcPr>
          <w:p>
            <w:pPr>
              <w:widowControl/>
              <w:jc w:val="center"/>
              <w:rPr>
                <w:rFonts w:ascii="Times New Roman" w:hAnsi="Times New Roman"/>
                <w:kern w:val="0"/>
                <w:sz w:val="20"/>
                <w:szCs w:val="20"/>
              </w:rPr>
            </w:pPr>
            <w:r>
              <w:rPr>
                <w:rFonts w:ascii="Times New Roman" w:hAnsi="Times New Roman"/>
                <w:kern w:val="0"/>
                <w:sz w:val="20"/>
                <w:szCs w:val="20"/>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vAlign w:val="center"/>
          </w:tcPr>
          <w:p>
            <w:pPr>
              <w:widowControl/>
              <w:jc w:val="center"/>
              <w:rPr>
                <w:rFonts w:ascii="Times New Roman" w:hAnsi="Times New Roman"/>
                <w:kern w:val="0"/>
                <w:sz w:val="20"/>
                <w:szCs w:val="20"/>
              </w:rPr>
            </w:pPr>
          </w:p>
        </w:tc>
        <w:tc>
          <w:tcPr>
            <w:tcW w:w="416" w:type="pct"/>
            <w:vAlign w:val="center"/>
          </w:tcPr>
          <w:p>
            <w:pPr>
              <w:widowControl/>
              <w:jc w:val="center"/>
              <w:rPr>
                <w:rFonts w:ascii="Times New Roman" w:hAnsi="Times New Roman"/>
                <w:kern w:val="0"/>
                <w:sz w:val="20"/>
                <w:szCs w:val="20"/>
              </w:rPr>
            </w:pPr>
            <w:r>
              <w:rPr>
                <w:rFonts w:ascii="Times New Roman" w:hAnsi="Times New Roman"/>
                <w:kern w:val="0"/>
                <w:sz w:val="20"/>
                <w:szCs w:val="20"/>
              </w:rPr>
              <w:t>2号危废暂存库</w:t>
            </w:r>
          </w:p>
        </w:tc>
        <w:tc>
          <w:tcPr>
            <w:tcW w:w="245" w:type="pct"/>
            <w:vAlign w:val="center"/>
          </w:tcPr>
          <w:p>
            <w:pPr>
              <w:widowControl/>
              <w:jc w:val="center"/>
              <w:rPr>
                <w:rFonts w:ascii="Times New Roman" w:hAnsi="Times New Roman"/>
                <w:kern w:val="0"/>
                <w:sz w:val="20"/>
                <w:szCs w:val="20"/>
              </w:rPr>
            </w:pPr>
            <w:r>
              <w:rPr>
                <w:rFonts w:ascii="Times New Roman" w:hAnsi="Times New Roman"/>
                <w:kern w:val="0"/>
                <w:sz w:val="20"/>
                <w:szCs w:val="20"/>
              </w:rPr>
              <w:t>2081</w:t>
            </w:r>
          </w:p>
        </w:tc>
        <w:tc>
          <w:tcPr>
            <w:tcW w:w="262" w:type="pct"/>
            <w:vAlign w:val="center"/>
          </w:tcPr>
          <w:p>
            <w:pPr>
              <w:widowControl/>
              <w:jc w:val="center"/>
              <w:rPr>
                <w:rFonts w:ascii="Times New Roman" w:hAnsi="Times New Roman"/>
                <w:kern w:val="0"/>
                <w:sz w:val="20"/>
                <w:szCs w:val="20"/>
              </w:rPr>
            </w:pPr>
            <w:r>
              <w:rPr>
                <w:rFonts w:ascii="Times New Roman" w:hAnsi="Times New Roman"/>
                <w:kern w:val="0"/>
                <w:sz w:val="20"/>
                <w:szCs w:val="20"/>
              </w:rPr>
              <w:t>-4043</w:t>
            </w:r>
          </w:p>
        </w:tc>
        <w:tc>
          <w:tcPr>
            <w:tcW w:w="312" w:type="pct"/>
            <w:vAlign w:val="center"/>
          </w:tcPr>
          <w:p>
            <w:pPr>
              <w:widowControl/>
              <w:jc w:val="center"/>
              <w:rPr>
                <w:rFonts w:ascii="Times New Roman" w:hAnsi="Times New Roman"/>
                <w:kern w:val="0"/>
                <w:sz w:val="20"/>
                <w:szCs w:val="20"/>
              </w:rPr>
            </w:pPr>
            <w:r>
              <w:rPr>
                <w:rFonts w:ascii="Times New Roman" w:hAnsi="Times New Roman"/>
                <w:kern w:val="0"/>
                <w:sz w:val="20"/>
                <w:szCs w:val="20"/>
              </w:rPr>
              <w:t>90</w:t>
            </w:r>
          </w:p>
        </w:tc>
        <w:tc>
          <w:tcPr>
            <w:tcW w:w="312" w:type="pct"/>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15</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8</w:t>
            </w:r>
          </w:p>
        </w:tc>
        <w:tc>
          <w:tcPr>
            <w:tcW w:w="311" w:type="pct"/>
            <w:vAlign w:val="center"/>
          </w:tcPr>
          <w:p>
            <w:pPr>
              <w:widowControl/>
              <w:jc w:val="center"/>
              <w:rPr>
                <w:rFonts w:ascii="Times New Roman" w:hAnsi="Times New Roman"/>
                <w:kern w:val="0"/>
                <w:sz w:val="20"/>
                <w:szCs w:val="20"/>
              </w:rPr>
            </w:pPr>
            <w:r>
              <w:rPr>
                <w:rFonts w:ascii="Times New Roman" w:hAnsi="Times New Roman"/>
                <w:kern w:val="0"/>
                <w:sz w:val="20"/>
                <w:szCs w:val="20"/>
              </w:rPr>
              <w:t>8640</w:t>
            </w:r>
          </w:p>
        </w:tc>
        <w:tc>
          <w:tcPr>
            <w:tcW w:w="345" w:type="pct"/>
            <w:vAlign w:val="center"/>
          </w:tcPr>
          <w:p>
            <w:pPr>
              <w:widowControl/>
              <w:jc w:val="center"/>
              <w:rPr>
                <w:rFonts w:ascii="Times New Roman" w:hAnsi="Times New Roman"/>
                <w:kern w:val="0"/>
                <w:sz w:val="20"/>
                <w:szCs w:val="20"/>
              </w:rPr>
            </w:pPr>
            <w:r>
              <w:rPr>
                <w:rFonts w:ascii="Times New Roman" w:hAnsi="Times New Roman"/>
                <w:kern w:val="0"/>
                <w:sz w:val="20"/>
                <w:szCs w:val="20"/>
              </w:rPr>
              <w:t>正常排放</w:t>
            </w:r>
          </w:p>
        </w:tc>
        <w:tc>
          <w:tcPr>
            <w:tcW w:w="454" w:type="pct"/>
            <w:vAlign w:val="center"/>
          </w:tcPr>
          <w:p>
            <w:pPr>
              <w:widowControl/>
              <w:jc w:val="center"/>
              <w:rPr>
                <w:rFonts w:ascii="Times New Roman" w:hAnsi="Times New Roman"/>
                <w:kern w:val="0"/>
                <w:sz w:val="20"/>
                <w:szCs w:val="20"/>
              </w:rPr>
            </w:pPr>
            <w:r>
              <w:rPr>
                <w:rFonts w:ascii="Times New Roman" w:hAnsi="Times New Roman"/>
                <w:kern w:val="0"/>
                <w:sz w:val="20"/>
                <w:szCs w:val="20"/>
              </w:rPr>
              <w:t>-</w:t>
            </w:r>
          </w:p>
        </w:tc>
        <w:tc>
          <w:tcPr>
            <w:tcW w:w="454" w:type="pct"/>
            <w:vAlign w:val="center"/>
          </w:tcPr>
          <w:p>
            <w:pPr>
              <w:widowControl/>
              <w:jc w:val="center"/>
              <w:rPr>
                <w:rFonts w:ascii="Times New Roman" w:hAnsi="Times New Roman"/>
                <w:kern w:val="0"/>
                <w:sz w:val="20"/>
                <w:szCs w:val="20"/>
              </w:rPr>
            </w:pPr>
            <w:r>
              <w:rPr>
                <w:rFonts w:ascii="Times New Roman" w:hAnsi="Times New Roman"/>
                <w:kern w:val="0"/>
                <w:sz w:val="20"/>
                <w:szCs w:val="20"/>
              </w:rPr>
              <w:t>0.0002</w:t>
            </w:r>
          </w:p>
        </w:tc>
        <w:tc>
          <w:tcPr>
            <w:tcW w:w="457" w:type="pct"/>
            <w:vAlign w:val="center"/>
          </w:tcPr>
          <w:p>
            <w:pPr>
              <w:widowControl/>
              <w:jc w:val="center"/>
              <w:rPr>
                <w:rFonts w:ascii="Times New Roman" w:hAnsi="Times New Roman"/>
                <w:kern w:val="0"/>
                <w:sz w:val="20"/>
                <w:szCs w:val="20"/>
              </w:rPr>
            </w:pPr>
            <w:r>
              <w:rPr>
                <w:rFonts w:ascii="Times New Roman" w:hAnsi="Times New Roman"/>
                <w:kern w:val="0"/>
                <w:sz w:val="20"/>
                <w:szCs w:val="20"/>
              </w:rPr>
              <w:t>0.0124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Align w:val="center"/>
          </w:tcPr>
          <w:p>
            <w:pPr>
              <w:widowControl/>
              <w:jc w:val="center"/>
              <w:rPr>
                <w:rFonts w:ascii="Times New Roman" w:hAnsi="Times New Roman"/>
                <w:kern w:val="0"/>
                <w:sz w:val="20"/>
                <w:szCs w:val="20"/>
              </w:rPr>
            </w:pPr>
            <w:r>
              <w:rPr>
                <w:rFonts w:ascii="Times New Roman" w:hAnsi="Times New Roman"/>
                <w:kern w:val="0"/>
                <w:sz w:val="20"/>
                <w:szCs w:val="20"/>
              </w:rPr>
              <w:t>岳阳兴长石化股份有限公司</w:t>
            </w:r>
          </w:p>
        </w:tc>
        <w:tc>
          <w:tcPr>
            <w:tcW w:w="416"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硫酸回收单元</w:t>
            </w:r>
          </w:p>
        </w:tc>
        <w:tc>
          <w:tcPr>
            <w:tcW w:w="245"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-732</w:t>
            </w:r>
          </w:p>
        </w:tc>
        <w:tc>
          <w:tcPr>
            <w:tcW w:w="262"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816</w:t>
            </w:r>
          </w:p>
        </w:tc>
        <w:tc>
          <w:tcPr>
            <w:tcW w:w="312"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63</w:t>
            </w:r>
          </w:p>
        </w:tc>
        <w:tc>
          <w:tcPr>
            <w:tcW w:w="312"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63.3</w:t>
            </w:r>
          </w:p>
        </w:tc>
        <w:tc>
          <w:tcPr>
            <w:tcW w:w="311"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48.5</w:t>
            </w:r>
          </w:p>
        </w:tc>
        <w:tc>
          <w:tcPr>
            <w:tcW w:w="311"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0</w:t>
            </w:r>
          </w:p>
        </w:tc>
        <w:tc>
          <w:tcPr>
            <w:tcW w:w="311"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12</w:t>
            </w:r>
          </w:p>
        </w:tc>
        <w:tc>
          <w:tcPr>
            <w:tcW w:w="311"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8400</w:t>
            </w:r>
          </w:p>
        </w:tc>
        <w:tc>
          <w:tcPr>
            <w:tcW w:w="345"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正常排放</w:t>
            </w:r>
          </w:p>
        </w:tc>
        <w:tc>
          <w:tcPr>
            <w:tcW w:w="454"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0.112</w:t>
            </w:r>
          </w:p>
        </w:tc>
        <w:tc>
          <w:tcPr>
            <w:tcW w:w="454" w:type="pct"/>
            <w:vAlign w:val="center"/>
          </w:tcPr>
          <w:p>
            <w:pPr>
              <w:widowControl/>
              <w:ind w:left="-105" w:leftChars="-50" w:right="-105" w:rightChars="-50"/>
              <w:jc w:val="center"/>
              <w:rPr>
                <w:rFonts w:ascii="Times New Roman" w:hAnsi="Times New Roman"/>
                <w:kern w:val="0"/>
                <w:sz w:val="20"/>
                <w:szCs w:val="20"/>
              </w:rPr>
            </w:pPr>
            <w:r>
              <w:rPr>
                <w:rFonts w:ascii="Times New Roman" w:hAnsi="Times New Roman"/>
                <w:kern w:val="0"/>
                <w:sz w:val="20"/>
                <w:szCs w:val="20"/>
              </w:rPr>
              <w:t>-</w:t>
            </w:r>
          </w:p>
        </w:tc>
        <w:tc>
          <w:tcPr>
            <w:tcW w:w="457" w:type="pct"/>
            <w:vAlign w:val="center"/>
          </w:tcPr>
          <w:p>
            <w:pPr>
              <w:widowControl/>
              <w:jc w:val="center"/>
              <w:rPr>
                <w:rFonts w:ascii="Times New Roman" w:hAnsi="Times New Roman"/>
                <w:kern w:val="0"/>
                <w:sz w:val="20"/>
                <w:szCs w:val="20"/>
              </w:rPr>
            </w:pPr>
            <w:r>
              <w:rPr>
                <w:rFonts w:ascii="Times New Roman" w:hAnsi="Times New Roman"/>
                <w:kern w:val="0"/>
                <w:sz w:val="20"/>
                <w:szCs w:val="20"/>
              </w:rPr>
              <w:t>-</w:t>
            </w:r>
          </w:p>
        </w:tc>
      </w:tr>
    </w:tbl>
    <w:p>
      <w:pPr>
        <w:spacing w:line="360" w:lineRule="auto"/>
        <w:ind w:firstLine="480" w:firstLineChars="200"/>
        <w:rPr>
          <w:rFonts w:ascii="Times New Roman" w:hAnsi="Times New Roman"/>
          <w:sz w:val="24"/>
          <w:szCs w:val="24"/>
        </w:rPr>
      </w:pPr>
    </w:p>
    <w:p>
      <w:pPr>
        <w:spacing w:line="360" w:lineRule="auto"/>
        <w:ind w:right="-113" w:firstLine="504" w:firstLineChars="200"/>
        <w:jc w:val="left"/>
        <w:rPr>
          <w:rFonts w:ascii="Times New Roman" w:hAnsi="Times New Roman"/>
          <w:spacing w:val="6"/>
          <w:kern w:val="0"/>
          <w:sz w:val="24"/>
          <w:szCs w:val="24"/>
        </w:rPr>
        <w:sectPr>
          <w:pgSz w:w="16838" w:h="11906" w:orient="landscape"/>
          <w:pgMar w:top="1418" w:right="1418" w:bottom="1418" w:left="1418" w:header="851" w:footer="992" w:gutter="0"/>
          <w:cols w:space="720" w:num="1"/>
          <w:docGrid w:type="linesAndChars" w:linePitch="312" w:charSpace="0"/>
        </w:sectPr>
      </w:pPr>
    </w:p>
    <w:p>
      <w:pPr>
        <w:tabs>
          <w:tab w:val="left" w:pos="567"/>
          <w:tab w:val="left" w:pos="851"/>
          <w:tab w:val="left" w:pos="1134"/>
        </w:tabs>
        <w:adjustRightInd w:val="0"/>
        <w:spacing w:line="360" w:lineRule="auto"/>
        <w:jc w:val="left"/>
        <w:outlineLvl w:val="4"/>
        <w:rPr>
          <w:rFonts w:ascii="Times New Roman" w:hAnsi="Times New Roman"/>
          <w:b/>
          <w:sz w:val="28"/>
          <w:szCs w:val="28"/>
        </w:rPr>
      </w:pPr>
      <w:r>
        <w:rPr>
          <w:rFonts w:ascii="Times New Roman" w:hAnsi="Times New Roman"/>
          <w:b/>
          <w:sz w:val="28"/>
          <w:szCs w:val="28"/>
        </w:rPr>
        <w:t>6.1.5.5预测最不利情景选取</w:t>
      </w:r>
    </w:p>
    <w:p>
      <w:pPr>
        <w:spacing w:line="360" w:lineRule="auto"/>
        <w:ind w:firstLine="480" w:firstLineChars="200"/>
        <w:rPr>
          <w:rFonts w:ascii="Times New Roman" w:hAnsi="Times New Roman"/>
          <w:sz w:val="24"/>
          <w:szCs w:val="24"/>
        </w:rPr>
      </w:pPr>
      <w:r>
        <w:rPr>
          <w:rFonts w:ascii="Times New Roman" w:hAnsi="Times New Roman"/>
          <w:sz w:val="24"/>
          <w:szCs w:val="24"/>
        </w:rPr>
        <w:t>燃烧废气主要包括掺烧油泥浮渣-单独运行1台锅炉和掺烧油泥浮渣-同时运行2台锅炉两种情景。根据前文确定的污染源源强、排放参数及估算模式计算结果，本评价确定的各预测因子在不同掺烧方式下，最不利的预测情景如下：</w:t>
      </w:r>
    </w:p>
    <w:p>
      <w:pPr>
        <w:spacing w:line="360" w:lineRule="auto"/>
        <w:ind w:firstLine="480" w:firstLineChars="200"/>
        <w:rPr>
          <w:rFonts w:ascii="Times New Roman" w:hAnsi="Times New Roman"/>
          <w:sz w:val="24"/>
          <w:szCs w:val="24"/>
        </w:rPr>
      </w:pPr>
      <w:r>
        <w:rPr>
          <w:rFonts w:ascii="Times New Roman" w:hAnsi="Times New Roman"/>
          <w:sz w:val="24"/>
          <w:szCs w:val="24"/>
        </w:rPr>
        <w:t>①SO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rPr>
        <w:t xml:space="preserve"> </w:t>
      </w:r>
      <w:r>
        <w:rPr>
          <w:rFonts w:ascii="Times New Roman" w:hAnsi="Times New Roman"/>
          <w:sz w:val="24"/>
          <w:szCs w:val="24"/>
        </w:rPr>
        <w:t>掺烧油泥浮渣-2台锅炉同时运行；</w:t>
      </w:r>
    </w:p>
    <w:p>
      <w:pPr>
        <w:spacing w:line="360" w:lineRule="auto"/>
        <w:ind w:firstLine="480" w:firstLineChars="200"/>
        <w:rPr>
          <w:rFonts w:ascii="Times New Roman" w:hAnsi="Times New Roman"/>
          <w:sz w:val="24"/>
          <w:szCs w:val="24"/>
        </w:rPr>
      </w:pPr>
      <w:r>
        <w:rPr>
          <w:rFonts w:ascii="Times New Roman" w:hAnsi="Times New Roman"/>
          <w:sz w:val="24"/>
          <w:szCs w:val="24"/>
        </w:rPr>
        <w:t>②NO</w:t>
      </w:r>
      <w:r>
        <w:rPr>
          <w:rFonts w:ascii="Times New Roman" w:hAnsi="Times New Roman"/>
          <w:sz w:val="24"/>
          <w:szCs w:val="24"/>
          <w:vertAlign w:val="subscript"/>
        </w:rPr>
        <w:t>2</w:t>
      </w:r>
      <w:r>
        <w:rPr>
          <w:rFonts w:ascii="Times New Roman" w:hAnsi="Times New Roman"/>
          <w:sz w:val="24"/>
          <w:szCs w:val="24"/>
        </w:rPr>
        <w:t>: 掺烧油泥浮渣-2台锅炉同时运行；</w:t>
      </w:r>
    </w:p>
    <w:p>
      <w:pPr>
        <w:spacing w:line="360" w:lineRule="auto"/>
        <w:ind w:firstLine="480" w:firstLineChars="200"/>
        <w:rPr>
          <w:rFonts w:ascii="Times New Roman" w:hAnsi="Times New Roman"/>
          <w:sz w:val="24"/>
          <w:szCs w:val="24"/>
        </w:rPr>
      </w:pPr>
      <w:r>
        <w:rPr>
          <w:rFonts w:ascii="Times New Roman" w:hAnsi="Times New Roman"/>
          <w:sz w:val="24"/>
          <w:szCs w:val="24"/>
        </w:rPr>
        <w:t>③PM</w:t>
      </w:r>
      <w:r>
        <w:rPr>
          <w:rFonts w:ascii="Times New Roman" w:hAnsi="Times New Roman"/>
          <w:sz w:val="24"/>
          <w:szCs w:val="24"/>
          <w:vertAlign w:val="subscript"/>
        </w:rPr>
        <w:t>10</w:t>
      </w:r>
      <w:r>
        <w:rPr>
          <w:rFonts w:ascii="Times New Roman" w:hAnsi="Times New Roman"/>
          <w:sz w:val="24"/>
          <w:szCs w:val="24"/>
        </w:rPr>
        <w:t>:</w:t>
      </w:r>
      <w:r>
        <w:rPr>
          <w:rFonts w:ascii="Times New Roman" w:hAnsi="Times New Roman"/>
        </w:rPr>
        <w:t xml:space="preserve"> </w:t>
      </w:r>
      <w:r>
        <w:rPr>
          <w:rFonts w:ascii="Times New Roman" w:hAnsi="Times New Roman"/>
          <w:sz w:val="24"/>
          <w:szCs w:val="24"/>
        </w:rPr>
        <w:t>掺烧油泥浮渣-2台锅炉同时运行；</w:t>
      </w:r>
    </w:p>
    <w:p>
      <w:pPr>
        <w:spacing w:line="360" w:lineRule="auto"/>
        <w:ind w:firstLine="480" w:firstLineChars="200"/>
        <w:rPr>
          <w:rFonts w:ascii="Times New Roman" w:hAnsi="Times New Roman"/>
          <w:sz w:val="24"/>
          <w:szCs w:val="24"/>
        </w:rPr>
      </w:pPr>
      <w:r>
        <w:rPr>
          <w:rFonts w:ascii="Times New Roman" w:hAnsi="Times New Roman"/>
          <w:sz w:val="24"/>
          <w:szCs w:val="24"/>
        </w:rPr>
        <w:t>④镍：掺烧油泥浮渣-2台锅炉同时运行；</w:t>
      </w:r>
    </w:p>
    <w:p>
      <w:pPr>
        <w:spacing w:line="360" w:lineRule="auto"/>
        <w:ind w:firstLine="480" w:firstLineChars="200"/>
        <w:rPr>
          <w:rFonts w:ascii="Times New Roman" w:hAnsi="Times New Roman"/>
          <w:sz w:val="24"/>
          <w:szCs w:val="24"/>
        </w:rPr>
      </w:pPr>
      <w:r>
        <w:rPr>
          <w:rFonts w:ascii="Times New Roman" w:hAnsi="Times New Roman"/>
          <w:sz w:val="24"/>
          <w:szCs w:val="24"/>
        </w:rPr>
        <w:t>⑤二噁英: 掺烧油泥浮渣-2台锅炉同时运行；</w:t>
      </w:r>
    </w:p>
    <w:p>
      <w:pPr>
        <w:spacing w:line="360" w:lineRule="auto"/>
        <w:ind w:firstLine="480" w:firstLineChars="200"/>
        <w:rPr>
          <w:rFonts w:ascii="Times New Roman" w:hAnsi="Times New Roman"/>
          <w:sz w:val="24"/>
          <w:szCs w:val="24"/>
        </w:rPr>
      </w:pPr>
      <w:r>
        <w:rPr>
          <w:rFonts w:ascii="Times New Roman" w:hAnsi="Times New Roman"/>
          <w:sz w:val="24"/>
          <w:szCs w:val="24"/>
        </w:rPr>
        <w:t>⑥硫化氢：干化油泥浮渣存储区无组织排放废气；</w:t>
      </w:r>
    </w:p>
    <w:p>
      <w:pPr>
        <w:spacing w:line="360" w:lineRule="auto"/>
        <w:ind w:firstLine="480" w:firstLineChars="200"/>
        <w:rPr>
          <w:rFonts w:ascii="Times New Roman" w:hAnsi="Times New Roman"/>
          <w:sz w:val="24"/>
          <w:szCs w:val="24"/>
        </w:rPr>
      </w:pPr>
      <w:r>
        <w:rPr>
          <w:rFonts w:ascii="Times New Roman" w:hAnsi="Times New Roman"/>
          <w:sz w:val="24"/>
          <w:szCs w:val="24"/>
        </w:rPr>
        <w:t>⑦氨：干化油泥浮渣存储区无组织排放废气。</w:t>
      </w:r>
    </w:p>
    <w:p>
      <w:pPr>
        <w:spacing w:line="360" w:lineRule="auto"/>
        <w:ind w:firstLine="480" w:firstLineChars="200"/>
        <w:rPr>
          <w:rFonts w:ascii="Times New Roman" w:hAnsi="Times New Roman"/>
          <w:sz w:val="24"/>
          <w:szCs w:val="24"/>
        </w:rPr>
      </w:pPr>
      <w:r>
        <w:rPr>
          <w:rFonts w:ascii="Times New Roman" w:hAnsi="Times New Roman"/>
          <w:sz w:val="24"/>
          <w:szCs w:val="24"/>
        </w:rPr>
        <w:t>本评价选取上述确定的各因子最不利情景进行进一步预测。</w:t>
      </w:r>
    </w:p>
    <w:p>
      <w:pPr>
        <w:widowControl/>
        <w:adjustRightInd w:val="0"/>
        <w:spacing w:before="60" w:beforeLines="25" w:after="60" w:afterLines="25" w:line="360" w:lineRule="auto"/>
        <w:jc w:val="left"/>
        <w:outlineLvl w:val="2"/>
        <w:rPr>
          <w:rFonts w:ascii="Times New Roman" w:hAnsi="Times New Roman"/>
          <w:b/>
          <w:kern w:val="0"/>
          <w:sz w:val="28"/>
          <w:szCs w:val="28"/>
          <w:u w:val="single"/>
        </w:rPr>
      </w:pPr>
      <w:r>
        <w:rPr>
          <w:rFonts w:ascii="Times New Roman" w:hAnsi="Times New Roman"/>
          <w:b/>
          <w:kern w:val="0"/>
          <w:sz w:val="28"/>
          <w:szCs w:val="28"/>
          <w:u w:val="single"/>
        </w:rPr>
        <w:t>6.1.6预测结果分析</w:t>
      </w:r>
    </w:p>
    <w:p>
      <w:pPr>
        <w:tabs>
          <w:tab w:val="left" w:pos="567"/>
          <w:tab w:val="left" w:pos="851"/>
          <w:tab w:val="left" w:pos="1134"/>
        </w:tabs>
        <w:adjustRightInd w:val="0"/>
        <w:spacing w:line="360" w:lineRule="auto"/>
        <w:jc w:val="left"/>
        <w:outlineLvl w:val="4"/>
        <w:rPr>
          <w:rFonts w:ascii="Times New Roman" w:hAnsi="Times New Roman"/>
          <w:b/>
          <w:sz w:val="28"/>
          <w:szCs w:val="28"/>
          <w:u w:val="single"/>
        </w:rPr>
      </w:pPr>
      <w:r>
        <w:rPr>
          <w:rFonts w:ascii="Times New Roman" w:hAnsi="Times New Roman"/>
          <w:b/>
          <w:sz w:val="28"/>
          <w:szCs w:val="28"/>
          <w:u w:val="single"/>
        </w:rPr>
        <w:t>6.1.6.1项目贡献值质量浓度预测结果</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本项目利用原有CFB锅炉进行油泥浮渣掺烧，掺烧后的燃烧废气与原锅炉废气一起通过100m的烟囱排放，本评价中项目贡献值质量浓度按掺烧实际的污染源（掺烧后的污染源-掺烧前的污染源）考虑，干化油泥浮渣存储区的恶臭影响为本项目新增贡献浓度。</w:t>
      </w:r>
    </w:p>
    <w:p>
      <w:pPr>
        <w:widowControl/>
        <w:tabs>
          <w:tab w:val="left" w:pos="567"/>
          <w:tab w:val="left" w:pos="851"/>
          <w:tab w:val="left" w:pos="1134"/>
        </w:tabs>
        <w:adjustRightInd w:val="0"/>
        <w:spacing w:before="60" w:beforeLines="25" w:after="60" w:afterLines="25" w:line="360" w:lineRule="auto"/>
        <w:jc w:val="left"/>
        <w:outlineLvl w:val="4"/>
        <w:rPr>
          <w:rFonts w:ascii="Times New Roman" w:hAnsi="Times New Roman"/>
          <w:b/>
          <w:kern w:val="0"/>
          <w:sz w:val="28"/>
          <w:szCs w:val="28"/>
          <w:u w:val="single"/>
        </w:rPr>
      </w:pPr>
      <w:r>
        <w:rPr>
          <w:rFonts w:ascii="Times New Roman" w:hAnsi="Times New Roman"/>
          <w:b/>
          <w:sz w:val="28"/>
          <w:szCs w:val="28"/>
          <w:u w:val="single"/>
        </w:rPr>
        <w:t>6.1.6.1.1</w:t>
      </w:r>
      <w:r>
        <w:rPr>
          <w:rFonts w:ascii="Times New Roman" w:hAnsi="Times New Roman"/>
          <w:b/>
          <w:kern w:val="0"/>
          <w:sz w:val="28"/>
          <w:szCs w:val="28"/>
          <w:u w:val="single"/>
        </w:rPr>
        <w:t>项目污染源贡献值质量浓度预测结果</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最不利预测情景下，本项目污染源（掺烧后的污染源-掺烧前的污染源）正常排放情况下，各环境空气保护目标和网格点主要污染物的贡献浓度预测结果如下。</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根据前文可知，掺烧掺烧油泥浮渣-2台锅炉同时运行时， SO</w:t>
      </w:r>
      <w:r>
        <w:rPr>
          <w:rFonts w:ascii="Times New Roman" w:hAnsi="Times New Roman"/>
          <w:sz w:val="24"/>
          <w:szCs w:val="24"/>
          <w:u w:val="single"/>
          <w:vertAlign w:val="subscript"/>
        </w:rPr>
        <w:t>2</w:t>
      </w:r>
      <w:r>
        <w:rPr>
          <w:rFonts w:ascii="Times New Roman" w:hAnsi="Times New Roman"/>
          <w:sz w:val="24"/>
          <w:szCs w:val="24"/>
          <w:u w:val="single"/>
        </w:rPr>
        <w:t>、NO</w:t>
      </w:r>
      <w:r>
        <w:rPr>
          <w:rFonts w:ascii="Times New Roman" w:hAnsi="Times New Roman"/>
          <w:sz w:val="24"/>
          <w:szCs w:val="24"/>
          <w:u w:val="single"/>
          <w:vertAlign w:val="subscript"/>
        </w:rPr>
        <w:t>2</w:t>
      </w:r>
      <w:r>
        <w:rPr>
          <w:rFonts w:ascii="Times New Roman" w:hAnsi="Times New Roman"/>
          <w:sz w:val="24"/>
          <w:szCs w:val="24"/>
          <w:u w:val="single"/>
        </w:rPr>
        <w:t>、PM</w:t>
      </w:r>
      <w:r>
        <w:rPr>
          <w:rFonts w:ascii="Times New Roman" w:hAnsi="Times New Roman"/>
          <w:sz w:val="24"/>
          <w:szCs w:val="24"/>
          <w:u w:val="single"/>
          <w:vertAlign w:val="subscript"/>
        </w:rPr>
        <w:t>10</w:t>
      </w:r>
      <w:r>
        <w:rPr>
          <w:rFonts w:ascii="Times New Roman" w:hAnsi="Times New Roman"/>
          <w:sz w:val="24"/>
          <w:szCs w:val="24"/>
          <w:u w:val="single"/>
        </w:rPr>
        <w:t>、镍、二噁英贡献浓度最大，其预测结果如下：</w:t>
      </w:r>
    </w:p>
    <w:p>
      <w:pPr>
        <w:spacing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1、SO</w:t>
      </w:r>
      <w:r>
        <w:rPr>
          <w:rFonts w:ascii="Times New Roman" w:hAnsi="Times New Roman"/>
          <w:b/>
          <w:sz w:val="24"/>
          <w:szCs w:val="24"/>
          <w:u w:val="single"/>
          <w:vertAlign w:val="subscript"/>
        </w:rPr>
        <w:t>2</w:t>
      </w:r>
      <w:r>
        <w:rPr>
          <w:rFonts w:ascii="Times New Roman" w:hAnsi="Times New Roman"/>
          <w:b/>
          <w:sz w:val="24"/>
          <w:szCs w:val="24"/>
          <w:u w:val="single"/>
        </w:rPr>
        <w:t>贡献浓度预测结果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6.1.6.1.1-1 项目SO</w:t>
      </w:r>
      <w:r>
        <w:rPr>
          <w:rFonts w:ascii="Times New Roman" w:hAnsi="Times New Roman"/>
          <w:b/>
          <w:sz w:val="24"/>
          <w:szCs w:val="20"/>
          <w:u w:val="single"/>
          <w:vertAlign w:val="subscript"/>
        </w:rPr>
        <w:t>2</w:t>
      </w:r>
      <w:r>
        <w:rPr>
          <w:rFonts w:ascii="Times New Roman" w:hAnsi="Times New Roman"/>
          <w:b/>
          <w:sz w:val="24"/>
          <w:szCs w:val="20"/>
          <w:u w:val="single"/>
        </w:rPr>
        <w:t>贡献质量浓度预测结果表</w:t>
      </w:r>
    </w:p>
    <w:tbl>
      <w:tblPr>
        <w:tblStyle w:val="45"/>
        <w:tblW w:w="8872" w:type="dxa"/>
        <w:tblInd w:w="91" w:type="dxa"/>
        <w:tblLayout w:type="autofit"/>
        <w:tblCellMar>
          <w:top w:w="0" w:type="dxa"/>
          <w:left w:w="108" w:type="dxa"/>
          <w:bottom w:w="0" w:type="dxa"/>
          <w:right w:w="108" w:type="dxa"/>
        </w:tblCellMar>
      </w:tblPr>
      <w:tblGrid>
        <w:gridCol w:w="1005"/>
        <w:gridCol w:w="1343"/>
        <w:gridCol w:w="1164"/>
        <w:gridCol w:w="1254"/>
        <w:gridCol w:w="1778"/>
        <w:gridCol w:w="1164"/>
        <w:gridCol w:w="1164"/>
      </w:tblGrid>
      <w:tr>
        <w:tblPrEx>
          <w:tblCellMar>
            <w:top w:w="0" w:type="dxa"/>
            <w:left w:w="108" w:type="dxa"/>
            <w:bottom w:w="0" w:type="dxa"/>
            <w:right w:w="108" w:type="dxa"/>
          </w:tblCellMar>
        </w:tblPrEx>
        <w:trPr>
          <w:trHeight w:val="227" w:hRule="atLeast"/>
          <w:tblHeader/>
        </w:trPr>
        <w:tc>
          <w:tcPr>
            <w:tcW w:w="2348" w:type="dxa"/>
            <w:gridSpan w:val="2"/>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预测点（保护目标名称和区域最大落地浓度）</w:t>
            </w:r>
          </w:p>
        </w:tc>
        <w:tc>
          <w:tcPr>
            <w:tcW w:w="1164" w:type="dxa"/>
            <w:vMerge w:val="restart"/>
            <w:tcBorders>
              <w:top w:val="single" w:color="auto" w:sz="8" w:space="0"/>
              <w:left w:val="single" w:color="000000"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平均时段</w:t>
            </w:r>
          </w:p>
        </w:tc>
        <w:tc>
          <w:tcPr>
            <w:tcW w:w="1254"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最大贡献值</w:t>
            </w:r>
          </w:p>
        </w:tc>
        <w:tc>
          <w:tcPr>
            <w:tcW w:w="1778" w:type="dxa"/>
            <w:tcBorders>
              <w:top w:val="single" w:color="auto" w:sz="8" w:space="0"/>
              <w:left w:val="nil"/>
              <w:bottom w:val="single" w:color="auto"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出现时间</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占标率%</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达标情况</w:t>
            </w:r>
          </w:p>
        </w:tc>
      </w:tr>
      <w:tr>
        <w:tblPrEx>
          <w:tblCellMar>
            <w:top w:w="0" w:type="dxa"/>
            <w:left w:w="108" w:type="dxa"/>
            <w:bottom w:w="0" w:type="dxa"/>
            <w:right w:w="108" w:type="dxa"/>
          </w:tblCellMar>
        </w:tblPrEx>
        <w:trPr>
          <w:trHeight w:val="227" w:hRule="atLeast"/>
          <w:tblHeader/>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000000"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254" w:type="dxa"/>
            <w:tcBorders>
              <w:top w:val="nil"/>
              <w:left w:val="nil"/>
              <w:bottom w:val="single" w:color="auto" w:sz="8" w:space="0"/>
              <w:right w:val="single" w:color="auto" w:sz="8" w:space="0"/>
            </w:tcBorders>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(YYMMDDHH)</w:t>
            </w: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000000"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泾港村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0.45276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17052607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000000"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0.04626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000000"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0.00484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姜畈村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0.54469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17060807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0.07613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170628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0.00743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白荆村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0.55705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17092408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0.05334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170531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0.00423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红土村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0.68097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17051107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0.04561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170625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0.0051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黄皋村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0.70519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17052607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0.09924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0.00953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陆城镇</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0.44987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17071722</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0.05499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0.00402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望城村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0.67848</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17072703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0.13652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170414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0.01172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臣山村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0.506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17050110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0.07557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170510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0.00478</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荆竹村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0.67835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17071707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0.09816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0.00627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长岭生活区</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1.10824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17050109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0.22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0.0859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170501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0.00226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南岳村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0.69916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17050109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0.06541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170501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0.00184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南山村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0.65357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17031910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0.11431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170615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0.01068</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Cs w:val="21"/>
                <w:u w:val="single"/>
              </w:rPr>
            </w:pPr>
            <w:r>
              <w:rPr>
                <w:rFonts w:ascii="Times New Roman" w:hAnsi="Times New Roman"/>
                <w:szCs w:val="21"/>
                <w:u w:val="single"/>
              </w:rPr>
              <w:t>荆竹山村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0.54895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17100818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0.05805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171008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0.00399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江湖村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0.54597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17121009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0.05491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170615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0.00243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路口铺村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0.57216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17051819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0.06701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0.00863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临湘市</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0.39901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17112111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0.04541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0.00258</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云溪镇</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0.41171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17072820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0.06433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170615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0.00657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双花村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0.49119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17052107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0.07609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171030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0.01491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和平村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1.49917</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17081019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0.44056</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170531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0.29</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0.05419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五尖山森林公园</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3.08853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17121904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0.16172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0.01141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1005" w:type="dxa"/>
            <w:vMerge w:val="restart"/>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网格（区域最大落地浓度）</w:t>
            </w:r>
          </w:p>
        </w:tc>
        <w:tc>
          <w:tcPr>
            <w:tcW w:w="1343"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200,-1400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39.09419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17072321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7.82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1005" w:type="dxa"/>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p>
        </w:tc>
        <w:tc>
          <w:tcPr>
            <w:tcW w:w="1343"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1200,-900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2.74399</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171007</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1.83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27" w:hRule="atLeast"/>
        </w:trPr>
        <w:tc>
          <w:tcPr>
            <w:tcW w:w="1005" w:type="dxa"/>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p>
        </w:tc>
        <w:tc>
          <w:tcPr>
            <w:tcW w:w="1343"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-400,-1200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0.33452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由上表的预测结果可以看出，项目对各敏感点的SO</w:t>
      </w:r>
      <w:r>
        <w:rPr>
          <w:rFonts w:ascii="Times New Roman" w:hAnsi="Times New Roman"/>
          <w:sz w:val="24"/>
          <w:szCs w:val="24"/>
          <w:u w:val="single"/>
          <w:vertAlign w:val="subscript"/>
        </w:rPr>
        <w:t>2</w:t>
      </w:r>
      <w:r>
        <w:rPr>
          <w:rFonts w:ascii="Times New Roman" w:hAnsi="Times New Roman"/>
          <w:sz w:val="24"/>
          <w:szCs w:val="24"/>
          <w:u w:val="single"/>
        </w:rPr>
        <w:t>小时浓度、日均浓度和年均浓度贡献值及区域最大落地浓度的SO</w:t>
      </w:r>
      <w:r>
        <w:rPr>
          <w:rFonts w:ascii="Times New Roman" w:hAnsi="Times New Roman"/>
          <w:sz w:val="24"/>
          <w:szCs w:val="24"/>
          <w:u w:val="single"/>
          <w:vertAlign w:val="subscript"/>
        </w:rPr>
        <w:t>2</w:t>
      </w:r>
      <w:r>
        <w:rPr>
          <w:rFonts w:ascii="Times New Roman" w:hAnsi="Times New Roman"/>
          <w:sz w:val="24"/>
          <w:szCs w:val="24"/>
          <w:u w:val="single"/>
        </w:rPr>
        <w:t>小时浓度、日均浓度和年均浓度贡献值均满足《环境空气质量标准》(GB3095-2012)二级标准限值。</w:t>
      </w:r>
    </w:p>
    <w:p>
      <w:pPr>
        <w:spacing w:line="360" w:lineRule="auto"/>
        <w:jc w:val="center"/>
        <w:rPr>
          <w:rFonts w:ascii="Times New Roman" w:hAnsi="Times New Roman"/>
          <w:sz w:val="24"/>
          <w:szCs w:val="24"/>
          <w:u w:val="single"/>
        </w:rPr>
      </w:pPr>
      <w:r>
        <w:rPr>
          <w:rFonts w:ascii="Times New Roman" w:hAnsi="Times New Roman"/>
        </w:rPr>
        <w:drawing>
          <wp:inline distT="0" distB="0" distL="0" distR="0">
            <wp:extent cx="5438775" cy="417195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7"/>
                    <a:stretch>
                      <a:fillRect/>
                    </a:stretch>
                  </pic:blipFill>
                  <pic:spPr>
                    <a:xfrm>
                      <a:off x="0" y="0"/>
                      <a:ext cx="5438775" cy="4171950"/>
                    </a:xfrm>
                    <a:prstGeom prst="rect">
                      <a:avLst/>
                    </a:prstGeom>
                  </pic:spPr>
                </pic:pic>
              </a:graphicData>
            </a:graphic>
          </wp:inline>
        </w:drawing>
      </w:r>
    </w:p>
    <w:p>
      <w:pPr>
        <w:pStyle w:val="246"/>
        <w:ind w:firstLine="0" w:firstLineChars="0"/>
        <w:jc w:val="center"/>
        <w:rPr>
          <w:rFonts w:ascii="Times New Roman" w:hAnsi="Times New Roman" w:cs="Times New Roman"/>
          <w:sz w:val="24"/>
          <w:szCs w:val="24"/>
          <w:u w:val="single"/>
        </w:rPr>
      </w:pPr>
      <w:r>
        <w:rPr>
          <w:rFonts w:ascii="Times New Roman" w:hAnsi="Times New Roman" w:cs="Times New Roman"/>
          <w:b/>
          <w:sz w:val="24"/>
          <w:szCs w:val="20"/>
          <w:u w:val="single"/>
        </w:rPr>
        <w:t>图6.1.1.8  SO</w:t>
      </w:r>
      <w:r>
        <w:rPr>
          <w:rFonts w:ascii="Times New Roman" w:hAnsi="Times New Roman" w:cs="Times New Roman"/>
          <w:b/>
          <w:sz w:val="24"/>
          <w:szCs w:val="20"/>
          <w:u w:val="single"/>
          <w:vertAlign w:val="subscript"/>
        </w:rPr>
        <w:t>2</w:t>
      </w:r>
      <w:r>
        <w:rPr>
          <w:rFonts w:ascii="Times New Roman" w:hAnsi="Times New Roman" w:cs="Times New Roman"/>
          <w:b/>
          <w:sz w:val="24"/>
          <w:szCs w:val="20"/>
          <w:u w:val="single"/>
        </w:rPr>
        <w:t>最大小时贡献浓度分布图</w:t>
      </w:r>
    </w:p>
    <w:p>
      <w:pPr>
        <w:spacing w:line="360" w:lineRule="auto"/>
        <w:jc w:val="center"/>
        <w:rPr>
          <w:rFonts w:ascii="Times New Roman" w:hAnsi="Times New Roman"/>
          <w:sz w:val="24"/>
          <w:szCs w:val="24"/>
          <w:u w:val="single"/>
        </w:rPr>
      </w:pPr>
      <w:r>
        <w:rPr>
          <w:rFonts w:ascii="Times New Roman" w:hAnsi="Times New Roman"/>
        </w:rPr>
        <w:drawing>
          <wp:inline distT="0" distB="0" distL="0" distR="0">
            <wp:extent cx="5419725" cy="413385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8"/>
                    <a:stretch>
                      <a:fillRect/>
                    </a:stretch>
                  </pic:blipFill>
                  <pic:spPr>
                    <a:xfrm>
                      <a:off x="0" y="0"/>
                      <a:ext cx="5419725" cy="4133850"/>
                    </a:xfrm>
                    <a:prstGeom prst="rect">
                      <a:avLst/>
                    </a:prstGeom>
                  </pic:spPr>
                </pic:pic>
              </a:graphicData>
            </a:graphic>
          </wp:inline>
        </w:drawing>
      </w:r>
    </w:p>
    <w:p>
      <w:pPr>
        <w:pStyle w:val="246"/>
        <w:ind w:firstLine="0" w:firstLineChars="0"/>
        <w:jc w:val="center"/>
        <w:rPr>
          <w:rFonts w:ascii="Times New Roman" w:hAnsi="Times New Roman" w:cs="Times New Roman"/>
          <w:b/>
          <w:sz w:val="24"/>
          <w:szCs w:val="20"/>
          <w:u w:val="single"/>
        </w:rPr>
      </w:pPr>
      <w:r>
        <w:rPr>
          <w:rFonts w:ascii="Times New Roman" w:hAnsi="Times New Roman" w:cs="Times New Roman"/>
          <w:b/>
          <w:sz w:val="24"/>
          <w:szCs w:val="20"/>
          <w:u w:val="single"/>
        </w:rPr>
        <w:t>图6.1.1.9  SO</w:t>
      </w:r>
      <w:r>
        <w:rPr>
          <w:rFonts w:ascii="Times New Roman" w:hAnsi="Times New Roman" w:cs="Times New Roman"/>
          <w:b/>
          <w:sz w:val="24"/>
          <w:szCs w:val="20"/>
          <w:u w:val="single"/>
          <w:vertAlign w:val="subscript"/>
        </w:rPr>
        <w:t>2</w:t>
      </w:r>
      <w:r>
        <w:rPr>
          <w:rFonts w:ascii="Times New Roman" w:hAnsi="Times New Roman" w:cs="Times New Roman"/>
          <w:b/>
          <w:sz w:val="24"/>
          <w:szCs w:val="20"/>
          <w:u w:val="single"/>
        </w:rPr>
        <w:t>最大日均贡献浓度分布图</w:t>
      </w:r>
    </w:p>
    <w:p>
      <w:pPr>
        <w:spacing w:line="360" w:lineRule="auto"/>
        <w:jc w:val="center"/>
        <w:rPr>
          <w:rFonts w:ascii="Times New Roman" w:hAnsi="Times New Roman"/>
          <w:sz w:val="24"/>
          <w:szCs w:val="24"/>
          <w:u w:val="single"/>
        </w:rPr>
      </w:pPr>
      <w:r>
        <w:rPr>
          <w:rFonts w:ascii="Times New Roman" w:hAnsi="Times New Roman"/>
        </w:rPr>
        <w:drawing>
          <wp:inline distT="0" distB="0" distL="0" distR="0">
            <wp:extent cx="5419725" cy="4039235"/>
            <wp:effectExtent l="0" t="0" r="9525" b="1841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9"/>
                    <a:stretch>
                      <a:fillRect/>
                    </a:stretch>
                  </pic:blipFill>
                  <pic:spPr>
                    <a:xfrm>
                      <a:off x="0" y="0"/>
                      <a:ext cx="5419725" cy="4039235"/>
                    </a:xfrm>
                    <a:prstGeom prst="rect">
                      <a:avLst/>
                    </a:prstGeom>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图6.1.1.10</w:t>
      </w:r>
      <w:r>
        <w:rPr>
          <w:rFonts w:ascii="Times New Roman" w:hAnsi="Times New Roman" w:cs="Times New Roman"/>
          <w:b/>
          <w:sz w:val="24"/>
          <w:szCs w:val="24"/>
          <w:u w:val="single"/>
        </w:rPr>
        <w:t xml:space="preserve">  SO</w:t>
      </w:r>
      <w:r>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年均贡献浓度分布图</w:t>
      </w:r>
    </w:p>
    <w:p>
      <w:pPr>
        <w:spacing w:before="120" w:beforeLines="50"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2、NO</w:t>
      </w:r>
      <w:r>
        <w:rPr>
          <w:rFonts w:ascii="Times New Roman" w:hAnsi="Times New Roman"/>
          <w:b/>
          <w:sz w:val="24"/>
          <w:szCs w:val="24"/>
          <w:u w:val="single"/>
          <w:vertAlign w:val="subscript"/>
        </w:rPr>
        <w:t>2</w:t>
      </w:r>
      <w:r>
        <w:rPr>
          <w:rFonts w:ascii="Times New Roman" w:hAnsi="Times New Roman"/>
          <w:b/>
          <w:sz w:val="24"/>
          <w:szCs w:val="24"/>
          <w:u w:val="single"/>
        </w:rPr>
        <w:t>贡献浓度预测结果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表6.1.6.1.1-2 项目NO</w:t>
      </w:r>
      <w:r>
        <w:rPr>
          <w:rFonts w:ascii="Times New Roman" w:hAnsi="Times New Roman"/>
          <w:b/>
          <w:sz w:val="24"/>
          <w:szCs w:val="20"/>
          <w:u w:val="single"/>
          <w:vertAlign w:val="subscript"/>
        </w:rPr>
        <w:t>2</w:t>
      </w:r>
      <w:r>
        <w:rPr>
          <w:rFonts w:ascii="Times New Roman" w:hAnsi="Times New Roman"/>
          <w:b/>
          <w:sz w:val="24"/>
          <w:szCs w:val="20"/>
          <w:u w:val="single"/>
        </w:rPr>
        <w:t>贡献质量浓度预测结果表</w:t>
      </w:r>
    </w:p>
    <w:tbl>
      <w:tblPr>
        <w:tblStyle w:val="45"/>
        <w:tblW w:w="887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343"/>
        <w:gridCol w:w="1164"/>
        <w:gridCol w:w="1254"/>
        <w:gridCol w:w="1778"/>
        <w:gridCol w:w="1164"/>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2348" w:type="dxa"/>
            <w:gridSpan w:val="2"/>
            <w:vMerge w:val="restart"/>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预测点（保护目标名称和区域最大落地浓度）</w:t>
            </w:r>
          </w:p>
        </w:tc>
        <w:tc>
          <w:tcPr>
            <w:tcW w:w="1164" w:type="dxa"/>
            <w:vMerge w:val="restart"/>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平均时段</w:t>
            </w:r>
          </w:p>
        </w:tc>
        <w:tc>
          <w:tcPr>
            <w:tcW w:w="1254" w:type="dxa"/>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最大贡献值</w:t>
            </w:r>
          </w:p>
        </w:tc>
        <w:tc>
          <w:tcPr>
            <w:tcW w:w="1778" w:type="dxa"/>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出现时间</w:t>
            </w:r>
          </w:p>
        </w:tc>
        <w:tc>
          <w:tcPr>
            <w:tcW w:w="1164" w:type="dxa"/>
            <w:vMerge w:val="restart"/>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占标率%</w:t>
            </w:r>
          </w:p>
        </w:tc>
        <w:tc>
          <w:tcPr>
            <w:tcW w:w="1164" w:type="dxa"/>
            <w:vMerge w:val="restart"/>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2348" w:type="dxa"/>
            <w:gridSpan w:val="2"/>
            <w:vMerge w:val="continue"/>
            <w:vAlign w:val="center"/>
          </w:tcPr>
          <w:p>
            <w:pPr>
              <w:widowControl/>
              <w:jc w:val="center"/>
              <w:rPr>
                <w:rFonts w:ascii="Times New Roman" w:hAnsi="Times New Roman"/>
                <w:b/>
                <w:bCs/>
                <w:kern w:val="0"/>
                <w:sz w:val="18"/>
                <w:szCs w:val="18"/>
                <w:u w:val="single"/>
              </w:rPr>
            </w:pPr>
          </w:p>
        </w:tc>
        <w:tc>
          <w:tcPr>
            <w:tcW w:w="1164" w:type="dxa"/>
            <w:vMerge w:val="continue"/>
            <w:vAlign w:val="center"/>
          </w:tcPr>
          <w:p>
            <w:pPr>
              <w:widowControl/>
              <w:jc w:val="center"/>
              <w:rPr>
                <w:rFonts w:ascii="Times New Roman" w:hAnsi="Times New Roman"/>
                <w:b/>
                <w:bCs/>
                <w:kern w:val="0"/>
                <w:sz w:val="18"/>
                <w:szCs w:val="18"/>
                <w:u w:val="single"/>
              </w:rPr>
            </w:pPr>
          </w:p>
        </w:tc>
        <w:tc>
          <w:tcPr>
            <w:tcW w:w="1254" w:type="dxa"/>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778" w:type="dxa"/>
            <w:noWrap/>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(YYMMDDHH)</w:t>
            </w:r>
          </w:p>
        </w:tc>
        <w:tc>
          <w:tcPr>
            <w:tcW w:w="1164" w:type="dxa"/>
            <w:vMerge w:val="continue"/>
            <w:vAlign w:val="center"/>
          </w:tcPr>
          <w:p>
            <w:pPr>
              <w:widowControl/>
              <w:jc w:val="center"/>
              <w:rPr>
                <w:rFonts w:ascii="Times New Roman" w:hAnsi="Times New Roman"/>
                <w:b/>
                <w:bCs/>
                <w:kern w:val="0"/>
                <w:sz w:val="18"/>
                <w:szCs w:val="18"/>
                <w:u w:val="single"/>
              </w:rPr>
            </w:pPr>
          </w:p>
        </w:tc>
        <w:tc>
          <w:tcPr>
            <w:tcW w:w="1164" w:type="dxa"/>
            <w:vMerge w:val="continue"/>
            <w:vAlign w:val="center"/>
          </w:tcPr>
          <w:p>
            <w:pPr>
              <w:widowControl/>
              <w:jc w:val="center"/>
              <w:rPr>
                <w:rFonts w:ascii="Times New Roman" w:hAnsi="Times New Roman"/>
                <w:b/>
                <w:bCs/>
                <w:kern w:val="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noWrap/>
            <w:vAlign w:val="center"/>
          </w:tcPr>
          <w:p>
            <w:pPr>
              <w:jc w:val="center"/>
              <w:rPr>
                <w:rFonts w:ascii="Times New Roman" w:hAnsi="Times New Roman"/>
                <w:sz w:val="18"/>
                <w:szCs w:val="18"/>
                <w:u w:val="single"/>
              </w:rPr>
            </w:pPr>
            <w:r>
              <w:rPr>
                <w:rFonts w:ascii="Times New Roman" w:hAnsi="Times New Roman"/>
                <w:szCs w:val="21"/>
                <w:u w:val="single"/>
              </w:rPr>
              <w:t>泾港村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-0.0028</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noWrap/>
            <w:vAlign w:val="center"/>
          </w:tcPr>
          <w:p>
            <w:pPr>
              <w:jc w:val="center"/>
              <w:rPr>
                <w:rFonts w:ascii="Times New Roman" w:hAnsi="Times New Roman"/>
                <w:sz w:val="18"/>
                <w:szCs w:val="18"/>
                <w:u w:val="single"/>
              </w:rPr>
            </w:pPr>
            <w:r>
              <w:rPr>
                <w:rFonts w:ascii="Times New Roman" w:hAnsi="Times New Roman"/>
                <w:szCs w:val="21"/>
                <w:u w:val="single"/>
              </w:rPr>
              <w:t>姜畈村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-0.0043</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noWrap/>
            <w:vAlign w:val="center"/>
          </w:tcPr>
          <w:p>
            <w:pPr>
              <w:jc w:val="center"/>
              <w:rPr>
                <w:rFonts w:ascii="Times New Roman" w:hAnsi="Times New Roman"/>
                <w:sz w:val="18"/>
                <w:szCs w:val="18"/>
                <w:u w:val="single"/>
              </w:rPr>
            </w:pPr>
            <w:r>
              <w:rPr>
                <w:rFonts w:ascii="Times New Roman" w:hAnsi="Times New Roman"/>
                <w:szCs w:val="21"/>
                <w:u w:val="single"/>
              </w:rPr>
              <w:t>白荆村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-0.00245</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noWrap/>
            <w:vAlign w:val="center"/>
          </w:tcPr>
          <w:p>
            <w:pPr>
              <w:jc w:val="center"/>
              <w:rPr>
                <w:rFonts w:ascii="Times New Roman" w:hAnsi="Times New Roman"/>
                <w:sz w:val="18"/>
                <w:szCs w:val="18"/>
                <w:u w:val="single"/>
              </w:rPr>
            </w:pPr>
            <w:r>
              <w:rPr>
                <w:rFonts w:ascii="Times New Roman" w:hAnsi="Times New Roman"/>
                <w:szCs w:val="21"/>
                <w:u w:val="single"/>
              </w:rPr>
              <w:t>红土村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-0.00295</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noWrap/>
            <w:vAlign w:val="center"/>
          </w:tcPr>
          <w:p>
            <w:pPr>
              <w:jc w:val="center"/>
              <w:rPr>
                <w:rFonts w:ascii="Times New Roman" w:hAnsi="Times New Roman"/>
                <w:sz w:val="18"/>
                <w:szCs w:val="18"/>
                <w:u w:val="single"/>
              </w:rPr>
            </w:pPr>
            <w:r>
              <w:rPr>
                <w:rFonts w:ascii="Times New Roman" w:hAnsi="Times New Roman"/>
                <w:szCs w:val="21"/>
                <w:u w:val="single"/>
              </w:rPr>
              <w:t>黄皋村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-0.00552</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陆城镇</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-0.00233</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望城村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-0.00679</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臣山村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-0.00277</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荆竹村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-0.00363</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长岭生活区</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-0.00131</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南岳村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-0.00106</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南山村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-0.00619</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Cs w:val="21"/>
                <w:u w:val="single"/>
              </w:rPr>
            </w:pPr>
            <w:r>
              <w:rPr>
                <w:rFonts w:ascii="Times New Roman" w:hAnsi="Times New Roman"/>
                <w:szCs w:val="21"/>
                <w:u w:val="single"/>
              </w:rPr>
              <w:t>荆竹山村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-0.00231</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江湖村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-0.00141</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路口铺村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-0.005</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临湘市</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-0.00149</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云溪镇</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-0.00381</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双花村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-0.00864</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和平村</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-0.03139</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restart"/>
            <w:vAlign w:val="center"/>
          </w:tcPr>
          <w:p>
            <w:pPr>
              <w:jc w:val="center"/>
              <w:rPr>
                <w:rFonts w:ascii="Times New Roman" w:hAnsi="Times New Roman"/>
                <w:sz w:val="18"/>
                <w:szCs w:val="18"/>
                <w:u w:val="single"/>
              </w:rPr>
            </w:pPr>
            <w:r>
              <w:rPr>
                <w:rFonts w:ascii="Times New Roman" w:hAnsi="Times New Roman"/>
                <w:szCs w:val="21"/>
                <w:u w:val="single"/>
              </w:rPr>
              <w:t>五尖山森林公园</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48" w:type="dxa"/>
            <w:gridSpan w:val="2"/>
            <w:vMerge w:val="continue"/>
            <w:vAlign w:val="center"/>
          </w:tcPr>
          <w:p>
            <w:pPr>
              <w:widowControl/>
              <w:jc w:val="center"/>
              <w:rPr>
                <w:rFonts w:ascii="Times New Roman" w:hAnsi="Times New Roman"/>
                <w:kern w:val="0"/>
                <w:sz w:val="18"/>
                <w:szCs w:val="18"/>
                <w:u w:val="single"/>
              </w:rPr>
            </w:pP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-0.00661</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5" w:type="dxa"/>
            <w:vMerge w:val="restart"/>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网格（区域最大落地浓度）</w:t>
            </w:r>
          </w:p>
        </w:tc>
        <w:tc>
          <w:tcPr>
            <w:tcW w:w="134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200,-1400</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5" w:type="dxa"/>
            <w:vMerge w:val="continue"/>
            <w:vAlign w:val="center"/>
          </w:tcPr>
          <w:p>
            <w:pPr>
              <w:widowControl/>
              <w:jc w:val="center"/>
              <w:rPr>
                <w:rFonts w:ascii="Times New Roman" w:hAnsi="Times New Roman"/>
                <w:kern w:val="0"/>
                <w:sz w:val="18"/>
                <w:szCs w:val="18"/>
                <w:u w:val="single"/>
              </w:rPr>
            </w:pPr>
          </w:p>
        </w:tc>
        <w:tc>
          <w:tcPr>
            <w:tcW w:w="134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1200,-900</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5" w:type="dxa"/>
            <w:vMerge w:val="continue"/>
            <w:vAlign w:val="center"/>
          </w:tcPr>
          <w:p>
            <w:pPr>
              <w:widowControl/>
              <w:jc w:val="center"/>
              <w:rPr>
                <w:rFonts w:ascii="Times New Roman" w:hAnsi="Times New Roman"/>
                <w:kern w:val="0"/>
                <w:sz w:val="18"/>
                <w:szCs w:val="18"/>
                <w:u w:val="single"/>
              </w:rPr>
            </w:pPr>
          </w:p>
        </w:tc>
        <w:tc>
          <w:tcPr>
            <w:tcW w:w="134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-400,-1200</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noWrap/>
            <w:vAlign w:val="center"/>
          </w:tcPr>
          <w:p>
            <w:pPr>
              <w:jc w:val="center"/>
              <w:rPr>
                <w:rFonts w:ascii="Times New Roman" w:hAnsi="Times New Roman"/>
                <w:u w:val="single"/>
              </w:rPr>
            </w:pPr>
            <w:r>
              <w:rPr>
                <w:rFonts w:ascii="Times New Roman" w:hAnsi="Times New Roman"/>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由上表的预测结果可以看出，掺烧油泥浮渣后项目NO</w:t>
      </w:r>
      <w:r>
        <w:rPr>
          <w:rFonts w:ascii="Times New Roman" w:hAnsi="Times New Roman"/>
          <w:sz w:val="24"/>
          <w:szCs w:val="24"/>
          <w:u w:val="single"/>
          <w:vertAlign w:val="subscript"/>
        </w:rPr>
        <w:t>2</w:t>
      </w:r>
      <w:r>
        <w:rPr>
          <w:rFonts w:ascii="Times New Roman" w:hAnsi="Times New Roman"/>
          <w:sz w:val="24"/>
          <w:szCs w:val="24"/>
          <w:u w:val="single"/>
        </w:rPr>
        <w:t>较原来不掺烧油泥浮渣有减少，项目对各敏感点的NO</w:t>
      </w:r>
      <w:r>
        <w:rPr>
          <w:rFonts w:ascii="Times New Roman" w:hAnsi="Times New Roman"/>
          <w:sz w:val="24"/>
          <w:szCs w:val="24"/>
          <w:u w:val="single"/>
          <w:vertAlign w:val="subscript"/>
        </w:rPr>
        <w:t>2</w:t>
      </w:r>
      <w:r>
        <w:rPr>
          <w:rFonts w:ascii="Times New Roman" w:hAnsi="Times New Roman"/>
          <w:sz w:val="24"/>
          <w:szCs w:val="24"/>
          <w:u w:val="single"/>
        </w:rPr>
        <w:t>小时浓度、日均浓度和年均浓度贡献值及区域最大落地浓度的NO</w:t>
      </w:r>
      <w:r>
        <w:rPr>
          <w:rFonts w:ascii="Times New Roman" w:hAnsi="Times New Roman"/>
          <w:sz w:val="24"/>
          <w:szCs w:val="24"/>
          <w:u w:val="single"/>
          <w:vertAlign w:val="subscript"/>
        </w:rPr>
        <w:t>2</w:t>
      </w:r>
      <w:r>
        <w:rPr>
          <w:rFonts w:ascii="Times New Roman" w:hAnsi="Times New Roman"/>
          <w:sz w:val="24"/>
          <w:szCs w:val="24"/>
          <w:u w:val="single"/>
        </w:rPr>
        <w:t>小时浓度、日均浓度和年均浓度贡献值均满足《环境空气质量标准》(GB3095-2012)二级标准限值。</w:t>
      </w:r>
    </w:p>
    <w:p>
      <w:pPr>
        <w:spacing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3、PM</w:t>
      </w:r>
      <w:r>
        <w:rPr>
          <w:rFonts w:ascii="Times New Roman" w:hAnsi="Times New Roman"/>
          <w:b/>
          <w:sz w:val="24"/>
          <w:szCs w:val="24"/>
          <w:u w:val="single"/>
          <w:vertAlign w:val="subscript"/>
        </w:rPr>
        <w:t>10</w:t>
      </w:r>
      <w:r>
        <w:rPr>
          <w:rFonts w:ascii="Times New Roman" w:hAnsi="Times New Roman"/>
          <w:b/>
          <w:sz w:val="24"/>
          <w:szCs w:val="24"/>
          <w:u w:val="single"/>
        </w:rPr>
        <w:t>贡献浓度预测结果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表6.1.6.1.1-3 项目PM</w:t>
      </w:r>
      <w:r>
        <w:rPr>
          <w:rFonts w:ascii="Times New Roman" w:hAnsi="Times New Roman"/>
          <w:b/>
          <w:sz w:val="24"/>
          <w:szCs w:val="20"/>
          <w:u w:val="single"/>
          <w:vertAlign w:val="subscript"/>
        </w:rPr>
        <w:t>10</w:t>
      </w:r>
      <w:r>
        <w:rPr>
          <w:rFonts w:ascii="Times New Roman" w:hAnsi="Times New Roman"/>
          <w:b/>
          <w:sz w:val="24"/>
          <w:szCs w:val="20"/>
          <w:u w:val="single"/>
        </w:rPr>
        <w:t>贡献质量浓度预测结果表</w:t>
      </w:r>
    </w:p>
    <w:tbl>
      <w:tblPr>
        <w:tblStyle w:val="45"/>
        <w:tblW w:w="8872" w:type="dxa"/>
        <w:tblInd w:w="93" w:type="dxa"/>
        <w:tblLayout w:type="autofit"/>
        <w:tblCellMar>
          <w:top w:w="0" w:type="dxa"/>
          <w:left w:w="108" w:type="dxa"/>
          <w:bottom w:w="0" w:type="dxa"/>
          <w:right w:w="108" w:type="dxa"/>
        </w:tblCellMar>
      </w:tblPr>
      <w:tblGrid>
        <w:gridCol w:w="1005"/>
        <w:gridCol w:w="1343"/>
        <w:gridCol w:w="1164"/>
        <w:gridCol w:w="1254"/>
        <w:gridCol w:w="1778"/>
        <w:gridCol w:w="1164"/>
        <w:gridCol w:w="1164"/>
      </w:tblGrid>
      <w:tr>
        <w:tblPrEx>
          <w:tblCellMar>
            <w:top w:w="0" w:type="dxa"/>
            <w:left w:w="108" w:type="dxa"/>
            <w:bottom w:w="0" w:type="dxa"/>
            <w:right w:w="108" w:type="dxa"/>
          </w:tblCellMar>
        </w:tblPrEx>
        <w:trPr>
          <w:trHeight w:val="284" w:hRule="atLeast"/>
          <w:tblHeader/>
        </w:trPr>
        <w:tc>
          <w:tcPr>
            <w:tcW w:w="2348" w:type="dxa"/>
            <w:gridSpan w:val="2"/>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预测点（保护目标名称和区域最大落地浓度）</w:t>
            </w:r>
          </w:p>
        </w:tc>
        <w:tc>
          <w:tcPr>
            <w:tcW w:w="1164" w:type="dxa"/>
            <w:vMerge w:val="restart"/>
            <w:tcBorders>
              <w:top w:val="single" w:color="auto" w:sz="8" w:space="0"/>
              <w:left w:val="single" w:color="000000"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平均时段</w:t>
            </w:r>
          </w:p>
        </w:tc>
        <w:tc>
          <w:tcPr>
            <w:tcW w:w="1254"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最大贡献值</w:t>
            </w:r>
          </w:p>
        </w:tc>
        <w:tc>
          <w:tcPr>
            <w:tcW w:w="1778" w:type="dxa"/>
            <w:tcBorders>
              <w:top w:val="single" w:color="auto" w:sz="8" w:space="0"/>
              <w:left w:val="nil"/>
              <w:bottom w:val="single" w:color="auto"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出现时间</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占标率%</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达标情况</w:t>
            </w:r>
          </w:p>
        </w:tc>
      </w:tr>
      <w:tr>
        <w:tblPrEx>
          <w:tblCellMar>
            <w:top w:w="0" w:type="dxa"/>
            <w:left w:w="108" w:type="dxa"/>
            <w:bottom w:w="0" w:type="dxa"/>
            <w:right w:w="108" w:type="dxa"/>
          </w:tblCellMar>
        </w:tblPrEx>
        <w:trPr>
          <w:trHeight w:val="284" w:hRule="atLeast"/>
          <w:tblHeader/>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000000"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254" w:type="dxa"/>
            <w:tcBorders>
              <w:top w:val="nil"/>
              <w:left w:val="nil"/>
              <w:bottom w:val="single" w:color="auto" w:sz="8" w:space="0"/>
              <w:right w:val="single" w:color="auto" w:sz="8" w:space="0"/>
            </w:tcBorders>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(YYMMDDHH)</w:t>
            </w: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泾港村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姜畈村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白荆村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-9.80E-04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bottom w:val="single" w:color="000000" w:sz="8" w:space="0"/>
              <w:right w:val="single" w:color="000000" w:sz="8" w:space="0"/>
            </w:tcBorders>
            <w:noWrap/>
            <w:vAlign w:val="center"/>
          </w:tcPr>
          <w:p>
            <w:pPr>
              <w:jc w:val="center"/>
              <w:rPr>
                <w:rFonts w:ascii="Times New Roman" w:hAnsi="Times New Roman"/>
                <w:sz w:val="18"/>
                <w:szCs w:val="18"/>
                <w:u w:val="single"/>
              </w:rPr>
            </w:pPr>
            <w:r>
              <w:rPr>
                <w:rFonts w:ascii="Times New Roman" w:hAnsi="Times New Roman"/>
                <w:szCs w:val="21"/>
                <w:u w:val="single"/>
              </w:rPr>
              <w:t>红土村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黄皋村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-2.22E-03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陆城镇</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-9.40E-04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望城村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-2.73E-03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臣山村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-1.11E-03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荆竹村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-1.46E-03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长岭生活区</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-5.30E-04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南岳村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-4.30E-04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南山村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-2.49E-03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荆竹山村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-9.30E-04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-5.70E-04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江湖村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-2.01E-03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路口铺村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-6.00E-04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临湘市</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-1.53E-03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云溪镇</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-3.47E-03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双花村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-1.26E-02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和平村</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-2.66E-03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restart"/>
            <w:tcBorders>
              <w:top w:val="single" w:color="auto" w:sz="8" w:space="0"/>
              <w:left w:val="single" w:color="auto" w:sz="8" w:space="0"/>
              <w:right w:val="single" w:color="000000" w:sz="8" w:space="0"/>
            </w:tcBorders>
            <w:vAlign w:val="center"/>
          </w:tcPr>
          <w:p>
            <w:pPr>
              <w:jc w:val="center"/>
              <w:rPr>
                <w:rFonts w:ascii="Times New Roman" w:hAnsi="Times New Roman"/>
                <w:sz w:val="18"/>
                <w:szCs w:val="18"/>
                <w:u w:val="single"/>
              </w:rPr>
            </w:pPr>
            <w:r>
              <w:rPr>
                <w:rFonts w:ascii="Times New Roman" w:hAnsi="Times New Roman"/>
                <w:szCs w:val="21"/>
                <w:u w:val="single"/>
              </w:rPr>
              <w:t>五尖山森林公园</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vMerge w:val="continue"/>
            <w:tcBorders>
              <w:left w:val="single" w:color="auto" w:sz="8" w:space="0"/>
              <w:bottom w:val="single" w:color="000000" w:sz="8" w:space="0"/>
              <w:right w:val="single" w:color="000000" w:sz="8" w:space="0"/>
            </w:tcBorders>
            <w:vAlign w:val="center"/>
          </w:tcPr>
          <w:p>
            <w:pPr>
              <w:widowControl/>
              <w:jc w:val="center"/>
              <w:rPr>
                <w:rFonts w:ascii="Times New Roman" w:hAnsi="Times New Roman"/>
                <w:kern w:val="0"/>
                <w:sz w:val="18"/>
                <w:szCs w:val="18"/>
                <w:u w:val="single"/>
              </w:rPr>
            </w:pP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1005" w:type="dxa"/>
            <w:vMerge w:val="restart"/>
            <w:tcBorders>
              <w:top w:val="nil"/>
              <w:left w:val="single" w:color="auto" w:sz="8" w:space="0"/>
              <w:bottom w:val="single" w:color="000000" w:sz="8" w:space="0"/>
              <w:right w:val="single" w:color="auto" w:sz="8" w:space="0"/>
            </w:tcBorders>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网格（区域最大落地浓度）</w:t>
            </w:r>
          </w:p>
        </w:tc>
        <w:tc>
          <w:tcPr>
            <w:tcW w:w="1343"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1200,-900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日平均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1005" w:type="dxa"/>
            <w:vMerge w:val="continue"/>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p>
        </w:tc>
        <w:tc>
          <w:tcPr>
            <w:tcW w:w="1343"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-400,-1200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年平均</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由上表的预测结果可以看出，掺烧油泥浮渣后项目颗粒物较原来不掺烧油泥浮渣有减少，对各敏感点的PM</w:t>
      </w:r>
      <w:r>
        <w:rPr>
          <w:rFonts w:ascii="Times New Roman" w:hAnsi="Times New Roman"/>
          <w:sz w:val="24"/>
          <w:szCs w:val="24"/>
          <w:u w:val="single"/>
          <w:vertAlign w:val="subscript"/>
        </w:rPr>
        <w:t>10</w:t>
      </w:r>
      <w:r>
        <w:rPr>
          <w:rFonts w:ascii="Times New Roman" w:hAnsi="Times New Roman"/>
          <w:sz w:val="24"/>
          <w:szCs w:val="24"/>
          <w:u w:val="single"/>
        </w:rPr>
        <w:t>日均浓度和年均浓度贡献值及区域最大落地浓度的PM</w:t>
      </w:r>
      <w:r>
        <w:rPr>
          <w:rFonts w:ascii="Times New Roman" w:hAnsi="Times New Roman"/>
          <w:sz w:val="24"/>
          <w:szCs w:val="24"/>
          <w:u w:val="single"/>
          <w:vertAlign w:val="subscript"/>
        </w:rPr>
        <w:t>10</w:t>
      </w:r>
      <w:r>
        <w:rPr>
          <w:rFonts w:ascii="Times New Roman" w:hAnsi="Times New Roman"/>
          <w:sz w:val="24"/>
          <w:szCs w:val="24"/>
          <w:u w:val="single"/>
        </w:rPr>
        <w:t>日均浓度和年均浓度贡献值均满足《环境空气质量标准》(GB3095-2012)二级标准限值。</w:t>
      </w:r>
    </w:p>
    <w:p>
      <w:pPr>
        <w:spacing w:before="120" w:beforeLines="50" w:line="360" w:lineRule="auto"/>
        <w:ind w:firstLine="482" w:firstLineChars="200"/>
        <w:outlineLvl w:val="6"/>
        <w:rPr>
          <w:rFonts w:ascii="Times New Roman" w:hAnsi="Times New Roman"/>
          <w:b/>
          <w:sz w:val="24"/>
          <w:szCs w:val="24"/>
          <w:u w:val="single"/>
        </w:rPr>
      </w:pPr>
    </w:p>
    <w:p>
      <w:pPr>
        <w:spacing w:before="120" w:beforeLines="50" w:line="360" w:lineRule="auto"/>
        <w:ind w:firstLine="482" w:firstLineChars="200"/>
        <w:outlineLvl w:val="6"/>
        <w:rPr>
          <w:rFonts w:ascii="Times New Roman" w:hAnsi="Times New Roman"/>
          <w:b/>
          <w:sz w:val="24"/>
          <w:szCs w:val="24"/>
          <w:u w:val="single"/>
        </w:rPr>
      </w:pPr>
    </w:p>
    <w:p>
      <w:pPr>
        <w:spacing w:before="120" w:beforeLines="50" w:line="360" w:lineRule="auto"/>
        <w:ind w:firstLine="482" w:firstLineChars="200"/>
        <w:outlineLvl w:val="6"/>
        <w:rPr>
          <w:rFonts w:ascii="Times New Roman" w:hAnsi="Times New Roman"/>
          <w:b/>
          <w:sz w:val="24"/>
          <w:szCs w:val="24"/>
          <w:u w:val="single"/>
        </w:rPr>
      </w:pPr>
    </w:p>
    <w:p>
      <w:pPr>
        <w:spacing w:before="120" w:beforeLines="50"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4、二噁英贡献浓度预测结果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表6.1.6.1.1-4 项目二噁英贡献质量浓度预测结果表</w:t>
      </w:r>
    </w:p>
    <w:tbl>
      <w:tblPr>
        <w:tblStyle w:val="45"/>
        <w:tblW w:w="8872" w:type="dxa"/>
        <w:tblInd w:w="93" w:type="dxa"/>
        <w:tblLayout w:type="autofit"/>
        <w:tblCellMar>
          <w:top w:w="0" w:type="dxa"/>
          <w:left w:w="108" w:type="dxa"/>
          <w:bottom w:w="0" w:type="dxa"/>
          <w:right w:w="108" w:type="dxa"/>
        </w:tblCellMar>
      </w:tblPr>
      <w:tblGrid>
        <w:gridCol w:w="1532"/>
        <w:gridCol w:w="816"/>
        <w:gridCol w:w="1164"/>
        <w:gridCol w:w="1254"/>
        <w:gridCol w:w="1778"/>
        <w:gridCol w:w="1164"/>
        <w:gridCol w:w="1164"/>
      </w:tblGrid>
      <w:tr>
        <w:tblPrEx>
          <w:tblCellMar>
            <w:top w:w="0" w:type="dxa"/>
            <w:left w:w="108" w:type="dxa"/>
            <w:bottom w:w="0" w:type="dxa"/>
            <w:right w:w="108" w:type="dxa"/>
          </w:tblCellMar>
        </w:tblPrEx>
        <w:trPr>
          <w:trHeight w:val="284" w:hRule="atLeast"/>
          <w:tblHeader/>
        </w:trPr>
        <w:tc>
          <w:tcPr>
            <w:tcW w:w="2348" w:type="dxa"/>
            <w:gridSpan w:val="2"/>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预测点（保护目标名称和区域最大落地浓度）</w:t>
            </w:r>
          </w:p>
        </w:tc>
        <w:tc>
          <w:tcPr>
            <w:tcW w:w="1164" w:type="dxa"/>
            <w:vMerge w:val="restart"/>
            <w:tcBorders>
              <w:top w:val="single" w:color="auto" w:sz="8" w:space="0"/>
              <w:left w:val="single" w:color="000000"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平均时段</w:t>
            </w:r>
          </w:p>
        </w:tc>
        <w:tc>
          <w:tcPr>
            <w:tcW w:w="1254"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最大贡献值</w:t>
            </w:r>
          </w:p>
        </w:tc>
        <w:tc>
          <w:tcPr>
            <w:tcW w:w="1778" w:type="dxa"/>
            <w:tcBorders>
              <w:top w:val="single" w:color="auto" w:sz="8" w:space="0"/>
              <w:left w:val="nil"/>
              <w:bottom w:val="single" w:color="auto"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标准限值</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占标率%</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达标情况</w:t>
            </w:r>
          </w:p>
        </w:tc>
      </w:tr>
      <w:tr>
        <w:tblPrEx>
          <w:tblCellMar>
            <w:top w:w="0" w:type="dxa"/>
            <w:left w:w="108" w:type="dxa"/>
            <w:bottom w:w="0" w:type="dxa"/>
            <w:right w:w="108" w:type="dxa"/>
          </w:tblCellMar>
        </w:tblPrEx>
        <w:trPr>
          <w:trHeight w:val="284" w:hRule="atLeast"/>
          <w:tblHeader/>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000000"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254" w:type="dxa"/>
            <w:tcBorders>
              <w:top w:val="nil"/>
              <w:left w:val="nil"/>
              <w:bottom w:val="single" w:color="auto" w:sz="8" w:space="0"/>
              <w:right w:val="single" w:color="auto" w:sz="8" w:space="0"/>
            </w:tcBorders>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泾港村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姜畈村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白荆村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红土村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黄皋村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陆城镇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望城村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臣山村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长岭生活区</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江湖村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路口铺村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临湘市</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云溪镇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双花村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和平村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tcPr>
          <w:p>
            <w:pPr>
              <w:jc w:val="center"/>
              <w:rPr>
                <w:rFonts w:ascii="Times New Roman" w:hAnsi="Times New Roman"/>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1532" w:type="dxa"/>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网格（区域最大落地浓度）</w:t>
            </w:r>
          </w:p>
        </w:tc>
        <w:tc>
          <w:tcPr>
            <w:tcW w:w="816"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-8500，8500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0.00E+00</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6.00E-07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由上表的预测结果可以看出，项目对各敏感点的二噁英年均浓度贡献值及区域最大落地浓度的二噁英年均浓度贡献值均满足日本年均浓度标准要求。</w:t>
      </w:r>
    </w:p>
    <w:p>
      <w:pPr>
        <w:spacing w:before="120" w:beforeLines="50"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5、镍贡献浓度预测结果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表6.1.6.1.1-5 项目镍贡献质量浓度预测结果表</w:t>
      </w:r>
    </w:p>
    <w:tbl>
      <w:tblPr>
        <w:tblStyle w:val="45"/>
        <w:tblW w:w="8872" w:type="dxa"/>
        <w:tblInd w:w="93" w:type="dxa"/>
        <w:tblLayout w:type="autofit"/>
        <w:tblCellMar>
          <w:top w:w="0" w:type="dxa"/>
          <w:left w:w="108" w:type="dxa"/>
          <w:bottom w:w="0" w:type="dxa"/>
          <w:right w:w="108" w:type="dxa"/>
        </w:tblCellMar>
      </w:tblPr>
      <w:tblGrid>
        <w:gridCol w:w="1277"/>
        <w:gridCol w:w="1071"/>
        <w:gridCol w:w="1164"/>
        <w:gridCol w:w="1254"/>
        <w:gridCol w:w="1778"/>
        <w:gridCol w:w="1164"/>
        <w:gridCol w:w="1164"/>
      </w:tblGrid>
      <w:tr>
        <w:tblPrEx>
          <w:tblCellMar>
            <w:top w:w="0" w:type="dxa"/>
            <w:left w:w="108" w:type="dxa"/>
            <w:bottom w:w="0" w:type="dxa"/>
            <w:right w:w="108" w:type="dxa"/>
          </w:tblCellMar>
        </w:tblPrEx>
        <w:trPr>
          <w:trHeight w:val="284" w:hRule="atLeast"/>
          <w:tblHeader/>
        </w:trPr>
        <w:tc>
          <w:tcPr>
            <w:tcW w:w="2348" w:type="dxa"/>
            <w:gridSpan w:val="2"/>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预测点（保护目标名称和区域最大落地浓度）</w:t>
            </w:r>
          </w:p>
        </w:tc>
        <w:tc>
          <w:tcPr>
            <w:tcW w:w="1164" w:type="dxa"/>
            <w:vMerge w:val="restart"/>
            <w:tcBorders>
              <w:top w:val="single" w:color="auto" w:sz="8" w:space="0"/>
              <w:left w:val="single" w:color="000000"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平均时段</w:t>
            </w:r>
          </w:p>
        </w:tc>
        <w:tc>
          <w:tcPr>
            <w:tcW w:w="1254"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最大贡献值</w:t>
            </w:r>
          </w:p>
        </w:tc>
        <w:tc>
          <w:tcPr>
            <w:tcW w:w="1778" w:type="dxa"/>
            <w:tcBorders>
              <w:top w:val="single" w:color="auto" w:sz="8" w:space="0"/>
              <w:left w:val="nil"/>
              <w:bottom w:val="single" w:color="auto"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标准限值</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占标率%</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达标情况</w:t>
            </w:r>
          </w:p>
        </w:tc>
      </w:tr>
      <w:tr>
        <w:tblPrEx>
          <w:tblCellMar>
            <w:top w:w="0" w:type="dxa"/>
            <w:left w:w="108" w:type="dxa"/>
            <w:bottom w:w="0" w:type="dxa"/>
            <w:right w:w="108" w:type="dxa"/>
          </w:tblCellMar>
        </w:tblPrEx>
        <w:trPr>
          <w:trHeight w:val="284" w:hRule="atLeast"/>
          <w:tblHeader/>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000000"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254" w:type="dxa"/>
            <w:tcBorders>
              <w:top w:val="nil"/>
              <w:left w:val="nil"/>
              <w:bottom w:val="single" w:color="auto" w:sz="8" w:space="0"/>
              <w:right w:val="single" w:color="auto" w:sz="8" w:space="0"/>
            </w:tcBorders>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泾港村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姜畈村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白荆村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红土村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黄皋村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陆城镇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望城村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臣山村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长岭生活区</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江湖村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路口铺村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临湘市</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云溪镇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双花村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和平村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2.00E-05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r>
        <w:tblPrEx>
          <w:tblCellMar>
            <w:top w:w="0" w:type="dxa"/>
            <w:left w:w="108" w:type="dxa"/>
            <w:bottom w:w="0" w:type="dxa"/>
            <w:right w:w="108" w:type="dxa"/>
          </w:tblCellMar>
        </w:tblPrEx>
        <w:trPr>
          <w:trHeight w:val="284" w:hRule="atLeast"/>
        </w:trPr>
        <w:tc>
          <w:tcPr>
            <w:tcW w:w="1277" w:type="dxa"/>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网格（区域最大落地浓度）</w:t>
            </w:r>
          </w:p>
        </w:tc>
        <w:tc>
          <w:tcPr>
            <w:tcW w:w="1071"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-400,-1200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年均值</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平均值</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 w:val="18"/>
                <w:szCs w:val="18"/>
                <w:u w:val="single"/>
              </w:rPr>
            </w:pPr>
            <w:r>
              <w:rPr>
                <w:rFonts w:ascii="Times New Roman" w:hAnsi="Times New Roman"/>
                <w:sz w:val="18"/>
                <w:szCs w:val="18"/>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由上表的预测结果可以看出，项目对各敏感点的镍年均浓度贡献值及区域最大落地浓度的镍年均浓度贡献值均满足欧盟年均浓度标准要求。</w:t>
      </w:r>
    </w:p>
    <w:p>
      <w:pPr>
        <w:spacing w:line="360" w:lineRule="auto"/>
        <w:jc w:val="center"/>
        <w:rPr>
          <w:rFonts w:ascii="Times New Roman" w:hAnsi="Times New Roman"/>
          <w:u w:val="single"/>
        </w:rPr>
      </w:pPr>
      <w:r>
        <w:rPr>
          <w:rFonts w:ascii="Times New Roman" w:hAnsi="Times New Roman"/>
        </w:rPr>
        <w:drawing>
          <wp:inline distT="0" distB="0" distL="0" distR="0">
            <wp:extent cx="5276850" cy="3990975"/>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a:stretch>
                      <a:fillRect/>
                    </a:stretch>
                  </pic:blipFill>
                  <pic:spPr>
                    <a:xfrm>
                      <a:off x="0" y="0"/>
                      <a:ext cx="5276850" cy="3990975"/>
                    </a:xfrm>
                    <a:prstGeom prst="rect">
                      <a:avLst/>
                    </a:prstGeom>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 xml:space="preserve">图6.1.1.11  </w:t>
      </w:r>
      <w:r>
        <w:rPr>
          <w:rFonts w:ascii="Times New Roman" w:hAnsi="Times New Roman" w:cs="Times New Roman"/>
          <w:b/>
          <w:sz w:val="24"/>
          <w:szCs w:val="24"/>
          <w:u w:val="single"/>
        </w:rPr>
        <w:t>镍年均贡献浓度分布图</w:t>
      </w:r>
    </w:p>
    <w:p>
      <w:pPr>
        <w:spacing w:before="120" w:beforeLines="50"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6、硫化氢贡献浓度预测结果</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项目排放的硫化氢贡献浓度预测结果如下：</w:t>
      </w:r>
    </w:p>
    <w:p>
      <w:pPr>
        <w:widowControl/>
        <w:adjustRightInd w:val="0"/>
        <w:snapToGrid w:val="0"/>
        <w:spacing w:before="120" w:beforeLines="50" w:line="360" w:lineRule="auto"/>
        <w:jc w:val="center"/>
        <w:rPr>
          <w:rFonts w:ascii="Times New Roman" w:hAnsi="Times New Roman"/>
          <w:b/>
          <w:sz w:val="24"/>
          <w:szCs w:val="20"/>
          <w:u w:val="single"/>
        </w:rPr>
      </w:pP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表6.1.6.1.1-6项目硫化氢贡献质量浓度预测结果表</w:t>
      </w:r>
    </w:p>
    <w:tbl>
      <w:tblPr>
        <w:tblStyle w:val="45"/>
        <w:tblW w:w="8872" w:type="dxa"/>
        <w:tblInd w:w="93" w:type="dxa"/>
        <w:tblLayout w:type="autofit"/>
        <w:tblCellMar>
          <w:top w:w="0" w:type="dxa"/>
          <w:left w:w="108" w:type="dxa"/>
          <w:bottom w:w="0" w:type="dxa"/>
          <w:right w:w="108" w:type="dxa"/>
        </w:tblCellMar>
      </w:tblPr>
      <w:tblGrid>
        <w:gridCol w:w="1575"/>
        <w:gridCol w:w="773"/>
        <w:gridCol w:w="1164"/>
        <w:gridCol w:w="1254"/>
        <w:gridCol w:w="1778"/>
        <w:gridCol w:w="1164"/>
        <w:gridCol w:w="1164"/>
      </w:tblGrid>
      <w:tr>
        <w:tblPrEx>
          <w:tblCellMar>
            <w:top w:w="0" w:type="dxa"/>
            <w:left w:w="108" w:type="dxa"/>
            <w:bottom w:w="0" w:type="dxa"/>
            <w:right w:w="108" w:type="dxa"/>
          </w:tblCellMar>
        </w:tblPrEx>
        <w:trPr>
          <w:trHeight w:val="284" w:hRule="atLeast"/>
          <w:tblHeader/>
        </w:trPr>
        <w:tc>
          <w:tcPr>
            <w:tcW w:w="2348" w:type="dxa"/>
            <w:gridSpan w:val="2"/>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Cs w:val="21"/>
                <w:u w:val="single"/>
              </w:rPr>
            </w:pPr>
            <w:r>
              <w:rPr>
                <w:rFonts w:ascii="Times New Roman" w:hAnsi="Times New Roman"/>
                <w:b/>
                <w:bCs/>
                <w:kern w:val="0"/>
                <w:szCs w:val="21"/>
                <w:u w:val="single"/>
              </w:rPr>
              <w:t>预测点（保护目标名称和区域最大落地浓度）</w:t>
            </w:r>
          </w:p>
        </w:tc>
        <w:tc>
          <w:tcPr>
            <w:tcW w:w="1164" w:type="dxa"/>
            <w:vMerge w:val="restart"/>
            <w:tcBorders>
              <w:top w:val="single" w:color="auto" w:sz="8" w:space="0"/>
              <w:left w:val="single" w:color="000000" w:sz="8" w:space="0"/>
              <w:bottom w:val="single" w:color="000000" w:sz="8" w:space="0"/>
              <w:right w:val="single" w:color="auto" w:sz="8" w:space="0"/>
            </w:tcBorders>
            <w:noWrap/>
            <w:vAlign w:val="center"/>
          </w:tcPr>
          <w:p>
            <w:pPr>
              <w:widowControl/>
              <w:jc w:val="center"/>
              <w:rPr>
                <w:rFonts w:ascii="Times New Roman" w:hAnsi="Times New Roman"/>
                <w:b/>
                <w:bCs/>
                <w:kern w:val="0"/>
                <w:szCs w:val="21"/>
                <w:u w:val="single"/>
              </w:rPr>
            </w:pPr>
            <w:r>
              <w:rPr>
                <w:rFonts w:ascii="Times New Roman" w:hAnsi="Times New Roman"/>
                <w:b/>
                <w:bCs/>
                <w:kern w:val="0"/>
                <w:szCs w:val="21"/>
                <w:u w:val="single"/>
              </w:rPr>
              <w:t>平均时段</w:t>
            </w:r>
          </w:p>
        </w:tc>
        <w:tc>
          <w:tcPr>
            <w:tcW w:w="1254"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b/>
                <w:bCs/>
                <w:kern w:val="0"/>
                <w:szCs w:val="21"/>
                <w:u w:val="single"/>
              </w:rPr>
            </w:pPr>
            <w:r>
              <w:rPr>
                <w:rFonts w:ascii="Times New Roman" w:hAnsi="Times New Roman"/>
                <w:b/>
                <w:bCs/>
                <w:kern w:val="0"/>
                <w:szCs w:val="21"/>
                <w:u w:val="single"/>
              </w:rPr>
              <w:t>最大贡献值</w:t>
            </w:r>
          </w:p>
        </w:tc>
        <w:tc>
          <w:tcPr>
            <w:tcW w:w="1778" w:type="dxa"/>
            <w:tcBorders>
              <w:top w:val="single" w:color="auto" w:sz="8" w:space="0"/>
              <w:left w:val="nil"/>
              <w:bottom w:val="single" w:color="auto" w:sz="8" w:space="0"/>
              <w:right w:val="single" w:color="auto" w:sz="8" w:space="0"/>
            </w:tcBorders>
            <w:noWrap/>
            <w:vAlign w:val="center"/>
          </w:tcPr>
          <w:p>
            <w:pPr>
              <w:widowControl/>
              <w:jc w:val="center"/>
              <w:rPr>
                <w:rFonts w:ascii="Times New Roman" w:hAnsi="Times New Roman"/>
                <w:b/>
                <w:bCs/>
                <w:kern w:val="0"/>
                <w:szCs w:val="21"/>
                <w:u w:val="single"/>
              </w:rPr>
            </w:pPr>
            <w:r>
              <w:rPr>
                <w:rFonts w:ascii="Times New Roman" w:hAnsi="Times New Roman"/>
                <w:b/>
                <w:bCs/>
                <w:kern w:val="0"/>
                <w:szCs w:val="21"/>
                <w:u w:val="single"/>
              </w:rPr>
              <w:t>出现时间</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Cs w:val="21"/>
                <w:u w:val="single"/>
              </w:rPr>
            </w:pPr>
            <w:r>
              <w:rPr>
                <w:rFonts w:ascii="Times New Roman" w:hAnsi="Times New Roman"/>
                <w:b/>
                <w:bCs/>
                <w:kern w:val="0"/>
                <w:szCs w:val="21"/>
                <w:u w:val="single"/>
              </w:rPr>
              <w:t>占标率%</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Cs w:val="21"/>
                <w:u w:val="single"/>
              </w:rPr>
            </w:pPr>
            <w:r>
              <w:rPr>
                <w:rFonts w:ascii="Times New Roman" w:hAnsi="Times New Roman"/>
                <w:b/>
                <w:bCs/>
                <w:kern w:val="0"/>
                <w:szCs w:val="21"/>
                <w:u w:val="single"/>
              </w:rPr>
              <w:t>达标情况</w:t>
            </w:r>
          </w:p>
        </w:tc>
      </w:tr>
      <w:tr>
        <w:tblPrEx>
          <w:tblCellMar>
            <w:top w:w="0" w:type="dxa"/>
            <w:left w:w="108" w:type="dxa"/>
            <w:bottom w:w="0" w:type="dxa"/>
            <w:right w:w="108" w:type="dxa"/>
          </w:tblCellMar>
        </w:tblPrEx>
        <w:trPr>
          <w:trHeight w:val="284" w:hRule="atLeast"/>
          <w:tblHeader/>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Cs w:val="21"/>
                <w:u w:val="single"/>
              </w:rPr>
            </w:pPr>
          </w:p>
        </w:tc>
        <w:tc>
          <w:tcPr>
            <w:tcW w:w="1164" w:type="dxa"/>
            <w:vMerge w:val="continue"/>
            <w:tcBorders>
              <w:top w:val="single" w:color="auto" w:sz="8" w:space="0"/>
              <w:left w:val="single" w:color="000000" w:sz="8" w:space="0"/>
              <w:bottom w:val="single" w:color="000000" w:sz="8" w:space="0"/>
              <w:right w:val="single" w:color="auto" w:sz="8" w:space="0"/>
            </w:tcBorders>
            <w:vAlign w:val="center"/>
          </w:tcPr>
          <w:p>
            <w:pPr>
              <w:widowControl/>
              <w:jc w:val="center"/>
              <w:rPr>
                <w:rFonts w:ascii="Times New Roman" w:hAnsi="Times New Roman"/>
                <w:b/>
                <w:bCs/>
                <w:kern w:val="0"/>
                <w:szCs w:val="21"/>
                <w:u w:val="single"/>
              </w:rPr>
            </w:pPr>
          </w:p>
        </w:tc>
        <w:tc>
          <w:tcPr>
            <w:tcW w:w="1254" w:type="dxa"/>
            <w:tcBorders>
              <w:top w:val="nil"/>
              <w:left w:val="nil"/>
              <w:bottom w:val="single" w:color="auto" w:sz="8" w:space="0"/>
              <w:right w:val="single" w:color="auto" w:sz="8" w:space="0"/>
            </w:tcBorders>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（μg/m</w:t>
            </w:r>
            <w:r>
              <w:rPr>
                <w:rFonts w:ascii="Times New Roman" w:hAnsi="Times New Roman"/>
                <w:b/>
                <w:kern w:val="0"/>
                <w:szCs w:val="21"/>
                <w:u w:val="single"/>
                <w:vertAlign w:val="superscript"/>
              </w:rPr>
              <w:t>3</w:t>
            </w:r>
            <w:r>
              <w:rPr>
                <w:rFonts w:ascii="Times New Roman" w:hAnsi="Times New Roman"/>
                <w:b/>
                <w:kern w:val="0"/>
                <w:szCs w:val="21"/>
                <w:u w:val="single"/>
              </w:rPr>
              <w:t>）</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b/>
                <w:kern w:val="0"/>
                <w:szCs w:val="21"/>
                <w:u w:val="single"/>
              </w:rPr>
            </w:pPr>
            <w:r>
              <w:rPr>
                <w:rFonts w:ascii="Times New Roman" w:hAnsi="Times New Roman"/>
                <w:b/>
                <w:kern w:val="0"/>
                <w:szCs w:val="21"/>
                <w:u w:val="single"/>
              </w:rPr>
              <w:t>(YYMMDDHH)</w:t>
            </w: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Cs w:val="21"/>
                <w:u w:val="single"/>
              </w:rPr>
            </w:pP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Cs w:val="21"/>
                <w:u w:val="single"/>
              </w:rPr>
            </w:pP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泾港村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3.82E-03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17020405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姜畈村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3.61E-03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17060205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白荆村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2.97E-03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17022723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0.03</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红土村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5.83E-03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17110720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黄皋村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6.92E-03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17110808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陆城镇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4.58E-03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17010106</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望城村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7.20E-03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17081304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臣山村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5.13E-03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17030302</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1.57E-02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17122308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长岭生活区</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1.05E-02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17101921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6.36E-03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17101921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8.07E-03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17110821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8.08E-03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17021424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0.08</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江湖村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5.58E-03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17031203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路口铺村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7.49E-03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17042420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临湘市</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5.24E-03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17080423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云溪镇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3.78E-03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17030604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双花村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1.72E-03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17102301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和平村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1.63E-02</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17012119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0.16</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1.60E-04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17122609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r>
        <w:tblPrEx>
          <w:tblCellMar>
            <w:top w:w="0" w:type="dxa"/>
            <w:left w:w="108" w:type="dxa"/>
            <w:bottom w:w="0" w:type="dxa"/>
            <w:right w:w="108" w:type="dxa"/>
          </w:tblCellMar>
        </w:tblPrEx>
        <w:trPr>
          <w:trHeight w:val="284" w:hRule="atLeast"/>
        </w:trPr>
        <w:tc>
          <w:tcPr>
            <w:tcW w:w="1575" w:type="dxa"/>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Cs w:val="21"/>
                <w:u w:val="single"/>
              </w:rPr>
            </w:pPr>
            <w:r>
              <w:rPr>
                <w:rFonts w:ascii="Times New Roman" w:hAnsi="Times New Roman"/>
                <w:kern w:val="0"/>
                <w:szCs w:val="21"/>
                <w:u w:val="single"/>
              </w:rPr>
              <w:t>网格（区域最大落地浓度）</w:t>
            </w:r>
          </w:p>
        </w:tc>
        <w:tc>
          <w:tcPr>
            <w:tcW w:w="773" w:type="dxa"/>
            <w:tcBorders>
              <w:top w:val="nil"/>
              <w:left w:val="nil"/>
              <w:bottom w:val="single" w:color="auto" w:sz="8" w:space="0"/>
              <w:right w:val="single" w:color="auto" w:sz="8" w:space="0"/>
            </w:tcBorders>
            <w:vAlign w:val="center"/>
          </w:tcPr>
          <w:p>
            <w:pPr>
              <w:widowControl/>
              <w:jc w:val="center"/>
              <w:rPr>
                <w:rFonts w:ascii="Times New Roman" w:hAnsi="Times New Roman"/>
                <w:kern w:val="0"/>
                <w:szCs w:val="21"/>
                <w:u w:val="single"/>
              </w:rPr>
            </w:pPr>
            <w:r>
              <w:rPr>
                <w:rFonts w:ascii="Times New Roman" w:hAnsi="Times New Roman"/>
                <w:kern w:val="0"/>
                <w:szCs w:val="21"/>
                <w:u w:val="single"/>
              </w:rPr>
              <w:t>200，0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Cs w:val="21"/>
                <w:u w:val="single"/>
              </w:rPr>
            </w:pPr>
            <w:r>
              <w:rPr>
                <w:rFonts w:ascii="Times New Roman" w:hAnsi="Times New Roman"/>
                <w:kern w:val="0"/>
                <w:szCs w:val="21"/>
                <w:u w:val="single"/>
              </w:rPr>
              <w:t>1小时</w:t>
            </w:r>
          </w:p>
        </w:tc>
        <w:tc>
          <w:tcPr>
            <w:tcW w:w="125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1.4672</w:t>
            </w:r>
          </w:p>
        </w:tc>
        <w:tc>
          <w:tcPr>
            <w:tcW w:w="1778"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17022818</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14.67</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szCs w:val="21"/>
                <w:u w:val="single"/>
              </w:rPr>
            </w:pPr>
            <w:r>
              <w:rPr>
                <w:rFonts w:ascii="Times New Roman" w:hAnsi="Times New Roman"/>
                <w:szCs w:val="21"/>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由上表的预测结果可以看出，项目对各敏感点的硫化氢小时浓度贡献值及区域最大落地浓度的硫化氢小时浓度贡献值均满足《环境影响评价技术导则  大气环境》（HJ2.2-2018）附录D的浓度限值要求。</w:t>
      </w:r>
    </w:p>
    <w:p>
      <w:pPr>
        <w:pStyle w:val="2"/>
        <w:ind w:left="420" w:firstLine="420"/>
      </w:pPr>
    </w:p>
    <w:p>
      <w:pPr>
        <w:spacing w:line="360" w:lineRule="auto"/>
        <w:jc w:val="center"/>
        <w:rPr>
          <w:rFonts w:ascii="Times New Roman" w:hAnsi="Times New Roman"/>
          <w:sz w:val="24"/>
          <w:szCs w:val="24"/>
          <w:u w:val="single"/>
        </w:rPr>
      </w:pPr>
      <w:r>
        <w:rPr>
          <w:rFonts w:ascii="Times New Roman" w:hAnsi="Times New Roman"/>
          <w:u w:val="single"/>
        </w:rPr>
        <w:drawing>
          <wp:inline distT="0" distB="0" distL="114300" distR="114300">
            <wp:extent cx="5143500" cy="3952875"/>
            <wp:effectExtent l="0" t="0" r="0" b="952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41"/>
                    <a:stretch>
                      <a:fillRect/>
                    </a:stretch>
                  </pic:blipFill>
                  <pic:spPr>
                    <a:xfrm>
                      <a:off x="0" y="0"/>
                      <a:ext cx="5143500" cy="3952875"/>
                    </a:xfrm>
                    <a:prstGeom prst="rect">
                      <a:avLst/>
                    </a:prstGeom>
                    <a:noFill/>
                    <a:ln>
                      <a:noFill/>
                    </a:ln>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图6.1.1.12</w:t>
      </w:r>
      <w:r>
        <w:rPr>
          <w:rFonts w:ascii="Times New Roman" w:hAnsi="Times New Roman" w:cs="Times New Roman"/>
          <w:b/>
          <w:sz w:val="24"/>
          <w:szCs w:val="24"/>
          <w:u w:val="single"/>
        </w:rPr>
        <w:t xml:space="preserve">  硫化氢小时贡献浓度分布图</w:t>
      </w:r>
    </w:p>
    <w:p>
      <w:pPr>
        <w:spacing w:before="120" w:beforeLines="50" w:line="360" w:lineRule="auto"/>
        <w:ind w:firstLine="482" w:firstLineChars="200"/>
        <w:outlineLvl w:val="6"/>
        <w:rPr>
          <w:rFonts w:ascii="Times New Roman" w:hAnsi="Times New Roman"/>
          <w:b/>
          <w:sz w:val="24"/>
          <w:szCs w:val="24"/>
          <w:u w:val="single"/>
        </w:rPr>
      </w:pPr>
      <w:r>
        <w:rPr>
          <w:rFonts w:ascii="Times New Roman" w:hAnsi="Times New Roman"/>
          <w:b/>
          <w:sz w:val="24"/>
          <w:szCs w:val="24"/>
          <w:u w:val="single"/>
        </w:rPr>
        <w:t>7、氨贡献浓度预测结果</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项目排放的氨贡献浓度预测结果如下：</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表6.1.6.1.1-7项目氨贡献质量浓度预测结果表</w:t>
      </w:r>
    </w:p>
    <w:tbl>
      <w:tblPr>
        <w:tblStyle w:val="45"/>
        <w:tblW w:w="8872" w:type="dxa"/>
        <w:tblInd w:w="93" w:type="dxa"/>
        <w:tblLayout w:type="autofit"/>
        <w:tblCellMar>
          <w:top w:w="0" w:type="dxa"/>
          <w:left w:w="108" w:type="dxa"/>
          <w:bottom w:w="0" w:type="dxa"/>
          <w:right w:w="108" w:type="dxa"/>
        </w:tblCellMar>
      </w:tblPr>
      <w:tblGrid>
        <w:gridCol w:w="1433"/>
        <w:gridCol w:w="915"/>
        <w:gridCol w:w="1164"/>
        <w:gridCol w:w="1254"/>
        <w:gridCol w:w="1778"/>
        <w:gridCol w:w="1164"/>
        <w:gridCol w:w="1164"/>
      </w:tblGrid>
      <w:tr>
        <w:tblPrEx>
          <w:tblCellMar>
            <w:top w:w="0" w:type="dxa"/>
            <w:left w:w="108" w:type="dxa"/>
            <w:bottom w:w="0" w:type="dxa"/>
            <w:right w:w="108" w:type="dxa"/>
          </w:tblCellMar>
        </w:tblPrEx>
        <w:trPr>
          <w:trHeight w:val="284" w:hRule="atLeast"/>
          <w:tblHeader/>
        </w:trPr>
        <w:tc>
          <w:tcPr>
            <w:tcW w:w="2348" w:type="dxa"/>
            <w:gridSpan w:val="2"/>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预测点（保护目标名称和区域最大落地浓度）</w:t>
            </w:r>
          </w:p>
        </w:tc>
        <w:tc>
          <w:tcPr>
            <w:tcW w:w="1164" w:type="dxa"/>
            <w:vMerge w:val="restart"/>
            <w:tcBorders>
              <w:top w:val="single" w:color="auto" w:sz="8" w:space="0"/>
              <w:left w:val="single" w:color="000000"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平均时段</w:t>
            </w:r>
          </w:p>
        </w:tc>
        <w:tc>
          <w:tcPr>
            <w:tcW w:w="1254"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最大贡献值</w:t>
            </w:r>
          </w:p>
        </w:tc>
        <w:tc>
          <w:tcPr>
            <w:tcW w:w="1778" w:type="dxa"/>
            <w:tcBorders>
              <w:top w:val="single" w:color="auto" w:sz="8" w:space="0"/>
              <w:left w:val="nil"/>
              <w:bottom w:val="single" w:color="auto"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出现时间</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占标率%</w:t>
            </w:r>
          </w:p>
        </w:tc>
        <w:tc>
          <w:tcPr>
            <w:tcW w:w="1164" w:type="dxa"/>
            <w:vMerge w:val="restart"/>
            <w:tcBorders>
              <w:top w:val="single" w:color="auto" w:sz="8" w:space="0"/>
              <w:left w:val="single" w:color="auto" w:sz="8" w:space="0"/>
              <w:bottom w:val="single" w:color="000000" w:sz="8" w:space="0"/>
              <w:right w:val="single" w:color="auto" w:sz="8" w:space="0"/>
            </w:tcBorders>
            <w:noWrap/>
            <w:vAlign w:val="center"/>
          </w:tcPr>
          <w:p>
            <w:pPr>
              <w:widowControl/>
              <w:jc w:val="center"/>
              <w:rPr>
                <w:rFonts w:ascii="Times New Roman" w:hAnsi="Times New Roman"/>
                <w:b/>
                <w:bCs/>
                <w:kern w:val="0"/>
                <w:sz w:val="18"/>
                <w:szCs w:val="18"/>
                <w:u w:val="single"/>
              </w:rPr>
            </w:pPr>
            <w:r>
              <w:rPr>
                <w:rFonts w:ascii="Times New Roman" w:hAnsi="Times New Roman"/>
                <w:b/>
                <w:bCs/>
                <w:kern w:val="0"/>
                <w:sz w:val="18"/>
                <w:szCs w:val="18"/>
                <w:u w:val="single"/>
              </w:rPr>
              <w:t>达标情况</w:t>
            </w:r>
          </w:p>
        </w:tc>
      </w:tr>
      <w:tr>
        <w:tblPrEx>
          <w:tblCellMar>
            <w:top w:w="0" w:type="dxa"/>
            <w:left w:w="108" w:type="dxa"/>
            <w:bottom w:w="0" w:type="dxa"/>
            <w:right w:w="108" w:type="dxa"/>
          </w:tblCellMar>
        </w:tblPrEx>
        <w:trPr>
          <w:trHeight w:val="284" w:hRule="atLeast"/>
          <w:tblHeader/>
        </w:trPr>
        <w:tc>
          <w:tcPr>
            <w:tcW w:w="2348" w:type="dxa"/>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000000"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254" w:type="dxa"/>
            <w:tcBorders>
              <w:top w:val="nil"/>
              <w:left w:val="nil"/>
              <w:bottom w:val="single" w:color="auto" w:sz="8" w:space="0"/>
              <w:right w:val="single" w:color="auto" w:sz="8" w:space="0"/>
            </w:tcBorders>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b/>
                <w:kern w:val="0"/>
                <w:sz w:val="18"/>
                <w:szCs w:val="18"/>
                <w:u w:val="single"/>
              </w:rPr>
            </w:pPr>
            <w:r>
              <w:rPr>
                <w:rFonts w:ascii="Times New Roman" w:hAnsi="Times New Roman"/>
                <w:b/>
                <w:kern w:val="0"/>
                <w:sz w:val="18"/>
                <w:szCs w:val="18"/>
                <w:u w:val="single"/>
              </w:rPr>
              <w:t>(YYMMDDHH)</w:t>
            </w: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c>
          <w:tcPr>
            <w:tcW w:w="1164"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b/>
                <w:bCs/>
                <w:kern w:val="0"/>
                <w:sz w:val="18"/>
                <w:szCs w:val="18"/>
                <w:u w:val="single"/>
              </w:rPr>
            </w:pP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泾港村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1.91E-03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17020405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姜畈村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1.80E-03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17060205</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白荆村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1.49E-03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17022723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红土村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2.91E-03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17110720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黄皋村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3.46E-03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17110808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陆城镇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2.29E-03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17010106</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望城村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3.60E-03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17081304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臣山村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2.56E-03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17030302</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7.85E-03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17122308</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长岭生活区</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5.23E-03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17101921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3.18E-03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17101921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南山村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4.03E-03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17110821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荆竹山村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4.04E-03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17021424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江湖村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2.79E-03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17031203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路口铺村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3.75E-03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17042420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临湘市</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2.62E-03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17080423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云溪镇</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1.89E-03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17030604</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双花村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8.60E-04</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17102301</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tcPr>
          <w:p>
            <w:pPr>
              <w:jc w:val="center"/>
              <w:rPr>
                <w:rFonts w:ascii="Times New Roman" w:hAnsi="Times New Roman"/>
                <w:szCs w:val="21"/>
                <w:u w:val="single"/>
              </w:rPr>
            </w:pPr>
            <w:r>
              <w:rPr>
                <w:rFonts w:ascii="Times New Roman" w:hAnsi="Times New Roman"/>
                <w:szCs w:val="21"/>
                <w:u w:val="single"/>
              </w:rPr>
              <w:t>和平村</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8.15E-03</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17012119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2348" w:type="dxa"/>
            <w:gridSpan w:val="2"/>
            <w:tcBorders>
              <w:top w:val="single" w:color="000000" w:sz="8" w:space="0"/>
              <w:left w:val="single" w:color="auto" w:sz="8" w:space="0"/>
              <w:bottom w:val="single" w:color="000000" w:sz="8" w:space="0"/>
              <w:right w:val="single" w:color="000000" w:sz="8" w:space="0"/>
            </w:tcBorders>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8.00E-05</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17122609</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r>
        <w:tblPrEx>
          <w:tblCellMar>
            <w:top w:w="0" w:type="dxa"/>
            <w:left w:w="108" w:type="dxa"/>
            <w:bottom w:w="0" w:type="dxa"/>
            <w:right w:w="108" w:type="dxa"/>
          </w:tblCellMar>
        </w:tblPrEx>
        <w:trPr>
          <w:trHeight w:val="284" w:hRule="atLeast"/>
        </w:trPr>
        <w:tc>
          <w:tcPr>
            <w:tcW w:w="1433" w:type="dxa"/>
            <w:tcBorders>
              <w:top w:val="nil"/>
              <w:left w:val="single" w:color="auto" w:sz="8" w:space="0"/>
              <w:bottom w:val="single" w:color="000000"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网格（区域最大落地浓度）</w:t>
            </w:r>
          </w:p>
        </w:tc>
        <w:tc>
          <w:tcPr>
            <w:tcW w:w="915" w:type="dxa"/>
            <w:tcBorders>
              <w:top w:val="nil"/>
              <w:left w:val="nil"/>
              <w:bottom w:val="single" w:color="auto" w:sz="8" w:space="0"/>
              <w:right w:val="single" w:color="auto" w:sz="8" w:space="0"/>
            </w:tcBorders>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200， 0</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25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2.49E-01</w:t>
            </w:r>
          </w:p>
        </w:tc>
        <w:tc>
          <w:tcPr>
            <w:tcW w:w="1778"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17022603</w:t>
            </w:r>
          </w:p>
        </w:tc>
        <w:tc>
          <w:tcPr>
            <w:tcW w:w="1164" w:type="dxa"/>
            <w:tcBorders>
              <w:top w:val="nil"/>
              <w:left w:val="nil"/>
              <w:bottom w:val="single" w:color="auto" w:sz="8" w:space="0"/>
              <w:right w:val="single" w:color="auto" w:sz="8"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0.12</w:t>
            </w:r>
          </w:p>
        </w:tc>
        <w:tc>
          <w:tcPr>
            <w:tcW w:w="1164" w:type="dxa"/>
            <w:tcBorders>
              <w:top w:val="nil"/>
              <w:left w:val="nil"/>
              <w:bottom w:val="single" w:color="auto" w:sz="8" w:space="0"/>
              <w:right w:val="single" w:color="auto" w:sz="8" w:space="0"/>
            </w:tcBorders>
            <w:noWrap/>
            <w:vAlign w:val="center"/>
          </w:tcPr>
          <w:p>
            <w:pPr>
              <w:jc w:val="center"/>
              <w:rPr>
                <w:rFonts w:ascii="Times New Roman" w:hAnsi="Times New Roman"/>
                <w:u w:val="single"/>
              </w:rPr>
            </w:pPr>
            <w:r>
              <w:rPr>
                <w:rFonts w:ascii="Times New Roman" w:hAnsi="Times New Roman"/>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由上表的预测结果可以看出，项目对各敏感点的氨小时浓度贡献值及区域最大落地浓度的氨小时浓度贡献值均满足《环境影响评价技术导则  大气环境》（HJ2.2-2018）附录D的浓度限值要求。</w:t>
      </w:r>
    </w:p>
    <w:p>
      <w:pPr>
        <w:spacing w:line="360" w:lineRule="auto"/>
        <w:jc w:val="center"/>
        <w:rPr>
          <w:rFonts w:ascii="Times New Roman" w:hAnsi="Times New Roman"/>
          <w:sz w:val="24"/>
          <w:szCs w:val="24"/>
          <w:u w:val="single"/>
        </w:rPr>
      </w:pPr>
      <w:r>
        <w:rPr>
          <w:rFonts w:ascii="Times New Roman" w:hAnsi="Times New Roman"/>
          <w:u w:val="single"/>
        </w:rPr>
        <w:drawing>
          <wp:inline distT="0" distB="0" distL="114300" distR="114300">
            <wp:extent cx="5095875" cy="3943350"/>
            <wp:effectExtent l="0" t="0" r="9525" b="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42"/>
                    <a:stretch>
                      <a:fillRect/>
                    </a:stretch>
                  </pic:blipFill>
                  <pic:spPr>
                    <a:xfrm>
                      <a:off x="0" y="0"/>
                      <a:ext cx="5095875" cy="3943350"/>
                    </a:xfrm>
                    <a:prstGeom prst="rect">
                      <a:avLst/>
                    </a:prstGeom>
                    <a:noFill/>
                    <a:ln>
                      <a:noFill/>
                    </a:ln>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图6.1.1.13</w:t>
      </w:r>
      <w:r>
        <w:rPr>
          <w:rFonts w:ascii="Times New Roman" w:hAnsi="Times New Roman" w:cs="Times New Roman"/>
          <w:b/>
          <w:sz w:val="24"/>
          <w:szCs w:val="24"/>
          <w:u w:val="single"/>
        </w:rPr>
        <w:t xml:space="preserve">  氨小时贡献浓度分布图</w:t>
      </w:r>
    </w:p>
    <w:p>
      <w:pPr>
        <w:tabs>
          <w:tab w:val="left" w:pos="567"/>
          <w:tab w:val="left" w:pos="851"/>
          <w:tab w:val="left" w:pos="1134"/>
        </w:tabs>
        <w:adjustRightInd w:val="0"/>
        <w:spacing w:line="360" w:lineRule="auto"/>
        <w:jc w:val="left"/>
        <w:outlineLvl w:val="4"/>
        <w:rPr>
          <w:rFonts w:ascii="Times New Roman" w:hAnsi="Times New Roman"/>
          <w:b/>
          <w:sz w:val="28"/>
          <w:szCs w:val="28"/>
          <w:u w:val="single"/>
        </w:rPr>
      </w:pPr>
      <w:r>
        <w:rPr>
          <w:rFonts w:ascii="Times New Roman" w:hAnsi="Times New Roman"/>
          <w:b/>
          <w:sz w:val="28"/>
          <w:szCs w:val="28"/>
          <w:u w:val="single"/>
        </w:rPr>
        <w:t>6.1.6.2叠加后环境质量浓度预测结果表</w:t>
      </w:r>
    </w:p>
    <w:p>
      <w:pPr>
        <w:widowControl/>
        <w:spacing w:line="360" w:lineRule="auto"/>
        <w:ind w:firstLine="480" w:firstLineChars="200"/>
        <w:jc w:val="left"/>
        <w:rPr>
          <w:rFonts w:ascii="Times New Roman" w:hAnsi="Times New Roman"/>
          <w:kern w:val="0"/>
          <w:sz w:val="24"/>
          <w:szCs w:val="24"/>
          <w:u w:val="single"/>
        </w:rPr>
      </w:pPr>
      <w:r>
        <w:rPr>
          <w:rFonts w:ascii="Times New Roman" w:hAnsi="Times New Roman"/>
          <w:kern w:val="0"/>
          <w:sz w:val="24"/>
          <w:szCs w:val="24"/>
          <w:u w:val="single"/>
        </w:rPr>
        <w:t>岳阳市2017年度环境空气污染因子PM</w:t>
      </w:r>
      <w:r>
        <w:rPr>
          <w:rFonts w:ascii="Times New Roman" w:hAnsi="Times New Roman"/>
          <w:kern w:val="0"/>
          <w:sz w:val="24"/>
          <w:szCs w:val="24"/>
          <w:u w:val="single"/>
          <w:vertAlign w:val="subscript"/>
        </w:rPr>
        <w:t>10</w:t>
      </w:r>
      <w:r>
        <w:rPr>
          <w:rFonts w:ascii="Times New Roman" w:hAnsi="Times New Roman"/>
          <w:kern w:val="0"/>
          <w:sz w:val="24"/>
          <w:szCs w:val="24"/>
          <w:u w:val="single"/>
        </w:rPr>
        <w:t>及PM</w:t>
      </w:r>
      <w:r>
        <w:rPr>
          <w:rFonts w:ascii="Times New Roman" w:hAnsi="Times New Roman"/>
          <w:kern w:val="0"/>
          <w:sz w:val="24"/>
          <w:szCs w:val="24"/>
          <w:u w:val="single"/>
          <w:vertAlign w:val="subscript"/>
        </w:rPr>
        <w:t>2.5</w:t>
      </w:r>
      <w:r>
        <w:rPr>
          <w:rFonts w:ascii="Times New Roman" w:hAnsi="Times New Roman"/>
          <w:kern w:val="0"/>
          <w:sz w:val="24"/>
          <w:szCs w:val="24"/>
          <w:u w:val="single"/>
        </w:rPr>
        <w:t>超标，为环境空气质量不达标区，根据《环境影响评价技术导则 大气环境》（HJ2.2-2018），本项目评价因子中的SO</w:t>
      </w:r>
      <w:r>
        <w:rPr>
          <w:rFonts w:ascii="Times New Roman" w:hAnsi="Times New Roman"/>
          <w:kern w:val="0"/>
          <w:sz w:val="24"/>
          <w:szCs w:val="24"/>
          <w:u w:val="single"/>
          <w:vertAlign w:val="subscript"/>
        </w:rPr>
        <w:t>2</w:t>
      </w:r>
      <w:r>
        <w:rPr>
          <w:rFonts w:ascii="Times New Roman" w:hAnsi="Times New Roman"/>
          <w:kern w:val="0"/>
          <w:sz w:val="24"/>
          <w:szCs w:val="24"/>
          <w:u w:val="single"/>
        </w:rPr>
        <w:t>、NO</w:t>
      </w:r>
      <w:r>
        <w:rPr>
          <w:rFonts w:ascii="Times New Roman" w:hAnsi="Times New Roman"/>
          <w:kern w:val="0"/>
          <w:sz w:val="24"/>
          <w:szCs w:val="24"/>
          <w:u w:val="single"/>
          <w:vertAlign w:val="subscript"/>
        </w:rPr>
        <w:t>2</w:t>
      </w:r>
      <w:r>
        <w:rPr>
          <w:rFonts w:ascii="Times New Roman" w:hAnsi="Times New Roman"/>
          <w:kern w:val="0"/>
          <w:sz w:val="24"/>
          <w:szCs w:val="24"/>
          <w:u w:val="single"/>
        </w:rPr>
        <w:t>为现状达标因子，PM</w:t>
      </w:r>
      <w:r>
        <w:rPr>
          <w:rFonts w:ascii="Times New Roman" w:hAnsi="Times New Roman"/>
          <w:kern w:val="0"/>
          <w:sz w:val="24"/>
          <w:szCs w:val="24"/>
          <w:u w:val="single"/>
          <w:vertAlign w:val="subscript"/>
        </w:rPr>
        <w:t>10</w:t>
      </w:r>
      <w:r>
        <w:rPr>
          <w:rFonts w:ascii="Times New Roman" w:hAnsi="Times New Roman"/>
          <w:kern w:val="0"/>
          <w:sz w:val="24"/>
          <w:szCs w:val="24"/>
          <w:u w:val="single"/>
        </w:rPr>
        <w:t>为现状不达标因子。对于现状达标因子SO</w:t>
      </w:r>
      <w:r>
        <w:rPr>
          <w:rFonts w:ascii="Times New Roman" w:hAnsi="Times New Roman"/>
          <w:kern w:val="0"/>
          <w:sz w:val="24"/>
          <w:szCs w:val="24"/>
          <w:u w:val="single"/>
          <w:vertAlign w:val="subscript"/>
        </w:rPr>
        <w:t>2</w:t>
      </w:r>
      <w:r>
        <w:rPr>
          <w:rFonts w:ascii="Times New Roman" w:hAnsi="Times New Roman"/>
          <w:kern w:val="0"/>
          <w:sz w:val="24"/>
          <w:szCs w:val="24"/>
          <w:u w:val="single"/>
        </w:rPr>
        <w:t>和NO</w:t>
      </w:r>
      <w:r>
        <w:rPr>
          <w:rFonts w:ascii="Times New Roman" w:hAnsi="Times New Roman"/>
          <w:kern w:val="0"/>
          <w:sz w:val="24"/>
          <w:szCs w:val="24"/>
          <w:u w:val="single"/>
          <w:vertAlign w:val="subscript"/>
        </w:rPr>
        <w:t>2</w:t>
      </w:r>
      <w:r>
        <w:rPr>
          <w:rFonts w:ascii="Times New Roman" w:hAnsi="Times New Roman"/>
          <w:kern w:val="0"/>
          <w:sz w:val="24"/>
          <w:szCs w:val="24"/>
          <w:u w:val="single"/>
        </w:rPr>
        <w:t>，叠加新增污染源贡献浓度、削减污染源以及在建、拟建项目的环境影响后的保证率日均浓度和年平均浓度进行评价；二噁英、镍无年均背景浓度，不进行背景浓度叠加；对于现状达标因子硫化氢和氨，其仅有短期浓度，叠加补充监测的短期浓度进行评价。对于不达标因子PM</w:t>
      </w:r>
      <w:r>
        <w:rPr>
          <w:rFonts w:ascii="Times New Roman" w:hAnsi="Times New Roman"/>
          <w:kern w:val="0"/>
          <w:sz w:val="24"/>
          <w:szCs w:val="24"/>
          <w:u w:val="single"/>
          <w:vertAlign w:val="subscript"/>
        </w:rPr>
        <w:t>10</w:t>
      </w:r>
      <w:r>
        <w:rPr>
          <w:rFonts w:ascii="Times New Roman" w:hAnsi="Times New Roman"/>
          <w:kern w:val="0"/>
          <w:sz w:val="24"/>
          <w:szCs w:val="24"/>
          <w:u w:val="single"/>
        </w:rPr>
        <w:t>，由于目前岳阳市暂未制定环境空气质量达标规划，评价区域环境质量的整体变化情况。</w:t>
      </w:r>
    </w:p>
    <w:p>
      <w:pPr>
        <w:widowControl/>
        <w:spacing w:line="360" w:lineRule="auto"/>
        <w:ind w:firstLine="480" w:firstLineChars="200"/>
        <w:jc w:val="left"/>
        <w:rPr>
          <w:rFonts w:ascii="Times New Roman" w:hAnsi="Times New Roman"/>
          <w:kern w:val="0"/>
          <w:sz w:val="24"/>
          <w:szCs w:val="24"/>
          <w:u w:val="single"/>
        </w:rPr>
      </w:pPr>
      <w:r>
        <w:rPr>
          <w:rFonts w:ascii="Times New Roman" w:hAnsi="Times New Roman"/>
          <w:kern w:val="0"/>
          <w:sz w:val="24"/>
          <w:szCs w:val="24"/>
          <w:u w:val="single"/>
        </w:rPr>
        <w:t>本项目各预测因子叠加环境影响预测方案如下：</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表6.1.6.2-1 叠加影响预测方案表</w:t>
      </w:r>
    </w:p>
    <w:tbl>
      <w:tblPr>
        <w:tblStyle w:val="45"/>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3118"/>
        <w:gridCol w:w="184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3" w:type="dxa"/>
            <w:noWrap/>
            <w:vAlign w:val="center"/>
          </w:tcPr>
          <w:p>
            <w:pPr>
              <w:widowControl/>
              <w:spacing w:before="60" w:beforeLines="25" w:after="60" w:afterLines="25"/>
              <w:jc w:val="center"/>
              <w:rPr>
                <w:rFonts w:ascii="Times New Roman" w:hAnsi="Times New Roman"/>
                <w:b/>
                <w:kern w:val="0"/>
                <w:szCs w:val="21"/>
                <w:u w:val="single"/>
              </w:rPr>
            </w:pPr>
            <w:r>
              <w:rPr>
                <w:rFonts w:ascii="Times New Roman" w:hAnsi="Times New Roman"/>
                <w:b/>
                <w:kern w:val="0"/>
                <w:szCs w:val="21"/>
                <w:u w:val="single"/>
              </w:rPr>
              <w:t>评价因子</w:t>
            </w:r>
          </w:p>
        </w:tc>
        <w:tc>
          <w:tcPr>
            <w:tcW w:w="3118" w:type="dxa"/>
            <w:noWrap/>
            <w:vAlign w:val="center"/>
          </w:tcPr>
          <w:p>
            <w:pPr>
              <w:widowControl/>
              <w:spacing w:before="60" w:beforeLines="25" w:after="60" w:afterLines="25"/>
              <w:jc w:val="center"/>
              <w:rPr>
                <w:rFonts w:ascii="Times New Roman" w:hAnsi="Times New Roman"/>
                <w:b/>
                <w:kern w:val="0"/>
                <w:szCs w:val="21"/>
                <w:u w:val="single"/>
              </w:rPr>
            </w:pPr>
            <w:r>
              <w:rPr>
                <w:rFonts w:ascii="Times New Roman" w:hAnsi="Times New Roman"/>
                <w:b/>
                <w:kern w:val="0"/>
                <w:szCs w:val="21"/>
                <w:u w:val="single"/>
              </w:rPr>
              <w:t>污染源</w:t>
            </w:r>
          </w:p>
        </w:tc>
        <w:tc>
          <w:tcPr>
            <w:tcW w:w="1843" w:type="dxa"/>
            <w:noWrap/>
            <w:vAlign w:val="center"/>
          </w:tcPr>
          <w:p>
            <w:pPr>
              <w:widowControl/>
              <w:spacing w:before="60" w:beforeLines="25" w:after="60" w:afterLines="25"/>
              <w:jc w:val="center"/>
              <w:rPr>
                <w:rFonts w:ascii="Times New Roman" w:hAnsi="Times New Roman"/>
                <w:b/>
                <w:kern w:val="0"/>
                <w:szCs w:val="21"/>
                <w:u w:val="single"/>
              </w:rPr>
            </w:pPr>
            <w:r>
              <w:rPr>
                <w:rFonts w:ascii="Times New Roman" w:hAnsi="Times New Roman"/>
                <w:b/>
                <w:kern w:val="0"/>
                <w:szCs w:val="21"/>
                <w:u w:val="single"/>
              </w:rPr>
              <w:t>背景浓度来源</w:t>
            </w:r>
          </w:p>
        </w:tc>
        <w:tc>
          <w:tcPr>
            <w:tcW w:w="2410" w:type="dxa"/>
            <w:noWrap/>
            <w:vAlign w:val="center"/>
          </w:tcPr>
          <w:p>
            <w:pPr>
              <w:widowControl/>
              <w:spacing w:before="60" w:beforeLines="25" w:after="60" w:afterLines="25"/>
              <w:jc w:val="center"/>
              <w:rPr>
                <w:rFonts w:ascii="Times New Roman" w:hAnsi="Times New Roman"/>
                <w:b/>
                <w:kern w:val="0"/>
                <w:szCs w:val="21"/>
                <w:u w:val="single"/>
              </w:rPr>
            </w:pPr>
            <w:r>
              <w:rPr>
                <w:rFonts w:ascii="Times New Roman" w:hAnsi="Times New Roman"/>
                <w:b/>
                <w:kern w:val="0"/>
                <w:szCs w:val="21"/>
                <w:u w:val="single"/>
              </w:rPr>
              <w:t>预测时段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SO</w:t>
            </w:r>
            <w:r>
              <w:rPr>
                <w:rFonts w:ascii="Times New Roman" w:hAnsi="Times New Roman"/>
                <w:kern w:val="0"/>
                <w:szCs w:val="21"/>
                <w:u w:val="single"/>
                <w:vertAlign w:val="subscript"/>
              </w:rPr>
              <w:t>2</w:t>
            </w:r>
            <w:r>
              <w:rPr>
                <w:rFonts w:ascii="Times New Roman" w:hAnsi="Times New Roman"/>
                <w:kern w:val="0"/>
                <w:szCs w:val="21"/>
                <w:u w:val="single"/>
              </w:rPr>
              <w:t>、NO</w:t>
            </w:r>
            <w:r>
              <w:rPr>
                <w:rFonts w:ascii="Times New Roman" w:hAnsi="Times New Roman"/>
                <w:kern w:val="0"/>
                <w:szCs w:val="21"/>
                <w:u w:val="single"/>
                <w:vertAlign w:val="subscript"/>
              </w:rPr>
              <w:t>2</w:t>
            </w:r>
          </w:p>
        </w:tc>
        <w:tc>
          <w:tcPr>
            <w:tcW w:w="3118"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新增污染源 — “以新带老”污染源 + 其他在建、拟建污染源</w:t>
            </w:r>
          </w:p>
        </w:tc>
        <w:tc>
          <w:tcPr>
            <w:tcW w:w="184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2017年现状监测值</w:t>
            </w:r>
          </w:p>
        </w:tc>
        <w:tc>
          <w:tcPr>
            <w:tcW w:w="2410"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保证率的日均浓度和年均浓度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二噁英、镍*</w:t>
            </w:r>
            <w:r>
              <w:rPr>
                <w:rFonts w:ascii="Times New Roman" w:hAnsi="Times New Roman"/>
                <w:kern w:val="0"/>
                <w:szCs w:val="21"/>
                <w:u w:val="single"/>
                <w:vertAlign w:val="superscript"/>
              </w:rPr>
              <w:t>注</w:t>
            </w:r>
          </w:p>
        </w:tc>
        <w:tc>
          <w:tcPr>
            <w:tcW w:w="3118"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新增污染源 — “以新带老”污染源 + 其他在建、拟建污染源</w:t>
            </w:r>
          </w:p>
        </w:tc>
        <w:tc>
          <w:tcPr>
            <w:tcW w:w="184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无年均背景浓度</w:t>
            </w:r>
          </w:p>
        </w:tc>
        <w:tc>
          <w:tcPr>
            <w:tcW w:w="2410"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年均浓度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硫化氢、氨</w:t>
            </w:r>
          </w:p>
        </w:tc>
        <w:tc>
          <w:tcPr>
            <w:tcW w:w="3118"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新增污染源  — “以新带老”污染源（无）+其他在建、拟建污染源</w:t>
            </w:r>
          </w:p>
        </w:tc>
        <w:tc>
          <w:tcPr>
            <w:tcW w:w="184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监测值</w:t>
            </w:r>
          </w:p>
        </w:tc>
        <w:tc>
          <w:tcPr>
            <w:tcW w:w="2410"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1小时浓度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3" w:type="dxa"/>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PM</w:t>
            </w:r>
            <w:r>
              <w:rPr>
                <w:rFonts w:ascii="Times New Roman" w:hAnsi="Times New Roman"/>
                <w:kern w:val="0"/>
                <w:szCs w:val="21"/>
                <w:u w:val="single"/>
                <w:vertAlign w:val="subscript"/>
              </w:rPr>
              <w:t>10</w:t>
            </w:r>
          </w:p>
        </w:tc>
        <w:tc>
          <w:tcPr>
            <w:tcW w:w="7371" w:type="dxa"/>
            <w:gridSpan w:val="3"/>
            <w:vAlign w:val="center"/>
          </w:tcPr>
          <w:p>
            <w:pPr>
              <w:widowControl/>
              <w:spacing w:before="60" w:beforeLines="25" w:after="60" w:afterLines="25"/>
              <w:jc w:val="center"/>
              <w:rPr>
                <w:rFonts w:ascii="Times New Roman" w:hAnsi="Times New Roman"/>
                <w:kern w:val="0"/>
                <w:szCs w:val="21"/>
                <w:u w:val="single"/>
              </w:rPr>
            </w:pPr>
            <w:r>
              <w:rPr>
                <w:rFonts w:ascii="Times New Roman" w:hAnsi="Times New Roman"/>
                <w:kern w:val="0"/>
                <w:szCs w:val="21"/>
                <w:u w:val="single"/>
              </w:rPr>
              <w:t>区域环境质量的整体变化情况</w:t>
            </w:r>
          </w:p>
        </w:tc>
      </w:tr>
    </w:tbl>
    <w:p>
      <w:pPr>
        <w:ind w:firstLine="420" w:firstLineChars="200"/>
        <w:rPr>
          <w:rFonts w:ascii="Times New Roman" w:hAnsi="Times New Roman"/>
          <w:szCs w:val="24"/>
          <w:u w:val="single"/>
        </w:rPr>
      </w:pPr>
      <w:r>
        <w:rPr>
          <w:rFonts w:ascii="Times New Roman" w:hAnsi="Times New Roman"/>
          <w:szCs w:val="24"/>
          <w:u w:val="single"/>
        </w:rPr>
        <w:t>注：其中镍无区域在建拟建、无年均背景浓度，不进行叠加</w:t>
      </w:r>
    </w:p>
    <w:p>
      <w:pPr>
        <w:spacing w:before="120" w:beforeLines="50" w:line="360" w:lineRule="auto"/>
        <w:ind w:firstLine="480" w:firstLineChars="200"/>
        <w:rPr>
          <w:rFonts w:ascii="Times New Roman" w:hAnsi="Times New Roman"/>
          <w:sz w:val="24"/>
          <w:szCs w:val="24"/>
          <w:u w:val="single"/>
        </w:rPr>
      </w:pPr>
      <w:r>
        <w:rPr>
          <w:rFonts w:ascii="Times New Roman" w:hAnsi="Times New Roman"/>
          <w:sz w:val="24"/>
          <w:szCs w:val="24"/>
          <w:u w:val="single"/>
        </w:rPr>
        <w:t>最不利预测情景下，本项目对各环境空气保护目标和区域网格点主要污染物的叠加浓度预测结果如下：</w:t>
      </w:r>
    </w:p>
    <w:p>
      <w:pPr>
        <w:spacing w:line="360" w:lineRule="auto"/>
        <w:outlineLvl w:val="5"/>
        <w:rPr>
          <w:rFonts w:ascii="Times New Roman" w:hAnsi="Times New Roman"/>
          <w:b/>
          <w:sz w:val="24"/>
          <w:szCs w:val="24"/>
          <w:u w:val="single"/>
        </w:rPr>
      </w:pPr>
      <w:r>
        <w:rPr>
          <w:rFonts w:ascii="Times New Roman" w:hAnsi="Times New Roman"/>
          <w:b/>
          <w:sz w:val="24"/>
          <w:szCs w:val="24"/>
          <w:u w:val="single"/>
        </w:rPr>
        <w:t>1、SO</w:t>
      </w:r>
      <w:r>
        <w:rPr>
          <w:rFonts w:ascii="Times New Roman" w:hAnsi="Times New Roman"/>
          <w:b/>
          <w:sz w:val="24"/>
          <w:szCs w:val="24"/>
          <w:u w:val="single"/>
          <w:vertAlign w:val="subscript"/>
        </w:rPr>
        <w:t>2</w:t>
      </w:r>
      <w:r>
        <w:rPr>
          <w:rFonts w:ascii="Times New Roman" w:hAnsi="Times New Roman"/>
          <w:b/>
          <w:sz w:val="24"/>
          <w:szCs w:val="24"/>
          <w:u w:val="single"/>
        </w:rPr>
        <w:t>叠加浓度预测结果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表6.1.6.2-2 项目SO</w:t>
      </w:r>
      <w:r>
        <w:rPr>
          <w:rFonts w:ascii="Times New Roman" w:hAnsi="Times New Roman"/>
          <w:b/>
          <w:sz w:val="24"/>
          <w:szCs w:val="20"/>
          <w:u w:val="single"/>
          <w:vertAlign w:val="subscript"/>
        </w:rPr>
        <w:t>2</w:t>
      </w:r>
      <w:r>
        <w:rPr>
          <w:rFonts w:ascii="Times New Roman" w:hAnsi="Times New Roman"/>
          <w:b/>
          <w:sz w:val="24"/>
          <w:szCs w:val="20"/>
          <w:u w:val="single"/>
        </w:rPr>
        <w:t>叠加后环境质量浓度预测结果表</w:t>
      </w:r>
    </w:p>
    <w:tbl>
      <w:tblPr>
        <w:tblStyle w:val="45"/>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22"/>
        <w:gridCol w:w="1209"/>
        <w:gridCol w:w="1214"/>
        <w:gridCol w:w="1272"/>
        <w:gridCol w:w="1078"/>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5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预测点名称</w:t>
            </w:r>
          </w:p>
        </w:tc>
        <w:tc>
          <w:tcPr>
            <w:tcW w:w="182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浓度类型</w:t>
            </w:r>
          </w:p>
        </w:tc>
        <w:tc>
          <w:tcPr>
            <w:tcW w:w="1209"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浓度增量(ug/m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14"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背景浓度(</w:t>
            </w:r>
          </w:p>
          <w:p>
            <w:pPr>
              <w:widowControl/>
              <w:jc w:val="center"/>
              <w:rPr>
                <w:rFonts w:ascii="Times New Roman" w:hAnsi="Times New Roman"/>
                <w:b/>
                <w:kern w:val="0"/>
                <w:sz w:val="20"/>
                <w:szCs w:val="20"/>
                <w:u w:val="single"/>
              </w:rPr>
            </w:pPr>
            <w:r>
              <w:rPr>
                <w:rFonts w:ascii="Times New Roman" w:hAnsi="Times New Roman"/>
                <w:b/>
                <w:kern w:val="0"/>
                <w:sz w:val="20"/>
                <w:szCs w:val="20"/>
                <w:u w:val="single"/>
              </w:rPr>
              <w:t>ug/m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7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叠加后的浓度(ug/m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078" w:type="dxa"/>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(叠加后)</w:t>
            </w:r>
          </w:p>
        </w:tc>
        <w:tc>
          <w:tcPr>
            <w:tcW w:w="856"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泾港村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0.009199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24.0092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姜畈村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0.002243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24.00224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白荆村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0.011629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24.01163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红土村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0.008198</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24.0082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黄皋村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0.02153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24.02153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陆城镇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0.048866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24.04887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16.03</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望城村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0.175671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24.17567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16.12</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臣山村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0.076283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24.07628</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16.05</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0.005917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24.00592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长岭生活区</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0.07238</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24.07238</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16.05</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0.018932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24.01893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0.015701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24.0157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0.00116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24.00116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江湖村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0.00742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24.00742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路口铺村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0.00371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24.00371</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临湘市</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0.000193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24.00019</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云溪镇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0.008219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24.00822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双花村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0.006617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24.00662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和平村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0.157847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24.15785</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16.11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0.056049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24.05605</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16.04</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tcBorders>
              <w:bottom w:val="double" w:color="auto" w:sz="4" w:space="0"/>
            </w:tcBorders>
            <w:noWrap/>
            <w:vAlign w:val="center"/>
          </w:tcPr>
          <w:p>
            <w:pPr>
              <w:jc w:val="center"/>
              <w:rPr>
                <w:rFonts w:ascii="Times New Roman" w:hAnsi="Times New Roman"/>
                <w:sz w:val="20"/>
                <w:szCs w:val="20"/>
                <w:u w:val="single"/>
              </w:rPr>
            </w:pPr>
            <w:r>
              <w:rPr>
                <w:rFonts w:ascii="Times New Roman" w:hAnsi="Times New Roman"/>
                <w:sz w:val="20"/>
                <w:szCs w:val="20"/>
                <w:u w:val="single"/>
              </w:rPr>
              <w:t>区域最大落地浓度网格（-700,800）</w:t>
            </w:r>
          </w:p>
        </w:tc>
        <w:tc>
          <w:tcPr>
            <w:tcW w:w="1822" w:type="dxa"/>
            <w:tcBorders>
              <w:bottom w:val="double" w:color="auto" w:sz="4" w:space="0"/>
            </w:tcBorders>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2.817337</w:t>
            </w:r>
          </w:p>
        </w:tc>
        <w:tc>
          <w:tcPr>
            <w:tcW w:w="1214"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25</w:t>
            </w:r>
          </w:p>
        </w:tc>
        <w:tc>
          <w:tcPr>
            <w:tcW w:w="1272"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27.81734</w:t>
            </w:r>
          </w:p>
        </w:tc>
        <w:tc>
          <w:tcPr>
            <w:tcW w:w="1078"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18.54</w:t>
            </w:r>
          </w:p>
        </w:tc>
        <w:tc>
          <w:tcPr>
            <w:tcW w:w="856" w:type="dxa"/>
            <w:tcBorders>
              <w:bottom w:val="double" w:color="auto" w:sz="4" w:space="0"/>
            </w:tcBorders>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tcBorders>
              <w:top w:val="double" w:color="auto" w:sz="4" w:space="0"/>
            </w:tcBorders>
            <w:noWrap/>
            <w:vAlign w:val="center"/>
          </w:tcPr>
          <w:p>
            <w:pPr>
              <w:jc w:val="center"/>
              <w:rPr>
                <w:rFonts w:ascii="Times New Roman" w:hAnsi="Times New Roman"/>
                <w:szCs w:val="21"/>
                <w:u w:val="single"/>
              </w:rPr>
            </w:pPr>
            <w:r>
              <w:rPr>
                <w:rFonts w:ascii="Times New Roman" w:hAnsi="Times New Roman"/>
                <w:szCs w:val="21"/>
                <w:u w:val="single"/>
              </w:rPr>
              <w:t>泾港村</w:t>
            </w:r>
          </w:p>
        </w:tc>
        <w:tc>
          <w:tcPr>
            <w:tcW w:w="1822" w:type="dxa"/>
            <w:tcBorders>
              <w:top w:val="double" w:color="auto" w:sz="4" w:space="0"/>
            </w:tcBorders>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0.01172</w:t>
            </w:r>
          </w:p>
        </w:tc>
        <w:tc>
          <w:tcPr>
            <w:tcW w:w="1214"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8.674733</w:t>
            </w:r>
          </w:p>
        </w:tc>
        <w:tc>
          <w:tcPr>
            <w:tcW w:w="1078"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14.46</w:t>
            </w:r>
          </w:p>
        </w:tc>
        <w:tc>
          <w:tcPr>
            <w:tcW w:w="856" w:type="dxa"/>
            <w:tcBorders>
              <w:top w:val="double" w:color="auto" w:sz="4" w:space="0"/>
            </w:tcBorders>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姜畈村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0.0172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8.680214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14.47</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白荆村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0.01101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8.674024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红土村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0.01172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8.674733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黄皋村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0.02643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8.689444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14.48</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陆城镇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0.01293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8.675943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望城村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0.05025</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8.713264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14.52</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臣山村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0.02164</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8.684653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14.47</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0.01231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8.675323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长岭生活区</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0.07146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8.734473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14.56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0.02758</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8.690594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14.48</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0.05474</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8.717753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14.53</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0.00953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8.672544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14.45</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江湖村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0.01721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8.680223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14.47</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路口铺村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0.01876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8.681773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14.47</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临湘市</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0.00613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8.669144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14.45</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云溪镇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0.02054</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8.683554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14.47</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双花村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0.04032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8.703334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14.51</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和平村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0.09463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8.757644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14.6</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0.01677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8.679784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14.47</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 w:val="20"/>
                <w:szCs w:val="20"/>
                <w:u w:val="single"/>
              </w:rPr>
            </w:pPr>
            <w:r>
              <w:rPr>
                <w:rFonts w:ascii="Times New Roman" w:hAnsi="Times New Roman"/>
                <w:sz w:val="20"/>
                <w:szCs w:val="20"/>
                <w:u w:val="single"/>
              </w:rPr>
              <w:t>区域最大落地浓度网格（-800,700）</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3.03717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8.663013</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11.70018</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19.5</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bl>
    <w:p>
      <w:pPr>
        <w:spacing w:line="360" w:lineRule="auto"/>
        <w:ind w:firstLine="442"/>
        <w:rPr>
          <w:rFonts w:ascii="Times New Roman" w:hAnsi="Times New Roman"/>
          <w:sz w:val="24"/>
          <w:szCs w:val="24"/>
          <w:u w:val="single"/>
        </w:rPr>
      </w:pPr>
      <w:r>
        <w:rPr>
          <w:rFonts w:ascii="Times New Roman" w:hAnsi="Times New Roman"/>
          <w:kern w:val="0"/>
          <w:sz w:val="24"/>
          <w:szCs w:val="24"/>
          <w:u w:val="single"/>
        </w:rPr>
        <w:t>由上表的预测结果可知，SO</w:t>
      </w:r>
      <w:r>
        <w:rPr>
          <w:rFonts w:ascii="Times New Roman" w:hAnsi="Times New Roman"/>
          <w:kern w:val="0"/>
          <w:sz w:val="24"/>
          <w:szCs w:val="24"/>
          <w:u w:val="single"/>
          <w:vertAlign w:val="subscript"/>
        </w:rPr>
        <w:t>2</w:t>
      </w:r>
      <w:r>
        <w:rPr>
          <w:rFonts w:ascii="Times New Roman" w:hAnsi="Times New Roman"/>
          <w:kern w:val="0"/>
          <w:sz w:val="24"/>
          <w:szCs w:val="24"/>
          <w:u w:val="single"/>
        </w:rPr>
        <w:t>对</w:t>
      </w:r>
      <w:r>
        <w:rPr>
          <w:rFonts w:ascii="Times New Roman" w:hAnsi="Times New Roman"/>
          <w:sz w:val="24"/>
          <w:szCs w:val="24"/>
          <w:u w:val="single"/>
        </w:rPr>
        <w:t>各敏感点和厂界范围外区域网格最大落地浓度</w:t>
      </w:r>
      <w:r>
        <w:rPr>
          <w:rFonts w:ascii="Times New Roman" w:hAnsi="Times New Roman"/>
          <w:kern w:val="0"/>
          <w:sz w:val="24"/>
          <w:szCs w:val="24"/>
          <w:u w:val="single"/>
        </w:rPr>
        <w:t>的98%保证率</w:t>
      </w:r>
      <w:r>
        <w:rPr>
          <w:rFonts w:ascii="Times New Roman" w:hAnsi="Times New Roman"/>
          <w:sz w:val="24"/>
          <w:szCs w:val="24"/>
          <w:u w:val="single"/>
        </w:rPr>
        <w:t>日均浓度和年均浓度</w:t>
      </w:r>
      <w:r>
        <w:rPr>
          <w:rFonts w:ascii="Times New Roman" w:hAnsi="Times New Roman"/>
          <w:kern w:val="0"/>
          <w:sz w:val="24"/>
          <w:szCs w:val="24"/>
          <w:u w:val="single"/>
        </w:rPr>
        <w:t>叠加背景值后</w:t>
      </w:r>
      <w:r>
        <w:rPr>
          <w:rFonts w:ascii="Times New Roman" w:hAnsi="Times New Roman"/>
          <w:sz w:val="24"/>
          <w:szCs w:val="24"/>
          <w:u w:val="single"/>
        </w:rPr>
        <w:t>均满足《环境空气质量标准》(GB3095-2012)二级标准限值。</w:t>
      </w:r>
    </w:p>
    <w:p>
      <w:pPr>
        <w:spacing w:line="360" w:lineRule="auto"/>
        <w:jc w:val="center"/>
        <w:rPr>
          <w:rFonts w:ascii="Times New Roman" w:hAnsi="Times New Roman"/>
          <w:kern w:val="0"/>
          <w:sz w:val="24"/>
          <w:szCs w:val="24"/>
          <w:u w:val="single"/>
        </w:rPr>
      </w:pPr>
      <w:r>
        <w:rPr>
          <w:rFonts w:ascii="Times New Roman" w:hAnsi="Times New Roman"/>
        </w:rPr>
        <w:drawing>
          <wp:inline distT="0" distB="0" distL="0" distR="0">
            <wp:extent cx="5353050" cy="40957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3"/>
                    <a:stretch>
                      <a:fillRect/>
                    </a:stretch>
                  </pic:blipFill>
                  <pic:spPr>
                    <a:xfrm>
                      <a:off x="0" y="0"/>
                      <a:ext cx="5353050" cy="4095750"/>
                    </a:xfrm>
                    <a:prstGeom prst="rect">
                      <a:avLst/>
                    </a:prstGeom>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图6.1.1.14</w:t>
      </w:r>
      <w:r>
        <w:rPr>
          <w:rFonts w:ascii="Times New Roman" w:hAnsi="Times New Roman" w:cs="Times New Roman"/>
          <w:b/>
          <w:sz w:val="24"/>
          <w:szCs w:val="24"/>
          <w:u w:val="single"/>
        </w:rPr>
        <w:t xml:space="preserve">  SO</w:t>
      </w:r>
      <w:r>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叠加后98%保证率日平均质量浓度分布图</w:t>
      </w:r>
    </w:p>
    <w:p>
      <w:pPr>
        <w:spacing w:line="360" w:lineRule="auto"/>
        <w:jc w:val="center"/>
        <w:rPr>
          <w:rFonts w:ascii="Times New Roman" w:hAnsi="Times New Roman"/>
          <w:kern w:val="0"/>
          <w:sz w:val="24"/>
          <w:szCs w:val="24"/>
          <w:u w:val="single"/>
        </w:rPr>
      </w:pPr>
      <w:r>
        <w:rPr>
          <w:rFonts w:ascii="Times New Roman" w:hAnsi="Times New Roman"/>
        </w:rPr>
        <w:drawing>
          <wp:inline distT="0" distB="0" distL="0" distR="0">
            <wp:extent cx="5419725" cy="416242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a:stretch>
                      <a:fillRect/>
                    </a:stretch>
                  </pic:blipFill>
                  <pic:spPr>
                    <a:xfrm>
                      <a:off x="0" y="0"/>
                      <a:ext cx="5419725" cy="4162425"/>
                    </a:xfrm>
                    <a:prstGeom prst="rect">
                      <a:avLst/>
                    </a:prstGeom>
                  </pic:spPr>
                </pic:pic>
              </a:graphicData>
            </a:graphic>
          </wp:inline>
        </w:drawing>
      </w:r>
    </w:p>
    <w:p>
      <w:pPr>
        <w:pStyle w:val="246"/>
        <w:ind w:firstLine="0" w:firstLineChars="0"/>
        <w:jc w:val="center"/>
        <w:rPr>
          <w:rFonts w:ascii="Times New Roman" w:hAnsi="Times New Roman" w:cs="Times New Roman"/>
          <w:b/>
          <w:snapToGrid w:val="0"/>
          <w:kern w:val="0"/>
          <w:sz w:val="24"/>
          <w:szCs w:val="24"/>
          <w:u w:val="single"/>
        </w:rPr>
      </w:pPr>
      <w:r>
        <w:rPr>
          <w:rFonts w:ascii="Times New Roman" w:hAnsi="Times New Roman" w:cs="Times New Roman"/>
          <w:b/>
          <w:sz w:val="24"/>
          <w:szCs w:val="20"/>
          <w:u w:val="single"/>
        </w:rPr>
        <w:t xml:space="preserve">图6.1.1.15 </w:t>
      </w:r>
      <w:r>
        <w:rPr>
          <w:rFonts w:ascii="Times New Roman" w:hAnsi="Times New Roman" w:cs="Times New Roman"/>
          <w:b/>
          <w:sz w:val="24"/>
          <w:szCs w:val="24"/>
          <w:u w:val="single"/>
        </w:rPr>
        <w:t xml:space="preserve"> SO</w:t>
      </w:r>
      <w:r>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叠加后年平均质量浓度分布图</w:t>
      </w:r>
    </w:p>
    <w:p>
      <w:pPr>
        <w:spacing w:before="120" w:beforeLines="50" w:line="360" w:lineRule="auto"/>
        <w:outlineLvl w:val="5"/>
        <w:rPr>
          <w:rFonts w:ascii="Times New Roman" w:hAnsi="Times New Roman"/>
          <w:b/>
          <w:sz w:val="24"/>
          <w:szCs w:val="24"/>
          <w:u w:val="single"/>
        </w:rPr>
      </w:pPr>
      <w:r>
        <w:rPr>
          <w:rFonts w:ascii="Times New Roman" w:hAnsi="Times New Roman"/>
          <w:b/>
          <w:sz w:val="24"/>
          <w:szCs w:val="24"/>
          <w:u w:val="single"/>
        </w:rPr>
        <w:t>2、NO</w:t>
      </w:r>
      <w:r>
        <w:rPr>
          <w:rFonts w:ascii="Times New Roman" w:hAnsi="Times New Roman"/>
          <w:b/>
          <w:sz w:val="24"/>
          <w:szCs w:val="24"/>
          <w:u w:val="single"/>
          <w:vertAlign w:val="subscript"/>
        </w:rPr>
        <w:t>2</w:t>
      </w:r>
      <w:r>
        <w:rPr>
          <w:rFonts w:ascii="Times New Roman" w:hAnsi="Times New Roman"/>
          <w:b/>
          <w:sz w:val="24"/>
          <w:szCs w:val="24"/>
          <w:u w:val="single"/>
        </w:rPr>
        <w:t>叠加浓度预测结果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表6.1.6.2-3项目NO</w:t>
      </w:r>
      <w:r>
        <w:rPr>
          <w:rFonts w:ascii="Times New Roman" w:hAnsi="Times New Roman"/>
          <w:b/>
          <w:sz w:val="24"/>
          <w:szCs w:val="20"/>
          <w:u w:val="single"/>
          <w:vertAlign w:val="subscript"/>
        </w:rPr>
        <w:t>2</w:t>
      </w:r>
      <w:r>
        <w:rPr>
          <w:rFonts w:ascii="Times New Roman" w:hAnsi="Times New Roman"/>
          <w:b/>
          <w:sz w:val="24"/>
          <w:szCs w:val="20"/>
          <w:u w:val="single"/>
        </w:rPr>
        <w:t>叠加后环境质量浓度预测结果表</w:t>
      </w:r>
    </w:p>
    <w:tbl>
      <w:tblPr>
        <w:tblStyle w:val="45"/>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22"/>
        <w:gridCol w:w="1209"/>
        <w:gridCol w:w="1214"/>
        <w:gridCol w:w="1272"/>
        <w:gridCol w:w="1078"/>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5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预测点名称</w:t>
            </w:r>
          </w:p>
        </w:tc>
        <w:tc>
          <w:tcPr>
            <w:tcW w:w="182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浓度类型</w:t>
            </w:r>
          </w:p>
        </w:tc>
        <w:tc>
          <w:tcPr>
            <w:tcW w:w="1209"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浓度增量(mg/m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14"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背景浓度(mg/m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7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叠加后的浓度(mg/m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078" w:type="dxa"/>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(叠加后)</w:t>
            </w:r>
          </w:p>
        </w:tc>
        <w:tc>
          <w:tcPr>
            <w:tcW w:w="856"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泾港村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0.01321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55.01321</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姜畈村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0.20097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55.20097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69</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白荆村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0.018097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55.0181</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红土村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0.049843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55.04984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68.81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黄皋村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0.039166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55.03917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陆城镇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0.250851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55.25085</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69.06</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望城村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0.150429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55.15043</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68.94</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臣山村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0.260708</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55.26071</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69.08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0.006401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55.0064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68.76</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长岭生活区</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0.030235</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55.03024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68.79</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0.026123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55.02612</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0.025269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55.02527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0.000057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55.00006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68.75</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江湖村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0.009083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55.00908</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68.76</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路口铺村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0.025211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55.02521</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临湘市</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0.001148</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55.00115</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68.75</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云溪镇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0.021336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55.02134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双花村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0.032082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55.03208</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68.79</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和平村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0.161594</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55.16159</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68.95</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0.05994</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55.05994</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68.82</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tcBorders>
              <w:bottom w:val="double" w:color="auto" w:sz="4" w:space="0"/>
            </w:tcBorders>
            <w:noWrap/>
            <w:vAlign w:val="center"/>
          </w:tcPr>
          <w:p>
            <w:pPr>
              <w:jc w:val="center"/>
              <w:rPr>
                <w:rFonts w:ascii="Times New Roman" w:hAnsi="Times New Roman"/>
                <w:sz w:val="20"/>
                <w:szCs w:val="20"/>
                <w:u w:val="single"/>
              </w:rPr>
            </w:pPr>
            <w:r>
              <w:rPr>
                <w:rFonts w:ascii="Times New Roman" w:hAnsi="Times New Roman"/>
                <w:sz w:val="20"/>
                <w:szCs w:val="20"/>
                <w:u w:val="single"/>
              </w:rPr>
              <w:t>区域最大落地浓度网格（-900,900）</w:t>
            </w:r>
          </w:p>
        </w:tc>
        <w:tc>
          <w:tcPr>
            <w:tcW w:w="1822" w:type="dxa"/>
            <w:tcBorders>
              <w:bottom w:val="double" w:color="auto" w:sz="4" w:space="0"/>
            </w:tcBorders>
            <w:vAlign w:val="center"/>
          </w:tcPr>
          <w:p>
            <w:pPr>
              <w:jc w:val="center"/>
              <w:rPr>
                <w:rFonts w:ascii="Times New Roman" w:hAnsi="Times New Roman"/>
                <w:sz w:val="20"/>
                <w:szCs w:val="20"/>
                <w:u w:val="single"/>
              </w:rPr>
            </w:pPr>
            <w:r>
              <w:rPr>
                <w:rFonts w:ascii="Times New Roman" w:hAnsi="Times New Roman"/>
                <w:sz w:val="20"/>
                <w:szCs w:val="20"/>
                <w:u w:val="single"/>
              </w:rPr>
              <w:t>98%保证率日平均</w:t>
            </w:r>
          </w:p>
        </w:tc>
        <w:tc>
          <w:tcPr>
            <w:tcW w:w="1209"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1.902973</w:t>
            </w:r>
          </w:p>
        </w:tc>
        <w:tc>
          <w:tcPr>
            <w:tcW w:w="1214"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55</w:t>
            </w:r>
          </w:p>
        </w:tc>
        <w:tc>
          <w:tcPr>
            <w:tcW w:w="1272"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56.90297</w:t>
            </w:r>
          </w:p>
        </w:tc>
        <w:tc>
          <w:tcPr>
            <w:tcW w:w="1078" w:type="dxa"/>
            <w:tcBorders>
              <w:bottom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71.13</w:t>
            </w:r>
          </w:p>
        </w:tc>
        <w:tc>
          <w:tcPr>
            <w:tcW w:w="856" w:type="dxa"/>
            <w:tcBorders>
              <w:bottom w:val="double" w:color="auto" w:sz="4"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tcBorders>
              <w:top w:val="double" w:color="auto" w:sz="4" w:space="0"/>
            </w:tcBorders>
            <w:noWrap/>
            <w:vAlign w:val="center"/>
          </w:tcPr>
          <w:p>
            <w:pPr>
              <w:jc w:val="center"/>
              <w:rPr>
                <w:rFonts w:ascii="Times New Roman" w:hAnsi="Times New Roman"/>
                <w:szCs w:val="21"/>
                <w:u w:val="single"/>
              </w:rPr>
            </w:pPr>
            <w:r>
              <w:rPr>
                <w:rFonts w:ascii="Times New Roman" w:hAnsi="Times New Roman"/>
                <w:szCs w:val="21"/>
                <w:u w:val="single"/>
              </w:rPr>
              <w:t>泾港村</w:t>
            </w:r>
          </w:p>
        </w:tc>
        <w:tc>
          <w:tcPr>
            <w:tcW w:w="1822" w:type="dxa"/>
            <w:tcBorders>
              <w:top w:val="double" w:color="auto" w:sz="4" w:space="0"/>
            </w:tcBorders>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0.0186</w:t>
            </w:r>
          </w:p>
        </w:tc>
        <w:tc>
          <w:tcPr>
            <w:tcW w:w="1214"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tcBorders>
              <w:top w:val="double" w:color="auto" w:sz="4" w:space="0"/>
            </w:tcBorders>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56.47</w:t>
            </w:r>
          </w:p>
        </w:tc>
        <w:tc>
          <w:tcPr>
            <w:tcW w:w="856" w:type="dxa"/>
            <w:tcBorders>
              <w:top w:val="double" w:color="auto" w:sz="4" w:space="0"/>
            </w:tcBorders>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姜畈村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0.0258</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56.49</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白荆村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0.0186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红土村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0.0172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黄皋村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0.0429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56.53</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陆城镇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0.0233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56.48</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望城村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0.0829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56.63</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臣山村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0.0383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56.52</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0.0175</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长岭生活区</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0.133</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56.76</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0.0592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56.57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南山村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0.119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56.72</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荆竹山村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0.0161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56.46</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江湖村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0.0382</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56.52</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路口铺村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0.0297</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56.5</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临湘市</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0.00894</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56.45</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云溪镇</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0.0385</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56.52</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双花村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0.0739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56.61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和平村</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0.11</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22.7</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0.0189</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56.47</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 w:val="20"/>
                <w:szCs w:val="20"/>
                <w:u w:val="single"/>
              </w:rPr>
            </w:pPr>
            <w:r>
              <w:rPr>
                <w:rFonts w:ascii="Times New Roman" w:hAnsi="Times New Roman"/>
                <w:sz w:val="20"/>
                <w:szCs w:val="20"/>
                <w:u w:val="single"/>
              </w:rPr>
              <w:t>区域最大落地浓度网格（-1,000,700）</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p>
        </w:tc>
        <w:tc>
          <w:tcPr>
            <w:tcW w:w="1209"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1.96</w:t>
            </w:r>
          </w:p>
        </w:tc>
        <w:tc>
          <w:tcPr>
            <w:tcW w:w="1214"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22.6</w:t>
            </w:r>
          </w:p>
        </w:tc>
        <w:tc>
          <w:tcPr>
            <w:tcW w:w="1272"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24.5</w:t>
            </w:r>
          </w:p>
        </w:tc>
        <w:tc>
          <w:tcPr>
            <w:tcW w:w="1078" w:type="dxa"/>
            <w:noWrap/>
            <w:vAlign w:val="center"/>
          </w:tcPr>
          <w:p>
            <w:pPr>
              <w:widowControl/>
              <w:jc w:val="center"/>
              <w:rPr>
                <w:rFonts w:ascii="Times New Roman" w:hAnsi="Times New Roman"/>
                <w:sz w:val="20"/>
                <w:szCs w:val="20"/>
                <w:u w:val="single"/>
              </w:rPr>
            </w:pPr>
            <w:r>
              <w:rPr>
                <w:rFonts w:ascii="Times New Roman" w:hAnsi="Times New Roman"/>
                <w:sz w:val="20"/>
                <w:szCs w:val="20"/>
                <w:u w:val="single"/>
              </w:rPr>
              <w:t>61.32</w:t>
            </w:r>
          </w:p>
        </w:tc>
        <w:tc>
          <w:tcPr>
            <w:tcW w:w="856" w:type="dxa"/>
            <w:noWrap/>
            <w:vAlign w:val="center"/>
          </w:tcPr>
          <w:p>
            <w:pPr>
              <w:jc w:val="center"/>
              <w:rPr>
                <w:rFonts w:ascii="Times New Roman" w:hAnsi="Times New Roman"/>
                <w:sz w:val="20"/>
                <w:szCs w:val="20"/>
                <w:u w:val="single"/>
              </w:rPr>
            </w:pPr>
            <w:r>
              <w:rPr>
                <w:rFonts w:ascii="Times New Roman" w:hAnsi="Times New Roman"/>
                <w:sz w:val="20"/>
                <w:szCs w:val="20"/>
                <w:u w:val="single"/>
              </w:rPr>
              <w:t>达标</w:t>
            </w:r>
          </w:p>
        </w:tc>
      </w:tr>
    </w:tbl>
    <w:p>
      <w:pPr>
        <w:spacing w:before="120" w:beforeLines="50" w:line="360" w:lineRule="auto"/>
        <w:ind w:firstLine="442"/>
        <w:rPr>
          <w:rFonts w:ascii="Times New Roman" w:hAnsi="Times New Roman"/>
          <w:sz w:val="24"/>
          <w:szCs w:val="24"/>
          <w:u w:val="single"/>
        </w:rPr>
      </w:pPr>
      <w:r>
        <w:rPr>
          <w:rFonts w:ascii="Times New Roman" w:hAnsi="Times New Roman"/>
          <w:kern w:val="0"/>
          <w:sz w:val="24"/>
          <w:szCs w:val="24"/>
          <w:u w:val="single"/>
        </w:rPr>
        <w:t>由上表的预测结果可知，NO</w:t>
      </w:r>
      <w:r>
        <w:rPr>
          <w:rFonts w:ascii="Times New Roman" w:hAnsi="Times New Roman"/>
          <w:kern w:val="0"/>
          <w:sz w:val="24"/>
          <w:szCs w:val="24"/>
          <w:u w:val="single"/>
          <w:vertAlign w:val="subscript"/>
        </w:rPr>
        <w:t>2</w:t>
      </w:r>
      <w:r>
        <w:rPr>
          <w:rFonts w:ascii="Times New Roman" w:hAnsi="Times New Roman"/>
          <w:kern w:val="0"/>
          <w:sz w:val="24"/>
          <w:szCs w:val="24"/>
          <w:u w:val="single"/>
        </w:rPr>
        <w:t>对</w:t>
      </w:r>
      <w:r>
        <w:rPr>
          <w:rFonts w:ascii="Times New Roman" w:hAnsi="Times New Roman"/>
          <w:sz w:val="24"/>
          <w:szCs w:val="24"/>
          <w:u w:val="single"/>
        </w:rPr>
        <w:t>各敏感点和厂界范围外区域网格最大落地浓度</w:t>
      </w:r>
      <w:r>
        <w:rPr>
          <w:rFonts w:ascii="Times New Roman" w:hAnsi="Times New Roman"/>
          <w:kern w:val="0"/>
          <w:sz w:val="24"/>
          <w:szCs w:val="24"/>
          <w:u w:val="single"/>
        </w:rPr>
        <w:t>的98%保证率</w:t>
      </w:r>
      <w:r>
        <w:rPr>
          <w:rFonts w:ascii="Times New Roman" w:hAnsi="Times New Roman"/>
          <w:sz w:val="24"/>
          <w:szCs w:val="24"/>
          <w:u w:val="single"/>
        </w:rPr>
        <w:t>日均浓度和年均浓度</w:t>
      </w:r>
      <w:r>
        <w:rPr>
          <w:rFonts w:ascii="Times New Roman" w:hAnsi="Times New Roman"/>
          <w:kern w:val="0"/>
          <w:sz w:val="24"/>
          <w:szCs w:val="24"/>
          <w:u w:val="single"/>
        </w:rPr>
        <w:t>叠加背景值后</w:t>
      </w:r>
      <w:r>
        <w:rPr>
          <w:rFonts w:ascii="Times New Roman" w:hAnsi="Times New Roman"/>
          <w:sz w:val="24"/>
          <w:szCs w:val="24"/>
          <w:u w:val="single"/>
        </w:rPr>
        <w:t>均满足《环境空气质量标准》(GB3095-2012)二级标准限值。</w:t>
      </w:r>
    </w:p>
    <w:p>
      <w:pPr>
        <w:spacing w:line="360" w:lineRule="auto"/>
        <w:jc w:val="center"/>
        <w:rPr>
          <w:rFonts w:ascii="Times New Roman" w:hAnsi="Times New Roman"/>
          <w:kern w:val="0"/>
          <w:sz w:val="24"/>
          <w:szCs w:val="24"/>
          <w:u w:val="single"/>
        </w:rPr>
      </w:pPr>
      <w:r>
        <w:rPr>
          <w:rFonts w:ascii="Times New Roman" w:hAnsi="Times New Roman"/>
        </w:rPr>
        <w:drawing>
          <wp:inline distT="0" distB="0" distL="0" distR="0">
            <wp:extent cx="5353050" cy="4114800"/>
            <wp:effectExtent l="0" t="0" r="0" b="0"/>
            <wp:docPr id="4096" name="图片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图片 4096"/>
                    <pic:cNvPicPr>
                      <a:picLocks noChangeAspect="1"/>
                    </pic:cNvPicPr>
                  </pic:nvPicPr>
                  <pic:blipFill>
                    <a:blip r:embed="rId45"/>
                    <a:stretch>
                      <a:fillRect/>
                    </a:stretch>
                  </pic:blipFill>
                  <pic:spPr>
                    <a:xfrm>
                      <a:off x="0" y="0"/>
                      <a:ext cx="5353050" cy="4114800"/>
                    </a:xfrm>
                    <a:prstGeom prst="rect">
                      <a:avLst/>
                    </a:prstGeom>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 xml:space="preserve">图6.1.1.16  </w:t>
      </w:r>
      <w:r>
        <w:rPr>
          <w:rFonts w:ascii="Times New Roman" w:hAnsi="Times New Roman" w:cs="Times New Roman"/>
          <w:b/>
          <w:sz w:val="24"/>
          <w:szCs w:val="24"/>
          <w:u w:val="single"/>
        </w:rPr>
        <w:t>NO</w:t>
      </w:r>
      <w:r>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叠加后98%保证率日平均质量浓度分布图</w:t>
      </w:r>
    </w:p>
    <w:p>
      <w:pPr>
        <w:spacing w:line="360" w:lineRule="auto"/>
        <w:jc w:val="center"/>
        <w:rPr>
          <w:rFonts w:ascii="Times New Roman" w:hAnsi="Times New Roman"/>
          <w:kern w:val="0"/>
          <w:sz w:val="24"/>
          <w:szCs w:val="24"/>
          <w:u w:val="single"/>
        </w:rPr>
      </w:pPr>
      <w:r>
        <w:rPr>
          <w:rFonts w:ascii="Times New Roman" w:hAnsi="Times New Roman"/>
        </w:rPr>
        <w:drawing>
          <wp:inline distT="0" distB="0" distL="0" distR="0">
            <wp:extent cx="5448300" cy="4162425"/>
            <wp:effectExtent l="0" t="0" r="0" b="9525"/>
            <wp:docPr id="4098" name="图片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098"/>
                    <pic:cNvPicPr>
                      <a:picLocks noChangeAspect="1"/>
                    </pic:cNvPicPr>
                  </pic:nvPicPr>
                  <pic:blipFill>
                    <a:blip r:embed="rId46"/>
                    <a:stretch>
                      <a:fillRect/>
                    </a:stretch>
                  </pic:blipFill>
                  <pic:spPr>
                    <a:xfrm>
                      <a:off x="0" y="0"/>
                      <a:ext cx="5448300" cy="4162425"/>
                    </a:xfrm>
                    <a:prstGeom prst="rect">
                      <a:avLst/>
                    </a:prstGeom>
                  </pic:spPr>
                </pic:pic>
              </a:graphicData>
            </a:graphic>
          </wp:inline>
        </w:drawing>
      </w:r>
    </w:p>
    <w:p>
      <w:pPr>
        <w:pStyle w:val="246"/>
        <w:ind w:firstLine="0" w:firstLineChars="0"/>
        <w:jc w:val="center"/>
        <w:rPr>
          <w:rFonts w:ascii="Times New Roman" w:hAnsi="Times New Roman" w:cs="Times New Roman"/>
          <w:b/>
          <w:sz w:val="24"/>
          <w:szCs w:val="24"/>
          <w:u w:val="single"/>
        </w:rPr>
      </w:pPr>
      <w:r>
        <w:rPr>
          <w:rFonts w:ascii="Times New Roman" w:hAnsi="Times New Roman" w:cs="Times New Roman"/>
          <w:b/>
          <w:sz w:val="24"/>
          <w:szCs w:val="20"/>
          <w:u w:val="single"/>
        </w:rPr>
        <w:t xml:space="preserve">图6.1.1.17  </w:t>
      </w:r>
      <w:r>
        <w:rPr>
          <w:rFonts w:ascii="Times New Roman" w:hAnsi="Times New Roman" w:cs="Times New Roman"/>
          <w:b/>
          <w:sz w:val="24"/>
          <w:szCs w:val="24"/>
          <w:u w:val="single"/>
        </w:rPr>
        <w:t>NO</w:t>
      </w:r>
      <w:r>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叠加后年平均质量浓度分布图</w:t>
      </w:r>
    </w:p>
    <w:p>
      <w:pPr>
        <w:spacing w:before="120" w:beforeLines="50" w:line="360" w:lineRule="auto"/>
        <w:outlineLvl w:val="5"/>
        <w:rPr>
          <w:rFonts w:ascii="Times New Roman" w:hAnsi="Times New Roman"/>
          <w:b/>
          <w:sz w:val="24"/>
          <w:szCs w:val="24"/>
          <w:u w:val="single"/>
        </w:rPr>
      </w:pPr>
      <w:r>
        <w:rPr>
          <w:rFonts w:ascii="Times New Roman" w:hAnsi="Times New Roman"/>
          <w:b/>
          <w:sz w:val="24"/>
          <w:szCs w:val="24"/>
          <w:u w:val="single"/>
        </w:rPr>
        <w:t>3、PM</w:t>
      </w:r>
      <w:r>
        <w:rPr>
          <w:rFonts w:ascii="Times New Roman" w:hAnsi="Times New Roman"/>
          <w:b/>
          <w:sz w:val="24"/>
          <w:szCs w:val="24"/>
          <w:u w:val="single"/>
          <w:vertAlign w:val="subscript"/>
        </w:rPr>
        <w:t>10</w:t>
      </w:r>
      <w:r>
        <w:rPr>
          <w:rFonts w:ascii="Times New Roman" w:hAnsi="Times New Roman"/>
          <w:b/>
          <w:sz w:val="24"/>
          <w:szCs w:val="24"/>
          <w:u w:val="single"/>
        </w:rPr>
        <w:t>的评价区域环境质量的整体变化情况</w:t>
      </w:r>
    </w:p>
    <w:p>
      <w:pPr>
        <w:widowControl/>
        <w:spacing w:line="360" w:lineRule="auto"/>
        <w:ind w:firstLine="480" w:firstLineChars="200"/>
        <w:jc w:val="left"/>
        <w:rPr>
          <w:rFonts w:ascii="Times New Roman" w:hAnsi="Times New Roman"/>
          <w:kern w:val="0"/>
          <w:sz w:val="24"/>
          <w:szCs w:val="24"/>
          <w:u w:val="single"/>
        </w:rPr>
      </w:pPr>
      <w:r>
        <w:rPr>
          <w:rFonts w:ascii="Times New Roman" w:hAnsi="Times New Roman"/>
          <w:kern w:val="0"/>
          <w:sz w:val="24"/>
          <w:szCs w:val="24"/>
          <w:u w:val="single"/>
        </w:rPr>
        <w:t>根据 《环境影响评价技术导则 大气环境》（HJ2.2-2018）第8.8.4条，“当无法获得不达标区规划达标年的区域污染源清单或预测浓度场时，也可评价区域环境质量的整体变化情况，按下列公式计算实施区域削减方案后预测范围的年平均质量变化率K，当K≦-20%时，可判定项目建设后区域环境质量得到整体改善。”</w:t>
      </w:r>
    </w:p>
    <w:p>
      <w:pPr>
        <w:widowControl/>
        <w:jc w:val="center"/>
        <w:rPr>
          <w:rFonts w:ascii="Times New Roman" w:hAnsi="Times New Roman"/>
          <w:kern w:val="0"/>
          <w:sz w:val="24"/>
          <w:szCs w:val="24"/>
          <w:u w:val="single"/>
        </w:rPr>
      </w:pPr>
      <w:r>
        <w:rPr>
          <w:rFonts w:ascii="Times New Roman" w:hAnsi="Times New Roman"/>
          <w:kern w:val="0"/>
          <w:sz w:val="24"/>
          <w:szCs w:val="24"/>
          <w:u w:val="single"/>
        </w:rPr>
        <w:drawing>
          <wp:inline distT="0" distB="0" distL="114300" distR="114300">
            <wp:extent cx="3822065" cy="422910"/>
            <wp:effectExtent l="0" t="0" r="6985" b="15240"/>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47"/>
                    <a:stretch>
                      <a:fillRect/>
                    </a:stretch>
                  </pic:blipFill>
                  <pic:spPr>
                    <a:xfrm>
                      <a:off x="0" y="0"/>
                      <a:ext cx="3822065" cy="422910"/>
                    </a:xfrm>
                    <a:prstGeom prst="rect">
                      <a:avLst/>
                    </a:prstGeom>
                    <a:noFill/>
                    <a:ln>
                      <a:noFill/>
                    </a:ln>
                  </pic:spPr>
                </pic:pic>
              </a:graphicData>
            </a:graphic>
          </wp:inline>
        </w:drawing>
      </w:r>
    </w:p>
    <w:p>
      <w:pPr>
        <w:widowControl/>
        <w:spacing w:line="360" w:lineRule="auto"/>
        <w:jc w:val="left"/>
        <w:rPr>
          <w:rFonts w:ascii="Times New Roman" w:hAnsi="Times New Roman"/>
          <w:kern w:val="0"/>
          <w:sz w:val="24"/>
          <w:szCs w:val="24"/>
          <w:u w:val="single"/>
        </w:rPr>
      </w:pPr>
      <w:r>
        <w:rPr>
          <w:rFonts w:ascii="Times New Roman" w:hAnsi="Times New Roman"/>
          <w:kern w:val="0"/>
          <w:sz w:val="24"/>
          <w:szCs w:val="24"/>
          <w:u w:val="single"/>
        </w:rPr>
        <w:t>式中：𝑘——预测范围年平均质量浓度变化率，%；</w:t>
      </w:r>
    </w:p>
    <w:p>
      <w:pPr>
        <w:widowControl/>
        <w:spacing w:line="360" w:lineRule="auto"/>
        <w:ind w:firstLine="480" w:firstLineChars="200"/>
        <w:jc w:val="left"/>
        <w:rPr>
          <w:rFonts w:ascii="Times New Roman" w:hAnsi="Times New Roman"/>
          <w:kern w:val="0"/>
          <w:sz w:val="24"/>
          <w:szCs w:val="24"/>
          <w:u w:val="single"/>
        </w:rPr>
      </w:pPr>
      <w:r>
        <w:rPr>
          <w:rFonts w:ascii="Times New Roman" w:hAnsi="Times New Roman"/>
          <w:kern w:val="0"/>
          <w:sz w:val="24"/>
          <w:szCs w:val="24"/>
          <w:u w:val="single"/>
        </w:rPr>
        <w:t>𝐶̅</w:t>
      </w:r>
      <w:r>
        <w:rPr>
          <w:rFonts w:ascii="Times New Roman" w:hAnsi="Times New Roman"/>
          <w:kern w:val="0"/>
          <w:sz w:val="24"/>
          <w:szCs w:val="24"/>
          <w:u w:val="single"/>
          <w:vertAlign w:val="subscript"/>
        </w:rPr>
        <w:t>本项目（𝑎)</w:t>
      </w:r>
      <w:r>
        <w:rPr>
          <w:rFonts w:ascii="Times New Roman" w:hAnsi="Times New Roman"/>
          <w:kern w:val="0"/>
          <w:sz w:val="24"/>
          <w:szCs w:val="24"/>
          <w:u w:val="single"/>
        </w:rPr>
        <w:t>——本项目对所有网格点的年平均质量浓度贡献值的算术平均值，μg/m</w:t>
      </w:r>
      <w:r>
        <w:rPr>
          <w:rFonts w:ascii="Times New Roman" w:hAnsi="Times New Roman"/>
          <w:kern w:val="0"/>
          <w:sz w:val="24"/>
          <w:szCs w:val="24"/>
          <w:u w:val="single"/>
          <w:vertAlign w:val="superscript"/>
        </w:rPr>
        <w:t>3</w:t>
      </w:r>
      <w:r>
        <w:rPr>
          <w:rFonts w:ascii="Times New Roman" w:hAnsi="Times New Roman"/>
          <w:kern w:val="0"/>
          <w:sz w:val="24"/>
          <w:szCs w:val="24"/>
          <w:u w:val="single"/>
        </w:rPr>
        <w:t>；</w:t>
      </w:r>
    </w:p>
    <w:p>
      <w:pPr>
        <w:widowControl/>
        <w:spacing w:line="360" w:lineRule="auto"/>
        <w:ind w:firstLine="480" w:firstLineChars="200"/>
        <w:jc w:val="left"/>
        <w:rPr>
          <w:rFonts w:ascii="Times New Roman" w:hAnsi="Times New Roman"/>
          <w:kern w:val="0"/>
          <w:sz w:val="24"/>
          <w:szCs w:val="24"/>
          <w:u w:val="single"/>
        </w:rPr>
      </w:pPr>
      <w:r>
        <w:rPr>
          <w:rFonts w:ascii="Times New Roman" w:hAnsi="Times New Roman"/>
          <w:kern w:val="0"/>
          <w:sz w:val="24"/>
          <w:szCs w:val="24"/>
          <w:u w:val="single"/>
        </w:rPr>
        <w:t>𝐶̅</w:t>
      </w:r>
      <w:r>
        <w:rPr>
          <w:rFonts w:ascii="Times New Roman" w:hAnsi="Times New Roman"/>
          <w:kern w:val="0"/>
          <w:sz w:val="24"/>
          <w:szCs w:val="24"/>
          <w:u w:val="single"/>
          <w:vertAlign w:val="subscript"/>
        </w:rPr>
        <w:t>区域削减（𝑎)</w:t>
      </w:r>
      <w:r>
        <w:rPr>
          <w:rFonts w:ascii="Times New Roman" w:hAnsi="Times New Roman"/>
          <w:kern w:val="0"/>
          <w:sz w:val="24"/>
          <w:szCs w:val="24"/>
          <w:u w:val="single"/>
        </w:rPr>
        <w:t>——区域削减污染源对所有网格点的年平均质量浓度贡献值的算术平均值，μg/m</w:t>
      </w:r>
      <w:r>
        <w:rPr>
          <w:rFonts w:ascii="Times New Roman" w:hAnsi="Times New Roman"/>
          <w:kern w:val="0"/>
          <w:sz w:val="24"/>
          <w:szCs w:val="24"/>
          <w:u w:val="single"/>
          <w:vertAlign w:val="superscript"/>
        </w:rPr>
        <w:t>3</w:t>
      </w:r>
      <w:r>
        <w:rPr>
          <w:rFonts w:ascii="Times New Roman" w:hAnsi="Times New Roman"/>
          <w:kern w:val="0"/>
          <w:sz w:val="24"/>
          <w:szCs w:val="24"/>
          <w:u w:val="single"/>
        </w:rPr>
        <w:t>。</w:t>
      </w:r>
    </w:p>
    <w:p>
      <w:pPr>
        <w:widowControl/>
        <w:spacing w:line="360" w:lineRule="auto"/>
        <w:ind w:firstLine="480" w:firstLineChars="200"/>
        <w:jc w:val="left"/>
        <w:rPr>
          <w:rFonts w:ascii="Times New Roman" w:hAnsi="Times New Roman"/>
          <w:b/>
          <w:kern w:val="0"/>
          <w:sz w:val="28"/>
          <w:szCs w:val="28"/>
          <w:u w:val="single"/>
        </w:rPr>
      </w:pPr>
      <w:r>
        <w:rPr>
          <w:rFonts w:ascii="Times New Roman" w:hAnsi="Times New Roman"/>
          <w:kern w:val="0"/>
          <w:sz w:val="24"/>
          <w:szCs w:val="24"/>
          <w:u w:val="single"/>
        </w:rPr>
        <w:t>评价基准年（2017年）岳阳市PM</w:t>
      </w:r>
      <w:r>
        <w:rPr>
          <w:rFonts w:ascii="Times New Roman" w:hAnsi="Times New Roman"/>
          <w:kern w:val="0"/>
          <w:sz w:val="24"/>
          <w:szCs w:val="24"/>
          <w:u w:val="single"/>
          <w:vertAlign w:val="subscript"/>
        </w:rPr>
        <w:t>10</w:t>
      </w:r>
      <w:r>
        <w:rPr>
          <w:rFonts w:ascii="Times New Roman" w:hAnsi="Times New Roman"/>
          <w:kern w:val="0"/>
          <w:sz w:val="24"/>
          <w:szCs w:val="24"/>
          <w:u w:val="single"/>
        </w:rPr>
        <w:t>平均浓度为71μg/m</w:t>
      </w:r>
      <w:r>
        <w:rPr>
          <w:rFonts w:ascii="Times New Roman" w:hAnsi="Times New Roman"/>
          <w:kern w:val="0"/>
          <w:sz w:val="24"/>
          <w:szCs w:val="24"/>
          <w:u w:val="single"/>
          <w:vertAlign w:val="superscript"/>
        </w:rPr>
        <w:t>3</w:t>
      </w:r>
      <w:r>
        <w:rPr>
          <w:rFonts w:ascii="Times New Roman" w:hAnsi="Times New Roman"/>
          <w:kern w:val="0"/>
          <w:sz w:val="24"/>
          <w:szCs w:val="24"/>
          <w:u w:val="single"/>
        </w:rPr>
        <w:t>，目前岳阳市暂未制度达标规划，参照《湖南省污染防治攻坚战三年行动计划(2018-2020年)》的通知(湘政发〔2018〕17号)， 2020年岳阳市的PM</w:t>
      </w:r>
      <w:r>
        <w:rPr>
          <w:rFonts w:ascii="Times New Roman" w:hAnsi="Times New Roman"/>
          <w:kern w:val="0"/>
          <w:sz w:val="24"/>
          <w:szCs w:val="24"/>
          <w:u w:val="single"/>
          <w:vertAlign w:val="subscript"/>
        </w:rPr>
        <w:t>10</w:t>
      </w:r>
      <w:r>
        <w:rPr>
          <w:rFonts w:ascii="Times New Roman" w:hAnsi="Times New Roman"/>
          <w:kern w:val="0"/>
          <w:sz w:val="24"/>
          <w:szCs w:val="24"/>
          <w:u w:val="single"/>
        </w:rPr>
        <w:t>平均浓度值目标为68μg/m</w:t>
      </w:r>
      <w:r>
        <w:rPr>
          <w:rFonts w:ascii="Times New Roman" w:hAnsi="Times New Roman"/>
          <w:kern w:val="0"/>
          <w:sz w:val="24"/>
          <w:szCs w:val="24"/>
          <w:u w:val="single"/>
          <w:vertAlign w:val="superscript"/>
        </w:rPr>
        <w:t>3</w:t>
      </w:r>
      <w:r>
        <w:rPr>
          <w:rFonts w:ascii="Times New Roman" w:hAnsi="Times New Roman"/>
          <w:kern w:val="0"/>
          <w:sz w:val="24"/>
          <w:szCs w:val="24"/>
          <w:u w:val="single"/>
        </w:rPr>
        <w:t>，本次评价按保守计削减值为1μg/m</w:t>
      </w:r>
      <w:r>
        <w:rPr>
          <w:rFonts w:ascii="Times New Roman" w:hAnsi="Times New Roman"/>
          <w:kern w:val="0"/>
          <w:sz w:val="24"/>
          <w:szCs w:val="24"/>
          <w:u w:val="single"/>
          <w:vertAlign w:val="superscript"/>
        </w:rPr>
        <w:t>3</w:t>
      </w:r>
      <w:r>
        <w:rPr>
          <w:rFonts w:ascii="Times New Roman" w:hAnsi="Times New Roman"/>
          <w:kern w:val="0"/>
          <w:sz w:val="24"/>
          <w:szCs w:val="24"/>
          <w:u w:val="single"/>
        </w:rPr>
        <w:t>。根据预测，本项目对所有网格点的PM</w:t>
      </w:r>
      <w:r>
        <w:rPr>
          <w:rFonts w:ascii="Times New Roman" w:hAnsi="Times New Roman"/>
          <w:kern w:val="0"/>
          <w:sz w:val="24"/>
          <w:szCs w:val="24"/>
          <w:u w:val="single"/>
          <w:vertAlign w:val="subscript"/>
        </w:rPr>
        <w:t>10</w:t>
      </w:r>
      <w:r>
        <w:rPr>
          <w:rFonts w:ascii="Times New Roman" w:hAnsi="Times New Roman"/>
          <w:kern w:val="0"/>
          <w:sz w:val="24"/>
          <w:szCs w:val="24"/>
          <w:u w:val="single"/>
        </w:rPr>
        <w:t>年平均质量浓度贡献值的算术平均值为-0.002980786μg/m</w:t>
      </w:r>
      <w:r>
        <w:rPr>
          <w:rFonts w:ascii="Times New Roman" w:hAnsi="Times New Roman"/>
          <w:kern w:val="0"/>
          <w:sz w:val="24"/>
          <w:szCs w:val="24"/>
          <w:u w:val="single"/>
          <w:vertAlign w:val="superscript"/>
        </w:rPr>
        <w:t>3</w:t>
      </w:r>
      <w:r>
        <w:rPr>
          <w:rFonts w:ascii="Times New Roman" w:hAnsi="Times New Roman"/>
          <w:sz w:val="24"/>
          <w:szCs w:val="24"/>
          <w:u w:val="single"/>
        </w:rPr>
        <w:t>。实施削减后预测范围的年平均浓度变化率 k =（</w:t>
      </w:r>
      <w:r>
        <w:rPr>
          <w:rFonts w:ascii="Times New Roman" w:hAnsi="Times New Roman"/>
          <w:kern w:val="0"/>
          <w:sz w:val="24"/>
          <w:szCs w:val="24"/>
          <w:u w:val="single"/>
        </w:rPr>
        <w:t>-0.002980786</w:t>
      </w:r>
      <w:r>
        <w:rPr>
          <w:rFonts w:ascii="Times New Roman" w:hAnsi="Times New Roman"/>
          <w:sz w:val="24"/>
          <w:szCs w:val="24"/>
          <w:u w:val="single"/>
        </w:rPr>
        <w:t>-1）/ 1 = -100.3% ＜-20%，因此项目实施后，在落实岳阳市大气污染防治行动计划等要求后，区域环境质量得到整体改善。</w:t>
      </w:r>
    </w:p>
    <w:p>
      <w:pPr>
        <w:spacing w:line="360" w:lineRule="auto"/>
        <w:outlineLvl w:val="5"/>
        <w:rPr>
          <w:rFonts w:ascii="Times New Roman" w:hAnsi="Times New Roman"/>
          <w:b/>
          <w:sz w:val="24"/>
          <w:szCs w:val="24"/>
          <w:u w:val="single"/>
        </w:rPr>
      </w:pPr>
      <w:r>
        <w:rPr>
          <w:rFonts w:ascii="Times New Roman" w:hAnsi="Times New Roman"/>
          <w:b/>
          <w:sz w:val="24"/>
          <w:szCs w:val="24"/>
          <w:u w:val="single"/>
        </w:rPr>
        <w:t>4、二噁英叠加浓度预测结果</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表6.1.6.2-4 项目二噁英叠加后环境质量浓度预测结果表</w:t>
      </w:r>
    </w:p>
    <w:tbl>
      <w:tblPr>
        <w:tblStyle w:val="45"/>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22"/>
        <w:gridCol w:w="1209"/>
        <w:gridCol w:w="1214"/>
        <w:gridCol w:w="1272"/>
        <w:gridCol w:w="1078"/>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5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预测点名称</w:t>
            </w:r>
          </w:p>
        </w:tc>
        <w:tc>
          <w:tcPr>
            <w:tcW w:w="182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浓度类型</w:t>
            </w:r>
          </w:p>
        </w:tc>
        <w:tc>
          <w:tcPr>
            <w:tcW w:w="1209"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浓度增量(μg/m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14"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背景浓度(μg/m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272"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叠加后的浓度(μg/m</w:t>
            </w:r>
            <w:r>
              <w:rPr>
                <w:rFonts w:ascii="Times New Roman" w:hAnsi="Times New Roman"/>
                <w:b/>
                <w:kern w:val="0"/>
                <w:sz w:val="20"/>
                <w:szCs w:val="20"/>
                <w:u w:val="single"/>
                <w:vertAlign w:val="superscript"/>
              </w:rPr>
              <w:t>3</w:t>
            </w:r>
            <w:r>
              <w:rPr>
                <w:rFonts w:ascii="Times New Roman" w:hAnsi="Times New Roman"/>
                <w:b/>
                <w:kern w:val="0"/>
                <w:sz w:val="20"/>
                <w:szCs w:val="20"/>
                <w:u w:val="single"/>
              </w:rPr>
              <w:t>)</w:t>
            </w:r>
          </w:p>
        </w:tc>
        <w:tc>
          <w:tcPr>
            <w:tcW w:w="1078" w:type="dxa"/>
            <w:vAlign w:val="center"/>
          </w:tcPr>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占标率%</w:t>
            </w:r>
          </w:p>
          <w:p>
            <w:pPr>
              <w:widowControl/>
              <w:ind w:left="-105" w:leftChars="-50" w:right="-105" w:rightChars="-50"/>
              <w:jc w:val="center"/>
              <w:rPr>
                <w:rFonts w:ascii="Times New Roman" w:hAnsi="Times New Roman"/>
                <w:b/>
                <w:kern w:val="0"/>
                <w:sz w:val="20"/>
                <w:szCs w:val="20"/>
                <w:u w:val="single"/>
              </w:rPr>
            </w:pPr>
            <w:r>
              <w:rPr>
                <w:rFonts w:ascii="Times New Roman" w:hAnsi="Times New Roman"/>
                <w:b/>
                <w:kern w:val="0"/>
                <w:sz w:val="20"/>
                <w:szCs w:val="20"/>
                <w:u w:val="single"/>
              </w:rPr>
              <w:t>(叠加后)</w:t>
            </w:r>
          </w:p>
        </w:tc>
        <w:tc>
          <w:tcPr>
            <w:tcW w:w="856" w:type="dxa"/>
            <w:vAlign w:val="center"/>
          </w:tcPr>
          <w:p>
            <w:pPr>
              <w:widowControl/>
              <w:jc w:val="center"/>
              <w:rPr>
                <w:rFonts w:ascii="Times New Roman" w:hAnsi="Times New Roman"/>
                <w:b/>
                <w:kern w:val="0"/>
                <w:sz w:val="20"/>
                <w:szCs w:val="20"/>
                <w:u w:val="single"/>
              </w:rPr>
            </w:pPr>
            <w:r>
              <w:rPr>
                <w:rFonts w:ascii="Times New Roman" w:hAnsi="Times New Roman"/>
                <w:b/>
                <w:kern w:val="0"/>
                <w:sz w:val="20"/>
                <w:szCs w:val="20"/>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泾港村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姜畈村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白荆村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红土村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黄皋村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陆城镇</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望城村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臣山村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荆竹村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长岭生活区</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南岳村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南山村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荆竹山村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江湖村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路口铺村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临湘市</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云溪镇</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双花村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tcPr>
          <w:p>
            <w:pPr>
              <w:jc w:val="center"/>
              <w:rPr>
                <w:rFonts w:ascii="Times New Roman" w:hAnsi="Times New Roman"/>
                <w:szCs w:val="21"/>
                <w:u w:val="single"/>
              </w:rPr>
            </w:pPr>
            <w:r>
              <w:rPr>
                <w:rFonts w:ascii="Times New Roman" w:hAnsi="Times New Roman"/>
                <w:szCs w:val="21"/>
                <w:u w:val="single"/>
              </w:rPr>
              <w:t>和平村</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Cs w:val="21"/>
                <w:u w:val="single"/>
              </w:rPr>
            </w:pPr>
            <w:r>
              <w:rPr>
                <w:rFonts w:ascii="Times New Roman" w:hAnsi="Times New Roman"/>
                <w:szCs w:val="21"/>
                <w:u w:val="single"/>
              </w:rPr>
              <w:t>五尖山森林公园</w:t>
            </w:r>
          </w:p>
        </w:tc>
        <w:tc>
          <w:tcPr>
            <w:tcW w:w="1822" w:type="dxa"/>
            <w:vAlign w:val="center"/>
          </w:tcPr>
          <w:p>
            <w:pPr>
              <w:jc w:val="center"/>
              <w:rPr>
                <w:rFonts w:ascii="Times New Roman" w:hAnsi="Times New Roman"/>
                <w:sz w:val="20"/>
                <w:szCs w:val="20"/>
                <w:u w:val="single"/>
              </w:rPr>
            </w:pPr>
            <w:r>
              <w:rPr>
                <w:rFonts w:ascii="Times New Roman" w:hAnsi="Times New Roman"/>
                <w:kern w:val="0"/>
                <w:sz w:val="20"/>
                <w:szCs w:val="20"/>
                <w:u w:val="single"/>
              </w:rPr>
              <w:t>年均值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2" w:type="dxa"/>
            <w:noWrap/>
            <w:vAlign w:val="center"/>
          </w:tcPr>
          <w:p>
            <w:pPr>
              <w:jc w:val="center"/>
              <w:rPr>
                <w:rFonts w:ascii="Times New Roman" w:hAnsi="Times New Roman"/>
                <w:sz w:val="20"/>
                <w:szCs w:val="20"/>
                <w:u w:val="single"/>
              </w:rPr>
            </w:pPr>
            <w:r>
              <w:rPr>
                <w:rFonts w:ascii="Times New Roman" w:hAnsi="Times New Roman"/>
                <w:sz w:val="20"/>
                <w:szCs w:val="20"/>
                <w:u w:val="single"/>
              </w:rPr>
              <w:t>区域最大落地浓度网格（-8500,8500）</w:t>
            </w:r>
          </w:p>
        </w:tc>
        <w:tc>
          <w:tcPr>
            <w:tcW w:w="1822" w:type="dxa"/>
            <w:vAlign w:val="center"/>
          </w:tcPr>
          <w:p>
            <w:pPr>
              <w:jc w:val="center"/>
              <w:rPr>
                <w:rFonts w:ascii="Times New Roman" w:hAnsi="Times New Roman"/>
                <w:sz w:val="20"/>
                <w:szCs w:val="20"/>
                <w:u w:val="single"/>
              </w:rPr>
            </w:pPr>
            <w:r>
              <w:rPr>
                <w:rFonts w:ascii="Times New Roman" w:hAnsi="Times New Roman"/>
                <w:sz w:val="20"/>
                <w:szCs w:val="20"/>
                <w:u w:val="single"/>
              </w:rPr>
              <w:t>年均</w:t>
            </w:r>
            <w:r>
              <w:rPr>
                <w:rFonts w:ascii="Times New Roman" w:hAnsi="Times New Roman"/>
                <w:kern w:val="0"/>
                <w:sz w:val="20"/>
                <w:szCs w:val="20"/>
                <w:u w:val="single"/>
              </w:rPr>
              <w:t>值</w:t>
            </w:r>
          </w:p>
        </w:tc>
        <w:tc>
          <w:tcPr>
            <w:tcW w:w="1209"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0.00E+00</w:t>
            </w:r>
          </w:p>
        </w:tc>
        <w:tc>
          <w:tcPr>
            <w:tcW w:w="1214"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272"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6.40E-11</w:t>
            </w:r>
          </w:p>
        </w:tc>
        <w:tc>
          <w:tcPr>
            <w:tcW w:w="1078"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0.01</w:t>
            </w:r>
          </w:p>
        </w:tc>
        <w:tc>
          <w:tcPr>
            <w:tcW w:w="856" w:type="dxa"/>
            <w:noWrap/>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bl>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由上表的预测结果可以看出，项目对各敏感点的二噁英年均浓度贡献值及区域最大落地浓度的二噁英年均浓度值满足日本年均浓度标准要求。</w:t>
      </w:r>
    </w:p>
    <w:p>
      <w:pPr>
        <w:spacing w:before="120" w:beforeLines="50" w:line="360" w:lineRule="auto"/>
        <w:outlineLvl w:val="5"/>
        <w:rPr>
          <w:rFonts w:ascii="Times New Roman" w:hAnsi="Times New Roman"/>
          <w:b/>
          <w:sz w:val="24"/>
          <w:szCs w:val="24"/>
          <w:u w:val="single"/>
        </w:rPr>
      </w:pPr>
      <w:r>
        <w:rPr>
          <w:rFonts w:ascii="Times New Roman" w:hAnsi="Times New Roman"/>
          <w:b/>
          <w:sz w:val="24"/>
          <w:szCs w:val="24"/>
          <w:u w:val="single"/>
        </w:rPr>
        <w:t>5、硫化氢叠加浓度预测结果</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项目排放的硫化氢叠加后浓度预测结果如下：</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表6.1.6.2-5硫化氢叠加后环境质量浓度预测结果表</w:t>
      </w:r>
    </w:p>
    <w:tbl>
      <w:tblPr>
        <w:tblStyle w:val="45"/>
        <w:tblW w:w="883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39"/>
        <w:gridCol w:w="1033"/>
        <w:gridCol w:w="1387"/>
        <w:gridCol w:w="973"/>
        <w:gridCol w:w="1006"/>
        <w:gridCol w:w="991"/>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549"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预测点</w:t>
            </w:r>
          </w:p>
        </w:tc>
        <w:tc>
          <w:tcPr>
            <w:tcW w:w="1039"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平均时段</w:t>
            </w:r>
          </w:p>
        </w:tc>
        <w:tc>
          <w:tcPr>
            <w:tcW w:w="1033"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浓度增量(μg/m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387"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出现时间(YYMMDDHH)</w:t>
            </w:r>
          </w:p>
        </w:tc>
        <w:tc>
          <w:tcPr>
            <w:tcW w:w="973"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背景浓度(μg/m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006"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叠加背景后的浓度(μg/m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991"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占标率%(叠加背景以后)</w:t>
            </w:r>
          </w:p>
        </w:tc>
        <w:tc>
          <w:tcPr>
            <w:tcW w:w="860"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泾港村</w:t>
            </w:r>
          </w:p>
        </w:tc>
        <w:tc>
          <w:tcPr>
            <w:tcW w:w="1039" w:type="dxa"/>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6.41E-03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17020405</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7.41E-03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姜畈村</w:t>
            </w:r>
          </w:p>
        </w:tc>
        <w:tc>
          <w:tcPr>
            <w:tcW w:w="1039" w:type="dxa"/>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3.95E-03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17012208</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4.95E-03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白荆村</w:t>
            </w:r>
          </w:p>
        </w:tc>
        <w:tc>
          <w:tcPr>
            <w:tcW w:w="1039" w:type="dxa"/>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2.97E-03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17022723</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3.97E-03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0.04</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红土村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6.15E-03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17052522</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7.15E-03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黄皋村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9.69E-03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17020405</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1.07E-02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陆城镇</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4.66E-03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17010106</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5.66E-03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望城村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1.04E-02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17090807</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1.14E-02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臣山村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9.01E-03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17110903</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荆竹村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1.57E-02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17122308</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1.67E-02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长岭生活区</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1.24E-02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17010404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1.34E-02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0.13</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南岳村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6.36E-03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17101921</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7.36E-03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南山村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8.07E-03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17110821</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9.07E-03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荆竹山村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1.98E-02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17012802</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2.08E-02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0.21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江湖村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5.67E-03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17010408</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6.67E-03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路口铺村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6.19E-02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17012724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6.29E-02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0.63</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临湘市</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1.68E-02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17110224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1.78E-02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0.18</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云溪镇</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3.78E-03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17030604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4.78E-03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0.05</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双花村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9.98E-03</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17090724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1.10E-02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和平村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1.63E-02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17012119</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1.73E-02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vAlign w:val="center"/>
          </w:tcPr>
          <w:p>
            <w:pPr>
              <w:ind w:left="-105" w:leftChars="-50" w:right="-105" w:rightChars="-50"/>
              <w:jc w:val="center"/>
              <w:rPr>
                <w:rFonts w:ascii="Times New Roman" w:hAnsi="Times New Roman"/>
                <w:szCs w:val="21"/>
                <w:u w:val="single"/>
              </w:rPr>
            </w:pPr>
            <w:r>
              <w:rPr>
                <w:rFonts w:ascii="Times New Roman" w:hAnsi="Times New Roman"/>
                <w:szCs w:val="21"/>
                <w:u w:val="single"/>
              </w:rPr>
              <w:t>五尖山森林公园</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5.20E-04</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17122610</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1.52E-03</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0.02</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vAlign w:val="center"/>
          </w:tcPr>
          <w:p>
            <w:pPr>
              <w:jc w:val="center"/>
              <w:rPr>
                <w:rFonts w:ascii="Times New Roman" w:hAnsi="Times New Roman"/>
                <w:sz w:val="18"/>
                <w:szCs w:val="18"/>
                <w:u w:val="single"/>
              </w:rPr>
            </w:pPr>
            <w:r>
              <w:rPr>
                <w:rFonts w:ascii="Times New Roman" w:hAnsi="Times New Roman"/>
                <w:sz w:val="18"/>
                <w:szCs w:val="18"/>
                <w:u w:val="single"/>
              </w:rPr>
              <w:t>区域最大落地浓度网格（200,0）</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4.97E-01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17022603</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1.00E-03</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4.98E-01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4.98</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bl>
    <w:p>
      <w:pPr>
        <w:spacing w:line="360" w:lineRule="auto"/>
        <w:ind w:firstLine="442"/>
        <w:rPr>
          <w:rFonts w:ascii="Times New Roman" w:hAnsi="Times New Roman"/>
          <w:sz w:val="24"/>
          <w:szCs w:val="24"/>
          <w:u w:val="single"/>
        </w:rPr>
      </w:pPr>
      <w:r>
        <w:rPr>
          <w:rFonts w:ascii="Times New Roman" w:hAnsi="Times New Roman"/>
          <w:kern w:val="0"/>
          <w:sz w:val="24"/>
          <w:szCs w:val="24"/>
          <w:u w:val="single"/>
        </w:rPr>
        <w:t>由上表的预测结果可知，硫化氢叠加后对</w:t>
      </w:r>
      <w:r>
        <w:rPr>
          <w:rFonts w:ascii="Times New Roman" w:hAnsi="Times New Roman"/>
          <w:sz w:val="24"/>
          <w:szCs w:val="24"/>
          <w:u w:val="single"/>
        </w:rPr>
        <w:t>各敏感点和区域网格最大落地浓度</w:t>
      </w:r>
      <w:r>
        <w:rPr>
          <w:rFonts w:ascii="Times New Roman" w:hAnsi="Times New Roman"/>
          <w:kern w:val="0"/>
          <w:sz w:val="24"/>
          <w:szCs w:val="24"/>
          <w:u w:val="single"/>
        </w:rPr>
        <w:t>的小时</w:t>
      </w:r>
      <w:r>
        <w:rPr>
          <w:rFonts w:ascii="Times New Roman" w:hAnsi="Times New Roman"/>
          <w:sz w:val="24"/>
          <w:szCs w:val="24"/>
          <w:u w:val="single"/>
        </w:rPr>
        <w:t>浓度均满足《环境影响评价技术导则 大气环境》(HJ2.2-2018)附录D中标准限值要求。</w:t>
      </w:r>
    </w:p>
    <w:p>
      <w:pPr>
        <w:spacing w:line="360" w:lineRule="auto"/>
        <w:jc w:val="center"/>
        <w:rPr>
          <w:rFonts w:ascii="Times New Roman" w:hAnsi="Times New Roman"/>
          <w:kern w:val="0"/>
          <w:sz w:val="24"/>
          <w:szCs w:val="24"/>
          <w:u w:val="single"/>
        </w:rPr>
      </w:pPr>
      <w:r>
        <w:rPr>
          <w:rFonts w:ascii="Times New Roman" w:hAnsi="Times New Roman"/>
          <w:u w:val="single"/>
        </w:rPr>
        <w:drawing>
          <wp:inline distT="0" distB="0" distL="114300" distR="114300">
            <wp:extent cx="5095875" cy="3962400"/>
            <wp:effectExtent l="0" t="0" r="9525" b="0"/>
            <wp:docPr id="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pic:cNvPicPr>
                      <a:picLocks noChangeAspect="1"/>
                    </pic:cNvPicPr>
                  </pic:nvPicPr>
                  <pic:blipFill>
                    <a:blip r:embed="rId48"/>
                    <a:stretch>
                      <a:fillRect/>
                    </a:stretch>
                  </pic:blipFill>
                  <pic:spPr>
                    <a:xfrm>
                      <a:off x="0" y="0"/>
                      <a:ext cx="5095875" cy="3962400"/>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b/>
          <w:snapToGrid w:val="0"/>
          <w:kern w:val="0"/>
          <w:sz w:val="24"/>
          <w:szCs w:val="24"/>
          <w:u w:val="single"/>
        </w:rPr>
      </w:pPr>
      <w:r>
        <w:rPr>
          <w:rFonts w:ascii="Times New Roman" w:hAnsi="Times New Roman" w:cs="Times New Roman"/>
          <w:b/>
          <w:sz w:val="24"/>
          <w:szCs w:val="20"/>
          <w:u w:val="single"/>
        </w:rPr>
        <w:t>图6.1.1.18</w:t>
      </w:r>
      <w:r>
        <w:rPr>
          <w:rFonts w:ascii="Times New Roman" w:hAnsi="Times New Roman" w:cs="Times New Roman"/>
          <w:b/>
          <w:sz w:val="24"/>
          <w:szCs w:val="24"/>
          <w:u w:val="single"/>
        </w:rPr>
        <w:t>硫化氢叠加后最大小时平均质量浓度分布图</w:t>
      </w:r>
    </w:p>
    <w:p>
      <w:pPr>
        <w:spacing w:before="120" w:beforeLines="50" w:line="360" w:lineRule="auto"/>
        <w:ind w:firstLine="482" w:firstLineChars="200"/>
        <w:outlineLvl w:val="5"/>
        <w:rPr>
          <w:rFonts w:ascii="Times New Roman" w:hAnsi="Times New Roman"/>
          <w:b/>
          <w:sz w:val="24"/>
          <w:szCs w:val="24"/>
          <w:u w:val="single"/>
        </w:rPr>
      </w:pPr>
      <w:r>
        <w:rPr>
          <w:rFonts w:ascii="Times New Roman" w:hAnsi="Times New Roman"/>
          <w:b/>
          <w:sz w:val="24"/>
          <w:szCs w:val="24"/>
          <w:u w:val="single"/>
        </w:rPr>
        <w:t>6、氨叠加浓度预测结果</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项目排放的氨叠加后浓度预测结果如下：</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表6.1.6.2-6氨叠加后环境质量浓度预测结果表</w:t>
      </w:r>
    </w:p>
    <w:tbl>
      <w:tblPr>
        <w:tblStyle w:val="45"/>
        <w:tblW w:w="883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39"/>
        <w:gridCol w:w="1033"/>
        <w:gridCol w:w="1387"/>
        <w:gridCol w:w="973"/>
        <w:gridCol w:w="1006"/>
        <w:gridCol w:w="991"/>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549"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预测点</w:t>
            </w:r>
          </w:p>
        </w:tc>
        <w:tc>
          <w:tcPr>
            <w:tcW w:w="1039"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平均时段</w:t>
            </w:r>
          </w:p>
        </w:tc>
        <w:tc>
          <w:tcPr>
            <w:tcW w:w="1033"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浓度增量(μg/m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387"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出现时间(YYMMDDHH)</w:t>
            </w:r>
          </w:p>
        </w:tc>
        <w:tc>
          <w:tcPr>
            <w:tcW w:w="973"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背景浓度(μg/m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1006"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叠加背景后的浓度(μg/m</w:t>
            </w:r>
            <w:r>
              <w:rPr>
                <w:rFonts w:ascii="Times New Roman" w:hAnsi="Times New Roman"/>
                <w:b/>
                <w:kern w:val="0"/>
                <w:sz w:val="18"/>
                <w:szCs w:val="18"/>
                <w:u w:val="single"/>
                <w:vertAlign w:val="superscript"/>
              </w:rPr>
              <w:t>3</w:t>
            </w:r>
            <w:r>
              <w:rPr>
                <w:rFonts w:ascii="Times New Roman" w:hAnsi="Times New Roman"/>
                <w:b/>
                <w:kern w:val="0"/>
                <w:sz w:val="18"/>
                <w:szCs w:val="18"/>
                <w:u w:val="single"/>
              </w:rPr>
              <w:t>)</w:t>
            </w:r>
          </w:p>
        </w:tc>
        <w:tc>
          <w:tcPr>
            <w:tcW w:w="991"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占标率%(叠加背景以后)</w:t>
            </w:r>
          </w:p>
        </w:tc>
        <w:tc>
          <w:tcPr>
            <w:tcW w:w="860" w:type="dxa"/>
            <w:vAlign w:val="center"/>
          </w:tcPr>
          <w:p>
            <w:pPr>
              <w:widowControl/>
              <w:ind w:left="-105" w:leftChars="-50" w:right="-105" w:rightChars="-50"/>
              <w:jc w:val="center"/>
              <w:rPr>
                <w:rFonts w:ascii="Times New Roman" w:hAnsi="Times New Roman"/>
                <w:b/>
                <w:kern w:val="0"/>
                <w:sz w:val="18"/>
                <w:szCs w:val="18"/>
                <w:u w:val="single"/>
              </w:rPr>
            </w:pPr>
            <w:r>
              <w:rPr>
                <w:rFonts w:ascii="Times New Roman" w:hAnsi="Times New Roman"/>
                <w:b/>
                <w:kern w:val="0"/>
                <w:sz w:val="18"/>
                <w:szCs w:val="18"/>
                <w:u w:val="single"/>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泾港村</w:t>
            </w:r>
          </w:p>
        </w:tc>
        <w:tc>
          <w:tcPr>
            <w:tcW w:w="1039" w:type="dxa"/>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1.63E-01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17020405</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1.93E-01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姜畈村</w:t>
            </w:r>
          </w:p>
        </w:tc>
        <w:tc>
          <w:tcPr>
            <w:tcW w:w="1039" w:type="dxa"/>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8.21E-02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17092121</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1.12E-01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白荆村</w:t>
            </w:r>
          </w:p>
        </w:tc>
        <w:tc>
          <w:tcPr>
            <w:tcW w:w="1039" w:type="dxa"/>
            <w:vAlign w:val="center"/>
          </w:tcPr>
          <w:p>
            <w:pPr>
              <w:widowControl/>
              <w:ind w:left="-105" w:leftChars="-50" w:right="-105" w:rightChars="-50"/>
              <w:jc w:val="center"/>
              <w:rPr>
                <w:rFonts w:ascii="Times New Roman" w:hAnsi="Times New Roman"/>
                <w:kern w:val="0"/>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8.24E-02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17122707</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1.12E-01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0.06</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红土村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3.81E-01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17052522</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4.11E-01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0.21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黄皋村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3.02E-01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17020405</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3.32E-01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0.17</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陆城镇</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1.91E-01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17010404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2.21E-01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望城村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6.16E-01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17090807</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6.46E-01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0.32</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臣山村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5.58E-01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17110903</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5.88E-01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0.29</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荆竹村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2.61E-01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17052522</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2.91E-01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0.15</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长岭生活区</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7.68E-01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17010404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7.98E-01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0.4</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南岳村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2.53E-01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17010106</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2.83E-01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0.14</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南山村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3.84E-01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17112424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4.14E-01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0.21</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荆竹山村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1.23E+00</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17012802</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1.26E+00</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0.63</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江湖村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3.51E-01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17010408</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3.81E-01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0.19</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路口铺村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3.84E+00</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17012724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3.87E+00</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1.93</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临湘市</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1.03E+00</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17110224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1.06E+00</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0.53</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云溪镇</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1.59E-01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17031203</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1.89E-01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双花村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6.19E-01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17090724</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6.49E-01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0.32</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tcPr>
          <w:p>
            <w:pPr>
              <w:jc w:val="center"/>
              <w:rPr>
                <w:rFonts w:ascii="Times New Roman" w:hAnsi="Times New Roman"/>
                <w:szCs w:val="21"/>
                <w:u w:val="single"/>
              </w:rPr>
            </w:pPr>
            <w:r>
              <w:rPr>
                <w:rFonts w:ascii="Times New Roman" w:hAnsi="Times New Roman"/>
                <w:szCs w:val="21"/>
                <w:u w:val="single"/>
              </w:rPr>
              <w:t>和平村</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2.68E-01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17110103</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2.98E-01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0.15</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9" w:type="dxa"/>
            <w:vAlign w:val="center"/>
          </w:tcPr>
          <w:p>
            <w:pPr>
              <w:ind w:left="-105" w:leftChars="-50" w:right="-105" w:rightChars="-50"/>
              <w:jc w:val="center"/>
              <w:rPr>
                <w:rFonts w:ascii="Times New Roman" w:hAnsi="Times New Roman"/>
                <w:szCs w:val="21"/>
                <w:u w:val="single"/>
              </w:rPr>
            </w:pPr>
            <w:r>
              <w:rPr>
                <w:rFonts w:ascii="Times New Roman" w:hAnsi="Times New Roman"/>
                <w:szCs w:val="21"/>
                <w:u w:val="single"/>
              </w:rPr>
              <w:t>五尖山森林公园</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2.76E-02</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17122610</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5.76E-02</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0.03</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49" w:type="dxa"/>
            <w:vAlign w:val="center"/>
          </w:tcPr>
          <w:p>
            <w:pPr>
              <w:snapToGrid w:val="0"/>
              <w:jc w:val="center"/>
              <w:rPr>
                <w:rFonts w:ascii="Times New Roman" w:hAnsi="Times New Roman"/>
                <w:sz w:val="18"/>
                <w:szCs w:val="18"/>
                <w:u w:val="single"/>
              </w:rPr>
            </w:pPr>
            <w:r>
              <w:rPr>
                <w:rFonts w:ascii="Times New Roman" w:hAnsi="Times New Roman"/>
                <w:sz w:val="18"/>
                <w:szCs w:val="18"/>
                <w:u w:val="single"/>
              </w:rPr>
              <w:t>区域最大落地浓度网格（2200，-3900）</w:t>
            </w:r>
          </w:p>
        </w:tc>
        <w:tc>
          <w:tcPr>
            <w:tcW w:w="1039" w:type="dxa"/>
            <w:vAlign w:val="center"/>
          </w:tcPr>
          <w:p>
            <w:pPr>
              <w:jc w:val="center"/>
              <w:rPr>
                <w:rFonts w:ascii="Times New Roman" w:hAnsi="Times New Roman"/>
                <w:sz w:val="18"/>
                <w:szCs w:val="18"/>
                <w:u w:val="single"/>
              </w:rPr>
            </w:pPr>
            <w:r>
              <w:rPr>
                <w:rFonts w:ascii="Times New Roman" w:hAnsi="Times New Roman"/>
                <w:kern w:val="0"/>
                <w:sz w:val="18"/>
                <w:szCs w:val="18"/>
                <w:u w:val="single"/>
              </w:rPr>
              <w:t>1小时</w:t>
            </w:r>
          </w:p>
        </w:tc>
        <w:tc>
          <w:tcPr>
            <w:tcW w:w="103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2.24E+01</w:t>
            </w:r>
          </w:p>
        </w:tc>
        <w:tc>
          <w:tcPr>
            <w:tcW w:w="138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17110720</w:t>
            </w:r>
          </w:p>
        </w:tc>
        <w:tc>
          <w:tcPr>
            <w:tcW w:w="973"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3.00E-02</w:t>
            </w:r>
          </w:p>
        </w:tc>
        <w:tc>
          <w:tcPr>
            <w:tcW w:w="1006"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2.24E+01</w:t>
            </w:r>
          </w:p>
        </w:tc>
        <w:tc>
          <w:tcPr>
            <w:tcW w:w="991"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11.19</w:t>
            </w:r>
          </w:p>
        </w:tc>
        <w:tc>
          <w:tcPr>
            <w:tcW w:w="86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达标</w:t>
            </w:r>
          </w:p>
        </w:tc>
      </w:tr>
    </w:tbl>
    <w:p>
      <w:pPr>
        <w:spacing w:line="360" w:lineRule="auto"/>
        <w:ind w:firstLine="442"/>
        <w:rPr>
          <w:rFonts w:ascii="Times New Roman" w:hAnsi="Times New Roman"/>
          <w:sz w:val="24"/>
          <w:szCs w:val="24"/>
          <w:u w:val="single"/>
        </w:rPr>
      </w:pPr>
      <w:r>
        <w:rPr>
          <w:rFonts w:ascii="Times New Roman" w:hAnsi="Times New Roman"/>
          <w:kern w:val="0"/>
          <w:sz w:val="24"/>
          <w:szCs w:val="24"/>
          <w:u w:val="single"/>
        </w:rPr>
        <w:t>由上表的预测结果可知，氨叠加后对</w:t>
      </w:r>
      <w:r>
        <w:rPr>
          <w:rFonts w:ascii="Times New Roman" w:hAnsi="Times New Roman"/>
          <w:sz w:val="24"/>
          <w:szCs w:val="24"/>
          <w:u w:val="single"/>
        </w:rPr>
        <w:t>各敏感点和区域网格最大落地浓度</w:t>
      </w:r>
      <w:r>
        <w:rPr>
          <w:rFonts w:ascii="Times New Roman" w:hAnsi="Times New Roman"/>
          <w:kern w:val="0"/>
          <w:sz w:val="24"/>
          <w:szCs w:val="24"/>
          <w:u w:val="single"/>
        </w:rPr>
        <w:t>的小时</w:t>
      </w:r>
      <w:r>
        <w:rPr>
          <w:rFonts w:ascii="Times New Roman" w:hAnsi="Times New Roman"/>
          <w:sz w:val="24"/>
          <w:szCs w:val="24"/>
          <w:u w:val="single"/>
        </w:rPr>
        <w:t>浓度均满足《环境影响评价技术导则 大气环境》(HJ2.2-2018)附录D中标准限值要求。</w:t>
      </w:r>
    </w:p>
    <w:p>
      <w:pPr>
        <w:spacing w:line="360" w:lineRule="auto"/>
        <w:jc w:val="center"/>
        <w:rPr>
          <w:rFonts w:ascii="Times New Roman" w:hAnsi="Times New Roman"/>
          <w:kern w:val="0"/>
          <w:sz w:val="24"/>
          <w:szCs w:val="24"/>
          <w:u w:val="single"/>
        </w:rPr>
      </w:pPr>
      <w:r>
        <w:rPr>
          <w:rFonts w:ascii="Times New Roman" w:hAnsi="Times New Roman"/>
          <w:u w:val="single"/>
        </w:rPr>
        <w:drawing>
          <wp:inline distT="0" distB="0" distL="114300" distR="114300">
            <wp:extent cx="5114925" cy="3952875"/>
            <wp:effectExtent l="0" t="0" r="9525" b="9525"/>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pic:cNvPicPr>
                  </pic:nvPicPr>
                  <pic:blipFill>
                    <a:blip r:embed="rId49"/>
                    <a:stretch>
                      <a:fillRect/>
                    </a:stretch>
                  </pic:blipFill>
                  <pic:spPr>
                    <a:xfrm>
                      <a:off x="0" y="0"/>
                      <a:ext cx="5114925" cy="3952875"/>
                    </a:xfrm>
                    <a:prstGeom prst="rect">
                      <a:avLst/>
                    </a:prstGeom>
                    <a:noFill/>
                    <a:ln>
                      <a:noFill/>
                    </a:ln>
                  </pic:spPr>
                </pic:pic>
              </a:graphicData>
            </a:graphic>
          </wp:inline>
        </w:drawing>
      </w:r>
    </w:p>
    <w:p>
      <w:pPr>
        <w:pStyle w:val="246"/>
        <w:spacing w:line="360" w:lineRule="auto"/>
        <w:ind w:firstLine="0" w:firstLineChars="0"/>
        <w:jc w:val="center"/>
        <w:rPr>
          <w:rFonts w:ascii="Times New Roman" w:hAnsi="Times New Roman" w:cs="Times New Roman"/>
          <w:b/>
          <w:snapToGrid w:val="0"/>
          <w:kern w:val="0"/>
          <w:sz w:val="24"/>
          <w:szCs w:val="24"/>
          <w:u w:val="single"/>
        </w:rPr>
      </w:pPr>
      <w:r>
        <w:rPr>
          <w:rFonts w:ascii="Times New Roman" w:hAnsi="Times New Roman" w:cs="Times New Roman"/>
          <w:b/>
          <w:sz w:val="24"/>
          <w:szCs w:val="20"/>
          <w:u w:val="single"/>
        </w:rPr>
        <w:t xml:space="preserve">图6.1.1.19 </w:t>
      </w:r>
      <w:r>
        <w:rPr>
          <w:rFonts w:ascii="Times New Roman" w:hAnsi="Times New Roman" w:cs="Times New Roman"/>
          <w:b/>
          <w:sz w:val="24"/>
          <w:szCs w:val="24"/>
          <w:u w:val="single"/>
        </w:rPr>
        <w:t>氨叠加后最大小时平均质量浓度分布图</w:t>
      </w:r>
    </w:p>
    <w:p>
      <w:pPr>
        <w:widowControl/>
        <w:tabs>
          <w:tab w:val="left" w:pos="567"/>
          <w:tab w:val="left" w:pos="851"/>
          <w:tab w:val="left" w:pos="1134"/>
        </w:tabs>
        <w:adjustRightInd w:val="0"/>
        <w:spacing w:before="60" w:beforeLines="25" w:after="60" w:afterLines="25" w:line="360" w:lineRule="auto"/>
        <w:jc w:val="left"/>
        <w:outlineLvl w:val="4"/>
        <w:rPr>
          <w:rFonts w:ascii="Times New Roman" w:hAnsi="Times New Roman"/>
          <w:b/>
          <w:sz w:val="28"/>
          <w:szCs w:val="28"/>
          <w:u w:val="single"/>
        </w:rPr>
      </w:pPr>
      <w:r>
        <w:rPr>
          <w:rFonts w:ascii="Times New Roman" w:hAnsi="Times New Roman"/>
          <w:b/>
          <w:sz w:val="28"/>
          <w:szCs w:val="28"/>
          <w:u w:val="single"/>
        </w:rPr>
        <w:t>6.1.6.2.1项目非正常排放情况下预测结果</w:t>
      </w:r>
    </w:p>
    <w:p>
      <w:pPr>
        <w:spacing w:line="360" w:lineRule="auto"/>
        <w:ind w:firstLine="442"/>
        <w:rPr>
          <w:rFonts w:ascii="Times New Roman" w:hAnsi="Times New Roman"/>
          <w:sz w:val="24"/>
          <w:szCs w:val="24"/>
        </w:rPr>
      </w:pPr>
      <w:r>
        <w:rPr>
          <w:rFonts w:ascii="Times New Roman" w:hAnsi="Times New Roman"/>
          <w:sz w:val="24"/>
          <w:szCs w:val="24"/>
          <w:u w:val="single"/>
        </w:rPr>
        <w:t>项目锅炉烟气非正常排放情况主要是开机时，烟气温度未达到脱硝所需温度引起的非正常排放。本项目掺烧仅在锅炉正常运行是进行，因此本评价不考虑掺烧时燃烧废气的非正常排放。</w:t>
      </w:r>
    </w:p>
    <w:p>
      <w:pPr>
        <w:widowControl/>
        <w:adjustRightInd w:val="0"/>
        <w:spacing w:before="120" w:beforeLines="50" w:after="60"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6.1.7大气防护距离</w:t>
      </w:r>
    </w:p>
    <w:p>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大气环境》（HJ2.2-2018）规定，对于项目厂界浓度满足大气污染物厂界浓度限值，但厂界外大气污染物短期贡献浓度超过环境质量浓度限值的，可以自厂界向外设置一定区域的大气环境防护区域，以确保大气环境防护区域外的污染物贡献浓度满足环境质量标准。</w:t>
      </w:r>
    </w:p>
    <w:p>
      <w:pPr>
        <w:spacing w:line="360" w:lineRule="auto"/>
        <w:ind w:firstLine="480" w:firstLineChars="200"/>
        <w:rPr>
          <w:rFonts w:ascii="Times New Roman" w:hAnsi="Times New Roman"/>
          <w:sz w:val="24"/>
          <w:szCs w:val="24"/>
        </w:rPr>
      </w:pPr>
      <w:r>
        <w:rPr>
          <w:rFonts w:ascii="Times New Roman" w:hAnsi="Times New Roman"/>
          <w:sz w:val="24"/>
          <w:szCs w:val="24"/>
        </w:rPr>
        <w:t>根据大气预测结果可知，本项目废气正常排放情况下，</w:t>
      </w:r>
      <w:r>
        <w:rPr>
          <w:rFonts w:ascii="Times New Roman" w:hAnsi="Times New Roman"/>
          <w:b/>
          <w:sz w:val="24"/>
          <w:szCs w:val="24"/>
        </w:rPr>
        <w:t>厂界线外没有超标点，无需设置大气环境防护距离</w:t>
      </w:r>
      <w:r>
        <w:rPr>
          <w:rFonts w:ascii="Times New Roman" w:hAnsi="Times New Roman"/>
          <w:sz w:val="24"/>
          <w:szCs w:val="24"/>
        </w:rPr>
        <w:t>。</w:t>
      </w:r>
    </w:p>
    <w:p>
      <w:pPr>
        <w:widowControl/>
        <w:adjustRightInd w:val="0"/>
        <w:spacing w:before="120" w:beforeLines="50" w:after="60"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6.1.8大气污染物排放量核算</w:t>
      </w:r>
    </w:p>
    <w:p>
      <w:pPr>
        <w:spacing w:line="360" w:lineRule="auto"/>
        <w:ind w:firstLine="442"/>
        <w:outlineLvl w:val="3"/>
        <w:rPr>
          <w:rFonts w:ascii="Times New Roman" w:hAnsi="Times New Roman"/>
          <w:b/>
          <w:sz w:val="24"/>
          <w:szCs w:val="24"/>
        </w:rPr>
      </w:pPr>
      <w:r>
        <w:rPr>
          <w:rFonts w:ascii="Times New Roman" w:hAnsi="Times New Roman"/>
          <w:b/>
          <w:sz w:val="24"/>
          <w:szCs w:val="24"/>
        </w:rPr>
        <w:t>1、有组织排放量核算</w:t>
      </w:r>
    </w:p>
    <w:p>
      <w:pPr>
        <w:spacing w:line="360" w:lineRule="auto"/>
        <w:ind w:firstLine="442"/>
        <w:rPr>
          <w:rFonts w:ascii="Times New Roman" w:hAnsi="Times New Roman"/>
          <w:sz w:val="24"/>
          <w:szCs w:val="24"/>
        </w:rPr>
      </w:pPr>
      <w:r>
        <w:rPr>
          <w:rFonts w:ascii="Times New Roman" w:hAnsi="Times New Roman"/>
          <w:sz w:val="24"/>
          <w:szCs w:val="24"/>
        </w:rPr>
        <w:t>根据《环境影响评价技术导则  大气环境》（HJ2.2-2018）及《火电行业排污许可证申请与核发技术规范 》要求，锅炉烟气排放口为主要排放口，本项目具体有组织排放量核算表如下。</w:t>
      </w:r>
    </w:p>
    <w:p>
      <w:pPr>
        <w:widowControl/>
        <w:adjustRightInd w:val="0"/>
        <w:snapToGrid w:val="0"/>
        <w:spacing w:before="120" w:beforeLines="50" w:line="360" w:lineRule="auto"/>
        <w:jc w:val="center"/>
        <w:rPr>
          <w:rFonts w:ascii="Times New Roman" w:hAnsi="Times New Roman"/>
          <w:b/>
          <w:sz w:val="24"/>
          <w:szCs w:val="20"/>
        </w:rPr>
      </w:pPr>
      <w:r>
        <w:rPr>
          <w:rFonts w:ascii="Times New Roman" w:hAnsi="Times New Roman"/>
          <w:b/>
          <w:sz w:val="24"/>
          <w:szCs w:val="20"/>
        </w:rPr>
        <w:t>表6.1.8-1大气污染物有组织排放量核算表</w:t>
      </w:r>
    </w:p>
    <w:tbl>
      <w:tblPr>
        <w:tblStyle w:val="45"/>
        <w:tblW w:w="90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926"/>
        <w:gridCol w:w="1637"/>
        <w:gridCol w:w="2181"/>
        <w:gridCol w:w="2051"/>
        <w:gridCol w:w="1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832" w:type="dxa"/>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序号</w:t>
            </w:r>
          </w:p>
        </w:tc>
        <w:tc>
          <w:tcPr>
            <w:tcW w:w="926" w:type="dxa"/>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排放口编号</w:t>
            </w:r>
          </w:p>
        </w:tc>
        <w:tc>
          <w:tcPr>
            <w:tcW w:w="1637" w:type="dxa"/>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污染物</w:t>
            </w:r>
          </w:p>
        </w:tc>
        <w:tc>
          <w:tcPr>
            <w:tcW w:w="2181" w:type="dxa"/>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核算排放浓度/</w:t>
            </w:r>
          </w:p>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（mg/m</w:t>
            </w:r>
            <w:r>
              <w:rPr>
                <w:rFonts w:ascii="Times New Roman" w:hAnsi="Times New Roman"/>
                <w:b/>
                <w:kern w:val="0"/>
                <w:szCs w:val="21"/>
                <w:vertAlign w:val="superscript"/>
              </w:rPr>
              <w:t>3</w:t>
            </w:r>
            <w:r>
              <w:rPr>
                <w:rFonts w:ascii="Times New Roman" w:hAnsi="Times New Roman"/>
                <w:b/>
                <w:kern w:val="0"/>
                <w:szCs w:val="21"/>
              </w:rPr>
              <w:t>）</w:t>
            </w:r>
          </w:p>
        </w:tc>
        <w:tc>
          <w:tcPr>
            <w:tcW w:w="2051" w:type="dxa"/>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核算排放速率/</w:t>
            </w:r>
          </w:p>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（kg/h）</w:t>
            </w:r>
          </w:p>
        </w:tc>
        <w:tc>
          <w:tcPr>
            <w:tcW w:w="1407" w:type="dxa"/>
            <w:shd w:val="clear" w:color="auto" w:fill="FFFFFF"/>
            <w:vAlign w:val="center"/>
          </w:tcPr>
          <w:p>
            <w:pPr>
              <w:widowControl/>
              <w:adjustRightInd w:val="0"/>
              <w:snapToGrid w:val="0"/>
              <w:spacing w:before="24" w:after="24"/>
              <w:jc w:val="center"/>
              <w:rPr>
                <w:rFonts w:ascii="Times New Roman" w:hAnsi="Times New Roman"/>
                <w:b/>
                <w:kern w:val="0"/>
                <w:szCs w:val="21"/>
              </w:rPr>
            </w:pPr>
            <w:r>
              <w:rPr>
                <w:rFonts w:ascii="Times New Roman" w:hAnsi="Times New Roman"/>
                <w:b/>
                <w:kern w:val="0"/>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34" w:type="dxa"/>
            <w:gridSpan w:val="6"/>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 xml:space="preserve">主要排放口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2" w:type="dxa"/>
            <w:vMerge w:val="restart"/>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1</w:t>
            </w:r>
          </w:p>
        </w:tc>
        <w:tc>
          <w:tcPr>
            <w:tcW w:w="926" w:type="dxa"/>
            <w:vMerge w:val="restart"/>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1#</w:t>
            </w:r>
          </w:p>
        </w:tc>
        <w:tc>
          <w:tcPr>
            <w:tcW w:w="1637"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颗粒物</w:t>
            </w:r>
          </w:p>
        </w:tc>
        <w:tc>
          <w:tcPr>
            <w:tcW w:w="2181" w:type="dxa"/>
            <w:shd w:val="clear" w:color="auto" w:fill="FFFFFF"/>
            <w:vAlign w:val="center"/>
          </w:tcPr>
          <w:p>
            <w:pPr>
              <w:jc w:val="center"/>
              <w:rPr>
                <w:rFonts w:ascii="Times New Roman" w:hAnsi="Times New Roman"/>
                <w:szCs w:val="21"/>
              </w:rPr>
            </w:pPr>
            <w:r>
              <w:rPr>
                <w:rFonts w:ascii="Times New Roman" w:hAnsi="Times New Roman"/>
                <w:szCs w:val="21"/>
              </w:rPr>
              <w:t>7.6</w:t>
            </w:r>
          </w:p>
        </w:tc>
        <w:tc>
          <w:tcPr>
            <w:tcW w:w="2051"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3.62</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2"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926"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637"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二氧化硫</w:t>
            </w:r>
          </w:p>
        </w:tc>
        <w:tc>
          <w:tcPr>
            <w:tcW w:w="2181" w:type="dxa"/>
            <w:shd w:val="clear" w:color="auto" w:fill="FFFFFF"/>
            <w:vAlign w:val="center"/>
          </w:tcPr>
          <w:p>
            <w:pPr>
              <w:jc w:val="center"/>
              <w:rPr>
                <w:rFonts w:ascii="Times New Roman" w:hAnsi="Times New Roman"/>
                <w:szCs w:val="21"/>
              </w:rPr>
            </w:pPr>
            <w:r>
              <w:rPr>
                <w:rFonts w:ascii="Times New Roman" w:hAnsi="Times New Roman"/>
                <w:szCs w:val="21"/>
              </w:rPr>
              <w:t>8.0</w:t>
            </w:r>
          </w:p>
        </w:tc>
        <w:tc>
          <w:tcPr>
            <w:tcW w:w="2051"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3.92</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2"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926"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637"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氮氧化物</w:t>
            </w:r>
          </w:p>
        </w:tc>
        <w:tc>
          <w:tcPr>
            <w:tcW w:w="2181" w:type="dxa"/>
            <w:shd w:val="clear" w:color="auto" w:fill="FFFFFF"/>
            <w:vAlign w:val="center"/>
          </w:tcPr>
          <w:p>
            <w:pPr>
              <w:jc w:val="center"/>
              <w:rPr>
                <w:rFonts w:ascii="Times New Roman" w:hAnsi="Times New Roman"/>
                <w:szCs w:val="21"/>
              </w:rPr>
            </w:pPr>
            <w:r>
              <w:rPr>
                <w:rFonts w:ascii="Times New Roman" w:hAnsi="Times New Roman"/>
                <w:szCs w:val="21"/>
              </w:rPr>
              <w:t>11</w:t>
            </w:r>
          </w:p>
        </w:tc>
        <w:tc>
          <w:tcPr>
            <w:tcW w:w="2051"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5.24</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45.90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2"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926"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637"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镍</w:t>
            </w:r>
          </w:p>
        </w:tc>
        <w:tc>
          <w:tcPr>
            <w:tcW w:w="2181" w:type="dxa"/>
            <w:shd w:val="clear" w:color="auto" w:fill="FFFFFF"/>
            <w:vAlign w:val="center"/>
          </w:tcPr>
          <w:p>
            <w:pPr>
              <w:jc w:val="center"/>
              <w:rPr>
                <w:rFonts w:ascii="Times New Roman" w:hAnsi="Times New Roman"/>
                <w:szCs w:val="21"/>
              </w:rPr>
            </w:pPr>
            <w:r>
              <w:rPr>
                <w:rFonts w:ascii="Times New Roman" w:hAnsi="Times New Roman"/>
                <w:szCs w:val="21"/>
              </w:rPr>
              <w:t>0.0022</w:t>
            </w:r>
          </w:p>
        </w:tc>
        <w:tc>
          <w:tcPr>
            <w:tcW w:w="2051"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0.001</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2"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926" w:type="dxa"/>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1637"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二噁英</w:t>
            </w:r>
          </w:p>
        </w:tc>
        <w:tc>
          <w:tcPr>
            <w:tcW w:w="2181"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0.021ng/m</w:t>
            </w:r>
            <w:r>
              <w:rPr>
                <w:rFonts w:ascii="Times New Roman" w:hAnsi="Times New Roman"/>
                <w:kern w:val="0"/>
                <w:szCs w:val="21"/>
                <w:vertAlign w:val="superscript"/>
              </w:rPr>
              <w:t>3</w:t>
            </w:r>
          </w:p>
        </w:tc>
        <w:tc>
          <w:tcPr>
            <w:tcW w:w="2051" w:type="dxa"/>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0.01mg/h</w:t>
            </w:r>
          </w:p>
        </w:tc>
        <w:tc>
          <w:tcPr>
            <w:tcW w:w="1407" w:type="dxa"/>
            <w:shd w:val="clear" w:color="auto" w:fill="FFFFFF"/>
            <w:vAlign w:val="center"/>
          </w:tcPr>
          <w:p>
            <w:pPr>
              <w:jc w:val="center"/>
              <w:rPr>
                <w:rFonts w:ascii="Times New Roman" w:hAnsi="Times New Roman"/>
                <w:szCs w:val="21"/>
              </w:rPr>
            </w:pPr>
            <w:r>
              <w:rPr>
                <w:rFonts w:ascii="Times New Roman" w:hAnsi="Times New Roman"/>
                <w:szCs w:val="21"/>
              </w:rPr>
              <w:t>0.088mg/a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restart"/>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合计</w:t>
            </w: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颗粒物</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二氧化硫</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氮氧化物</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45.90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镍</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二噁英</w:t>
            </w:r>
          </w:p>
        </w:tc>
        <w:tc>
          <w:tcPr>
            <w:tcW w:w="1407" w:type="dxa"/>
            <w:shd w:val="clear" w:color="auto" w:fill="FFFFFF"/>
            <w:vAlign w:val="center"/>
          </w:tcPr>
          <w:p>
            <w:pPr>
              <w:jc w:val="center"/>
              <w:rPr>
                <w:rFonts w:ascii="Times New Roman" w:hAnsi="Times New Roman"/>
                <w:szCs w:val="21"/>
              </w:rPr>
            </w:pPr>
            <w:r>
              <w:rPr>
                <w:rFonts w:ascii="Times New Roman" w:hAnsi="Times New Roman"/>
                <w:szCs w:val="21"/>
              </w:rPr>
              <w:t>0.088mg/a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34" w:type="dxa"/>
            <w:gridSpan w:val="6"/>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一般排放口（无）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34" w:type="dxa"/>
            <w:gridSpan w:val="6"/>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有组织排放总计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restart"/>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有组织排放总计</w:t>
            </w: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颗粒物</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二氧化硫</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34.34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氮氧化物</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45.90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镍</w:t>
            </w:r>
          </w:p>
        </w:tc>
        <w:tc>
          <w:tcPr>
            <w:tcW w:w="1407" w:type="dxa"/>
            <w:shd w:val="clear" w:color="auto" w:fill="FFFFFF"/>
            <w:vAlign w:val="center"/>
          </w:tcPr>
          <w:p>
            <w:pPr>
              <w:jc w:val="center"/>
              <w:rPr>
                <w:rFonts w:ascii="Times New Roman" w:hAnsi="Times New Roman"/>
                <w:szCs w:val="21"/>
                <w:u w:val="single"/>
              </w:rPr>
            </w:pPr>
            <w:r>
              <w:rPr>
                <w:rFonts w:ascii="Times New Roman" w:hAnsi="Times New Roman"/>
                <w:szCs w:val="21"/>
                <w:u w:val="single"/>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58" w:type="dxa"/>
            <w:gridSpan w:val="2"/>
            <w:vMerge w:val="continue"/>
            <w:shd w:val="clear" w:color="auto" w:fill="FFFFFF"/>
            <w:vAlign w:val="center"/>
          </w:tcPr>
          <w:p>
            <w:pPr>
              <w:widowControl/>
              <w:adjustRightInd w:val="0"/>
              <w:snapToGrid w:val="0"/>
              <w:spacing w:before="24" w:after="24"/>
              <w:jc w:val="center"/>
              <w:rPr>
                <w:rFonts w:ascii="Times New Roman" w:hAnsi="Times New Roman"/>
                <w:kern w:val="0"/>
                <w:szCs w:val="21"/>
              </w:rPr>
            </w:pPr>
          </w:p>
        </w:tc>
        <w:tc>
          <w:tcPr>
            <w:tcW w:w="5869" w:type="dxa"/>
            <w:gridSpan w:val="3"/>
            <w:shd w:val="clear" w:color="auto" w:fill="FFFFFF"/>
            <w:vAlign w:val="center"/>
          </w:tcPr>
          <w:p>
            <w:pPr>
              <w:widowControl/>
              <w:adjustRightInd w:val="0"/>
              <w:snapToGrid w:val="0"/>
              <w:spacing w:before="24" w:after="24"/>
              <w:jc w:val="center"/>
              <w:rPr>
                <w:rFonts w:ascii="Times New Roman" w:hAnsi="Times New Roman"/>
                <w:kern w:val="0"/>
                <w:szCs w:val="21"/>
              </w:rPr>
            </w:pPr>
            <w:r>
              <w:rPr>
                <w:rFonts w:ascii="Times New Roman" w:hAnsi="Times New Roman"/>
                <w:kern w:val="0"/>
                <w:szCs w:val="21"/>
              </w:rPr>
              <w:t>二噁英</w:t>
            </w:r>
          </w:p>
        </w:tc>
        <w:tc>
          <w:tcPr>
            <w:tcW w:w="1407" w:type="dxa"/>
            <w:shd w:val="clear" w:color="auto" w:fill="FFFFFF"/>
            <w:vAlign w:val="center"/>
          </w:tcPr>
          <w:p>
            <w:pPr>
              <w:jc w:val="center"/>
              <w:rPr>
                <w:rFonts w:ascii="Times New Roman" w:hAnsi="Times New Roman"/>
                <w:szCs w:val="21"/>
              </w:rPr>
            </w:pPr>
            <w:r>
              <w:rPr>
                <w:rFonts w:ascii="Times New Roman" w:hAnsi="Times New Roman"/>
                <w:szCs w:val="21"/>
              </w:rPr>
              <w:t>0.088mg/a</w:t>
            </w:r>
          </w:p>
        </w:tc>
      </w:tr>
    </w:tbl>
    <w:p>
      <w:pPr>
        <w:rPr>
          <w:rFonts w:ascii="Times New Roman" w:hAnsi="Times New Roman"/>
          <w:szCs w:val="21"/>
        </w:rPr>
      </w:pPr>
      <w:r>
        <w:rPr>
          <w:rFonts w:ascii="Times New Roman" w:hAnsi="Times New Roman"/>
          <w:szCs w:val="21"/>
        </w:rPr>
        <w:t>注：上表按掺烧的最不利情景考虑。</w:t>
      </w:r>
    </w:p>
    <w:p>
      <w:pPr>
        <w:spacing w:before="120" w:beforeLines="50" w:line="360" w:lineRule="auto"/>
        <w:ind w:firstLine="442"/>
        <w:outlineLvl w:val="3"/>
        <w:rPr>
          <w:rFonts w:ascii="Times New Roman" w:hAnsi="Times New Roman"/>
          <w:b/>
          <w:sz w:val="24"/>
          <w:szCs w:val="24"/>
        </w:rPr>
      </w:pPr>
      <w:r>
        <w:rPr>
          <w:rFonts w:ascii="Times New Roman" w:hAnsi="Times New Roman"/>
          <w:b/>
          <w:sz w:val="24"/>
          <w:szCs w:val="24"/>
        </w:rPr>
        <w:t>2、无组织排放量核算</w:t>
      </w:r>
    </w:p>
    <w:p>
      <w:pPr>
        <w:spacing w:line="360" w:lineRule="auto"/>
        <w:ind w:firstLine="442"/>
        <w:rPr>
          <w:rFonts w:ascii="Times New Roman" w:hAnsi="Times New Roman"/>
          <w:sz w:val="24"/>
          <w:szCs w:val="24"/>
        </w:rPr>
      </w:pPr>
      <w:r>
        <w:rPr>
          <w:rFonts w:ascii="Times New Roman" w:hAnsi="Times New Roman"/>
          <w:sz w:val="24"/>
          <w:szCs w:val="24"/>
        </w:rPr>
        <w:t>本项目废气无组织排放量核算见下表。</w:t>
      </w:r>
    </w:p>
    <w:p>
      <w:pPr>
        <w:widowControl/>
        <w:adjustRightInd w:val="0"/>
        <w:snapToGrid w:val="0"/>
        <w:spacing w:before="120" w:beforeLines="50" w:line="360" w:lineRule="auto"/>
        <w:jc w:val="center"/>
        <w:rPr>
          <w:rFonts w:ascii="Times New Roman" w:hAnsi="Times New Roman"/>
          <w:b/>
          <w:sz w:val="24"/>
          <w:szCs w:val="20"/>
        </w:rPr>
      </w:pPr>
      <w:r>
        <w:rPr>
          <w:rFonts w:ascii="Times New Roman" w:hAnsi="Times New Roman"/>
          <w:b/>
          <w:sz w:val="24"/>
          <w:szCs w:val="20"/>
        </w:rPr>
        <w:t>表6.1.8-2大气污染物无组织排放量核算表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859"/>
        <w:gridCol w:w="1195"/>
        <w:gridCol w:w="851"/>
        <w:gridCol w:w="1563"/>
        <w:gridCol w:w="1701"/>
        <w:gridCol w:w="1287"/>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62" w:type="dxa"/>
            <w:vMerge w:val="restart"/>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序号</w:t>
            </w:r>
          </w:p>
        </w:tc>
        <w:tc>
          <w:tcPr>
            <w:tcW w:w="859" w:type="dxa"/>
            <w:vMerge w:val="restart"/>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排放口编号</w:t>
            </w:r>
          </w:p>
        </w:tc>
        <w:tc>
          <w:tcPr>
            <w:tcW w:w="1195" w:type="dxa"/>
            <w:vMerge w:val="restart"/>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产污</w:t>
            </w:r>
            <w:r>
              <w:rPr>
                <w:rFonts w:ascii="Times New Roman" w:hAnsi="Times New Roman"/>
                <w:b/>
                <w:kern w:val="0"/>
                <w:sz w:val="20"/>
                <w:szCs w:val="20"/>
              </w:rPr>
              <w:br w:type="textWrapping"/>
            </w:r>
            <w:r>
              <w:rPr>
                <w:rFonts w:ascii="Times New Roman" w:hAnsi="Times New Roman"/>
                <w:b/>
                <w:kern w:val="0"/>
                <w:sz w:val="20"/>
                <w:szCs w:val="20"/>
              </w:rPr>
              <w:t>环节</w:t>
            </w:r>
          </w:p>
        </w:tc>
        <w:tc>
          <w:tcPr>
            <w:tcW w:w="851" w:type="dxa"/>
            <w:vMerge w:val="restart"/>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污染物</w:t>
            </w:r>
          </w:p>
        </w:tc>
        <w:tc>
          <w:tcPr>
            <w:tcW w:w="1563" w:type="dxa"/>
            <w:vMerge w:val="restart"/>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主要污染防治措施</w:t>
            </w:r>
          </w:p>
        </w:tc>
        <w:tc>
          <w:tcPr>
            <w:tcW w:w="2988" w:type="dxa"/>
            <w:gridSpan w:val="2"/>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国家或地方污染物排放标准</w:t>
            </w:r>
          </w:p>
        </w:tc>
        <w:tc>
          <w:tcPr>
            <w:tcW w:w="1087" w:type="dxa"/>
            <w:vMerge w:val="restart"/>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62" w:type="dxa"/>
            <w:vMerge w:val="continue"/>
            <w:vAlign w:val="center"/>
          </w:tcPr>
          <w:p>
            <w:pPr>
              <w:widowControl/>
              <w:adjustRightInd w:val="0"/>
              <w:snapToGrid w:val="0"/>
              <w:jc w:val="center"/>
              <w:rPr>
                <w:rFonts w:ascii="Times New Roman" w:hAnsi="Times New Roman"/>
                <w:kern w:val="0"/>
                <w:sz w:val="20"/>
                <w:szCs w:val="20"/>
              </w:rPr>
            </w:pPr>
          </w:p>
        </w:tc>
        <w:tc>
          <w:tcPr>
            <w:tcW w:w="859" w:type="dxa"/>
            <w:vMerge w:val="continue"/>
            <w:vAlign w:val="center"/>
          </w:tcPr>
          <w:p>
            <w:pPr>
              <w:widowControl/>
              <w:adjustRightInd w:val="0"/>
              <w:snapToGrid w:val="0"/>
              <w:jc w:val="center"/>
              <w:rPr>
                <w:rFonts w:ascii="Times New Roman" w:hAnsi="Times New Roman"/>
                <w:kern w:val="0"/>
                <w:sz w:val="20"/>
                <w:szCs w:val="20"/>
              </w:rPr>
            </w:pPr>
          </w:p>
        </w:tc>
        <w:tc>
          <w:tcPr>
            <w:tcW w:w="1195" w:type="dxa"/>
            <w:vMerge w:val="continue"/>
            <w:vAlign w:val="center"/>
          </w:tcPr>
          <w:p>
            <w:pPr>
              <w:widowControl/>
              <w:adjustRightInd w:val="0"/>
              <w:snapToGrid w:val="0"/>
              <w:jc w:val="center"/>
              <w:rPr>
                <w:rFonts w:ascii="Times New Roman" w:hAnsi="Times New Roman"/>
                <w:kern w:val="0"/>
                <w:sz w:val="20"/>
                <w:szCs w:val="20"/>
              </w:rPr>
            </w:pPr>
          </w:p>
        </w:tc>
        <w:tc>
          <w:tcPr>
            <w:tcW w:w="851" w:type="dxa"/>
            <w:vMerge w:val="continue"/>
            <w:vAlign w:val="center"/>
          </w:tcPr>
          <w:p>
            <w:pPr>
              <w:widowControl/>
              <w:adjustRightInd w:val="0"/>
              <w:snapToGrid w:val="0"/>
              <w:jc w:val="center"/>
              <w:rPr>
                <w:rFonts w:ascii="Times New Roman" w:hAnsi="Times New Roman"/>
                <w:kern w:val="0"/>
                <w:sz w:val="20"/>
                <w:szCs w:val="20"/>
              </w:rPr>
            </w:pPr>
          </w:p>
        </w:tc>
        <w:tc>
          <w:tcPr>
            <w:tcW w:w="1563" w:type="dxa"/>
            <w:vMerge w:val="continue"/>
            <w:vAlign w:val="center"/>
          </w:tcPr>
          <w:p>
            <w:pPr>
              <w:widowControl/>
              <w:adjustRightInd w:val="0"/>
              <w:snapToGrid w:val="0"/>
              <w:jc w:val="center"/>
              <w:rPr>
                <w:rFonts w:ascii="Times New Roman" w:hAnsi="Times New Roman"/>
                <w:kern w:val="0"/>
                <w:sz w:val="20"/>
                <w:szCs w:val="20"/>
              </w:rPr>
            </w:pPr>
          </w:p>
        </w:tc>
        <w:tc>
          <w:tcPr>
            <w:tcW w:w="1701" w:type="dxa"/>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标准名称</w:t>
            </w:r>
          </w:p>
        </w:tc>
        <w:tc>
          <w:tcPr>
            <w:tcW w:w="1287" w:type="dxa"/>
            <w:vAlign w:val="center"/>
          </w:tcPr>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浓度限值/</w:t>
            </w:r>
          </w:p>
          <w:p>
            <w:pPr>
              <w:widowControl/>
              <w:adjustRightInd w:val="0"/>
              <w:snapToGrid w:val="0"/>
              <w:jc w:val="center"/>
              <w:rPr>
                <w:rFonts w:ascii="Times New Roman" w:hAnsi="Times New Roman"/>
                <w:b/>
                <w:kern w:val="0"/>
                <w:sz w:val="20"/>
                <w:szCs w:val="20"/>
              </w:rPr>
            </w:pPr>
            <w:r>
              <w:rPr>
                <w:rFonts w:ascii="Times New Roman" w:hAnsi="Times New Roman"/>
                <w:b/>
                <w:kern w:val="0"/>
                <w:sz w:val="20"/>
                <w:szCs w:val="20"/>
              </w:rPr>
              <w:t>（mg/m</w:t>
            </w:r>
            <w:r>
              <w:rPr>
                <w:rFonts w:ascii="Times New Roman" w:hAnsi="Times New Roman"/>
                <w:b/>
                <w:kern w:val="0"/>
                <w:sz w:val="20"/>
                <w:szCs w:val="20"/>
                <w:vertAlign w:val="superscript"/>
              </w:rPr>
              <w:t>3</w:t>
            </w:r>
            <w:r>
              <w:rPr>
                <w:rFonts w:ascii="Times New Roman" w:hAnsi="Times New Roman"/>
                <w:b/>
                <w:kern w:val="0"/>
                <w:sz w:val="20"/>
                <w:szCs w:val="20"/>
              </w:rPr>
              <w:t>）</w:t>
            </w:r>
          </w:p>
        </w:tc>
        <w:tc>
          <w:tcPr>
            <w:tcW w:w="1087" w:type="dxa"/>
            <w:vMerge w:val="continue"/>
            <w:vAlign w:val="center"/>
          </w:tcPr>
          <w:p>
            <w:pPr>
              <w:widowControl/>
              <w:adjustRightInd w:val="0"/>
              <w:snapToGrid w:val="0"/>
              <w:jc w:val="center"/>
              <w:rPr>
                <w:rFonts w:ascii="Times New Roman" w:hAnsi="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62" w:type="dxa"/>
            <w:vMerge w:val="restart"/>
            <w:vAlign w:val="center"/>
          </w:tcPr>
          <w:p>
            <w:pPr>
              <w:adjustRightInd w:val="0"/>
              <w:snapToGrid w:val="0"/>
              <w:jc w:val="center"/>
              <w:rPr>
                <w:rFonts w:ascii="Times New Roman" w:hAnsi="Times New Roman"/>
                <w:kern w:val="0"/>
                <w:sz w:val="20"/>
                <w:szCs w:val="20"/>
              </w:rPr>
            </w:pPr>
            <w:r>
              <w:rPr>
                <w:rFonts w:ascii="Times New Roman" w:hAnsi="Times New Roman"/>
                <w:kern w:val="0"/>
                <w:sz w:val="20"/>
                <w:szCs w:val="20"/>
              </w:rPr>
              <w:t>1</w:t>
            </w:r>
          </w:p>
        </w:tc>
        <w:tc>
          <w:tcPr>
            <w:tcW w:w="859" w:type="dxa"/>
            <w:vMerge w:val="restart"/>
            <w:vAlign w:val="center"/>
          </w:tcPr>
          <w:p>
            <w:pPr>
              <w:adjustRightInd w:val="0"/>
              <w:snapToGrid w:val="0"/>
              <w:jc w:val="center"/>
              <w:rPr>
                <w:rFonts w:ascii="Times New Roman" w:hAnsi="Times New Roman"/>
                <w:kern w:val="0"/>
                <w:sz w:val="20"/>
                <w:szCs w:val="20"/>
              </w:rPr>
            </w:pPr>
            <w:r>
              <w:rPr>
                <w:rFonts w:ascii="Times New Roman" w:hAnsi="Times New Roman"/>
                <w:kern w:val="0"/>
                <w:sz w:val="20"/>
                <w:szCs w:val="20"/>
              </w:rPr>
              <w:t>1#</w:t>
            </w:r>
          </w:p>
        </w:tc>
        <w:tc>
          <w:tcPr>
            <w:tcW w:w="1195" w:type="dxa"/>
            <w:vMerge w:val="restart"/>
            <w:vAlign w:val="center"/>
          </w:tcPr>
          <w:p>
            <w:pPr>
              <w:jc w:val="center"/>
              <w:rPr>
                <w:rFonts w:ascii="Times New Roman" w:hAnsi="Times New Roman"/>
                <w:sz w:val="20"/>
                <w:szCs w:val="20"/>
              </w:rPr>
            </w:pPr>
            <w:r>
              <w:rPr>
                <w:rFonts w:ascii="Times New Roman" w:hAnsi="Times New Roman"/>
                <w:kern w:val="0"/>
                <w:sz w:val="20"/>
                <w:szCs w:val="20"/>
              </w:rPr>
              <w:t>油泥浮渣储仓</w:t>
            </w:r>
          </w:p>
        </w:tc>
        <w:tc>
          <w:tcPr>
            <w:tcW w:w="851" w:type="dxa"/>
            <w:vAlign w:val="center"/>
          </w:tcPr>
          <w:p>
            <w:pPr>
              <w:widowControl/>
              <w:jc w:val="center"/>
              <w:rPr>
                <w:rFonts w:ascii="Times New Roman" w:hAnsi="Times New Roman"/>
                <w:kern w:val="0"/>
                <w:sz w:val="20"/>
                <w:szCs w:val="20"/>
              </w:rPr>
            </w:pPr>
            <w:r>
              <w:rPr>
                <w:rFonts w:ascii="Times New Roman" w:hAnsi="Times New Roman"/>
                <w:kern w:val="0"/>
                <w:sz w:val="20"/>
                <w:szCs w:val="20"/>
              </w:rPr>
              <w:t>硫化氢</w:t>
            </w:r>
          </w:p>
        </w:tc>
        <w:tc>
          <w:tcPr>
            <w:tcW w:w="1563" w:type="dxa"/>
            <w:vMerge w:val="restart"/>
            <w:vAlign w:val="center"/>
          </w:tcPr>
          <w:p>
            <w:pPr>
              <w:jc w:val="center"/>
              <w:rPr>
                <w:rFonts w:ascii="Times New Roman" w:hAnsi="Times New Roman"/>
                <w:sz w:val="20"/>
                <w:szCs w:val="20"/>
              </w:rPr>
            </w:pPr>
            <w:r>
              <w:rPr>
                <w:rFonts w:ascii="Times New Roman" w:hAnsi="Times New Roman"/>
                <w:sz w:val="20"/>
                <w:szCs w:val="20"/>
              </w:rPr>
              <w:t>加强收集</w:t>
            </w:r>
          </w:p>
        </w:tc>
        <w:tc>
          <w:tcPr>
            <w:tcW w:w="1701" w:type="dxa"/>
            <w:vMerge w:val="restart"/>
            <w:vAlign w:val="center"/>
          </w:tcPr>
          <w:p>
            <w:pPr>
              <w:adjustRightInd w:val="0"/>
              <w:snapToGrid w:val="0"/>
              <w:jc w:val="center"/>
              <w:rPr>
                <w:rFonts w:ascii="Times New Roman" w:hAnsi="Times New Roman"/>
                <w:kern w:val="0"/>
                <w:sz w:val="20"/>
                <w:szCs w:val="20"/>
              </w:rPr>
            </w:pPr>
            <w:r>
              <w:rPr>
                <w:rFonts w:ascii="Times New Roman" w:hAnsi="Times New Roman"/>
                <w:kern w:val="0"/>
                <w:sz w:val="20"/>
                <w:szCs w:val="20"/>
              </w:rPr>
              <w:t>《恶臭污染物排放标准》（GB14554-93）</w:t>
            </w:r>
          </w:p>
        </w:tc>
        <w:tc>
          <w:tcPr>
            <w:tcW w:w="1287" w:type="dxa"/>
            <w:vAlign w:val="center"/>
          </w:tcPr>
          <w:p>
            <w:pPr>
              <w:widowControl/>
              <w:adjustRightInd w:val="0"/>
              <w:snapToGrid w:val="0"/>
              <w:jc w:val="center"/>
              <w:rPr>
                <w:rFonts w:ascii="Times New Roman" w:hAnsi="Times New Roman"/>
                <w:kern w:val="0"/>
                <w:sz w:val="20"/>
                <w:szCs w:val="20"/>
              </w:rPr>
            </w:pPr>
            <w:r>
              <w:rPr>
                <w:rFonts w:ascii="Times New Roman" w:hAnsi="Times New Roman"/>
                <w:kern w:val="0"/>
                <w:sz w:val="20"/>
                <w:szCs w:val="20"/>
              </w:rPr>
              <w:t>0.06</w:t>
            </w:r>
          </w:p>
        </w:tc>
        <w:tc>
          <w:tcPr>
            <w:tcW w:w="1087" w:type="dxa"/>
            <w:vAlign w:val="center"/>
          </w:tcPr>
          <w:p>
            <w:pPr>
              <w:widowControl/>
              <w:jc w:val="center"/>
              <w:rPr>
                <w:rFonts w:ascii="Times New Roman" w:hAnsi="Times New Roman"/>
                <w:kern w:val="0"/>
                <w:sz w:val="20"/>
                <w:szCs w:val="20"/>
              </w:rPr>
            </w:pPr>
            <w:r>
              <w:rPr>
                <w:rFonts w:ascii="Times New Roman" w:hAnsi="Times New Roman"/>
                <w:kern w:val="0"/>
                <w:sz w:val="20"/>
                <w:szCs w:val="20"/>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62" w:type="dxa"/>
            <w:vMerge w:val="continue"/>
            <w:vAlign w:val="center"/>
          </w:tcPr>
          <w:p>
            <w:pPr>
              <w:widowControl/>
              <w:adjustRightInd w:val="0"/>
              <w:snapToGrid w:val="0"/>
              <w:jc w:val="center"/>
              <w:rPr>
                <w:rFonts w:ascii="Times New Roman" w:hAnsi="Times New Roman"/>
                <w:kern w:val="0"/>
                <w:sz w:val="20"/>
                <w:szCs w:val="20"/>
              </w:rPr>
            </w:pPr>
          </w:p>
        </w:tc>
        <w:tc>
          <w:tcPr>
            <w:tcW w:w="859" w:type="dxa"/>
            <w:vMerge w:val="continue"/>
            <w:vAlign w:val="center"/>
          </w:tcPr>
          <w:p>
            <w:pPr>
              <w:widowControl/>
              <w:adjustRightInd w:val="0"/>
              <w:snapToGrid w:val="0"/>
              <w:jc w:val="center"/>
              <w:rPr>
                <w:rFonts w:ascii="Times New Roman" w:hAnsi="Times New Roman"/>
                <w:kern w:val="0"/>
                <w:sz w:val="20"/>
                <w:szCs w:val="20"/>
              </w:rPr>
            </w:pPr>
          </w:p>
        </w:tc>
        <w:tc>
          <w:tcPr>
            <w:tcW w:w="1195" w:type="dxa"/>
            <w:vMerge w:val="continue"/>
            <w:vAlign w:val="center"/>
          </w:tcPr>
          <w:p>
            <w:pPr>
              <w:jc w:val="center"/>
              <w:rPr>
                <w:rFonts w:ascii="Times New Roman" w:hAnsi="Times New Roman"/>
                <w:sz w:val="20"/>
                <w:szCs w:val="20"/>
              </w:rPr>
            </w:pPr>
          </w:p>
        </w:tc>
        <w:tc>
          <w:tcPr>
            <w:tcW w:w="851" w:type="dxa"/>
            <w:vAlign w:val="center"/>
          </w:tcPr>
          <w:p>
            <w:pPr>
              <w:widowControl/>
              <w:jc w:val="center"/>
              <w:rPr>
                <w:rFonts w:ascii="Times New Roman" w:hAnsi="Times New Roman"/>
                <w:kern w:val="0"/>
                <w:sz w:val="20"/>
                <w:szCs w:val="20"/>
              </w:rPr>
            </w:pPr>
            <w:r>
              <w:rPr>
                <w:rFonts w:ascii="Times New Roman" w:hAnsi="Times New Roman"/>
                <w:kern w:val="0"/>
                <w:sz w:val="20"/>
                <w:szCs w:val="20"/>
              </w:rPr>
              <w:t>氨</w:t>
            </w:r>
          </w:p>
        </w:tc>
        <w:tc>
          <w:tcPr>
            <w:tcW w:w="1563" w:type="dxa"/>
            <w:vMerge w:val="continue"/>
            <w:vAlign w:val="center"/>
          </w:tcPr>
          <w:p>
            <w:pPr>
              <w:jc w:val="center"/>
              <w:rPr>
                <w:rFonts w:ascii="Times New Roman" w:hAnsi="Times New Roman"/>
                <w:sz w:val="20"/>
                <w:szCs w:val="20"/>
              </w:rPr>
            </w:pPr>
          </w:p>
        </w:tc>
        <w:tc>
          <w:tcPr>
            <w:tcW w:w="1701" w:type="dxa"/>
            <w:vMerge w:val="continue"/>
            <w:vAlign w:val="center"/>
          </w:tcPr>
          <w:p>
            <w:pPr>
              <w:widowControl/>
              <w:adjustRightInd w:val="0"/>
              <w:snapToGrid w:val="0"/>
              <w:jc w:val="center"/>
              <w:rPr>
                <w:rFonts w:ascii="Times New Roman" w:hAnsi="Times New Roman"/>
                <w:kern w:val="0"/>
                <w:sz w:val="20"/>
                <w:szCs w:val="20"/>
              </w:rPr>
            </w:pPr>
          </w:p>
        </w:tc>
        <w:tc>
          <w:tcPr>
            <w:tcW w:w="1287" w:type="dxa"/>
            <w:vAlign w:val="center"/>
          </w:tcPr>
          <w:p>
            <w:pPr>
              <w:widowControl/>
              <w:adjustRightInd w:val="0"/>
              <w:snapToGrid w:val="0"/>
              <w:jc w:val="center"/>
              <w:rPr>
                <w:rFonts w:ascii="Times New Roman" w:hAnsi="Times New Roman"/>
                <w:kern w:val="0"/>
                <w:sz w:val="20"/>
                <w:szCs w:val="20"/>
              </w:rPr>
            </w:pPr>
            <w:r>
              <w:rPr>
                <w:rFonts w:ascii="Times New Roman" w:hAnsi="Times New Roman"/>
                <w:kern w:val="0"/>
                <w:sz w:val="20"/>
                <w:szCs w:val="20"/>
              </w:rPr>
              <w:t>1.5</w:t>
            </w:r>
          </w:p>
        </w:tc>
        <w:tc>
          <w:tcPr>
            <w:tcW w:w="1087" w:type="dxa"/>
            <w:vAlign w:val="center"/>
          </w:tcPr>
          <w:p>
            <w:pPr>
              <w:widowControl/>
              <w:jc w:val="center"/>
              <w:rPr>
                <w:rFonts w:ascii="Times New Roman" w:hAnsi="Times New Roman"/>
                <w:kern w:val="0"/>
                <w:sz w:val="20"/>
                <w:szCs w:val="20"/>
              </w:rPr>
            </w:pPr>
            <w:r>
              <w:rPr>
                <w:rFonts w:ascii="Times New Roman" w:hAnsi="Times New Roman"/>
                <w:kern w:val="0"/>
                <w:sz w:val="20"/>
                <w:szCs w:val="20"/>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9005" w:type="dxa"/>
            <w:gridSpan w:val="8"/>
            <w:vAlign w:val="center"/>
          </w:tcPr>
          <w:p>
            <w:pPr>
              <w:widowControl/>
              <w:adjustRightInd w:val="0"/>
              <w:snapToGrid w:val="0"/>
              <w:jc w:val="center"/>
              <w:rPr>
                <w:rFonts w:ascii="Times New Roman" w:hAnsi="Times New Roman"/>
                <w:kern w:val="0"/>
                <w:sz w:val="20"/>
                <w:szCs w:val="20"/>
              </w:rPr>
            </w:pPr>
            <w:r>
              <w:rPr>
                <w:rFonts w:ascii="Times New Roman" w:hAnsi="Times New Roman"/>
                <w:kern w:val="0"/>
                <w:sz w:val="20"/>
                <w:szCs w:val="20"/>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516" w:type="dxa"/>
            <w:gridSpan w:val="3"/>
            <w:vMerge w:val="restart"/>
            <w:vAlign w:val="center"/>
          </w:tcPr>
          <w:p>
            <w:pPr>
              <w:adjustRightInd w:val="0"/>
              <w:snapToGrid w:val="0"/>
              <w:jc w:val="center"/>
              <w:rPr>
                <w:rFonts w:ascii="Times New Roman" w:hAnsi="Times New Roman"/>
                <w:kern w:val="0"/>
                <w:sz w:val="20"/>
                <w:szCs w:val="20"/>
              </w:rPr>
            </w:pPr>
            <w:r>
              <w:rPr>
                <w:rFonts w:ascii="Times New Roman" w:hAnsi="Times New Roman"/>
                <w:kern w:val="0"/>
                <w:sz w:val="20"/>
                <w:szCs w:val="20"/>
              </w:rPr>
              <w:t>无组织排放总计</w:t>
            </w:r>
          </w:p>
        </w:tc>
        <w:tc>
          <w:tcPr>
            <w:tcW w:w="5402" w:type="dxa"/>
            <w:gridSpan w:val="4"/>
            <w:vAlign w:val="center"/>
          </w:tcPr>
          <w:p>
            <w:pPr>
              <w:widowControl/>
              <w:jc w:val="center"/>
              <w:rPr>
                <w:rFonts w:ascii="Times New Roman" w:hAnsi="Times New Roman"/>
                <w:kern w:val="0"/>
                <w:sz w:val="20"/>
                <w:szCs w:val="20"/>
              </w:rPr>
            </w:pPr>
            <w:r>
              <w:rPr>
                <w:rFonts w:ascii="Times New Roman" w:hAnsi="Times New Roman"/>
                <w:kern w:val="0"/>
                <w:sz w:val="20"/>
                <w:szCs w:val="20"/>
              </w:rPr>
              <w:t>硫化氢</w:t>
            </w:r>
          </w:p>
        </w:tc>
        <w:tc>
          <w:tcPr>
            <w:tcW w:w="1087" w:type="dxa"/>
            <w:vAlign w:val="center"/>
          </w:tcPr>
          <w:p>
            <w:pPr>
              <w:widowControl/>
              <w:jc w:val="center"/>
              <w:rPr>
                <w:rFonts w:ascii="Times New Roman" w:hAnsi="Times New Roman"/>
                <w:kern w:val="0"/>
                <w:sz w:val="20"/>
                <w:szCs w:val="20"/>
              </w:rPr>
            </w:pPr>
            <w:r>
              <w:rPr>
                <w:rFonts w:ascii="Times New Roman" w:hAnsi="Times New Roman"/>
                <w:kern w:val="0"/>
                <w:sz w:val="20"/>
                <w:szCs w:val="20"/>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516" w:type="dxa"/>
            <w:gridSpan w:val="3"/>
            <w:vMerge w:val="continue"/>
            <w:vAlign w:val="center"/>
          </w:tcPr>
          <w:p>
            <w:pPr>
              <w:widowControl/>
              <w:adjustRightInd w:val="0"/>
              <w:snapToGrid w:val="0"/>
              <w:jc w:val="center"/>
              <w:rPr>
                <w:rFonts w:ascii="Times New Roman" w:hAnsi="Times New Roman"/>
                <w:kern w:val="0"/>
                <w:sz w:val="20"/>
                <w:szCs w:val="20"/>
              </w:rPr>
            </w:pPr>
          </w:p>
        </w:tc>
        <w:tc>
          <w:tcPr>
            <w:tcW w:w="5402" w:type="dxa"/>
            <w:gridSpan w:val="4"/>
            <w:vAlign w:val="center"/>
          </w:tcPr>
          <w:p>
            <w:pPr>
              <w:widowControl/>
              <w:jc w:val="center"/>
              <w:rPr>
                <w:rFonts w:ascii="Times New Roman" w:hAnsi="Times New Roman"/>
                <w:kern w:val="0"/>
                <w:sz w:val="20"/>
                <w:szCs w:val="20"/>
              </w:rPr>
            </w:pPr>
            <w:r>
              <w:rPr>
                <w:rFonts w:ascii="Times New Roman" w:hAnsi="Times New Roman"/>
                <w:kern w:val="0"/>
                <w:sz w:val="20"/>
                <w:szCs w:val="20"/>
              </w:rPr>
              <w:t>氨</w:t>
            </w:r>
          </w:p>
        </w:tc>
        <w:tc>
          <w:tcPr>
            <w:tcW w:w="1087" w:type="dxa"/>
            <w:vAlign w:val="center"/>
          </w:tcPr>
          <w:p>
            <w:pPr>
              <w:widowControl/>
              <w:jc w:val="center"/>
              <w:rPr>
                <w:rFonts w:ascii="Times New Roman" w:hAnsi="Times New Roman"/>
                <w:kern w:val="0"/>
                <w:sz w:val="20"/>
                <w:szCs w:val="20"/>
              </w:rPr>
            </w:pPr>
            <w:r>
              <w:rPr>
                <w:rFonts w:ascii="Times New Roman" w:hAnsi="Times New Roman"/>
                <w:kern w:val="0"/>
                <w:sz w:val="20"/>
                <w:szCs w:val="20"/>
              </w:rPr>
              <w:t>0.0017</w:t>
            </w:r>
          </w:p>
        </w:tc>
      </w:tr>
    </w:tbl>
    <w:p>
      <w:pPr>
        <w:spacing w:before="120" w:beforeLines="50" w:line="360" w:lineRule="auto"/>
        <w:ind w:firstLine="442"/>
        <w:outlineLvl w:val="3"/>
        <w:rPr>
          <w:rFonts w:ascii="Times New Roman" w:hAnsi="Times New Roman"/>
          <w:b/>
          <w:sz w:val="24"/>
          <w:szCs w:val="24"/>
        </w:rPr>
      </w:pPr>
      <w:r>
        <w:rPr>
          <w:rFonts w:ascii="Times New Roman" w:hAnsi="Times New Roman"/>
          <w:b/>
          <w:sz w:val="24"/>
          <w:szCs w:val="24"/>
        </w:rPr>
        <w:t>3、大气污染物年排放量核算</w:t>
      </w:r>
    </w:p>
    <w:p>
      <w:pPr>
        <w:spacing w:line="360" w:lineRule="auto"/>
        <w:ind w:firstLine="442"/>
        <w:rPr>
          <w:rFonts w:ascii="Times New Roman" w:hAnsi="Times New Roman"/>
          <w:sz w:val="24"/>
          <w:szCs w:val="24"/>
        </w:rPr>
      </w:pPr>
      <w:r>
        <w:rPr>
          <w:rFonts w:ascii="Times New Roman" w:hAnsi="Times New Roman"/>
          <w:sz w:val="24"/>
          <w:szCs w:val="24"/>
        </w:rPr>
        <w:t>项目大气污染物年排放量核算见下表。</w:t>
      </w:r>
    </w:p>
    <w:p>
      <w:pPr>
        <w:widowControl/>
        <w:adjustRightInd w:val="0"/>
        <w:snapToGrid w:val="0"/>
        <w:spacing w:before="120" w:beforeLines="50" w:line="360" w:lineRule="auto"/>
        <w:jc w:val="center"/>
        <w:rPr>
          <w:rFonts w:ascii="Times New Roman" w:hAnsi="Times New Roman"/>
          <w:b/>
          <w:sz w:val="24"/>
          <w:szCs w:val="20"/>
          <w:u w:val="single"/>
        </w:rPr>
      </w:pPr>
      <w:r>
        <w:rPr>
          <w:rFonts w:ascii="Times New Roman" w:hAnsi="Times New Roman"/>
          <w:b/>
          <w:sz w:val="24"/>
          <w:szCs w:val="20"/>
          <w:u w:val="single"/>
        </w:rPr>
        <w:t>表6.1.8-3 大气污染物年排放量核算表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3402"/>
        <w:gridCol w:w="3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035" w:type="dxa"/>
            <w:vAlign w:val="center"/>
          </w:tcPr>
          <w:p>
            <w:pPr>
              <w:widowControl/>
              <w:adjustRightInd w:val="0"/>
              <w:snapToGrid w:val="0"/>
              <w:spacing w:before="24" w:after="24"/>
              <w:jc w:val="center"/>
              <w:rPr>
                <w:rFonts w:ascii="Times New Roman" w:hAnsi="Times New Roman"/>
                <w:b/>
                <w:kern w:val="0"/>
                <w:szCs w:val="21"/>
                <w:u w:val="single"/>
              </w:rPr>
            </w:pPr>
            <w:r>
              <w:rPr>
                <w:rFonts w:ascii="Times New Roman" w:hAnsi="Times New Roman"/>
                <w:b/>
                <w:kern w:val="0"/>
                <w:szCs w:val="21"/>
                <w:u w:val="single"/>
              </w:rPr>
              <w:t>序号</w:t>
            </w:r>
          </w:p>
        </w:tc>
        <w:tc>
          <w:tcPr>
            <w:tcW w:w="3402" w:type="dxa"/>
            <w:vAlign w:val="center"/>
          </w:tcPr>
          <w:p>
            <w:pPr>
              <w:widowControl/>
              <w:adjustRightInd w:val="0"/>
              <w:snapToGrid w:val="0"/>
              <w:spacing w:before="24" w:after="24"/>
              <w:jc w:val="center"/>
              <w:rPr>
                <w:rFonts w:ascii="Times New Roman" w:hAnsi="Times New Roman"/>
                <w:b/>
                <w:kern w:val="0"/>
                <w:szCs w:val="21"/>
                <w:u w:val="single"/>
              </w:rPr>
            </w:pPr>
            <w:r>
              <w:rPr>
                <w:rFonts w:ascii="Times New Roman" w:hAnsi="Times New Roman"/>
                <w:b/>
                <w:kern w:val="0"/>
                <w:szCs w:val="21"/>
                <w:u w:val="single"/>
              </w:rPr>
              <w:t>污染物</w:t>
            </w:r>
          </w:p>
        </w:tc>
        <w:tc>
          <w:tcPr>
            <w:tcW w:w="3567" w:type="dxa"/>
            <w:vAlign w:val="center"/>
          </w:tcPr>
          <w:p>
            <w:pPr>
              <w:widowControl/>
              <w:adjustRightInd w:val="0"/>
              <w:snapToGrid w:val="0"/>
              <w:spacing w:before="24" w:after="24"/>
              <w:jc w:val="center"/>
              <w:rPr>
                <w:rFonts w:ascii="Times New Roman" w:hAnsi="Times New Roman"/>
                <w:b/>
                <w:kern w:val="0"/>
                <w:szCs w:val="21"/>
                <w:u w:val="single"/>
              </w:rPr>
            </w:pPr>
            <w:r>
              <w:rPr>
                <w:rFonts w:ascii="Times New Roman" w:hAnsi="Times New Roman"/>
                <w:b/>
                <w:kern w:val="0"/>
                <w:szCs w:val="21"/>
                <w:u w:val="singl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1</w:t>
            </w:r>
          </w:p>
        </w:tc>
        <w:tc>
          <w:tcPr>
            <w:tcW w:w="3402"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颗粒物</w:t>
            </w:r>
          </w:p>
        </w:tc>
        <w:tc>
          <w:tcPr>
            <w:tcW w:w="3567" w:type="dxa"/>
            <w:vAlign w:val="center"/>
          </w:tcPr>
          <w:p>
            <w:pPr>
              <w:jc w:val="center"/>
              <w:rPr>
                <w:rFonts w:ascii="Times New Roman" w:hAnsi="Times New Roman"/>
                <w:szCs w:val="21"/>
                <w:u w:val="single"/>
              </w:rPr>
            </w:pPr>
            <w:r>
              <w:rPr>
                <w:rFonts w:ascii="Times New Roman" w:hAnsi="Times New Roman"/>
                <w:szCs w:val="21"/>
                <w:u w:val="single"/>
              </w:rPr>
              <w:t>31.71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2</w:t>
            </w:r>
          </w:p>
        </w:tc>
        <w:tc>
          <w:tcPr>
            <w:tcW w:w="3402"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二氧化硫</w:t>
            </w:r>
          </w:p>
        </w:tc>
        <w:tc>
          <w:tcPr>
            <w:tcW w:w="3567" w:type="dxa"/>
            <w:vAlign w:val="center"/>
          </w:tcPr>
          <w:p>
            <w:pPr>
              <w:jc w:val="center"/>
              <w:rPr>
                <w:rFonts w:ascii="Times New Roman" w:hAnsi="Times New Roman"/>
                <w:szCs w:val="21"/>
                <w:u w:val="single"/>
              </w:rPr>
            </w:pPr>
            <w:r>
              <w:rPr>
                <w:rFonts w:ascii="Times New Roman" w:hAnsi="Times New Roman"/>
                <w:szCs w:val="21"/>
                <w:u w:val="single"/>
              </w:rPr>
              <w:t>34.34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3</w:t>
            </w:r>
          </w:p>
        </w:tc>
        <w:tc>
          <w:tcPr>
            <w:tcW w:w="3402"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氮氧化物</w:t>
            </w:r>
          </w:p>
        </w:tc>
        <w:tc>
          <w:tcPr>
            <w:tcW w:w="3567" w:type="dxa"/>
            <w:vAlign w:val="center"/>
          </w:tcPr>
          <w:p>
            <w:pPr>
              <w:jc w:val="center"/>
              <w:rPr>
                <w:rFonts w:ascii="Times New Roman" w:hAnsi="Times New Roman"/>
                <w:szCs w:val="21"/>
                <w:u w:val="single"/>
              </w:rPr>
            </w:pPr>
            <w:r>
              <w:rPr>
                <w:rFonts w:ascii="Times New Roman" w:hAnsi="Times New Roman"/>
                <w:szCs w:val="21"/>
                <w:u w:val="single"/>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4</w:t>
            </w:r>
          </w:p>
        </w:tc>
        <w:tc>
          <w:tcPr>
            <w:tcW w:w="3402"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镍</w:t>
            </w:r>
          </w:p>
        </w:tc>
        <w:tc>
          <w:tcPr>
            <w:tcW w:w="3567" w:type="dxa"/>
            <w:vAlign w:val="center"/>
          </w:tcPr>
          <w:p>
            <w:pPr>
              <w:jc w:val="center"/>
              <w:rPr>
                <w:rFonts w:ascii="Times New Roman" w:hAnsi="Times New Roman"/>
                <w:szCs w:val="21"/>
                <w:u w:val="single"/>
              </w:rPr>
            </w:pPr>
            <w:r>
              <w:rPr>
                <w:rFonts w:ascii="Times New Roman" w:hAnsi="Times New Roman"/>
                <w:szCs w:val="21"/>
                <w:u w:val="single"/>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5</w:t>
            </w:r>
          </w:p>
        </w:tc>
        <w:tc>
          <w:tcPr>
            <w:tcW w:w="3402"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二噁英</w:t>
            </w:r>
          </w:p>
        </w:tc>
        <w:tc>
          <w:tcPr>
            <w:tcW w:w="3567" w:type="dxa"/>
            <w:vAlign w:val="center"/>
          </w:tcPr>
          <w:p>
            <w:pPr>
              <w:jc w:val="center"/>
              <w:rPr>
                <w:rFonts w:ascii="Times New Roman" w:hAnsi="Times New Roman"/>
                <w:szCs w:val="21"/>
                <w:u w:val="single"/>
              </w:rPr>
            </w:pPr>
            <w:r>
              <w:rPr>
                <w:rFonts w:ascii="Times New Roman" w:hAnsi="Times New Roman"/>
                <w:szCs w:val="21"/>
                <w:u w:val="single"/>
              </w:rPr>
              <w:t>0.088mg/a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6</w:t>
            </w:r>
          </w:p>
        </w:tc>
        <w:tc>
          <w:tcPr>
            <w:tcW w:w="3402" w:type="dxa"/>
            <w:vAlign w:val="center"/>
          </w:tcPr>
          <w:p>
            <w:pPr>
              <w:widowControl/>
              <w:jc w:val="center"/>
              <w:rPr>
                <w:rFonts w:ascii="Times New Roman" w:hAnsi="Times New Roman"/>
                <w:kern w:val="0"/>
                <w:sz w:val="20"/>
                <w:szCs w:val="20"/>
                <w:u w:val="single"/>
              </w:rPr>
            </w:pPr>
            <w:r>
              <w:rPr>
                <w:rFonts w:ascii="Times New Roman" w:hAnsi="Times New Roman"/>
                <w:kern w:val="0"/>
                <w:sz w:val="20"/>
                <w:szCs w:val="20"/>
                <w:u w:val="single"/>
              </w:rPr>
              <w:t>硫化氢</w:t>
            </w:r>
          </w:p>
        </w:tc>
        <w:tc>
          <w:tcPr>
            <w:tcW w:w="3567" w:type="dxa"/>
            <w:vAlign w:val="center"/>
          </w:tcPr>
          <w:p>
            <w:pPr>
              <w:widowControl/>
              <w:jc w:val="center"/>
              <w:rPr>
                <w:rFonts w:ascii="Times New Roman" w:hAnsi="Times New Roman"/>
                <w:kern w:val="0"/>
                <w:sz w:val="20"/>
                <w:szCs w:val="20"/>
                <w:u w:val="single"/>
              </w:rPr>
            </w:pPr>
            <w:r>
              <w:rPr>
                <w:rFonts w:ascii="Times New Roman" w:hAnsi="Times New Roman"/>
                <w:kern w:val="0"/>
                <w:sz w:val="20"/>
                <w:szCs w:val="20"/>
                <w:u w:val="single"/>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5" w:type="dxa"/>
            <w:vAlign w:val="center"/>
          </w:tcPr>
          <w:p>
            <w:pPr>
              <w:widowControl/>
              <w:adjustRightInd w:val="0"/>
              <w:snapToGrid w:val="0"/>
              <w:spacing w:before="24" w:after="24"/>
              <w:jc w:val="center"/>
              <w:rPr>
                <w:rFonts w:ascii="Times New Roman" w:hAnsi="Times New Roman"/>
                <w:kern w:val="0"/>
                <w:szCs w:val="21"/>
                <w:u w:val="single"/>
              </w:rPr>
            </w:pPr>
            <w:r>
              <w:rPr>
                <w:rFonts w:ascii="Times New Roman" w:hAnsi="Times New Roman"/>
                <w:kern w:val="0"/>
                <w:szCs w:val="21"/>
                <w:u w:val="single"/>
              </w:rPr>
              <w:t>7</w:t>
            </w:r>
          </w:p>
        </w:tc>
        <w:tc>
          <w:tcPr>
            <w:tcW w:w="3402" w:type="dxa"/>
            <w:vAlign w:val="center"/>
          </w:tcPr>
          <w:p>
            <w:pPr>
              <w:widowControl/>
              <w:jc w:val="center"/>
              <w:rPr>
                <w:rFonts w:ascii="Times New Roman" w:hAnsi="Times New Roman"/>
                <w:kern w:val="0"/>
                <w:sz w:val="20"/>
                <w:szCs w:val="20"/>
                <w:u w:val="single"/>
              </w:rPr>
            </w:pPr>
            <w:r>
              <w:rPr>
                <w:rFonts w:ascii="Times New Roman" w:hAnsi="Times New Roman"/>
                <w:kern w:val="0"/>
                <w:sz w:val="20"/>
                <w:szCs w:val="20"/>
                <w:u w:val="single"/>
              </w:rPr>
              <w:t>氨</w:t>
            </w:r>
          </w:p>
        </w:tc>
        <w:tc>
          <w:tcPr>
            <w:tcW w:w="3567" w:type="dxa"/>
            <w:vAlign w:val="center"/>
          </w:tcPr>
          <w:p>
            <w:pPr>
              <w:widowControl/>
              <w:jc w:val="center"/>
              <w:rPr>
                <w:rFonts w:ascii="Times New Roman" w:hAnsi="Times New Roman"/>
                <w:kern w:val="0"/>
                <w:sz w:val="20"/>
                <w:szCs w:val="20"/>
                <w:u w:val="single"/>
              </w:rPr>
            </w:pPr>
            <w:r>
              <w:rPr>
                <w:rFonts w:ascii="Times New Roman" w:hAnsi="Times New Roman"/>
                <w:kern w:val="0"/>
                <w:sz w:val="20"/>
                <w:szCs w:val="20"/>
                <w:u w:val="single"/>
              </w:rPr>
              <w:t>0.0017</w:t>
            </w:r>
          </w:p>
        </w:tc>
      </w:tr>
    </w:tbl>
    <w:p>
      <w:pPr>
        <w:spacing w:before="120" w:beforeLines="50" w:line="360" w:lineRule="auto"/>
        <w:ind w:firstLine="442"/>
        <w:outlineLvl w:val="3"/>
        <w:rPr>
          <w:rFonts w:ascii="Times New Roman" w:hAnsi="Times New Roman"/>
          <w:b/>
          <w:sz w:val="24"/>
          <w:szCs w:val="24"/>
        </w:rPr>
      </w:pPr>
      <w:bookmarkStart w:id="360" w:name="_Ref519613005"/>
      <w:r>
        <w:rPr>
          <w:rFonts w:ascii="Times New Roman" w:hAnsi="Times New Roman"/>
          <w:b/>
          <w:sz w:val="24"/>
          <w:szCs w:val="24"/>
        </w:rPr>
        <w:t>4、非正常排放量</w:t>
      </w:r>
      <w:bookmarkEnd w:id="360"/>
      <w:r>
        <w:rPr>
          <w:rFonts w:ascii="Times New Roman" w:hAnsi="Times New Roman"/>
          <w:b/>
          <w:sz w:val="24"/>
          <w:szCs w:val="24"/>
        </w:rPr>
        <w:t>核算</w:t>
      </w:r>
    </w:p>
    <w:p>
      <w:pPr>
        <w:spacing w:line="360" w:lineRule="auto"/>
        <w:ind w:right="-113" w:firstLine="504" w:firstLineChars="200"/>
        <w:jc w:val="left"/>
        <w:rPr>
          <w:rFonts w:ascii="Times New Roman" w:hAnsi="Times New Roman"/>
          <w:spacing w:val="6"/>
          <w:kern w:val="0"/>
          <w:sz w:val="24"/>
          <w:szCs w:val="24"/>
        </w:rPr>
      </w:pPr>
      <w:r>
        <w:rPr>
          <w:rFonts w:ascii="Times New Roman" w:hAnsi="Times New Roman"/>
          <w:spacing w:val="6"/>
          <w:kern w:val="0"/>
          <w:sz w:val="24"/>
          <w:szCs w:val="24"/>
        </w:rPr>
        <w:t>锅炉烟气非正常排放情况主要是锅炉开机时，烟气温度未达到脱硝所需温度引起的非正本项目常排放。本项目掺烧仅在锅炉正常运行是进行，因此本评价不考虑掺烧时燃烧废气的非正常排放。</w:t>
      </w:r>
    </w:p>
    <w:p>
      <w:pPr>
        <w:widowControl/>
        <w:adjustRightInd w:val="0"/>
        <w:spacing w:before="120" w:beforeLines="50" w:after="60" w:afterLines="25" w:line="360" w:lineRule="auto"/>
        <w:jc w:val="left"/>
        <w:outlineLvl w:val="2"/>
        <w:rPr>
          <w:rFonts w:ascii="Times New Roman" w:hAnsi="Times New Roman"/>
          <w:b/>
          <w:kern w:val="0"/>
          <w:sz w:val="28"/>
          <w:szCs w:val="28"/>
        </w:rPr>
      </w:pPr>
      <w:r>
        <w:rPr>
          <w:rFonts w:ascii="Times New Roman" w:hAnsi="Times New Roman"/>
          <w:b/>
          <w:kern w:val="0"/>
          <w:sz w:val="28"/>
          <w:szCs w:val="28"/>
        </w:rPr>
        <w:t>6.1.9大气环境影响评价结论</w:t>
      </w:r>
    </w:p>
    <w:p>
      <w:pPr>
        <w:spacing w:line="360" w:lineRule="auto"/>
        <w:ind w:firstLine="442"/>
        <w:rPr>
          <w:rFonts w:ascii="Times New Roman" w:hAnsi="Times New Roman"/>
          <w:sz w:val="24"/>
          <w:szCs w:val="24"/>
        </w:rPr>
      </w:pPr>
      <w:r>
        <w:rPr>
          <w:rFonts w:ascii="Times New Roman" w:hAnsi="Times New Roman"/>
          <w:sz w:val="24"/>
          <w:szCs w:val="24"/>
        </w:rPr>
        <w:t>本项目评价基准年为2017年，所在区域基准年为环境空气质量不达标区，不达标因子为PM</w:t>
      </w:r>
      <w:r>
        <w:rPr>
          <w:rFonts w:ascii="Times New Roman" w:hAnsi="Times New Roman"/>
          <w:sz w:val="24"/>
          <w:szCs w:val="24"/>
          <w:vertAlign w:val="subscript"/>
        </w:rPr>
        <w:t>10</w:t>
      </w:r>
      <w:r>
        <w:rPr>
          <w:rFonts w:ascii="Times New Roman" w:hAnsi="Times New Roman"/>
          <w:sz w:val="24"/>
          <w:szCs w:val="24"/>
        </w:rPr>
        <w:t>和PM</w:t>
      </w:r>
      <w:r>
        <w:rPr>
          <w:rFonts w:ascii="Times New Roman" w:hAnsi="Times New Roman"/>
          <w:sz w:val="24"/>
          <w:szCs w:val="24"/>
          <w:vertAlign w:val="subscript"/>
        </w:rPr>
        <w:t>2.5</w:t>
      </w:r>
      <w:r>
        <w:rPr>
          <w:rFonts w:ascii="Times New Roman" w:hAnsi="Times New Roman"/>
          <w:sz w:val="24"/>
          <w:szCs w:val="24"/>
        </w:rPr>
        <w:t>，在选取最不利预测情景下：</w:t>
      </w:r>
    </w:p>
    <w:p>
      <w:pPr>
        <w:spacing w:line="360" w:lineRule="auto"/>
        <w:ind w:firstLine="442"/>
        <w:rPr>
          <w:rFonts w:ascii="Times New Roman" w:hAnsi="Times New Roman"/>
          <w:sz w:val="24"/>
          <w:szCs w:val="24"/>
        </w:rPr>
      </w:pPr>
      <w:r>
        <w:rPr>
          <w:rFonts w:ascii="Times New Roman" w:hAnsi="Times New Roman"/>
          <w:sz w:val="24"/>
          <w:szCs w:val="24"/>
        </w:rPr>
        <w:t>①本项目所在区域暂未编制达标规划，截至2019年底，项目评价范围内无其他拟建在建污染源，区域削减源可用于本项目，本项目的替代源的削减方案为《湖南省污染防治攻坚战三年行动计划(2018-2020年)》中拟削减的污染源。</w:t>
      </w:r>
    </w:p>
    <w:p>
      <w:pPr>
        <w:spacing w:line="360" w:lineRule="auto"/>
        <w:ind w:firstLine="442"/>
        <w:rPr>
          <w:rFonts w:ascii="Times New Roman" w:hAnsi="Times New Roman"/>
          <w:sz w:val="24"/>
          <w:szCs w:val="24"/>
        </w:rPr>
      </w:pPr>
      <w:r>
        <w:rPr>
          <w:rFonts w:ascii="Times New Roman" w:hAnsi="Times New Roman"/>
          <w:sz w:val="24"/>
          <w:szCs w:val="24"/>
        </w:rPr>
        <w:t>②本项目新增污染源正常排放下SO</w:t>
      </w:r>
      <w:r>
        <w:rPr>
          <w:rFonts w:ascii="Times New Roman" w:hAnsi="Times New Roman"/>
          <w:sz w:val="24"/>
          <w:szCs w:val="24"/>
          <w:vertAlign w:val="subscript"/>
        </w:rPr>
        <w:t>2</w:t>
      </w:r>
      <w:r>
        <w:rPr>
          <w:rFonts w:ascii="Times New Roman" w:hAnsi="Times New Roman"/>
          <w:sz w:val="24"/>
          <w:szCs w:val="24"/>
        </w:rPr>
        <w:t xml:space="preserve"> 、NO</w:t>
      </w:r>
      <w:r>
        <w:rPr>
          <w:rFonts w:ascii="Times New Roman" w:hAnsi="Times New Roman"/>
          <w:sz w:val="24"/>
          <w:szCs w:val="24"/>
          <w:vertAlign w:val="subscript"/>
        </w:rPr>
        <w:t>2</w:t>
      </w:r>
      <w:r>
        <w:rPr>
          <w:rFonts w:ascii="Times New Roman" w:hAnsi="Times New Roman"/>
          <w:sz w:val="24"/>
          <w:szCs w:val="24"/>
        </w:rPr>
        <w:t>的小时和日均最大浓度贡献值占标率小于100%； PM</w:t>
      </w:r>
      <w:r>
        <w:rPr>
          <w:rFonts w:ascii="Times New Roman" w:hAnsi="Times New Roman"/>
          <w:sz w:val="24"/>
          <w:szCs w:val="24"/>
          <w:vertAlign w:val="subscript"/>
        </w:rPr>
        <w:t>10</w:t>
      </w:r>
      <w:r>
        <w:rPr>
          <w:rFonts w:ascii="Times New Roman" w:hAnsi="Times New Roman"/>
          <w:sz w:val="24"/>
          <w:szCs w:val="24"/>
        </w:rPr>
        <w:t>的日均最大浓度贡献值占标率小于100%；氨、硫化氢的小时最大浓度贡献值占标率小于100%；项目排放的各污染物短期浓度贡献值的最大浓度占标率均＜100%。</w:t>
      </w:r>
    </w:p>
    <w:p>
      <w:pPr>
        <w:spacing w:line="360" w:lineRule="auto"/>
        <w:ind w:firstLine="442"/>
        <w:rPr>
          <w:rFonts w:ascii="Times New Roman" w:hAnsi="Times New Roman"/>
          <w:sz w:val="24"/>
          <w:szCs w:val="24"/>
        </w:rPr>
      </w:pPr>
      <w:r>
        <w:rPr>
          <w:rFonts w:ascii="Times New Roman" w:hAnsi="Times New Roman"/>
          <w:sz w:val="24"/>
          <w:szCs w:val="24"/>
        </w:rPr>
        <w:t>③本项目新增污染源正常排放下SO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 xml:space="preserve"> 、PM</w:t>
      </w:r>
      <w:r>
        <w:rPr>
          <w:rFonts w:ascii="Times New Roman" w:hAnsi="Times New Roman"/>
          <w:sz w:val="24"/>
          <w:szCs w:val="24"/>
          <w:vertAlign w:val="subscript"/>
        </w:rPr>
        <w:t>10</w:t>
      </w:r>
      <w:r>
        <w:rPr>
          <w:rFonts w:ascii="Times New Roman" w:hAnsi="Times New Roman"/>
          <w:sz w:val="24"/>
          <w:szCs w:val="24"/>
        </w:rPr>
        <w:t>、镍和二噁英的年均浓度贡献值的占标率均小于30%。</w:t>
      </w:r>
    </w:p>
    <w:p>
      <w:pPr>
        <w:spacing w:line="360" w:lineRule="auto"/>
        <w:ind w:firstLine="442"/>
        <w:rPr>
          <w:rFonts w:ascii="Times New Roman" w:hAnsi="Times New Roman"/>
          <w:sz w:val="24"/>
          <w:szCs w:val="24"/>
        </w:rPr>
      </w:pPr>
      <w:r>
        <w:rPr>
          <w:rFonts w:ascii="Times New Roman" w:hAnsi="Times New Roman"/>
          <w:sz w:val="24"/>
          <w:szCs w:val="24"/>
        </w:rPr>
        <w:t>④对于现状超标的污染物PM</w:t>
      </w:r>
      <w:r>
        <w:rPr>
          <w:rFonts w:ascii="Times New Roman" w:hAnsi="Times New Roman"/>
          <w:sz w:val="24"/>
          <w:szCs w:val="24"/>
          <w:vertAlign w:val="subscript"/>
        </w:rPr>
        <w:t>10</w:t>
      </w:r>
      <w:r>
        <w:rPr>
          <w:rFonts w:ascii="Times New Roman" w:hAnsi="Times New Roman"/>
          <w:sz w:val="24"/>
          <w:szCs w:val="24"/>
        </w:rPr>
        <w:t>，在预测范围内的年平均浓度变化率 k = -100.3% ＜-20%，满足区域环境质量改善目标；对于现状达标的污染物SO</w:t>
      </w:r>
      <w:r>
        <w:rPr>
          <w:rFonts w:ascii="Times New Roman" w:hAnsi="Times New Roman"/>
          <w:sz w:val="24"/>
          <w:szCs w:val="24"/>
          <w:vertAlign w:val="subscript"/>
        </w:rPr>
        <w:t>2</w:t>
      </w:r>
      <w:r>
        <w:rPr>
          <w:rFonts w:ascii="Times New Roman" w:hAnsi="Times New Roman"/>
          <w:sz w:val="24"/>
          <w:szCs w:val="24"/>
        </w:rPr>
        <w:t>和NO</w:t>
      </w:r>
      <w:r>
        <w:rPr>
          <w:rFonts w:ascii="Times New Roman" w:hAnsi="Times New Roman"/>
          <w:sz w:val="24"/>
          <w:szCs w:val="24"/>
          <w:vertAlign w:val="subscript"/>
        </w:rPr>
        <w:t>2</w:t>
      </w:r>
      <w:r>
        <w:rPr>
          <w:rFonts w:ascii="Times New Roman" w:hAnsi="Times New Roman"/>
          <w:sz w:val="24"/>
          <w:szCs w:val="24"/>
        </w:rPr>
        <w:t>，叠加98%保证率日均浓度和年均浓度后均满足《环境空气质量标准》(GB3095-2012)二级标准限值要求；二噁英叠加后年均浓度贡献值满足日本年均浓度标准要求；对于仅有短期浓度的硫化氢和氨，叠加后满足《环境影响评价技术导则 大气环境》(HJ2.2-2018)附录D中标准限值要求。</w:t>
      </w:r>
    </w:p>
    <w:p>
      <w:pPr>
        <w:spacing w:line="360" w:lineRule="auto"/>
        <w:ind w:firstLine="442"/>
        <w:rPr>
          <w:rFonts w:ascii="Times New Roman" w:hAnsi="Times New Roman"/>
          <w:sz w:val="24"/>
          <w:szCs w:val="24"/>
        </w:rPr>
      </w:pPr>
      <w:r>
        <w:rPr>
          <w:rFonts w:ascii="Times New Roman" w:hAnsi="Times New Roman"/>
          <w:sz w:val="24"/>
          <w:szCs w:val="24"/>
        </w:rPr>
        <w:t>综上，本项目的大气环境影响可以接受。</w:t>
      </w:r>
    </w:p>
    <w:p>
      <w:pPr>
        <w:spacing w:line="360" w:lineRule="auto"/>
        <w:ind w:firstLine="442"/>
        <w:rPr>
          <w:rFonts w:ascii="Times New Roman" w:hAnsi="Times New Roman"/>
          <w:sz w:val="24"/>
          <w:szCs w:val="24"/>
        </w:rPr>
      </w:pPr>
      <w:r>
        <w:rPr>
          <w:rFonts w:ascii="Times New Roman" w:hAnsi="Times New Roman"/>
          <w:sz w:val="24"/>
          <w:szCs w:val="24"/>
        </w:rPr>
        <w:t>根据预测计算，本项目厂界线外没有超标点，无需设置大气环境防护距离。</w:t>
      </w:r>
    </w:p>
    <w:p>
      <w:pPr>
        <w:spacing w:line="360" w:lineRule="auto"/>
        <w:ind w:firstLine="442"/>
        <w:rPr>
          <w:rFonts w:ascii="Times New Roman" w:hAnsi="Times New Roman"/>
          <w:sz w:val="24"/>
          <w:szCs w:val="24"/>
        </w:rPr>
      </w:pPr>
      <w:r>
        <w:rPr>
          <w:rFonts w:ascii="Times New Roman" w:hAnsi="Times New Roman"/>
          <w:sz w:val="24"/>
          <w:szCs w:val="24"/>
        </w:rPr>
        <w:t>本项目实施后所在污染源颗粒物、SO</w:t>
      </w:r>
      <w:r>
        <w:rPr>
          <w:rFonts w:ascii="Times New Roman" w:hAnsi="Times New Roman"/>
          <w:sz w:val="24"/>
          <w:szCs w:val="24"/>
          <w:vertAlign w:val="subscript"/>
        </w:rPr>
        <w:t>2</w:t>
      </w:r>
      <w:r>
        <w:rPr>
          <w:rFonts w:ascii="Times New Roman" w:hAnsi="Times New Roman"/>
          <w:sz w:val="24"/>
          <w:szCs w:val="24"/>
        </w:rPr>
        <w:t>、NOx、镍、二噁英、硫化氢和氨的年排放量分别为</w:t>
      </w:r>
      <w:r>
        <w:rPr>
          <w:rFonts w:ascii="Times New Roman" w:hAnsi="Times New Roman"/>
          <w:sz w:val="24"/>
          <w:szCs w:val="24"/>
        </w:rPr>
        <w:t>31.71</w:t>
      </w:r>
      <w:r>
        <w:rPr>
          <w:rFonts w:ascii="Times New Roman" w:hAnsi="Times New Roman"/>
          <w:sz w:val="24"/>
          <w:szCs w:val="24"/>
        </w:rPr>
        <w:t>t/a、</w:t>
      </w:r>
      <w:r>
        <w:rPr>
          <w:rFonts w:ascii="Times New Roman" w:hAnsi="Times New Roman"/>
          <w:sz w:val="24"/>
          <w:szCs w:val="24"/>
        </w:rPr>
        <w:t>34.34</w:t>
      </w:r>
      <w:r>
        <w:rPr>
          <w:rFonts w:ascii="Times New Roman" w:hAnsi="Times New Roman"/>
          <w:sz w:val="24"/>
          <w:szCs w:val="24"/>
        </w:rPr>
        <w:t>t/a、</w:t>
      </w:r>
      <w:r>
        <w:rPr>
          <w:rFonts w:ascii="Times New Roman" w:hAnsi="Times New Roman"/>
          <w:sz w:val="24"/>
          <w:szCs w:val="24"/>
        </w:rPr>
        <w:t>45.90</w:t>
      </w:r>
      <w:r>
        <w:rPr>
          <w:rFonts w:ascii="Times New Roman" w:hAnsi="Times New Roman"/>
          <w:sz w:val="24"/>
          <w:szCs w:val="24"/>
        </w:rPr>
        <w:t>/a、0.009</w:t>
      </w:r>
      <w:r>
        <w:rPr>
          <w:rFonts w:ascii="Times New Roman" w:hAnsi="Times New Roman"/>
          <w:sz w:val="24"/>
          <w:szCs w:val="24"/>
        </w:rPr>
        <w:t xml:space="preserve"> </w:t>
      </w:r>
      <w:r>
        <w:rPr>
          <w:rFonts w:ascii="Times New Roman" w:hAnsi="Times New Roman"/>
          <w:sz w:val="24"/>
          <w:szCs w:val="24"/>
        </w:rPr>
        <w:t>t/a 、0.088mg/a、0.0035t/a、0.0017t/a。</w:t>
      </w:r>
    </w:p>
    <w:p>
      <w:pPr>
        <w:spacing w:line="360" w:lineRule="auto"/>
        <w:ind w:firstLine="442"/>
        <w:rPr>
          <w:rFonts w:ascii="Times New Roman" w:hAnsi="Times New Roman"/>
          <w:sz w:val="24"/>
          <w:szCs w:val="24"/>
        </w:rPr>
      </w:pPr>
    </w:p>
    <w:bookmarkEnd w:id="354"/>
    <w:bookmarkEnd w:id="355"/>
    <w:bookmarkEnd w:id="356"/>
    <w:bookmarkEnd w:id="357"/>
    <w:bookmarkEnd w:id="358"/>
    <w:bookmarkEnd w:id="359"/>
    <w:p>
      <w:pPr>
        <w:pStyle w:val="6"/>
        <w:numPr>
          <w:ilvl w:val="1"/>
          <w:numId w:val="0"/>
        </w:numPr>
        <w:spacing w:before="120" w:after="120"/>
      </w:pPr>
      <w:bookmarkStart w:id="361" w:name="_Toc20743"/>
      <w:bookmarkStart w:id="362" w:name="_Toc306034555"/>
      <w:bookmarkStart w:id="363" w:name="_Toc293042231"/>
      <w:bookmarkStart w:id="364" w:name="_Toc1451"/>
      <w:bookmarkStart w:id="365" w:name="_Toc6205"/>
      <w:bookmarkStart w:id="366" w:name="_Toc304810305"/>
      <w:bookmarkStart w:id="367" w:name="_Toc26683"/>
      <w:bookmarkStart w:id="368" w:name="_Toc280188853"/>
      <w:bookmarkStart w:id="369" w:name="_Toc244655395"/>
      <w:bookmarkStart w:id="370" w:name="_Toc4589"/>
      <w:bookmarkStart w:id="371" w:name="_Toc13123"/>
      <w:bookmarkStart w:id="372" w:name="_Toc219258527"/>
      <w:bookmarkStart w:id="373" w:name="_Toc12516"/>
      <w:bookmarkStart w:id="374" w:name="_Toc280188857"/>
      <w:bookmarkStart w:id="375" w:name="_Toc220122813"/>
      <w:r>
        <w:t>6.2 地表水环境影响分析</w:t>
      </w:r>
      <w:bookmarkEnd w:id="361"/>
      <w:bookmarkEnd w:id="362"/>
      <w:bookmarkEnd w:id="363"/>
      <w:bookmarkEnd w:id="364"/>
      <w:bookmarkEnd w:id="365"/>
      <w:bookmarkEnd w:id="366"/>
      <w:bookmarkEnd w:id="367"/>
    </w:p>
    <w:bookmarkEnd w:id="368"/>
    <w:bookmarkEnd w:id="369"/>
    <w:p>
      <w:pPr>
        <w:adjustRightInd w:val="0"/>
        <w:snapToGrid w:val="0"/>
        <w:spacing w:line="360" w:lineRule="auto"/>
        <w:ind w:firstLine="480" w:firstLineChars="200"/>
        <w:rPr>
          <w:rFonts w:ascii="Times New Roman" w:hAnsi="Times New Roman"/>
          <w:sz w:val="24"/>
        </w:rPr>
      </w:pPr>
      <w:r>
        <w:rPr>
          <w:rFonts w:ascii="Times New Roman" w:hAnsi="Times New Roman"/>
          <w:kern w:val="24"/>
          <w:sz w:val="24"/>
          <w:szCs w:val="24"/>
        </w:rPr>
        <w:t>根据本项目建设方案和工程分析，</w:t>
      </w:r>
      <w:r>
        <w:rPr>
          <w:rFonts w:ascii="Times New Roman" w:hAnsi="Times New Roman"/>
          <w:sz w:val="24"/>
          <w:szCs w:val="24"/>
        </w:rPr>
        <w:t>拟建项目实施清污分流，</w:t>
      </w:r>
      <w:r>
        <w:rPr>
          <w:rFonts w:ascii="Times New Roman" w:hAnsi="Times New Roman"/>
          <w:sz w:val="24"/>
        </w:rPr>
        <w:t>将污染雨水切换进入含油污水系统，后期清洁雨水排入现有雨水系统。</w:t>
      </w:r>
    </w:p>
    <w:p>
      <w:pPr>
        <w:adjustRightInd w:val="0"/>
        <w:snapToGrid w:val="0"/>
        <w:spacing w:line="360" w:lineRule="auto"/>
        <w:ind w:firstLine="480" w:firstLineChars="200"/>
        <w:rPr>
          <w:rFonts w:ascii="Times New Roman" w:hAnsi="Times New Roman"/>
          <w:kern w:val="24"/>
          <w:szCs w:val="24"/>
        </w:rPr>
      </w:pPr>
      <w:r>
        <w:rPr>
          <w:rFonts w:ascii="Times New Roman" w:hAnsi="Times New Roman"/>
          <w:sz w:val="24"/>
          <w:szCs w:val="24"/>
        </w:rPr>
        <w:t>拟建工程废水主要</w:t>
      </w:r>
      <w:r>
        <w:rPr>
          <w:rFonts w:ascii="Times New Roman" w:hAnsi="Times New Roman"/>
          <w:sz w:val="24"/>
        </w:rPr>
        <w:t>为CFB锅炉排污水及CFB烟脱废水，均进污水处理厂含盐污水处理系统，达标后排放，不会对地表水造成影响。</w:t>
      </w:r>
    </w:p>
    <w:p>
      <w:pPr>
        <w:pStyle w:val="6"/>
        <w:numPr>
          <w:ilvl w:val="1"/>
          <w:numId w:val="0"/>
        </w:numPr>
        <w:spacing w:before="120" w:after="120"/>
      </w:pPr>
      <w:bookmarkStart w:id="376" w:name="_Toc16270"/>
      <w:bookmarkStart w:id="377" w:name="_Toc20343"/>
      <w:bookmarkStart w:id="378" w:name="_Toc28023"/>
      <w:bookmarkStart w:id="379" w:name="_Toc11919"/>
      <w:r>
        <w:t>6.3 地下水环境影响评价</w:t>
      </w:r>
      <w:bookmarkEnd w:id="376"/>
      <w:bookmarkEnd w:id="377"/>
      <w:bookmarkEnd w:id="378"/>
      <w:bookmarkEnd w:id="379"/>
    </w:p>
    <w:p>
      <w:pPr>
        <w:pStyle w:val="7"/>
        <w:numPr>
          <w:ilvl w:val="2"/>
          <w:numId w:val="0"/>
        </w:numPr>
        <w:spacing w:before="120" w:after="120"/>
      </w:pPr>
      <w:bookmarkStart w:id="380" w:name="_Toc6449"/>
      <w:bookmarkStart w:id="381" w:name="_Toc25709"/>
      <w:bookmarkStart w:id="382" w:name="_Toc27590"/>
      <w:r>
        <w:t>6.3.1 地下水敏感程度</w:t>
      </w:r>
      <w:bookmarkEnd w:id="380"/>
      <w:bookmarkEnd w:id="381"/>
      <w:bookmarkEnd w:id="382"/>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根据现场调查，项目区域水文地质单元内不存在集中式饮用水源地或分散式饮用水源，地下水环境不敏感。</w:t>
      </w:r>
      <w:bookmarkStart w:id="383" w:name="_Toc23647"/>
      <w:bookmarkStart w:id="384" w:name="_Toc16981"/>
    </w:p>
    <w:p>
      <w:pPr>
        <w:pStyle w:val="7"/>
        <w:numPr>
          <w:ilvl w:val="2"/>
          <w:numId w:val="0"/>
        </w:numPr>
        <w:spacing w:before="120" w:after="120"/>
      </w:pPr>
      <w:bookmarkStart w:id="385" w:name="_Toc12588"/>
      <w:r>
        <w:t>6.3.2 水文地质条件</w:t>
      </w:r>
      <w:bookmarkEnd w:id="383"/>
      <w:bookmarkEnd w:id="384"/>
      <w:bookmarkEnd w:id="385"/>
    </w:p>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项目所在区域地下水类型主要松散岩类孔隙水、基岩裂隙水，含水量贫乏，地下水枯季径流模数＜6L/S·km</w:t>
      </w:r>
      <w:r>
        <w:rPr>
          <w:rFonts w:ascii="Times New Roman" w:hAnsi="Times New Roman"/>
          <w:sz w:val="24"/>
          <w:vertAlign w:val="superscript"/>
        </w:rPr>
        <w:t>2</w:t>
      </w:r>
      <w:r>
        <w:rPr>
          <w:rFonts w:ascii="Times New Roman" w:hAnsi="Times New Roman"/>
          <w:sz w:val="24"/>
        </w:rPr>
        <w:t>。所在区域地下水以降雨补给为主，年降雨量1660毫米，风化层厚度一般为20~40m，降雨后一部分渗入地下，储存于岩石的裂隙中。地下水径流缓慢，没有泉出露。</w:t>
      </w:r>
      <w:r>
        <w:rPr>
          <w:rFonts w:ascii="Times New Roman" w:hAnsi="Times New Roman"/>
          <w:kern w:val="0"/>
          <w:sz w:val="24"/>
        </w:rPr>
        <w:t>勘察时场区</w:t>
      </w:r>
      <w:r>
        <w:rPr>
          <w:rFonts w:ascii="Times New Roman" w:hAnsi="Times New Roman"/>
          <w:sz w:val="24"/>
        </w:rPr>
        <w:t>钻孔在勘察深度内未发现稳定地下水位（仅存在包气带上层滞水）。</w:t>
      </w:r>
    </w:p>
    <w:p>
      <w:pPr>
        <w:pStyle w:val="7"/>
        <w:numPr>
          <w:ilvl w:val="2"/>
          <w:numId w:val="0"/>
        </w:numPr>
        <w:spacing w:before="120" w:after="120"/>
      </w:pPr>
      <w:bookmarkStart w:id="386" w:name="_Toc12984"/>
      <w:bookmarkStart w:id="387" w:name="_Toc5572"/>
      <w:bookmarkStart w:id="388" w:name="_Toc10213"/>
      <w:r>
        <w:t>6.3.3 污染物特征</w:t>
      </w:r>
      <w:bookmarkEnd w:id="386"/>
      <w:bookmarkEnd w:id="387"/>
      <w:bookmarkEnd w:id="388"/>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根据工程分析可知，项目污水量较少，主要污染因子包括COD、NH</w:t>
      </w:r>
      <w:r>
        <w:rPr>
          <w:rFonts w:ascii="Times New Roman" w:hAnsi="Times New Roman"/>
          <w:sz w:val="24"/>
          <w:vertAlign w:val="subscript"/>
        </w:rPr>
        <w:t>3</w:t>
      </w:r>
      <w:r>
        <w:rPr>
          <w:rFonts w:ascii="Times New Roman" w:hAnsi="Times New Roman"/>
          <w:sz w:val="24"/>
        </w:rPr>
        <w:t>-N、悬浮物等污染物。</w:t>
      </w:r>
    </w:p>
    <w:p>
      <w:pPr>
        <w:pStyle w:val="7"/>
        <w:numPr>
          <w:ilvl w:val="2"/>
          <w:numId w:val="0"/>
        </w:numPr>
        <w:spacing w:before="120" w:after="120"/>
      </w:pPr>
      <w:bookmarkStart w:id="389" w:name="_Toc5806"/>
      <w:bookmarkStart w:id="390" w:name="_Toc31797"/>
      <w:bookmarkStart w:id="391" w:name="_Toc25197"/>
      <w:r>
        <w:t>6.3.4 地下水环境影响预测</w:t>
      </w:r>
      <w:bookmarkEnd w:id="389"/>
      <w:bookmarkEnd w:id="390"/>
      <w:bookmarkEnd w:id="391"/>
    </w:p>
    <w:p>
      <w:pPr>
        <w:pStyle w:val="8"/>
        <w:numPr>
          <w:ilvl w:val="3"/>
          <w:numId w:val="0"/>
        </w:numPr>
      </w:pPr>
      <w:r>
        <w:t>6.3.4.1 地下水污染类型</w:t>
      </w:r>
    </w:p>
    <w:p>
      <w:pPr>
        <w:adjustRightInd w:val="0"/>
        <w:snapToGrid w:val="0"/>
        <w:spacing w:line="360" w:lineRule="auto"/>
        <w:ind w:firstLine="480"/>
        <w:rPr>
          <w:rFonts w:ascii="Times New Roman" w:hAnsi="Times New Roman"/>
          <w:sz w:val="24"/>
        </w:rPr>
      </w:pPr>
      <w:r>
        <w:rPr>
          <w:rFonts w:ascii="Times New Roman" w:hAnsi="Times New Roman"/>
          <w:sz w:val="24"/>
        </w:rPr>
        <w:t>项目正常生产过程中，所有废水经管道有组织收集后提升入污水处理场处理，经处理达标后外排。由此可知，最可能产生地下水污染的区域为污水收集管道，若发生管道渗缝，未处理废水将直接进入地下水系统，主要污染因子为：COD</w:t>
      </w:r>
      <w:r>
        <w:rPr>
          <w:rFonts w:ascii="Times New Roman" w:hAnsi="Times New Roman"/>
          <w:sz w:val="24"/>
          <w:vertAlign w:val="subscript"/>
        </w:rPr>
        <w:t>cr</w:t>
      </w:r>
      <w:r>
        <w:rPr>
          <w:rFonts w:ascii="Times New Roman" w:hAnsi="Times New Roman"/>
          <w:sz w:val="24"/>
        </w:rPr>
        <w:t>、NH</w:t>
      </w:r>
      <w:r>
        <w:rPr>
          <w:rFonts w:ascii="Times New Roman" w:hAnsi="Times New Roman"/>
          <w:sz w:val="24"/>
          <w:vertAlign w:val="subscript"/>
        </w:rPr>
        <w:t>3</w:t>
      </w:r>
      <w:r>
        <w:rPr>
          <w:rFonts w:ascii="Times New Roman" w:hAnsi="Times New Roman"/>
          <w:sz w:val="24"/>
        </w:rPr>
        <w:t>-N等。</w:t>
      </w:r>
    </w:p>
    <w:p>
      <w:pPr>
        <w:pStyle w:val="8"/>
        <w:numPr>
          <w:ilvl w:val="3"/>
          <w:numId w:val="0"/>
        </w:numPr>
      </w:pPr>
      <w:r>
        <w:t>6.3.4.2 影响范围</w:t>
      </w:r>
    </w:p>
    <w:p>
      <w:pPr>
        <w:adjustRightInd w:val="0"/>
        <w:snapToGrid w:val="0"/>
        <w:spacing w:line="360" w:lineRule="auto"/>
        <w:ind w:firstLine="480" w:firstLineChars="200"/>
        <w:rPr>
          <w:rFonts w:ascii="Times New Roman" w:hAnsi="Times New Roman"/>
          <w:kern w:val="24"/>
          <w:sz w:val="24"/>
          <w:szCs w:val="24"/>
          <w:lang w:val="zh-CN"/>
        </w:rPr>
      </w:pPr>
      <w:r>
        <w:rPr>
          <w:rFonts w:ascii="Times New Roman" w:hAnsi="Times New Roman"/>
          <w:bCs/>
          <w:sz w:val="24"/>
        </w:rPr>
        <w:t>本项目区内污染源主要为生产废水，为点源间断排放。根据场区水文地质特征及边界条件分析，地下水流主要是由东北</w:t>
      </w:r>
      <w:r>
        <w:rPr>
          <w:rFonts w:ascii="Times New Roman" w:hAnsi="Times New Roman"/>
          <w:sz w:val="24"/>
        </w:rPr>
        <w:t>向西北</w:t>
      </w:r>
      <w:r>
        <w:rPr>
          <w:rFonts w:ascii="Times New Roman" w:hAnsi="Times New Roman"/>
          <w:bCs/>
          <w:sz w:val="24"/>
        </w:rPr>
        <w:t>径流，</w:t>
      </w:r>
      <w:r>
        <w:rPr>
          <w:rFonts w:ascii="Times New Roman" w:hAnsi="Times New Roman"/>
          <w:sz w:val="24"/>
        </w:rPr>
        <w:t>最终向长江排泄</w:t>
      </w:r>
      <w:r>
        <w:rPr>
          <w:rFonts w:ascii="Times New Roman" w:hAnsi="Times New Roman"/>
          <w:bCs/>
          <w:sz w:val="24"/>
        </w:rPr>
        <w:t>。</w:t>
      </w:r>
      <w:r>
        <w:rPr>
          <w:rFonts w:ascii="Times New Roman" w:hAnsi="Times New Roman"/>
          <w:kern w:val="24"/>
          <w:sz w:val="24"/>
          <w:szCs w:val="24"/>
          <w:lang w:val="zh-CN"/>
        </w:rPr>
        <w:t xml:space="preserve"> </w:t>
      </w:r>
    </w:p>
    <w:p>
      <w:pPr>
        <w:pStyle w:val="8"/>
        <w:numPr>
          <w:ilvl w:val="3"/>
          <w:numId w:val="0"/>
        </w:numPr>
      </w:pPr>
      <w:r>
        <w:t>6.3.4.3 非正常工况下地下水环境影响预测</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（1）水文地质概念模型</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水文地质概念模型对评价区水文地质条件的简化，是对地下水系统的科学概化，其核心为边界条件、内部结构、地下水流态三大要素，能较准确反映地下水系统的主要功能和特征。根据评价区的地层岩性、水动力场、水化学场的分析，从而确定概念模型的要素。</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（2）模型范围及保护目标</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地下水影响评价模拟范围：</w:t>
      </w:r>
      <w:r>
        <w:rPr>
          <w:rFonts w:ascii="Times New Roman" w:hAnsi="Times New Roman"/>
          <w:sz w:val="24"/>
        </w:rPr>
        <w:t>考虑项目区域地下水主要接受大气降水的补给，因此本项目地下水主要以地表分水岭为界线划定评价范围。</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（3）含水层结构</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项目区含水岩组主要为</w:t>
      </w:r>
      <w:r>
        <w:rPr>
          <w:rFonts w:ascii="Times New Roman" w:hAnsi="Times New Roman"/>
          <w:sz w:val="24"/>
        </w:rPr>
        <w:t>素填土①（Q</w:t>
      </w:r>
      <w:r>
        <w:rPr>
          <w:rFonts w:ascii="Times New Roman" w:hAnsi="Times New Roman"/>
          <w:sz w:val="24"/>
          <w:vertAlign w:val="subscript"/>
        </w:rPr>
        <w:t>4</w:t>
      </w:r>
      <w:r>
        <w:rPr>
          <w:rFonts w:ascii="Times New Roman" w:hAnsi="Times New Roman"/>
          <w:sz w:val="24"/>
          <w:vertAlign w:val="superscript"/>
        </w:rPr>
        <w:t>ml</w:t>
      </w:r>
      <w:r>
        <w:rPr>
          <w:rFonts w:ascii="Times New Roman" w:hAnsi="Times New Roman"/>
          <w:sz w:val="24"/>
        </w:rPr>
        <w:t>）</w:t>
      </w:r>
      <w:r>
        <w:rPr>
          <w:rFonts w:ascii="Times New Roman" w:hAnsi="Times New Roman"/>
          <w:bCs/>
          <w:sz w:val="24"/>
        </w:rPr>
        <w:t>的粘土层，属松散岩类孔隙含水层，平均厚度3.77m。</w:t>
      </w:r>
      <w:r>
        <w:rPr>
          <w:rFonts w:ascii="Times New Roman" w:hAnsi="Times New Roman"/>
          <w:sz w:val="24"/>
        </w:rPr>
        <w:t>基岩裂隙水</w:t>
      </w:r>
      <w:r>
        <w:rPr>
          <w:rFonts w:ascii="Times New Roman" w:hAnsi="Times New Roman"/>
          <w:bCs/>
          <w:sz w:val="24"/>
        </w:rPr>
        <w:t>含水层主要为地下水面以下，至含水层底板的</w:t>
      </w:r>
      <w:r>
        <w:rPr>
          <w:rFonts w:ascii="Times New Roman" w:hAnsi="Times New Roman"/>
          <w:sz w:val="24"/>
        </w:rPr>
        <w:t>花岗岩</w:t>
      </w:r>
      <w:r>
        <w:rPr>
          <w:rFonts w:ascii="Times New Roman" w:hAnsi="Times New Roman"/>
          <w:bCs/>
          <w:sz w:val="24"/>
        </w:rPr>
        <w:t>，平均厚度为7.66m，分布于整个项目区。因此将评价区含水结构概化为一层结构，</w:t>
      </w:r>
      <w:r>
        <w:rPr>
          <w:rFonts w:ascii="Times New Roman" w:hAnsi="Times New Roman"/>
          <w:sz w:val="24"/>
        </w:rPr>
        <w:t>含水层厚度</w:t>
      </w:r>
      <w:r>
        <w:rPr>
          <w:rFonts w:ascii="Times New Roman" w:hAnsi="Times New Roman"/>
          <w:bCs/>
          <w:sz w:val="24"/>
        </w:rPr>
        <w:t>按3m计。</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（4）预测模式</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根据污染特点，在事故状态下，污染源概化为瞬时排放的定浓度边界，因此本次预测数学模型可选取瞬时注入示踪剂——平面瞬时点源数学模型进行预测，其解析解公式如下：</w:t>
      </w:r>
    </w:p>
    <w:p>
      <w:pPr>
        <w:spacing w:line="360" w:lineRule="auto"/>
        <w:ind w:firstLine="560" w:firstLineChars="200"/>
        <w:jc w:val="center"/>
        <w:rPr>
          <w:rFonts w:ascii="Times New Roman" w:hAnsi="Times New Roman"/>
          <w:sz w:val="28"/>
          <w:szCs w:val="28"/>
        </w:rPr>
      </w:pPr>
      <w:r>
        <w:rPr>
          <w:rFonts w:ascii="Times New Roman" w:hAnsi="Times New Roman"/>
          <w:position w:val="-34"/>
          <w:sz w:val="28"/>
          <w:szCs w:val="28"/>
        </w:rPr>
        <w:drawing>
          <wp:inline distT="0" distB="0" distL="0" distR="0">
            <wp:extent cx="2736850" cy="698500"/>
            <wp:effectExtent l="0" t="0" r="6350" b="5715"/>
            <wp:docPr id="1051" name="图片 22"/>
            <wp:cNvGraphicFramePr/>
            <a:graphic xmlns:a="http://schemas.openxmlformats.org/drawingml/2006/main">
              <a:graphicData uri="http://schemas.openxmlformats.org/drawingml/2006/picture">
                <pic:pic xmlns:pic="http://schemas.openxmlformats.org/drawingml/2006/picture">
                  <pic:nvPicPr>
                    <pic:cNvPr id="1051" name="图片 22"/>
                    <pic:cNvPicPr/>
                  </pic:nvPicPr>
                  <pic:blipFill>
                    <a:blip r:embed="rId50" cstate="print"/>
                    <a:srcRect/>
                    <a:stretch>
                      <a:fillRect/>
                    </a:stretch>
                  </pic:blipFill>
                  <pic:spPr>
                    <a:xfrm>
                      <a:off x="0" y="0"/>
                      <a:ext cx="2736850" cy="698500"/>
                    </a:xfrm>
                    <a:prstGeom prst="rect">
                      <a:avLst/>
                    </a:prstGeom>
                    <a:ln>
                      <a:noFill/>
                    </a:ln>
                  </pic:spPr>
                </pic:pic>
              </a:graphicData>
            </a:graphic>
          </wp:inline>
        </w:drawing>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式中：</w:t>
      </w:r>
    </w:p>
    <w:p>
      <w:pPr>
        <w:adjustRightInd w:val="0"/>
        <w:snapToGrid w:val="0"/>
        <w:spacing w:line="360" w:lineRule="auto"/>
        <w:ind w:firstLine="1200" w:firstLineChars="500"/>
        <w:rPr>
          <w:rFonts w:ascii="Times New Roman" w:hAnsi="Times New Roman"/>
          <w:kern w:val="0"/>
          <w:sz w:val="24"/>
        </w:rPr>
      </w:pPr>
      <w:r>
        <w:rPr>
          <w:rFonts w:ascii="Times New Roman" w:hAnsi="Times New Roman"/>
          <w:kern w:val="0"/>
          <w:sz w:val="24"/>
        </w:rPr>
        <w:t>x，y——计算点处的位置坐标；</w:t>
      </w:r>
    </w:p>
    <w:p>
      <w:pPr>
        <w:adjustRightInd w:val="0"/>
        <w:snapToGrid w:val="0"/>
        <w:spacing w:line="360" w:lineRule="auto"/>
        <w:ind w:firstLine="1200" w:firstLineChars="500"/>
        <w:rPr>
          <w:rFonts w:ascii="Times New Roman" w:hAnsi="Times New Roman"/>
          <w:kern w:val="0"/>
          <w:sz w:val="24"/>
        </w:rPr>
      </w:pPr>
      <w:r>
        <w:rPr>
          <w:rFonts w:ascii="Times New Roman" w:hAnsi="Times New Roman"/>
          <w:kern w:val="0"/>
          <w:sz w:val="24"/>
        </w:rPr>
        <w:t>t——时间，d；</w:t>
      </w:r>
    </w:p>
    <w:p>
      <w:pPr>
        <w:adjustRightInd w:val="0"/>
        <w:snapToGrid w:val="0"/>
        <w:spacing w:line="360" w:lineRule="auto"/>
        <w:ind w:firstLine="1200" w:firstLineChars="500"/>
        <w:rPr>
          <w:rFonts w:ascii="Times New Roman" w:hAnsi="Times New Roman"/>
          <w:kern w:val="0"/>
          <w:sz w:val="24"/>
        </w:rPr>
      </w:pPr>
      <w:r>
        <w:rPr>
          <w:rFonts w:ascii="Times New Roman" w:hAnsi="Times New Roman"/>
          <w:position w:val="-10"/>
          <w:sz w:val="24"/>
        </w:rPr>
        <w:drawing>
          <wp:inline distT="0" distB="0" distL="0" distR="0">
            <wp:extent cx="590550" cy="196850"/>
            <wp:effectExtent l="0" t="0" r="0" b="13334"/>
            <wp:docPr id="1052" name="图片 23"/>
            <wp:cNvGraphicFramePr/>
            <a:graphic xmlns:a="http://schemas.openxmlformats.org/drawingml/2006/main">
              <a:graphicData uri="http://schemas.openxmlformats.org/drawingml/2006/picture">
                <pic:pic xmlns:pic="http://schemas.openxmlformats.org/drawingml/2006/picture">
                  <pic:nvPicPr>
                    <pic:cNvPr id="1052" name="图片 23"/>
                    <pic:cNvPicPr/>
                  </pic:nvPicPr>
                  <pic:blipFill>
                    <a:blip r:embed="rId51" cstate="print"/>
                    <a:srcRect/>
                    <a:stretch>
                      <a:fillRect/>
                    </a:stretch>
                  </pic:blipFill>
                  <pic:spPr>
                    <a:xfrm>
                      <a:off x="0" y="0"/>
                      <a:ext cx="590550" cy="196850"/>
                    </a:xfrm>
                    <a:prstGeom prst="rect">
                      <a:avLst/>
                    </a:prstGeom>
                    <a:ln>
                      <a:noFill/>
                    </a:ln>
                  </pic:spPr>
                </pic:pic>
              </a:graphicData>
            </a:graphic>
          </wp:inline>
        </w:drawing>
      </w:r>
      <w:r>
        <w:rPr>
          <w:rFonts w:ascii="Times New Roman" w:hAnsi="Times New Roman"/>
          <w:sz w:val="24"/>
        </w:rPr>
        <w:t>——</w:t>
      </w:r>
      <w:r>
        <w:rPr>
          <w:rFonts w:ascii="Times New Roman" w:hAnsi="Times New Roman"/>
          <w:kern w:val="0"/>
          <w:sz w:val="24"/>
        </w:rPr>
        <w:t>t时刻点x，y处的示踪剂浓度，mg/L；</w:t>
      </w:r>
    </w:p>
    <w:p>
      <w:pPr>
        <w:adjustRightInd w:val="0"/>
        <w:snapToGrid w:val="0"/>
        <w:spacing w:line="360" w:lineRule="auto"/>
        <w:ind w:firstLine="1200" w:firstLineChars="500"/>
        <w:rPr>
          <w:rFonts w:ascii="Times New Roman" w:hAnsi="Times New Roman"/>
          <w:kern w:val="0"/>
          <w:sz w:val="24"/>
        </w:rPr>
      </w:pPr>
      <w:r>
        <w:rPr>
          <w:rFonts w:ascii="Times New Roman" w:hAnsi="Times New Roman"/>
          <w:kern w:val="0"/>
          <w:sz w:val="24"/>
        </w:rPr>
        <w:t>M——承压含水层的厚度，m；</w:t>
      </w:r>
    </w:p>
    <w:p>
      <w:pPr>
        <w:adjustRightInd w:val="0"/>
        <w:snapToGrid w:val="0"/>
        <w:spacing w:line="360" w:lineRule="auto"/>
        <w:ind w:firstLine="1200" w:firstLineChars="500"/>
        <w:rPr>
          <w:rFonts w:ascii="Times New Roman" w:hAnsi="Times New Roman"/>
          <w:sz w:val="24"/>
        </w:rPr>
      </w:pPr>
      <w:r>
        <w:rPr>
          <w:rFonts w:ascii="Times New Roman" w:hAnsi="Times New Roman"/>
          <w:position w:val="-10"/>
          <w:sz w:val="24"/>
        </w:rPr>
        <w:drawing>
          <wp:inline distT="0" distB="0" distL="0" distR="0">
            <wp:extent cx="254000" cy="215900"/>
            <wp:effectExtent l="0" t="0" r="12700" b="15875"/>
            <wp:docPr id="1053" name="图片 24"/>
            <wp:cNvGraphicFramePr/>
            <a:graphic xmlns:a="http://schemas.openxmlformats.org/drawingml/2006/main">
              <a:graphicData uri="http://schemas.openxmlformats.org/drawingml/2006/picture">
                <pic:pic xmlns:pic="http://schemas.openxmlformats.org/drawingml/2006/picture">
                  <pic:nvPicPr>
                    <pic:cNvPr id="1053" name="图片 24"/>
                    <pic:cNvPicPr/>
                  </pic:nvPicPr>
                  <pic:blipFill>
                    <a:blip r:embed="rId52" cstate="print"/>
                    <a:srcRect/>
                    <a:stretch>
                      <a:fillRect/>
                    </a:stretch>
                  </pic:blipFill>
                  <pic:spPr>
                    <a:xfrm>
                      <a:off x="0" y="0"/>
                      <a:ext cx="254000" cy="215900"/>
                    </a:xfrm>
                    <a:prstGeom prst="rect">
                      <a:avLst/>
                    </a:prstGeom>
                    <a:ln>
                      <a:noFill/>
                    </a:ln>
                  </pic:spPr>
                </pic:pic>
              </a:graphicData>
            </a:graphic>
          </wp:inline>
        </w:drawing>
      </w:r>
      <w:r>
        <w:rPr>
          <w:rFonts w:ascii="Times New Roman" w:hAnsi="Times New Roman"/>
          <w:sz w:val="24"/>
        </w:rPr>
        <w:t>——长度为M的线源瞬时注入的示踪剂质量，kg；</w:t>
      </w:r>
    </w:p>
    <w:p>
      <w:pPr>
        <w:adjustRightInd w:val="0"/>
        <w:snapToGrid w:val="0"/>
        <w:spacing w:line="360" w:lineRule="auto"/>
        <w:ind w:firstLine="1200" w:firstLineChars="500"/>
        <w:rPr>
          <w:rFonts w:ascii="Times New Roman" w:hAnsi="Times New Roman"/>
          <w:kern w:val="0"/>
          <w:sz w:val="24"/>
        </w:rPr>
      </w:pPr>
      <w:r>
        <w:rPr>
          <w:rFonts w:ascii="Times New Roman" w:hAnsi="Times New Roman"/>
          <w:position w:val="-6"/>
          <w:sz w:val="24"/>
        </w:rPr>
        <w:drawing>
          <wp:inline distT="0" distB="0" distL="0" distR="0">
            <wp:extent cx="127000" cy="133350"/>
            <wp:effectExtent l="0" t="0" r="6350" b="0"/>
            <wp:docPr id="1054" name="图片 25"/>
            <wp:cNvGraphicFramePr/>
            <a:graphic xmlns:a="http://schemas.openxmlformats.org/drawingml/2006/main">
              <a:graphicData uri="http://schemas.openxmlformats.org/drawingml/2006/picture">
                <pic:pic xmlns:pic="http://schemas.openxmlformats.org/drawingml/2006/picture">
                  <pic:nvPicPr>
                    <pic:cNvPr id="1054" name="图片 25"/>
                    <pic:cNvPicPr/>
                  </pic:nvPicPr>
                  <pic:blipFill>
                    <a:blip r:embed="rId53" cstate="print"/>
                    <a:srcRect/>
                    <a:stretch>
                      <a:fillRect/>
                    </a:stretch>
                  </pic:blipFill>
                  <pic:spPr>
                    <a:xfrm>
                      <a:off x="0" y="0"/>
                      <a:ext cx="127000" cy="133350"/>
                    </a:xfrm>
                    <a:prstGeom prst="rect">
                      <a:avLst/>
                    </a:prstGeom>
                    <a:ln>
                      <a:noFill/>
                    </a:ln>
                  </pic:spPr>
                </pic:pic>
              </a:graphicData>
            </a:graphic>
          </wp:inline>
        </w:drawing>
      </w:r>
      <w:r>
        <w:rPr>
          <w:rFonts w:ascii="Times New Roman" w:hAnsi="Times New Roman"/>
          <w:sz w:val="24"/>
        </w:rPr>
        <w:t>——水流速度，</w:t>
      </w:r>
      <w:r>
        <w:rPr>
          <w:rFonts w:ascii="Times New Roman" w:hAnsi="Times New Roman"/>
          <w:kern w:val="0"/>
          <w:sz w:val="24"/>
        </w:rPr>
        <w:t>m/d；</w:t>
      </w:r>
    </w:p>
    <w:p>
      <w:pPr>
        <w:adjustRightInd w:val="0"/>
        <w:snapToGrid w:val="0"/>
        <w:spacing w:line="360" w:lineRule="auto"/>
        <w:ind w:firstLine="1200" w:firstLineChars="500"/>
        <w:rPr>
          <w:rFonts w:ascii="Times New Roman" w:hAnsi="Times New Roman"/>
          <w:kern w:val="0"/>
          <w:sz w:val="24"/>
        </w:rPr>
      </w:pPr>
      <w:r>
        <w:rPr>
          <w:rFonts w:ascii="Times New Roman" w:hAnsi="Times New Roman"/>
          <w:kern w:val="0"/>
          <w:sz w:val="24"/>
        </w:rPr>
        <w:t>n——有效孔隙度，无量纲；</w:t>
      </w:r>
    </w:p>
    <w:p>
      <w:pPr>
        <w:adjustRightInd w:val="0"/>
        <w:snapToGrid w:val="0"/>
        <w:spacing w:line="360" w:lineRule="auto"/>
        <w:ind w:firstLine="1200" w:firstLineChars="500"/>
        <w:rPr>
          <w:rFonts w:ascii="Times New Roman" w:hAnsi="Times New Roman"/>
          <w:kern w:val="0"/>
          <w:sz w:val="24"/>
        </w:rPr>
      </w:pPr>
      <w:r>
        <w:rPr>
          <w:rFonts w:ascii="Times New Roman" w:hAnsi="Times New Roman"/>
          <w:position w:val="-10"/>
          <w:sz w:val="24"/>
        </w:rPr>
        <w:drawing>
          <wp:inline distT="0" distB="0" distL="0" distR="0">
            <wp:extent cx="215900" cy="215900"/>
            <wp:effectExtent l="0" t="0" r="12700" b="14605"/>
            <wp:docPr id="1055" name="图片 26"/>
            <wp:cNvGraphicFramePr/>
            <a:graphic xmlns:a="http://schemas.openxmlformats.org/drawingml/2006/main">
              <a:graphicData uri="http://schemas.openxmlformats.org/drawingml/2006/picture">
                <pic:pic xmlns:pic="http://schemas.openxmlformats.org/drawingml/2006/picture">
                  <pic:nvPicPr>
                    <pic:cNvPr id="1055" name="图片 26"/>
                    <pic:cNvPicPr/>
                  </pic:nvPicPr>
                  <pic:blipFill>
                    <a:blip r:embed="rId54" cstate="print"/>
                    <a:srcRect/>
                    <a:stretch>
                      <a:fillRect/>
                    </a:stretch>
                  </pic:blipFill>
                  <pic:spPr>
                    <a:xfrm>
                      <a:off x="0" y="0"/>
                      <a:ext cx="215900" cy="215900"/>
                    </a:xfrm>
                    <a:prstGeom prst="rect">
                      <a:avLst/>
                    </a:prstGeom>
                    <a:ln>
                      <a:noFill/>
                    </a:ln>
                  </pic:spPr>
                </pic:pic>
              </a:graphicData>
            </a:graphic>
          </wp:inline>
        </w:drawing>
      </w:r>
      <w:r>
        <w:rPr>
          <w:rFonts w:ascii="Times New Roman" w:hAnsi="Times New Roman"/>
          <w:sz w:val="24"/>
        </w:rPr>
        <w:t>——</w:t>
      </w:r>
      <w:r>
        <w:rPr>
          <w:rFonts w:ascii="Times New Roman" w:hAnsi="Times New Roman"/>
          <w:kern w:val="0"/>
          <w:sz w:val="24"/>
        </w:rPr>
        <w:t>纵向弥散系数，㎡/d；</w:t>
      </w:r>
    </w:p>
    <w:p>
      <w:pPr>
        <w:adjustRightInd w:val="0"/>
        <w:snapToGrid w:val="0"/>
        <w:spacing w:line="360" w:lineRule="auto"/>
        <w:ind w:firstLine="1200" w:firstLineChars="500"/>
        <w:rPr>
          <w:rFonts w:ascii="Times New Roman" w:hAnsi="Times New Roman"/>
          <w:kern w:val="0"/>
          <w:sz w:val="24"/>
        </w:rPr>
      </w:pPr>
      <w:r>
        <w:rPr>
          <w:rFonts w:ascii="Times New Roman" w:hAnsi="Times New Roman"/>
          <w:position w:val="-10"/>
          <w:sz w:val="24"/>
        </w:rPr>
        <w:drawing>
          <wp:inline distT="0" distB="0" distL="0" distR="0">
            <wp:extent cx="228600" cy="215900"/>
            <wp:effectExtent l="0" t="0" r="0" b="14605"/>
            <wp:docPr id="1056" name="图片 27"/>
            <wp:cNvGraphicFramePr/>
            <a:graphic xmlns:a="http://schemas.openxmlformats.org/drawingml/2006/main">
              <a:graphicData uri="http://schemas.openxmlformats.org/drawingml/2006/picture">
                <pic:pic xmlns:pic="http://schemas.openxmlformats.org/drawingml/2006/picture">
                  <pic:nvPicPr>
                    <pic:cNvPr id="1056" name="图片 27"/>
                    <pic:cNvPicPr/>
                  </pic:nvPicPr>
                  <pic:blipFill>
                    <a:blip r:embed="rId55" cstate="print"/>
                    <a:srcRect/>
                    <a:stretch>
                      <a:fillRect/>
                    </a:stretch>
                  </pic:blipFill>
                  <pic:spPr>
                    <a:xfrm>
                      <a:off x="0" y="0"/>
                      <a:ext cx="228600" cy="215900"/>
                    </a:xfrm>
                    <a:prstGeom prst="rect">
                      <a:avLst/>
                    </a:prstGeom>
                    <a:ln>
                      <a:noFill/>
                    </a:ln>
                  </pic:spPr>
                </pic:pic>
              </a:graphicData>
            </a:graphic>
          </wp:inline>
        </w:drawing>
      </w:r>
      <w:r>
        <w:rPr>
          <w:rFonts w:ascii="Times New Roman" w:hAnsi="Times New Roman"/>
          <w:sz w:val="24"/>
        </w:rPr>
        <w:t>——</w:t>
      </w:r>
      <w:r>
        <w:rPr>
          <w:rFonts w:ascii="Times New Roman" w:hAnsi="Times New Roman"/>
          <w:kern w:val="0"/>
          <w:sz w:val="24"/>
        </w:rPr>
        <w:t>横向y方向的弥散系数，㎡/d；</w:t>
      </w:r>
    </w:p>
    <w:p>
      <w:pPr>
        <w:adjustRightInd w:val="0"/>
        <w:snapToGrid w:val="0"/>
        <w:spacing w:line="360" w:lineRule="auto"/>
        <w:ind w:firstLine="1200" w:firstLineChars="500"/>
        <w:rPr>
          <w:rFonts w:ascii="Times New Roman" w:hAnsi="Times New Roman"/>
          <w:kern w:val="0"/>
          <w:sz w:val="24"/>
        </w:rPr>
      </w:pPr>
      <w:r>
        <w:rPr>
          <w:rFonts w:ascii="Times New Roman" w:hAnsi="Times New Roman"/>
          <w:position w:val="-6"/>
          <w:sz w:val="24"/>
        </w:rPr>
        <w:drawing>
          <wp:inline distT="0" distB="0" distL="0" distR="0">
            <wp:extent cx="133350" cy="133350"/>
            <wp:effectExtent l="0" t="0" r="0" b="0"/>
            <wp:docPr id="1057" name="图片 28"/>
            <wp:cNvGraphicFramePr/>
            <a:graphic xmlns:a="http://schemas.openxmlformats.org/drawingml/2006/main">
              <a:graphicData uri="http://schemas.openxmlformats.org/drawingml/2006/picture">
                <pic:pic xmlns:pic="http://schemas.openxmlformats.org/drawingml/2006/picture">
                  <pic:nvPicPr>
                    <pic:cNvPr id="1057" name="图片 28"/>
                    <pic:cNvPicPr/>
                  </pic:nvPicPr>
                  <pic:blipFill>
                    <a:blip r:embed="rId56" cstate="print"/>
                    <a:srcRect/>
                    <a:stretch>
                      <a:fillRect/>
                    </a:stretch>
                  </pic:blipFill>
                  <pic:spPr>
                    <a:xfrm>
                      <a:off x="0" y="0"/>
                      <a:ext cx="133350" cy="133350"/>
                    </a:xfrm>
                    <a:prstGeom prst="rect">
                      <a:avLst/>
                    </a:prstGeom>
                    <a:ln>
                      <a:noFill/>
                    </a:ln>
                  </pic:spPr>
                </pic:pic>
              </a:graphicData>
            </a:graphic>
          </wp:inline>
        </w:drawing>
      </w:r>
      <w:r>
        <w:rPr>
          <w:rFonts w:ascii="Times New Roman" w:hAnsi="Times New Roman"/>
          <w:sz w:val="24"/>
        </w:rPr>
        <w:t>——</w:t>
      </w:r>
      <w:r>
        <w:rPr>
          <w:rFonts w:ascii="Times New Roman" w:hAnsi="Times New Roman"/>
          <w:kern w:val="0"/>
          <w:sz w:val="24"/>
        </w:rPr>
        <w:t>圆周率。</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（5）水文地质参数</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根据本次环评期间调查资料，并结合各类水文地质试验数据资料确定本项目综合水文地质参数情况详见表6.3.4.3-1。</w:t>
      </w:r>
    </w:p>
    <w:p>
      <w:pPr>
        <w:pStyle w:val="18"/>
        <w:overflowPunct w:val="0"/>
        <w:topLinePunct/>
      </w:pPr>
    </w:p>
    <w:p>
      <w:pPr>
        <w:pStyle w:val="18"/>
        <w:overflowPunct w:val="0"/>
        <w:topLinePunct/>
      </w:pPr>
      <w:r>
        <w:t>表 6.3.4.3-1  地下水溶质运移渗透系数、弥散系数等参数建议值</w:t>
      </w:r>
    </w:p>
    <w:tbl>
      <w:tblPr>
        <w:tblStyle w:val="45"/>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331"/>
        <w:gridCol w:w="1772"/>
        <w:gridCol w:w="1446"/>
        <w:gridCol w:w="1692"/>
        <w:gridCol w:w="14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24" w:hRule="atLeast"/>
          <w:jc w:val="center"/>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参数名称</w:t>
            </w:r>
          </w:p>
        </w:tc>
        <w:tc>
          <w:tcPr>
            <w:tcW w:w="1772"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渗透系数</w:t>
            </w:r>
          </w:p>
        </w:tc>
        <w:tc>
          <w:tcPr>
            <w:tcW w:w="1446"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纵向弥散系数</w:t>
            </w:r>
          </w:p>
        </w:tc>
        <w:tc>
          <w:tcPr>
            <w:tcW w:w="1692"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横向弥散系数</w:t>
            </w:r>
          </w:p>
        </w:tc>
        <w:tc>
          <w:tcPr>
            <w:tcW w:w="1444"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有效孔隙度</w:t>
            </w:r>
          </w:p>
        </w:tc>
        <w:tc>
          <w:tcPr>
            <w:tcW w:w="144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水力坡度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47"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K</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D</w:t>
            </w:r>
            <w:r>
              <w:rPr>
                <w:szCs w:val="21"/>
                <w:vertAlign w:val="subscript"/>
              </w:rPr>
              <w:t>L</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D</w:t>
            </w:r>
            <w:r>
              <w:rPr>
                <w:szCs w:val="21"/>
                <w:vertAlign w:val="subscript"/>
              </w:rPr>
              <w:t>T</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N</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08"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m/d</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m</w:t>
            </w:r>
            <w:r>
              <w:rPr>
                <w:szCs w:val="21"/>
                <w:vertAlign w:val="superscript"/>
              </w:rPr>
              <w:t>2</w:t>
            </w:r>
            <w:r>
              <w:rPr>
                <w:szCs w:val="21"/>
              </w:rPr>
              <w:t>/d</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m</w:t>
            </w:r>
            <w:r>
              <w:rPr>
                <w:szCs w:val="21"/>
                <w:vertAlign w:val="superscript"/>
              </w:rPr>
              <w:t>2</w:t>
            </w:r>
            <w:r>
              <w:rPr>
                <w:szCs w:val="21"/>
              </w:rPr>
              <w:t>/d</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无量纲</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57"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建议值</w:t>
            </w: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0.864</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kern w:val="0"/>
                <w:szCs w:val="21"/>
              </w:rPr>
              <w:t>0.016</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kern w:val="0"/>
                <w:szCs w:val="21"/>
              </w:rPr>
              <w:t>0.0016</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0.21</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0.786</w:t>
            </w:r>
          </w:p>
        </w:tc>
      </w:tr>
    </w:tbl>
    <w:p>
      <w:pPr>
        <w:spacing w:before="120" w:beforeLines="50" w:line="360" w:lineRule="auto"/>
        <w:ind w:firstLine="480" w:firstLineChars="200"/>
        <w:rPr>
          <w:rFonts w:ascii="Times New Roman" w:hAnsi="Times New Roman"/>
          <w:sz w:val="24"/>
        </w:rPr>
      </w:pPr>
      <w:r>
        <w:rPr>
          <w:rFonts w:ascii="Times New Roman" w:hAnsi="Times New Roman"/>
          <w:sz w:val="24"/>
        </w:rPr>
        <w:t>（6）地下水流速</w:t>
      </w:r>
    </w:p>
    <w:p>
      <w:pPr>
        <w:spacing w:line="360" w:lineRule="auto"/>
        <w:ind w:firstLine="480" w:firstLineChars="200"/>
        <w:rPr>
          <w:rFonts w:ascii="Times New Roman" w:hAnsi="Times New Roman"/>
          <w:sz w:val="24"/>
        </w:rPr>
      </w:pPr>
      <w:r>
        <w:rPr>
          <w:rFonts w:ascii="Times New Roman" w:hAnsi="Times New Roman"/>
          <w:sz w:val="24"/>
        </w:rPr>
        <w:t>受到场地地质条件以及目前技术条件等多因素的影响，本项目无法做连通实验。根据达西定律，渗透流速v=KI，K为渗透系数，I为水力坡度。考虑最不利情况，根据抽水试验计算结果取最大值K=0.864m/d；根据场区调查实测水位，两处地下水点的渗流距离约为0.50km，项目厂区地下水水位标高为186.1m，水力坡度I=0.786‰。有效孔隙度，根据勘察期间水文地质钻探揭露的岩性，取n</w:t>
      </w:r>
      <w:r>
        <w:rPr>
          <w:rFonts w:ascii="Times New Roman" w:hAnsi="Times New Roman"/>
          <w:sz w:val="24"/>
          <w:vertAlign w:val="subscript"/>
        </w:rPr>
        <w:t>e</w:t>
      </w:r>
      <w:r>
        <w:rPr>
          <w:rFonts w:ascii="Times New Roman" w:hAnsi="Times New Roman"/>
          <w:sz w:val="24"/>
        </w:rPr>
        <w:t>=0.21。由此可以得出地下水实际流速为：</w:t>
      </w:r>
    </w:p>
    <w:p>
      <w:pPr>
        <w:spacing w:line="360" w:lineRule="auto"/>
        <w:ind w:firstLine="480" w:firstLineChars="200"/>
        <w:jc w:val="center"/>
        <w:rPr>
          <w:rFonts w:ascii="Times New Roman" w:hAnsi="Times New Roman"/>
          <w:sz w:val="24"/>
        </w:rPr>
      </w:pPr>
      <w:r>
        <w:rPr>
          <w:rFonts w:ascii="Times New Roman" w:hAnsi="Times New Roman"/>
          <w:sz w:val="24"/>
        </w:rPr>
        <w:t>u=v/n</w:t>
      </w:r>
      <w:r>
        <w:rPr>
          <w:rFonts w:ascii="Times New Roman" w:hAnsi="Times New Roman"/>
          <w:sz w:val="24"/>
          <w:vertAlign w:val="subscript"/>
        </w:rPr>
        <w:t>e</w:t>
      </w:r>
      <w:r>
        <w:rPr>
          <w:rFonts w:ascii="Times New Roman" w:hAnsi="Times New Roman"/>
          <w:sz w:val="24"/>
        </w:rPr>
        <w:t>=KI/n</w:t>
      </w:r>
      <w:r>
        <w:rPr>
          <w:rFonts w:ascii="Times New Roman" w:hAnsi="Times New Roman"/>
          <w:sz w:val="24"/>
          <w:vertAlign w:val="subscript"/>
        </w:rPr>
        <w:t>e</w:t>
      </w:r>
      <w:r>
        <w:rPr>
          <w:rFonts w:ascii="Times New Roman" w:hAnsi="Times New Roman"/>
          <w:sz w:val="24"/>
        </w:rPr>
        <w:t>=0.864×0.000786/0.21=3.23×10</w:t>
      </w:r>
      <w:r>
        <w:rPr>
          <w:rFonts w:ascii="Times New Roman" w:hAnsi="Times New Roman"/>
          <w:sz w:val="24"/>
          <w:vertAlign w:val="superscript"/>
        </w:rPr>
        <w:t>-3</w:t>
      </w:r>
      <w:r>
        <w:rPr>
          <w:rFonts w:ascii="Times New Roman" w:hAnsi="Times New Roman"/>
          <w:sz w:val="24"/>
        </w:rPr>
        <w:t>m/d</w:t>
      </w:r>
    </w:p>
    <w:p>
      <w:pPr>
        <w:spacing w:line="360" w:lineRule="auto"/>
        <w:ind w:firstLine="480" w:firstLineChars="200"/>
        <w:rPr>
          <w:rFonts w:ascii="Times New Roman" w:hAnsi="Times New Roman"/>
          <w:bCs/>
          <w:sz w:val="24"/>
        </w:rPr>
      </w:pPr>
      <w:r>
        <w:rPr>
          <w:rFonts w:ascii="Times New Roman" w:hAnsi="Times New Roman"/>
          <w:bCs/>
          <w:sz w:val="24"/>
        </w:rPr>
        <w:t>（7）弥散度</w:t>
      </w:r>
    </w:p>
    <w:p>
      <w:pPr>
        <w:spacing w:line="360" w:lineRule="auto"/>
        <w:ind w:firstLine="480" w:firstLineChars="200"/>
        <w:rPr>
          <w:rFonts w:ascii="Times New Roman" w:hAnsi="Times New Roman"/>
          <w:bCs/>
          <w:sz w:val="24"/>
        </w:rPr>
      </w:pPr>
      <w:r>
        <w:rPr>
          <w:rFonts w:ascii="Times New Roman" w:hAnsi="Times New Roman"/>
          <w:kern w:val="0"/>
          <w:sz w:val="24"/>
        </w:rPr>
        <w:t>弥散度是研究污染物在土壤及地下水中迁移转化规律的最重要参数之一，弥散系数D是反映渗流系统弥散特征的一个综合参数，忽略分子扩散时，它是介质弥散度仅和孔隙流速V的函数。水动力弥散尺度效应的存在为模拟和预测地下水中溶质在介质中的运移规律带来了困难。由概念模型分析中可知，本项目属于网状构孔隙型，该类型水动力弥散特征表现为：地下水运动以网状孔隙流为主，渗漏方向主要受构造孔隙控制，表现为网状弥散特征。污染物浓度在运移过程中变化较小，污染浓度损耗大，污染浓度随污染源浓度变化而逐渐变化，而且滞后相对较长。根据山东大学孙讷正教授的《地下水水质的数学模拟（五）水动力弥散模型与其他水质模型》以及本项目水文地质条件和污染特征，确定本项目溶质运移模型中弥散度</w:t>
      </w:r>
      <w:r>
        <w:rPr>
          <w:rFonts w:ascii="Times New Roman" w:hAnsi="Times New Roman"/>
          <w:spacing w:val="6"/>
          <w:sz w:val="24"/>
        </w:rPr>
        <w:t>α</w:t>
      </w:r>
      <w:r>
        <w:rPr>
          <w:rFonts w:ascii="Times New Roman" w:hAnsi="Times New Roman"/>
          <w:spacing w:val="6"/>
          <w:sz w:val="24"/>
          <w:vertAlign w:val="subscript"/>
        </w:rPr>
        <w:t>m</w:t>
      </w:r>
      <w:r>
        <w:rPr>
          <w:rFonts w:ascii="Times New Roman" w:hAnsi="Times New Roman"/>
          <w:kern w:val="0"/>
          <w:sz w:val="24"/>
        </w:rPr>
        <w:t>为5m，根据水流速度</w:t>
      </w:r>
      <w:r>
        <w:rPr>
          <w:rFonts w:ascii="Times New Roman" w:hAnsi="Times New Roman"/>
          <w:sz w:val="24"/>
        </w:rPr>
        <w:t>u=3.23×10</w:t>
      </w:r>
      <w:r>
        <w:rPr>
          <w:rFonts w:ascii="Times New Roman" w:hAnsi="Times New Roman"/>
          <w:sz w:val="24"/>
          <w:vertAlign w:val="superscript"/>
        </w:rPr>
        <w:t>-3</w:t>
      </w:r>
      <w:r>
        <w:rPr>
          <w:rFonts w:ascii="Times New Roman" w:hAnsi="Times New Roman"/>
          <w:sz w:val="24"/>
        </w:rPr>
        <w:t>m/d，</w:t>
      </w:r>
      <w:r>
        <w:rPr>
          <w:rFonts w:ascii="Times New Roman" w:hAnsi="Times New Roman"/>
          <w:kern w:val="0"/>
          <w:sz w:val="24"/>
        </w:rPr>
        <w:t>纵向弥散系数</w:t>
      </w:r>
      <w:r>
        <w:rPr>
          <w:rFonts w:ascii="Times New Roman" w:hAnsi="Times New Roman"/>
          <w:kern w:val="0"/>
          <w:sz w:val="24"/>
        </w:rPr>
        <w:drawing>
          <wp:inline distT="0" distB="0" distL="0" distR="0">
            <wp:extent cx="228600" cy="228600"/>
            <wp:effectExtent l="0" t="0" r="0" b="0"/>
            <wp:docPr id="1058" name="图片 29"/>
            <wp:cNvGraphicFramePr/>
            <a:graphic xmlns:a="http://schemas.openxmlformats.org/drawingml/2006/main">
              <a:graphicData uri="http://schemas.openxmlformats.org/drawingml/2006/picture">
                <pic:pic xmlns:pic="http://schemas.openxmlformats.org/drawingml/2006/picture">
                  <pic:nvPicPr>
                    <pic:cNvPr id="1058" name="图片 29"/>
                    <pic:cNvPicPr/>
                  </pic:nvPicPr>
                  <pic:blipFill>
                    <a:blip r:embed="rId54" cstate="print"/>
                    <a:srcRect/>
                    <a:stretch>
                      <a:fillRect/>
                    </a:stretch>
                  </pic:blipFill>
                  <pic:spPr>
                    <a:xfrm>
                      <a:off x="0" y="0"/>
                      <a:ext cx="228600" cy="228600"/>
                    </a:xfrm>
                    <a:prstGeom prst="rect">
                      <a:avLst/>
                    </a:prstGeom>
                    <a:ln>
                      <a:noFill/>
                    </a:ln>
                  </pic:spPr>
                </pic:pic>
              </a:graphicData>
            </a:graphic>
          </wp:inline>
        </w:drawing>
      </w:r>
      <w:r>
        <w:rPr>
          <w:rFonts w:ascii="Times New Roman" w:hAnsi="Times New Roman"/>
          <w:kern w:val="0"/>
          <w:sz w:val="24"/>
        </w:rPr>
        <w:t>为0.016m</w:t>
      </w:r>
      <w:r>
        <w:rPr>
          <w:rFonts w:ascii="Times New Roman" w:hAnsi="Times New Roman"/>
          <w:kern w:val="0"/>
          <w:sz w:val="24"/>
          <w:vertAlign w:val="superscript"/>
        </w:rPr>
        <w:t>2</w:t>
      </w:r>
      <w:r>
        <w:rPr>
          <w:rFonts w:ascii="Times New Roman" w:hAnsi="Times New Roman"/>
          <w:kern w:val="0"/>
          <w:sz w:val="24"/>
        </w:rPr>
        <w:t>/d，横向弥散系数为纵向弥散系数的十分之一，纵向弥散系数</w:t>
      </w:r>
      <w:r>
        <w:rPr>
          <w:rFonts w:ascii="Times New Roman" w:hAnsi="Times New Roman"/>
          <w:kern w:val="0"/>
          <w:sz w:val="24"/>
        </w:rPr>
        <w:drawing>
          <wp:inline distT="0" distB="0" distL="0" distR="0">
            <wp:extent cx="241300" cy="228600"/>
            <wp:effectExtent l="0" t="0" r="0" b="0"/>
            <wp:docPr id="1059" name="图片 30"/>
            <wp:cNvGraphicFramePr/>
            <a:graphic xmlns:a="http://schemas.openxmlformats.org/drawingml/2006/main">
              <a:graphicData uri="http://schemas.openxmlformats.org/drawingml/2006/picture">
                <pic:pic xmlns:pic="http://schemas.openxmlformats.org/drawingml/2006/picture">
                  <pic:nvPicPr>
                    <pic:cNvPr id="1059" name="图片 30"/>
                    <pic:cNvPicPr/>
                  </pic:nvPicPr>
                  <pic:blipFill>
                    <a:blip r:embed="rId55" cstate="print"/>
                    <a:srcRect/>
                    <a:stretch>
                      <a:fillRect/>
                    </a:stretch>
                  </pic:blipFill>
                  <pic:spPr>
                    <a:xfrm>
                      <a:off x="0" y="0"/>
                      <a:ext cx="241300" cy="228600"/>
                    </a:xfrm>
                    <a:prstGeom prst="rect">
                      <a:avLst/>
                    </a:prstGeom>
                    <a:ln>
                      <a:noFill/>
                    </a:ln>
                  </pic:spPr>
                </pic:pic>
              </a:graphicData>
            </a:graphic>
          </wp:inline>
        </w:drawing>
      </w:r>
      <w:r>
        <w:rPr>
          <w:rFonts w:ascii="Times New Roman" w:hAnsi="Times New Roman"/>
          <w:kern w:val="0"/>
          <w:sz w:val="24"/>
        </w:rPr>
        <w:t>为0.0016m</w:t>
      </w:r>
      <w:r>
        <w:rPr>
          <w:rFonts w:ascii="Times New Roman" w:hAnsi="Times New Roman"/>
          <w:kern w:val="0"/>
          <w:sz w:val="24"/>
          <w:vertAlign w:val="superscript"/>
        </w:rPr>
        <w:t>2</w:t>
      </w:r>
      <w:r>
        <w:rPr>
          <w:rFonts w:ascii="Times New Roman" w:hAnsi="Times New Roman"/>
          <w:kern w:val="0"/>
          <w:sz w:val="24"/>
        </w:rPr>
        <w:t>/d。</w:t>
      </w:r>
    </w:p>
    <w:p>
      <w:pPr>
        <w:spacing w:line="360" w:lineRule="auto"/>
        <w:ind w:firstLine="480" w:firstLineChars="200"/>
        <w:rPr>
          <w:rFonts w:ascii="Times New Roman" w:hAnsi="Times New Roman"/>
          <w:bCs/>
          <w:sz w:val="24"/>
        </w:rPr>
      </w:pPr>
      <w:r>
        <w:rPr>
          <w:rFonts w:ascii="Times New Roman" w:hAnsi="Times New Roman"/>
          <w:sz w:val="24"/>
        </w:rPr>
        <w:t>（8）污染源源强的确定</w:t>
      </w:r>
    </w:p>
    <w:p>
      <w:pPr>
        <w:autoSpaceDE w:val="0"/>
        <w:autoSpaceDN w:val="0"/>
        <w:adjustRightInd w:val="0"/>
        <w:spacing w:line="360" w:lineRule="auto"/>
        <w:ind w:firstLine="480" w:firstLineChars="200"/>
        <w:rPr>
          <w:rFonts w:ascii="Times New Roman" w:hAnsi="Times New Roman"/>
          <w:sz w:val="24"/>
        </w:rPr>
      </w:pPr>
      <w:r>
        <w:rPr>
          <w:rFonts w:ascii="Times New Roman" w:hAnsi="Times New Roman"/>
          <w:sz w:val="24"/>
        </w:rPr>
        <w:t>根据地下水污染类型分析，非正常排放的情况下，废水量和入渗到地下水中的渗入量见表6.3.4.3-2。</w:t>
      </w:r>
    </w:p>
    <w:p>
      <w:pPr>
        <w:pStyle w:val="18"/>
        <w:tabs>
          <w:tab w:val="left" w:pos="15"/>
        </w:tabs>
        <w:ind w:firstLine="482" w:firstLineChars="200"/>
        <w:rPr>
          <w:sz w:val="21"/>
          <w:szCs w:val="21"/>
        </w:rPr>
      </w:pPr>
      <w:r>
        <w:t>表 6.3.4.3-2</w:t>
      </w:r>
      <w:r>
        <w:rPr>
          <w:sz w:val="21"/>
          <w:szCs w:val="21"/>
        </w:rPr>
        <w:t xml:space="preserve"> </w:t>
      </w:r>
      <w:r>
        <w:t>营运期废水量及渗入地下的入渗量一览表</w:t>
      </w:r>
    </w:p>
    <w:tbl>
      <w:tblPr>
        <w:tblStyle w:val="45"/>
        <w:tblW w:w="869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86"/>
        <w:gridCol w:w="2051"/>
        <w:gridCol w:w="1843"/>
        <w:gridCol w:w="1417"/>
        <w:gridCol w:w="170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686" w:type="dxa"/>
            <w:vAlign w:val="center"/>
          </w:tcPr>
          <w:p>
            <w:pPr>
              <w:spacing w:line="240" w:lineRule="exact"/>
              <w:jc w:val="center"/>
              <w:rPr>
                <w:rFonts w:ascii="Times New Roman" w:hAnsi="Times New Roman"/>
                <w:b/>
                <w:szCs w:val="21"/>
              </w:rPr>
            </w:pPr>
            <w:r>
              <w:rPr>
                <w:rFonts w:ascii="Times New Roman" w:hAnsi="Times New Roman"/>
                <w:b/>
                <w:szCs w:val="21"/>
              </w:rPr>
              <w:t>污染源类型</w:t>
            </w:r>
          </w:p>
        </w:tc>
        <w:tc>
          <w:tcPr>
            <w:tcW w:w="2051" w:type="dxa"/>
            <w:vAlign w:val="center"/>
          </w:tcPr>
          <w:p>
            <w:pPr>
              <w:spacing w:line="240" w:lineRule="exact"/>
              <w:jc w:val="center"/>
              <w:rPr>
                <w:rFonts w:ascii="Times New Roman" w:hAnsi="Times New Roman"/>
                <w:b/>
                <w:szCs w:val="21"/>
              </w:rPr>
            </w:pPr>
            <w:r>
              <w:rPr>
                <w:rFonts w:ascii="Times New Roman" w:hAnsi="Times New Roman"/>
                <w:b/>
                <w:szCs w:val="21"/>
              </w:rPr>
              <w:t>入渗量计算公式</w:t>
            </w:r>
          </w:p>
        </w:tc>
        <w:tc>
          <w:tcPr>
            <w:tcW w:w="1843" w:type="dxa"/>
            <w:vAlign w:val="center"/>
          </w:tcPr>
          <w:p>
            <w:pPr>
              <w:spacing w:line="240" w:lineRule="exact"/>
              <w:jc w:val="center"/>
              <w:rPr>
                <w:rFonts w:ascii="Times New Roman" w:hAnsi="Times New Roman"/>
                <w:b/>
                <w:szCs w:val="21"/>
              </w:rPr>
            </w:pPr>
            <w:r>
              <w:rPr>
                <w:rFonts w:ascii="Times New Roman" w:hAnsi="Times New Roman"/>
                <w:b/>
                <w:szCs w:val="21"/>
              </w:rPr>
              <w:t>废水量Q(m</w:t>
            </w:r>
            <w:r>
              <w:rPr>
                <w:rFonts w:ascii="Times New Roman" w:hAnsi="Times New Roman"/>
                <w:b/>
                <w:szCs w:val="21"/>
                <w:vertAlign w:val="superscript"/>
              </w:rPr>
              <w:t>3</w:t>
            </w:r>
            <w:r>
              <w:rPr>
                <w:rFonts w:ascii="Times New Roman" w:hAnsi="Times New Roman"/>
                <w:b/>
                <w:szCs w:val="21"/>
              </w:rPr>
              <w:t>/d)</w:t>
            </w:r>
          </w:p>
        </w:tc>
        <w:tc>
          <w:tcPr>
            <w:tcW w:w="1417" w:type="dxa"/>
            <w:vAlign w:val="center"/>
          </w:tcPr>
          <w:p>
            <w:pPr>
              <w:spacing w:line="240" w:lineRule="exact"/>
              <w:jc w:val="center"/>
              <w:rPr>
                <w:rFonts w:ascii="Times New Roman" w:hAnsi="Times New Roman"/>
                <w:b/>
                <w:szCs w:val="21"/>
              </w:rPr>
            </w:pPr>
            <w:r>
              <w:rPr>
                <w:rFonts w:ascii="Times New Roman" w:hAnsi="Times New Roman"/>
                <w:b/>
                <w:szCs w:val="21"/>
              </w:rPr>
              <w:t>漏失率β</w:t>
            </w:r>
          </w:p>
        </w:tc>
        <w:tc>
          <w:tcPr>
            <w:tcW w:w="1701" w:type="dxa"/>
            <w:vAlign w:val="center"/>
          </w:tcPr>
          <w:p>
            <w:pPr>
              <w:spacing w:line="240" w:lineRule="exact"/>
              <w:jc w:val="center"/>
              <w:rPr>
                <w:rFonts w:ascii="Times New Roman" w:hAnsi="Times New Roman"/>
                <w:b/>
                <w:szCs w:val="21"/>
              </w:rPr>
            </w:pPr>
            <w:r>
              <w:rPr>
                <w:rFonts w:ascii="Times New Roman" w:hAnsi="Times New Roman"/>
                <w:b/>
                <w:szCs w:val="21"/>
              </w:rPr>
              <w:t>入渗量q(m</w:t>
            </w:r>
            <w:r>
              <w:rPr>
                <w:rFonts w:ascii="Times New Roman" w:hAnsi="Times New Roman"/>
                <w:b/>
                <w:szCs w:val="21"/>
                <w:vertAlign w:val="superscript"/>
              </w:rPr>
              <w:t>3</w:t>
            </w:r>
            <w:r>
              <w:rPr>
                <w:rFonts w:ascii="Times New Roman" w:hAnsi="Times New Roman"/>
                <w:b/>
                <w:szCs w:val="21"/>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1686" w:type="dxa"/>
            <w:vAlign w:val="center"/>
          </w:tcPr>
          <w:p>
            <w:pPr>
              <w:spacing w:line="240" w:lineRule="exact"/>
              <w:jc w:val="center"/>
              <w:rPr>
                <w:rFonts w:ascii="Times New Roman" w:hAnsi="Times New Roman"/>
                <w:szCs w:val="21"/>
              </w:rPr>
            </w:pPr>
            <w:r>
              <w:rPr>
                <w:rFonts w:ascii="Times New Roman" w:hAnsi="Times New Roman"/>
                <w:szCs w:val="21"/>
              </w:rPr>
              <w:t>综合污水</w:t>
            </w:r>
          </w:p>
        </w:tc>
        <w:tc>
          <w:tcPr>
            <w:tcW w:w="2051" w:type="dxa"/>
            <w:vAlign w:val="center"/>
          </w:tcPr>
          <w:p>
            <w:pPr>
              <w:spacing w:line="240" w:lineRule="exact"/>
              <w:jc w:val="center"/>
              <w:rPr>
                <w:rFonts w:ascii="Times New Roman" w:hAnsi="Times New Roman"/>
                <w:szCs w:val="21"/>
              </w:rPr>
            </w:pPr>
            <w:r>
              <w:rPr>
                <w:rFonts w:ascii="Times New Roman" w:hAnsi="Times New Roman"/>
                <w:szCs w:val="21"/>
              </w:rPr>
              <w:t>Q=βQ</w:t>
            </w:r>
          </w:p>
        </w:tc>
        <w:tc>
          <w:tcPr>
            <w:tcW w:w="1843" w:type="dxa"/>
            <w:vAlign w:val="center"/>
          </w:tcPr>
          <w:p>
            <w:pPr>
              <w:spacing w:line="240" w:lineRule="exact"/>
              <w:jc w:val="center"/>
              <w:rPr>
                <w:rFonts w:ascii="Times New Roman" w:hAnsi="Times New Roman"/>
                <w:szCs w:val="21"/>
              </w:rPr>
            </w:pPr>
            <w:r>
              <w:rPr>
                <w:rFonts w:ascii="Times New Roman" w:hAnsi="Times New Roman"/>
                <w:szCs w:val="21"/>
              </w:rPr>
              <w:t>/</w:t>
            </w:r>
          </w:p>
        </w:tc>
        <w:tc>
          <w:tcPr>
            <w:tcW w:w="1417" w:type="dxa"/>
            <w:vAlign w:val="center"/>
          </w:tcPr>
          <w:p>
            <w:pPr>
              <w:spacing w:line="240" w:lineRule="exact"/>
              <w:jc w:val="center"/>
              <w:rPr>
                <w:rFonts w:ascii="Times New Roman" w:hAnsi="Times New Roman"/>
                <w:szCs w:val="21"/>
              </w:rPr>
            </w:pPr>
            <w:r>
              <w:rPr>
                <w:rFonts w:ascii="Times New Roman" w:hAnsi="Times New Roman"/>
                <w:szCs w:val="21"/>
              </w:rPr>
              <w:t>0.05</w:t>
            </w:r>
          </w:p>
        </w:tc>
        <w:tc>
          <w:tcPr>
            <w:tcW w:w="1701" w:type="dxa"/>
            <w:vAlign w:val="center"/>
          </w:tcPr>
          <w:p>
            <w:pPr>
              <w:spacing w:line="240" w:lineRule="exact"/>
              <w:jc w:val="center"/>
              <w:rPr>
                <w:rFonts w:ascii="Times New Roman" w:hAnsi="Times New Roman"/>
                <w:szCs w:val="21"/>
              </w:rPr>
            </w:pPr>
            <w:r>
              <w:rPr>
                <w:rFonts w:ascii="Times New Roman" w:hAnsi="Times New Roman"/>
                <w:szCs w:val="21"/>
              </w:rPr>
              <w:t>3.33</w:t>
            </w:r>
          </w:p>
        </w:tc>
      </w:tr>
    </w:tbl>
    <w:p>
      <w:pPr>
        <w:autoSpaceDE w:val="0"/>
        <w:autoSpaceDN w:val="0"/>
        <w:adjustRightInd w:val="0"/>
        <w:spacing w:before="240" w:line="360" w:lineRule="auto"/>
        <w:ind w:firstLine="480" w:firstLineChars="200"/>
        <w:rPr>
          <w:rFonts w:ascii="Times New Roman" w:hAnsi="Times New Roman"/>
          <w:sz w:val="24"/>
        </w:rPr>
      </w:pPr>
      <w:r>
        <w:rPr>
          <w:rFonts w:ascii="Times New Roman" w:hAnsi="Times New Roman"/>
          <w:sz w:val="24"/>
        </w:rPr>
        <w:t>各点源在各状态下的示踪剂注入量见表6.3.4.3-3。</w:t>
      </w:r>
    </w:p>
    <w:p>
      <w:pPr>
        <w:pStyle w:val="18"/>
        <w:tabs>
          <w:tab w:val="left" w:pos="15"/>
        </w:tabs>
        <w:ind w:firstLine="482" w:firstLineChars="200"/>
      </w:pPr>
      <w:r>
        <w:t>表 6.3.4.3-3</w:t>
      </w:r>
      <w:r>
        <w:rPr>
          <w:sz w:val="21"/>
          <w:szCs w:val="21"/>
        </w:rPr>
        <w:t xml:space="preserve"> </w:t>
      </w:r>
      <w:r>
        <w:t>各点源示踪剂注入量一览表</w:t>
      </w:r>
    </w:p>
    <w:tbl>
      <w:tblPr>
        <w:tblStyle w:val="45"/>
        <w:tblW w:w="87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29"/>
        <w:gridCol w:w="3078"/>
        <w:gridCol w:w="1408"/>
        <w:gridCol w:w="14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2829" w:type="dxa"/>
            <w:vMerge w:val="restart"/>
            <w:vAlign w:val="center"/>
          </w:tcPr>
          <w:p>
            <w:pPr>
              <w:adjustRightInd w:val="0"/>
              <w:snapToGrid w:val="0"/>
              <w:jc w:val="center"/>
              <w:rPr>
                <w:rFonts w:ascii="Times New Roman" w:hAnsi="Times New Roman"/>
                <w:b/>
                <w:kern w:val="0"/>
                <w:szCs w:val="21"/>
              </w:rPr>
            </w:pPr>
            <w:r>
              <w:rPr>
                <w:rFonts w:ascii="Times New Roman" w:hAnsi="Times New Roman"/>
                <w:b/>
                <w:kern w:val="0"/>
                <w:szCs w:val="21"/>
              </w:rPr>
              <w:t>点源名称</w:t>
            </w:r>
          </w:p>
        </w:tc>
        <w:tc>
          <w:tcPr>
            <w:tcW w:w="3078" w:type="dxa"/>
            <w:vMerge w:val="restart"/>
            <w:vAlign w:val="center"/>
          </w:tcPr>
          <w:p>
            <w:pPr>
              <w:adjustRightInd w:val="0"/>
              <w:snapToGrid w:val="0"/>
              <w:jc w:val="center"/>
              <w:rPr>
                <w:rFonts w:ascii="Times New Roman" w:hAnsi="Times New Roman"/>
                <w:b/>
                <w:kern w:val="0"/>
                <w:szCs w:val="21"/>
              </w:rPr>
            </w:pPr>
            <w:r>
              <w:rPr>
                <w:rFonts w:ascii="Times New Roman" w:hAnsi="Times New Roman"/>
                <w:b/>
                <w:kern w:val="0"/>
                <w:szCs w:val="21"/>
              </w:rPr>
              <w:t>排放状态</w:t>
            </w:r>
          </w:p>
        </w:tc>
        <w:tc>
          <w:tcPr>
            <w:tcW w:w="2846" w:type="dxa"/>
            <w:gridSpan w:val="2"/>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污染因子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2829" w:type="dxa"/>
            <w:vMerge w:val="continue"/>
            <w:vAlign w:val="center"/>
          </w:tcPr>
          <w:p>
            <w:pPr>
              <w:rPr>
                <w:rFonts w:ascii="Times New Roman" w:hAnsi="Times New Roman"/>
              </w:rPr>
            </w:pPr>
          </w:p>
        </w:tc>
        <w:tc>
          <w:tcPr>
            <w:tcW w:w="3078" w:type="dxa"/>
            <w:vMerge w:val="continue"/>
            <w:vAlign w:val="center"/>
          </w:tcPr>
          <w:p>
            <w:pPr>
              <w:rPr>
                <w:rFonts w:ascii="Times New Roman" w:hAnsi="Times New Roman"/>
              </w:rPr>
            </w:pPr>
          </w:p>
        </w:tc>
        <w:tc>
          <w:tcPr>
            <w:tcW w:w="1408" w:type="dxa"/>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COD</w:t>
            </w:r>
            <w:r>
              <w:rPr>
                <w:rFonts w:ascii="Times New Roman" w:hAnsi="Times New Roman"/>
                <w:b/>
                <w:kern w:val="0"/>
                <w:szCs w:val="21"/>
                <w:vertAlign w:val="subscript"/>
              </w:rPr>
              <w:t>cr</w:t>
            </w:r>
          </w:p>
        </w:tc>
        <w:tc>
          <w:tcPr>
            <w:tcW w:w="1438" w:type="dxa"/>
            <w:vAlign w:val="center"/>
          </w:tcPr>
          <w:p>
            <w:pPr>
              <w:widowControl/>
              <w:adjustRightInd w:val="0"/>
              <w:snapToGrid w:val="0"/>
              <w:jc w:val="center"/>
              <w:rPr>
                <w:rFonts w:ascii="Times New Roman" w:hAnsi="Times New Roman"/>
                <w:b/>
                <w:kern w:val="0"/>
                <w:szCs w:val="21"/>
              </w:rPr>
            </w:pPr>
            <w:r>
              <w:rPr>
                <w:rFonts w:ascii="Times New Roman" w:hAnsi="Times New Roman"/>
                <w:b/>
                <w:kern w:val="0"/>
                <w:szCs w:val="21"/>
              </w:rPr>
              <w:t>NH</w:t>
            </w:r>
            <w:r>
              <w:rPr>
                <w:rFonts w:ascii="Times New Roman" w:hAnsi="Times New Roman"/>
                <w:b/>
                <w:kern w:val="0"/>
                <w:szCs w:val="21"/>
                <w:vertAlign w:val="subscript"/>
              </w:rPr>
              <w:t>3</w:t>
            </w:r>
            <w:r>
              <w:rPr>
                <w:rFonts w:ascii="Times New Roman" w:hAnsi="Times New Roman"/>
                <w:b/>
                <w:kern w:val="0"/>
                <w:szCs w:val="21"/>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282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污水输送管道</w:t>
            </w:r>
          </w:p>
        </w:tc>
        <w:tc>
          <w:tcPr>
            <w:tcW w:w="3078"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非正常状态</w:t>
            </w:r>
            <w:r>
              <w:rPr>
                <w:rFonts w:ascii="Times New Roman" w:hAnsi="Times New Roman"/>
                <w:i/>
                <w:kern w:val="0"/>
                <w:szCs w:val="21"/>
              </w:rPr>
              <w:t>m</w:t>
            </w:r>
            <w:r>
              <w:rPr>
                <w:rFonts w:ascii="Times New Roman" w:hAnsi="Times New Roman"/>
                <w:kern w:val="0"/>
                <w:szCs w:val="21"/>
                <w:vertAlign w:val="subscript"/>
              </w:rPr>
              <w:t>M</w:t>
            </w:r>
            <w:r>
              <w:rPr>
                <w:rFonts w:ascii="Times New Roman" w:hAnsi="Times New Roman"/>
                <w:kern w:val="0"/>
                <w:szCs w:val="21"/>
              </w:rPr>
              <w:t>(kg/d)</w:t>
            </w:r>
          </w:p>
        </w:tc>
        <w:tc>
          <w:tcPr>
            <w:tcW w:w="1408"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0.0533</w:t>
            </w:r>
          </w:p>
        </w:tc>
        <w:tc>
          <w:tcPr>
            <w:tcW w:w="1438"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0.0033</w:t>
            </w:r>
          </w:p>
        </w:tc>
      </w:tr>
    </w:tbl>
    <w:p>
      <w:pPr>
        <w:spacing w:line="360" w:lineRule="auto"/>
        <w:ind w:firstLine="480" w:firstLineChars="200"/>
        <w:rPr>
          <w:rFonts w:ascii="Times New Roman" w:hAnsi="Times New Roman"/>
          <w:sz w:val="24"/>
        </w:rPr>
      </w:pPr>
      <w:bookmarkStart w:id="392" w:name="_Toc372295220"/>
      <w:bookmarkStart w:id="393" w:name="_Toc336681624"/>
    </w:p>
    <w:p>
      <w:pPr>
        <w:spacing w:line="360" w:lineRule="auto"/>
        <w:ind w:firstLine="480" w:firstLineChars="200"/>
        <w:rPr>
          <w:rFonts w:ascii="Times New Roman" w:hAnsi="Times New Roman"/>
          <w:bCs/>
          <w:sz w:val="24"/>
        </w:rPr>
      </w:pPr>
      <w:r>
        <w:rPr>
          <w:rFonts w:ascii="Times New Roman" w:hAnsi="Times New Roman"/>
          <w:sz w:val="24"/>
        </w:rPr>
        <w:t>（9）预测结果</w:t>
      </w:r>
      <w:bookmarkEnd w:id="392"/>
      <w:bookmarkEnd w:id="393"/>
    </w:p>
    <w:p>
      <w:pPr>
        <w:spacing w:line="360" w:lineRule="auto"/>
        <w:ind w:firstLine="480" w:firstLineChars="200"/>
        <w:rPr>
          <w:rFonts w:ascii="Times New Roman" w:hAnsi="Times New Roman"/>
          <w:bCs/>
          <w:sz w:val="24"/>
        </w:rPr>
      </w:pPr>
      <w:r>
        <w:rPr>
          <w:rFonts w:ascii="Times New Roman" w:hAnsi="Times New Roman"/>
          <w:bCs/>
          <w:sz w:val="24"/>
        </w:rPr>
        <w:t>本次预测采用软件进行解析计算，其计算结果可见下图：</w:t>
      </w:r>
    </w:p>
    <w:p>
      <w:pPr>
        <w:pStyle w:val="2"/>
        <w:adjustRightInd w:val="0"/>
        <w:snapToGrid w:val="0"/>
        <w:spacing w:after="0"/>
        <w:ind w:left="0" w:leftChars="0" w:firstLine="0" w:firstLineChars="0"/>
        <w:jc w:val="center"/>
      </w:pPr>
      <w:r>
        <w:drawing>
          <wp:inline distT="0" distB="0" distL="114300" distR="114300">
            <wp:extent cx="5646420" cy="3929380"/>
            <wp:effectExtent l="0" t="0" r="11430" b="13970"/>
            <wp:docPr id="44" name="图片 44" descr="157253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72530023(1)"/>
                    <pic:cNvPicPr>
                      <a:picLocks noChangeAspect="1"/>
                    </pic:cNvPicPr>
                  </pic:nvPicPr>
                  <pic:blipFill>
                    <a:blip r:embed="rId57"/>
                    <a:stretch>
                      <a:fillRect/>
                    </a:stretch>
                  </pic:blipFill>
                  <pic:spPr>
                    <a:xfrm>
                      <a:off x="0" y="0"/>
                      <a:ext cx="5646420" cy="3929380"/>
                    </a:xfrm>
                    <a:prstGeom prst="rect">
                      <a:avLst/>
                    </a:prstGeom>
                  </pic:spPr>
                </pic:pic>
              </a:graphicData>
            </a:graphic>
          </wp:inline>
        </w:drawing>
      </w:r>
    </w:p>
    <w:p>
      <w:pPr>
        <w:spacing w:line="360" w:lineRule="auto"/>
        <w:ind w:firstLine="480" w:firstLineChars="200"/>
        <w:rPr>
          <w:rFonts w:ascii="Times New Roman" w:hAnsi="Times New Roman"/>
          <w:bCs/>
          <w:sz w:val="24"/>
        </w:rPr>
      </w:pPr>
      <w:r>
        <w:rPr>
          <w:rFonts w:ascii="Times New Roman" w:hAnsi="Times New Roman"/>
          <w:bCs/>
          <w:sz w:val="24"/>
        </w:rPr>
        <w:t>根据软件计算结果可知：</w:t>
      </w:r>
    </w:p>
    <w:p>
      <w:pPr>
        <w:spacing w:line="360" w:lineRule="auto"/>
        <w:ind w:firstLine="480" w:firstLineChars="200"/>
        <w:rPr>
          <w:rFonts w:ascii="Times New Roman" w:hAnsi="Times New Roman"/>
          <w:bCs/>
          <w:sz w:val="24"/>
        </w:rPr>
      </w:pPr>
      <w:r>
        <w:rPr>
          <w:rFonts w:ascii="Times New Roman" w:hAnsi="Times New Roman"/>
          <w:bCs/>
          <w:sz w:val="24"/>
        </w:rPr>
        <w:t>连续泄漏COD污染物100天，超标距离为下游3m，预测范围内超标面积为：100m</w:t>
      </w:r>
      <w:r>
        <w:rPr>
          <w:rFonts w:ascii="Times New Roman" w:hAnsi="Times New Roman"/>
          <w:bCs/>
          <w:sz w:val="24"/>
          <w:vertAlign w:val="superscript"/>
        </w:rPr>
        <w:t>2</w:t>
      </w:r>
      <w:r>
        <w:rPr>
          <w:rFonts w:ascii="Times New Roman" w:hAnsi="Times New Roman"/>
          <w:bCs/>
          <w:sz w:val="24"/>
        </w:rPr>
        <w:t>；影响距离为下游7m，预测范围内影响面积为：100m</w:t>
      </w:r>
      <w:r>
        <w:rPr>
          <w:rFonts w:ascii="Times New Roman" w:hAnsi="Times New Roman"/>
          <w:bCs/>
          <w:sz w:val="24"/>
          <w:vertAlign w:val="superscript"/>
        </w:rPr>
        <w:t>2</w:t>
      </w:r>
      <w:r>
        <w:rPr>
          <w:rFonts w:ascii="Times New Roman" w:hAnsi="Times New Roman"/>
          <w:bCs/>
          <w:sz w:val="24"/>
        </w:rPr>
        <w:t>。</w:t>
      </w:r>
    </w:p>
    <w:p>
      <w:pPr>
        <w:spacing w:line="360" w:lineRule="auto"/>
        <w:ind w:firstLine="480" w:firstLineChars="200"/>
        <w:rPr>
          <w:rFonts w:ascii="Times New Roman" w:hAnsi="Times New Roman"/>
        </w:rPr>
      </w:pPr>
      <w:r>
        <w:rPr>
          <w:rFonts w:ascii="Times New Roman" w:hAnsi="Times New Roman"/>
          <w:sz w:val="24"/>
        </w:rPr>
        <w:t>预测结果表明：</w:t>
      </w:r>
      <w:r>
        <w:rPr>
          <w:rFonts w:ascii="Times New Roman" w:hAnsi="Times New Roman"/>
          <w:bCs/>
          <w:sz w:val="24"/>
        </w:rPr>
        <w:t>废水</w:t>
      </w:r>
      <w:r>
        <w:rPr>
          <w:rFonts w:ascii="Times New Roman" w:hAnsi="Times New Roman"/>
          <w:sz w:val="24"/>
        </w:rPr>
        <w:t>泄漏发生后，</w:t>
      </w:r>
      <w:r>
        <w:rPr>
          <w:rFonts w:ascii="Times New Roman" w:hAnsi="Times New Roman"/>
          <w:bCs/>
          <w:sz w:val="24"/>
        </w:rPr>
        <w:t>COD</w:t>
      </w:r>
      <w:r>
        <w:rPr>
          <w:rFonts w:ascii="Times New Roman" w:hAnsi="Times New Roman"/>
          <w:sz w:val="24"/>
        </w:rPr>
        <w:t>影响范围主要在项目区周边7米以内，影响面积在</w:t>
      </w:r>
      <w:r>
        <w:rPr>
          <w:rFonts w:ascii="Times New Roman" w:hAnsi="Times New Roman"/>
          <w:bCs/>
          <w:sz w:val="24"/>
        </w:rPr>
        <w:t>100m</w:t>
      </w:r>
      <w:r>
        <w:rPr>
          <w:rFonts w:ascii="Times New Roman" w:hAnsi="Times New Roman"/>
          <w:bCs/>
          <w:sz w:val="24"/>
          <w:vertAlign w:val="superscript"/>
        </w:rPr>
        <w:t>2</w:t>
      </w:r>
      <w:r>
        <w:rPr>
          <w:rFonts w:ascii="Times New Roman" w:hAnsi="Times New Roman"/>
          <w:bCs/>
          <w:sz w:val="24"/>
        </w:rPr>
        <w:t>内，</w:t>
      </w:r>
      <w:r>
        <w:rPr>
          <w:rFonts w:ascii="Times New Roman" w:hAnsi="Times New Roman"/>
          <w:sz w:val="24"/>
        </w:rPr>
        <w:t>不会产生大面积的地下水污染影响。</w:t>
      </w:r>
      <w:r>
        <w:rPr>
          <w:rFonts w:ascii="Times New Roman" w:hAnsi="Times New Roman"/>
        </w:rPr>
        <w:t xml:space="preserve"> </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总之，项目所在场地水文地质条件较复杂，包气带与含水层介质渗透较弱，由于地下水渗透速度小，且地下水有自净能力，非正常排放的综合污水对地下水造成污染范围仅限于7m，污染范围能得到有效控制。</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综合分析，本项目废水量较少，通过采取本项目拟提出防渗、监控等管理措施后，特征污染物对地下水环境影响轻微。</w:t>
      </w:r>
    </w:p>
    <w:p>
      <w:pPr>
        <w:pStyle w:val="6"/>
        <w:numPr>
          <w:ilvl w:val="1"/>
          <w:numId w:val="0"/>
        </w:numPr>
        <w:spacing w:before="120" w:after="120"/>
      </w:pPr>
      <w:bookmarkStart w:id="394" w:name="_Toc15451"/>
      <w:bookmarkStart w:id="395" w:name="_Toc4396"/>
      <w:bookmarkStart w:id="396" w:name="_Toc8508"/>
      <w:bookmarkStart w:id="397" w:name="_Toc32435"/>
      <w:bookmarkStart w:id="398" w:name="_Toc280188854"/>
      <w:bookmarkStart w:id="399" w:name="_Toc304810306"/>
      <w:bookmarkStart w:id="400" w:name="_Toc306034556"/>
      <w:r>
        <w:t>6.4 声环境影响预测与评价</w:t>
      </w:r>
      <w:bookmarkEnd w:id="394"/>
      <w:bookmarkEnd w:id="395"/>
      <w:bookmarkEnd w:id="396"/>
      <w:bookmarkEnd w:id="397"/>
      <w:bookmarkEnd w:id="398"/>
      <w:bookmarkEnd w:id="399"/>
      <w:bookmarkEnd w:id="400"/>
    </w:p>
    <w:p>
      <w:pPr>
        <w:pStyle w:val="7"/>
        <w:numPr>
          <w:ilvl w:val="2"/>
          <w:numId w:val="0"/>
        </w:numPr>
        <w:spacing w:before="120" w:after="120"/>
      </w:pPr>
      <w:bookmarkStart w:id="401" w:name="_Toc132875685"/>
      <w:bookmarkStart w:id="402" w:name="_Toc134850558"/>
      <w:bookmarkStart w:id="403" w:name="_Toc28786"/>
      <w:bookmarkStart w:id="404" w:name="_Toc19968"/>
      <w:bookmarkStart w:id="405" w:name="_Toc134929019"/>
      <w:bookmarkStart w:id="406" w:name="_Toc19638"/>
      <w:r>
        <w:t>6.4.1 预测源强</w:t>
      </w:r>
      <w:bookmarkEnd w:id="401"/>
      <w:bookmarkEnd w:id="402"/>
      <w:bookmarkEnd w:id="403"/>
      <w:bookmarkEnd w:id="404"/>
      <w:bookmarkEnd w:id="405"/>
      <w:bookmarkEnd w:id="406"/>
    </w:p>
    <w:p>
      <w:pPr>
        <w:tabs>
          <w:tab w:val="left" w:pos="1700"/>
        </w:tabs>
        <w:spacing w:line="360" w:lineRule="auto"/>
        <w:ind w:firstLine="480" w:firstLineChars="200"/>
        <w:rPr>
          <w:rFonts w:ascii="Times New Roman" w:hAnsi="Times New Roman"/>
          <w:kern w:val="24"/>
          <w:sz w:val="24"/>
          <w:szCs w:val="24"/>
        </w:rPr>
      </w:pPr>
      <w:r>
        <w:rPr>
          <w:rFonts w:ascii="Times New Roman" w:hAnsi="Times New Roman"/>
          <w:kern w:val="24"/>
          <w:sz w:val="24"/>
          <w:szCs w:val="24"/>
        </w:rPr>
        <w:t>根据《环境影响评价技术导则——声环境》（HJ2.4-2009）中对噪声源强的分类，项目噪声源按声源性质为固定声源两大类，</w:t>
      </w:r>
      <w:r>
        <w:rPr>
          <w:rFonts w:ascii="Times New Roman" w:hAnsi="Times New Roman"/>
          <w:sz w:val="24"/>
        </w:rPr>
        <w:t>噪声主要为机械锅炉、泵、风机等产生</w:t>
      </w:r>
      <w:r>
        <w:rPr>
          <w:rFonts w:ascii="Times New Roman" w:hAnsi="Times New Roman"/>
          <w:kern w:val="24"/>
          <w:sz w:val="24"/>
          <w:szCs w:val="24"/>
        </w:rPr>
        <w:t>的固定声源。声源噪声强度分析如下表6.4.1-1。</w:t>
      </w:r>
    </w:p>
    <w:p>
      <w:pPr>
        <w:pStyle w:val="18"/>
      </w:pPr>
      <w:r>
        <w:t>表 6.4.1-1</w:t>
      </w:r>
      <w:r>
        <w:tab/>
      </w:r>
      <w:r>
        <w:t xml:space="preserve"> 项目主要噪声源强</w:t>
      </w:r>
    </w:p>
    <w:tbl>
      <w:tblPr>
        <w:tblStyle w:val="45"/>
        <w:tblW w:w="85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1950"/>
        <w:gridCol w:w="1000"/>
        <w:gridCol w:w="839"/>
        <w:gridCol w:w="849"/>
        <w:gridCol w:w="849"/>
        <w:gridCol w:w="21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b/>
              </w:rPr>
            </w:pPr>
            <w:r>
              <w:rPr>
                <w:rFonts w:ascii="Times New Roman" w:hAnsi="Times New Roman" w:cs="Times New Roman"/>
                <w:b/>
              </w:rPr>
              <w:t>序号</w:t>
            </w:r>
          </w:p>
        </w:tc>
        <w:tc>
          <w:tcPr>
            <w:tcW w:w="1950" w:type="dxa"/>
            <w:vAlign w:val="center"/>
          </w:tcPr>
          <w:p>
            <w:pPr>
              <w:pStyle w:val="261"/>
              <w:spacing w:line="312" w:lineRule="auto"/>
              <w:jc w:val="left"/>
              <w:rPr>
                <w:rFonts w:ascii="Times New Roman" w:hAnsi="Times New Roman" w:cs="Times New Roman"/>
                <w:b/>
              </w:rPr>
            </w:pPr>
            <w:r>
              <w:rPr>
                <w:rFonts w:ascii="Times New Roman" w:hAnsi="Times New Roman" w:cs="Times New Roman"/>
                <w:b/>
              </w:rPr>
              <w:t>单元名称</w:t>
            </w:r>
          </w:p>
        </w:tc>
        <w:tc>
          <w:tcPr>
            <w:tcW w:w="1000" w:type="dxa"/>
            <w:tcBorders>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噪音源</w:t>
            </w:r>
          </w:p>
        </w:tc>
        <w:tc>
          <w:tcPr>
            <w:tcW w:w="839" w:type="dxa"/>
            <w:tcBorders>
              <w:lef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数量</w:t>
            </w:r>
          </w:p>
        </w:tc>
        <w:tc>
          <w:tcPr>
            <w:tcW w:w="849" w:type="dxa"/>
            <w:tcBorders>
              <w:left w:val="single" w:color="auto" w:sz="2" w:space="0"/>
              <w:bottom w:val="nil"/>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距地面</w:t>
            </w:r>
          </w:p>
          <w:p>
            <w:pPr>
              <w:pStyle w:val="261"/>
              <w:spacing w:line="312" w:lineRule="auto"/>
              <w:jc w:val="left"/>
              <w:rPr>
                <w:rFonts w:ascii="Times New Roman" w:hAnsi="Times New Roman" w:cs="Times New Roman"/>
                <w:b/>
              </w:rPr>
            </w:pPr>
            <w:r>
              <w:rPr>
                <w:rFonts w:ascii="Times New Roman" w:hAnsi="Times New Roman" w:cs="Times New Roman"/>
                <w:b/>
              </w:rPr>
              <w:t>高度</w:t>
            </w:r>
          </w:p>
        </w:tc>
        <w:tc>
          <w:tcPr>
            <w:tcW w:w="849" w:type="dxa"/>
            <w:tcBorders>
              <w:bottom w:val="nil"/>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噪声值</w:t>
            </w:r>
          </w:p>
        </w:tc>
        <w:tc>
          <w:tcPr>
            <w:tcW w:w="2165" w:type="dxa"/>
            <w:tcBorders>
              <w:left w:val="single" w:color="auto" w:sz="2" w:space="0"/>
              <w:bottom w:val="nil"/>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减（防）噪措施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1</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泵</w:t>
            </w:r>
          </w:p>
        </w:tc>
        <w:tc>
          <w:tcPr>
            <w:tcW w:w="1000" w:type="dxa"/>
            <w:vAlign w:val="center"/>
          </w:tcPr>
          <w:p>
            <w:pPr>
              <w:pStyle w:val="261"/>
              <w:spacing w:line="312" w:lineRule="auto"/>
              <w:jc w:val="left"/>
              <w:rPr>
                <w:rFonts w:ascii="Times New Roman" w:hAnsi="Times New Roman" w:cs="Times New Roman"/>
              </w:rPr>
            </w:pPr>
            <w:r>
              <w:rPr>
                <w:rFonts w:ascii="Times New Roman" w:hAnsi="Times New Roman" w:cs="Times New Roman"/>
              </w:rPr>
              <w:t>机泵</w:t>
            </w: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3</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165" w:type="dxa"/>
            <w:vMerge w:val="restart"/>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r>
              <w:rPr>
                <w:rFonts w:ascii="Times New Roman" w:hAnsi="Times New Roman" w:cs="Times New Roman"/>
              </w:rPr>
              <w:t>采用低噪声设备、减振底座；泵进出口加装避振喉，基础增加橡胶减振垫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2</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尾气风机</w:t>
            </w:r>
          </w:p>
        </w:tc>
        <w:tc>
          <w:tcPr>
            <w:tcW w:w="1000" w:type="dxa"/>
            <w:vAlign w:val="center"/>
          </w:tcPr>
          <w:p>
            <w:pPr>
              <w:pStyle w:val="261"/>
              <w:spacing w:line="312" w:lineRule="auto"/>
              <w:jc w:val="left"/>
              <w:rPr>
                <w:rFonts w:ascii="Times New Roman" w:hAnsi="Times New Roman" w:cs="Times New Roman"/>
              </w:rPr>
            </w:pPr>
            <w:r>
              <w:rPr>
                <w:rFonts w:ascii="Times New Roman" w:hAnsi="Times New Roman" w:cs="Times New Roman"/>
              </w:rPr>
              <w:t>风机</w:t>
            </w: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2</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165"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3</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锅炉</w:t>
            </w:r>
          </w:p>
        </w:tc>
        <w:tc>
          <w:tcPr>
            <w:tcW w:w="1000" w:type="dxa"/>
            <w:vAlign w:val="center"/>
          </w:tcPr>
          <w:p>
            <w:pPr>
              <w:pStyle w:val="261"/>
              <w:spacing w:line="312" w:lineRule="auto"/>
              <w:jc w:val="left"/>
              <w:rPr>
                <w:rFonts w:ascii="Times New Roman" w:hAnsi="Times New Roman" w:cs="Times New Roman"/>
              </w:rPr>
            </w:pPr>
            <w:r>
              <w:rPr>
                <w:rFonts w:ascii="Times New Roman" w:hAnsi="Times New Roman" w:cs="Times New Roman"/>
              </w:rPr>
              <w:t>锅炉</w:t>
            </w: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2</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≯80</w:t>
            </w:r>
          </w:p>
        </w:tc>
        <w:tc>
          <w:tcPr>
            <w:tcW w:w="2165"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5</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合计</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7</w:t>
            </w:r>
          </w:p>
        </w:tc>
        <w:tc>
          <w:tcPr>
            <w:tcW w:w="849" w:type="dxa"/>
            <w:vAlign w:val="center"/>
          </w:tcPr>
          <w:p>
            <w:pPr>
              <w:pStyle w:val="261"/>
              <w:spacing w:line="312" w:lineRule="auto"/>
              <w:jc w:val="left"/>
              <w:rPr>
                <w:rFonts w:ascii="Times New Roman" w:hAnsi="Times New Roman" w:cs="Times New Roman"/>
              </w:rPr>
            </w:pP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p>
        </w:tc>
        <w:tc>
          <w:tcPr>
            <w:tcW w:w="2165" w:type="dxa"/>
            <w:vMerge w:val="continue"/>
            <w:tcBorders>
              <w:left w:val="single" w:color="auto" w:sz="4" w:space="0"/>
              <w:right w:val="single" w:color="auto" w:sz="2" w:space="0"/>
            </w:tcBorders>
            <w:vAlign w:val="center"/>
          </w:tcPr>
          <w:p>
            <w:pPr>
              <w:pStyle w:val="261"/>
              <w:spacing w:line="312" w:lineRule="auto"/>
              <w:jc w:val="left"/>
              <w:rPr>
                <w:rFonts w:ascii="Times New Roman" w:hAnsi="Times New Roman" w:cs="Times New Roman"/>
              </w:rPr>
            </w:pPr>
          </w:p>
        </w:tc>
      </w:tr>
    </w:tbl>
    <w:p>
      <w:pPr>
        <w:rPr>
          <w:rFonts w:ascii="Times New Roman" w:hAnsi="Times New Roman"/>
        </w:rPr>
      </w:pPr>
    </w:p>
    <w:p>
      <w:pPr>
        <w:pStyle w:val="7"/>
        <w:numPr>
          <w:ilvl w:val="2"/>
          <w:numId w:val="0"/>
        </w:numPr>
        <w:spacing w:before="120" w:after="120"/>
      </w:pPr>
      <w:bookmarkStart w:id="407" w:name="_Toc29773"/>
      <w:r>
        <w:t>6.4.2 预测范围及预测内容</w:t>
      </w:r>
      <w:bookmarkEnd w:id="407"/>
    </w:p>
    <w:p>
      <w:pPr>
        <w:spacing w:line="360" w:lineRule="auto"/>
        <w:ind w:firstLine="480" w:firstLineChars="200"/>
        <w:rPr>
          <w:rFonts w:ascii="Times New Roman" w:hAnsi="Times New Roman"/>
          <w:sz w:val="24"/>
          <w:szCs w:val="24"/>
        </w:rPr>
      </w:pPr>
      <w:r>
        <w:rPr>
          <w:rFonts w:ascii="Times New Roman" w:hAnsi="Times New Roman"/>
          <w:sz w:val="24"/>
          <w:szCs w:val="24"/>
        </w:rPr>
        <w:t>根据噪声影响的特点，本次预测范围为厂界外200m范围。由现场调查可知，长岭分公司厂界外200m范围内无声敏感点，因此本处主要预测项目各点声源对厂界声环境的贡献。</w:t>
      </w:r>
    </w:p>
    <w:p>
      <w:pPr>
        <w:pStyle w:val="7"/>
        <w:numPr>
          <w:ilvl w:val="2"/>
          <w:numId w:val="0"/>
        </w:numPr>
        <w:spacing w:before="120" w:after="120"/>
      </w:pPr>
      <w:bookmarkStart w:id="408" w:name="_Toc1528"/>
      <w:r>
        <w:t>6.4.3 预测模式</w:t>
      </w:r>
      <w:bookmarkEnd w:id="408"/>
    </w:p>
    <w:p>
      <w:pPr>
        <w:spacing w:line="360" w:lineRule="auto"/>
        <w:ind w:firstLine="480" w:firstLineChars="200"/>
        <w:rPr>
          <w:rFonts w:ascii="Times New Roman" w:hAnsi="Times New Roman"/>
        </w:rPr>
      </w:pPr>
      <w:r>
        <w:rPr>
          <w:rFonts w:ascii="Times New Roman" w:hAnsi="Times New Roman"/>
          <w:sz w:val="24"/>
          <w:szCs w:val="24"/>
        </w:rPr>
        <w:t>本次预测采用《环境影响评价技术导则—声环境》（HJ2.4-2009）中推荐的工业噪声预测模式，计算公式如下：利用A声级计算噪声户外传播衰减，计</w:t>
      </w:r>
      <w:r>
        <w:rPr>
          <w:rFonts w:ascii="Times New Roman" w:hAnsi="Times New Roman"/>
        </w:rPr>
        <w:drawing>
          <wp:inline distT="0" distB="0" distL="0" distR="0">
            <wp:extent cx="5167630" cy="2863850"/>
            <wp:effectExtent l="0" t="0" r="13970" b="12700"/>
            <wp:docPr id="1061" name="图片 8"/>
            <wp:cNvGraphicFramePr/>
            <a:graphic xmlns:a="http://schemas.openxmlformats.org/drawingml/2006/main">
              <a:graphicData uri="http://schemas.openxmlformats.org/drawingml/2006/picture">
                <pic:pic xmlns:pic="http://schemas.openxmlformats.org/drawingml/2006/picture">
                  <pic:nvPicPr>
                    <pic:cNvPr id="1061" name="图片 8"/>
                    <pic:cNvPicPr/>
                  </pic:nvPicPr>
                  <pic:blipFill>
                    <a:blip r:embed="rId58" cstate="print"/>
                    <a:srcRect/>
                    <a:stretch>
                      <a:fillRect/>
                    </a:stretch>
                  </pic:blipFill>
                  <pic:spPr>
                    <a:xfrm>
                      <a:off x="0" y="0"/>
                      <a:ext cx="5167630" cy="2863850"/>
                    </a:xfrm>
                    <a:prstGeom prst="rect">
                      <a:avLst/>
                    </a:prstGeom>
                    <a:ln>
                      <a:noFill/>
                    </a:ln>
                  </pic:spPr>
                </pic:pic>
              </a:graphicData>
            </a:graphic>
          </wp:inline>
        </w:drawing>
      </w:r>
    </w:p>
    <w:p>
      <w:pPr>
        <w:rPr>
          <w:rFonts w:ascii="Times New Roman" w:hAnsi="Times New Roman"/>
          <w:sz w:val="24"/>
          <w:szCs w:val="24"/>
        </w:rPr>
      </w:pPr>
      <w:r>
        <w:rPr>
          <w:rFonts w:ascii="Times New Roman" w:hAnsi="Times New Roman"/>
          <w:sz w:val="24"/>
          <w:szCs w:val="24"/>
        </w:rPr>
        <w:t xml:space="preserve"> 式中：r L A：距声源 r 处的A声级；</w:t>
      </w:r>
    </w:p>
    <w:p>
      <w:pPr>
        <w:spacing w:line="360" w:lineRule="auto"/>
        <w:rPr>
          <w:rFonts w:ascii="Times New Roman" w:hAnsi="Times New Roman"/>
          <w:sz w:val="24"/>
          <w:szCs w:val="24"/>
        </w:rPr>
      </w:pPr>
      <w:r>
        <w:rPr>
          <w:rFonts w:ascii="Times New Roman" w:hAnsi="Times New Roman"/>
          <w:sz w:val="24"/>
          <w:szCs w:val="24"/>
        </w:rPr>
        <w:t>总声压级:设第i个窒外声源在预测点产生的A组为</w:t>
      </w:r>
      <w:r>
        <w:rPr>
          <w:rFonts w:ascii="Times New Roman" w:hAnsi="Times New Roman"/>
          <w:sz w:val="24"/>
          <w:szCs w:val="24"/>
        </w:rPr>
        <w:drawing>
          <wp:inline distT="0" distB="0" distL="0" distR="0">
            <wp:extent cx="371475" cy="200025"/>
            <wp:effectExtent l="0" t="0" r="9525" b="9525"/>
            <wp:docPr id="1062" name="图片 14"/>
            <wp:cNvGraphicFramePr/>
            <a:graphic xmlns:a="http://schemas.openxmlformats.org/drawingml/2006/main">
              <a:graphicData uri="http://schemas.openxmlformats.org/drawingml/2006/picture">
                <pic:pic xmlns:pic="http://schemas.openxmlformats.org/drawingml/2006/picture">
                  <pic:nvPicPr>
                    <pic:cNvPr id="1062" name="图片 14"/>
                    <pic:cNvPicPr/>
                  </pic:nvPicPr>
                  <pic:blipFill>
                    <a:blip r:embed="rId59" cstate="print"/>
                    <a:srcRect/>
                    <a:stretch>
                      <a:fillRect/>
                    </a:stretch>
                  </pic:blipFill>
                  <pic:spPr>
                    <a:xfrm>
                      <a:off x="0" y="0"/>
                      <a:ext cx="371475" cy="200025"/>
                    </a:xfrm>
                    <a:prstGeom prst="rect">
                      <a:avLst/>
                    </a:prstGeom>
                    <a:ln>
                      <a:noFill/>
                    </a:ln>
                  </pic:spPr>
                </pic:pic>
              </a:graphicData>
            </a:graphic>
          </wp:inline>
        </w:drawing>
      </w:r>
      <w:r>
        <w:rPr>
          <w:rFonts w:ascii="Times New Roman" w:hAnsi="Times New Roman"/>
          <w:sz w:val="24"/>
          <w:szCs w:val="24"/>
        </w:rPr>
        <w:t>,在T时间内该声源工作时间为</w:t>
      </w:r>
      <w:r>
        <w:rPr>
          <w:rFonts w:ascii="Times New Roman" w:hAnsi="Times New Roman"/>
          <w:sz w:val="24"/>
          <w:szCs w:val="24"/>
        </w:rPr>
        <w:drawing>
          <wp:inline distT="0" distB="0" distL="0" distR="0">
            <wp:extent cx="257175" cy="161925"/>
            <wp:effectExtent l="0" t="0" r="9525" b="9525"/>
            <wp:docPr id="1063" name="图片 15"/>
            <wp:cNvGraphicFramePr/>
            <a:graphic xmlns:a="http://schemas.openxmlformats.org/drawingml/2006/main">
              <a:graphicData uri="http://schemas.openxmlformats.org/drawingml/2006/picture">
                <pic:pic xmlns:pic="http://schemas.openxmlformats.org/drawingml/2006/picture">
                  <pic:nvPicPr>
                    <pic:cNvPr id="1063" name="图片 15"/>
                    <pic:cNvPicPr/>
                  </pic:nvPicPr>
                  <pic:blipFill>
                    <a:blip r:embed="rId60" cstate="print"/>
                    <a:srcRect/>
                    <a:stretch>
                      <a:fillRect/>
                    </a:stretch>
                  </pic:blipFill>
                  <pic:spPr>
                    <a:xfrm>
                      <a:off x="0" y="0"/>
                      <a:ext cx="257175" cy="161925"/>
                    </a:xfrm>
                    <a:prstGeom prst="rect">
                      <a:avLst/>
                    </a:prstGeom>
                    <a:ln>
                      <a:noFill/>
                    </a:ln>
                  </pic:spPr>
                </pic:pic>
              </a:graphicData>
            </a:graphic>
          </wp:inline>
        </w:drawing>
      </w:r>
      <w:r>
        <w:rPr>
          <w:rFonts w:ascii="Times New Roman" w:hAnsi="Times New Roman"/>
          <w:sz w:val="24"/>
          <w:szCs w:val="24"/>
        </w:rPr>
        <w:t>:第j个等效窒外声源在预测点产生的A声级为</w:t>
      </w:r>
      <w:r>
        <w:rPr>
          <w:rFonts w:ascii="Times New Roman" w:hAnsi="Times New Roman"/>
          <w:sz w:val="24"/>
          <w:szCs w:val="24"/>
        </w:rPr>
        <w:drawing>
          <wp:inline distT="0" distB="0" distL="0" distR="0">
            <wp:extent cx="371475" cy="200025"/>
            <wp:effectExtent l="0" t="0" r="9525" b="9525"/>
            <wp:docPr id="1064" name="图片 14"/>
            <wp:cNvGraphicFramePr/>
            <a:graphic xmlns:a="http://schemas.openxmlformats.org/drawingml/2006/main">
              <a:graphicData uri="http://schemas.openxmlformats.org/drawingml/2006/picture">
                <pic:pic xmlns:pic="http://schemas.openxmlformats.org/drawingml/2006/picture">
                  <pic:nvPicPr>
                    <pic:cNvPr id="1064" name="图片 14"/>
                    <pic:cNvPicPr/>
                  </pic:nvPicPr>
                  <pic:blipFill>
                    <a:blip r:embed="rId59" cstate="print"/>
                    <a:srcRect/>
                    <a:stretch>
                      <a:fillRect/>
                    </a:stretch>
                  </pic:blipFill>
                  <pic:spPr>
                    <a:xfrm>
                      <a:off x="0" y="0"/>
                      <a:ext cx="371475" cy="200025"/>
                    </a:xfrm>
                    <a:prstGeom prst="rect">
                      <a:avLst/>
                    </a:prstGeom>
                    <a:ln>
                      <a:noFill/>
                    </a:ln>
                  </pic:spPr>
                </pic:pic>
              </a:graphicData>
            </a:graphic>
          </wp:inline>
        </w:drawing>
      </w:r>
      <w:r>
        <w:rPr>
          <w:rFonts w:ascii="Times New Roman" w:hAnsi="Times New Roman"/>
          <w:sz w:val="24"/>
          <w:szCs w:val="24"/>
        </w:rPr>
        <w:t>,在T时间内该</w:t>
      </w:r>
      <w:r>
        <w:rPr>
          <w:rFonts w:ascii="Times New Roman" w:hAnsi="Times New Roman"/>
          <w:sz w:val="24"/>
          <w:szCs w:val="24"/>
        </w:rPr>
        <w:drawing>
          <wp:inline distT="0" distB="0" distL="0" distR="0">
            <wp:extent cx="257175" cy="161925"/>
            <wp:effectExtent l="0" t="0" r="9525" b="9525"/>
            <wp:docPr id="1065" name="图片 15"/>
            <wp:cNvGraphicFramePr/>
            <a:graphic xmlns:a="http://schemas.openxmlformats.org/drawingml/2006/main">
              <a:graphicData uri="http://schemas.openxmlformats.org/drawingml/2006/picture">
                <pic:pic xmlns:pic="http://schemas.openxmlformats.org/drawingml/2006/picture">
                  <pic:nvPicPr>
                    <pic:cNvPr id="1065" name="图片 15"/>
                    <pic:cNvPicPr/>
                  </pic:nvPicPr>
                  <pic:blipFill>
                    <a:blip r:embed="rId60" cstate="print"/>
                    <a:srcRect/>
                    <a:stretch>
                      <a:fillRect/>
                    </a:stretch>
                  </pic:blipFill>
                  <pic:spPr>
                    <a:xfrm>
                      <a:off x="0" y="0"/>
                      <a:ext cx="257175" cy="161925"/>
                    </a:xfrm>
                    <a:prstGeom prst="rect">
                      <a:avLst/>
                    </a:prstGeom>
                    <a:ln>
                      <a:noFill/>
                    </a:ln>
                  </pic:spPr>
                </pic:pic>
              </a:graphicData>
            </a:graphic>
          </wp:inline>
        </w:drawing>
      </w:r>
      <w:r>
        <w:rPr>
          <w:rFonts w:ascii="Times New Roman" w:hAnsi="Times New Roman"/>
          <w:sz w:val="24"/>
          <w:szCs w:val="24"/>
        </w:rPr>
        <w:t>,则预测点的总等级声级为:</w:t>
      </w:r>
    </w:p>
    <w:p>
      <w:pPr>
        <w:rPr>
          <w:rFonts w:ascii="Times New Roman" w:hAnsi="Times New Roman"/>
        </w:rPr>
      </w:pPr>
      <w:r>
        <w:rPr>
          <w:rFonts w:ascii="Times New Roman" w:hAnsi="Times New Roman"/>
        </w:rPr>
        <w:drawing>
          <wp:inline distT="0" distB="0" distL="0" distR="0">
            <wp:extent cx="3818255" cy="523875"/>
            <wp:effectExtent l="0" t="0" r="10160" b="9525"/>
            <wp:docPr id="1066" name="图片 16"/>
            <wp:cNvGraphicFramePr/>
            <a:graphic xmlns:a="http://schemas.openxmlformats.org/drawingml/2006/main">
              <a:graphicData uri="http://schemas.openxmlformats.org/drawingml/2006/picture">
                <pic:pic xmlns:pic="http://schemas.openxmlformats.org/drawingml/2006/picture">
                  <pic:nvPicPr>
                    <pic:cNvPr id="1066" name="图片 16"/>
                    <pic:cNvPicPr/>
                  </pic:nvPicPr>
                  <pic:blipFill>
                    <a:blip r:embed="rId61" cstate="print"/>
                    <a:srcRect/>
                    <a:stretch>
                      <a:fillRect/>
                    </a:stretch>
                  </pic:blipFill>
                  <pic:spPr>
                    <a:xfrm>
                      <a:off x="0" y="0"/>
                      <a:ext cx="3818889" cy="523875"/>
                    </a:xfrm>
                    <a:prstGeom prst="rect">
                      <a:avLst/>
                    </a:prstGeom>
                    <a:ln>
                      <a:noFill/>
                    </a:ln>
                  </pic:spPr>
                </pic:pic>
              </a:graphicData>
            </a:graphic>
          </wp:inline>
        </w:drawing>
      </w:r>
    </w:p>
    <w:p>
      <w:pPr>
        <w:spacing w:line="360" w:lineRule="auto"/>
        <w:jc w:val="left"/>
        <w:rPr>
          <w:rFonts w:ascii="Times New Roman" w:hAnsi="Times New Roman"/>
          <w:sz w:val="24"/>
          <w:szCs w:val="24"/>
        </w:rPr>
      </w:pPr>
      <w:r>
        <w:rPr>
          <w:rFonts w:ascii="Times New Roman" w:hAnsi="Times New Roman"/>
          <w:sz w:val="24"/>
          <w:szCs w:val="24"/>
        </w:rPr>
        <w:t>式中:T:计算等效声级的时间；</w:t>
      </w:r>
    </w:p>
    <w:p>
      <w:pPr>
        <w:spacing w:line="360" w:lineRule="auto"/>
        <w:jc w:val="left"/>
        <w:rPr>
          <w:rFonts w:ascii="Times New Roman" w:hAnsi="Times New Roman"/>
          <w:sz w:val="24"/>
          <w:szCs w:val="24"/>
        </w:rPr>
      </w:pPr>
      <w:r>
        <w:rPr>
          <w:rFonts w:ascii="Times New Roman" w:hAnsi="Times New Roman"/>
          <w:sz w:val="24"/>
          <w:szCs w:val="24"/>
        </w:rPr>
        <w:t>N:窒外声源个数；</w:t>
      </w:r>
    </w:p>
    <w:p>
      <w:pPr>
        <w:spacing w:line="360" w:lineRule="auto"/>
        <w:jc w:val="left"/>
        <w:rPr>
          <w:rFonts w:ascii="Times New Roman" w:hAnsi="Times New Roman"/>
          <w:sz w:val="24"/>
          <w:szCs w:val="24"/>
        </w:rPr>
      </w:pPr>
      <w:r>
        <w:rPr>
          <w:rFonts w:ascii="Times New Roman" w:hAnsi="Times New Roman"/>
          <w:sz w:val="24"/>
          <w:szCs w:val="24"/>
        </w:rPr>
        <w:t>M:等效窒外声源个数。</w:t>
      </w:r>
    </w:p>
    <w:p>
      <w:pPr>
        <w:pStyle w:val="7"/>
        <w:numPr>
          <w:ilvl w:val="2"/>
          <w:numId w:val="0"/>
        </w:numPr>
        <w:spacing w:before="120" w:after="120"/>
      </w:pPr>
      <w:bookmarkStart w:id="409" w:name="_Toc12913"/>
      <w:r>
        <w:t>6.4.4 预测结果</w:t>
      </w:r>
      <w:bookmarkEnd w:id="409"/>
    </w:p>
    <w:p>
      <w:pPr>
        <w:spacing w:line="360" w:lineRule="auto"/>
        <w:ind w:firstLine="480" w:firstLineChars="200"/>
        <w:jc w:val="left"/>
        <w:rPr>
          <w:rFonts w:ascii="Times New Roman" w:hAnsi="Times New Roman"/>
          <w:sz w:val="24"/>
          <w:szCs w:val="24"/>
        </w:rPr>
      </w:pPr>
      <w:r>
        <w:rPr>
          <w:rFonts w:ascii="Times New Roman" w:hAnsi="Times New Roman"/>
          <w:sz w:val="24"/>
          <w:szCs w:val="24"/>
        </w:rPr>
        <w:t>使用上述声环境影响预测模式，项目所在地四周噪声预测结果见表6.4.4-1。</w:t>
      </w:r>
    </w:p>
    <w:p>
      <w:pPr>
        <w:jc w:val="center"/>
        <w:rPr>
          <w:rFonts w:ascii="Times New Roman" w:hAnsi="Times New Roman"/>
        </w:rPr>
      </w:pPr>
      <w:r>
        <w:rPr>
          <w:rFonts w:ascii="Times New Roman" w:hAnsi="Times New Roman"/>
          <w:b/>
          <w:bCs/>
        </w:rPr>
        <w:t xml:space="preserve"> 表 6.4.4-1 本项目四周各预测点预测结果 单位：dB(A)</w:t>
      </w:r>
    </w:p>
    <w:tbl>
      <w:tblPr>
        <w:tblStyle w:val="46"/>
        <w:tblW w:w="8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350"/>
        <w:gridCol w:w="1560"/>
        <w:gridCol w:w="1690"/>
        <w:gridCol w:w="148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restart"/>
            <w:tcBorders>
              <w:tl2br w:val="nil"/>
              <w:tr2bl w:val="nil"/>
            </w:tcBorders>
            <w:vAlign w:val="center"/>
          </w:tcPr>
          <w:p>
            <w:pPr>
              <w:jc w:val="center"/>
              <w:rPr>
                <w:rFonts w:ascii="Times New Roman" w:hAnsi="Times New Roman"/>
              </w:rPr>
            </w:pPr>
            <w:r>
              <w:rPr>
                <w:rFonts w:ascii="Times New Roman" w:hAnsi="Times New Roman"/>
              </w:rPr>
              <w:t>位置</w:t>
            </w:r>
          </w:p>
        </w:tc>
        <w:tc>
          <w:tcPr>
            <w:tcW w:w="1350" w:type="dxa"/>
            <w:vMerge w:val="restart"/>
            <w:tcBorders>
              <w:tl2br w:val="nil"/>
              <w:tr2bl w:val="nil"/>
            </w:tcBorders>
            <w:vAlign w:val="center"/>
          </w:tcPr>
          <w:p>
            <w:pPr>
              <w:jc w:val="center"/>
              <w:rPr>
                <w:rFonts w:ascii="Times New Roman" w:hAnsi="Times New Roman"/>
              </w:rPr>
            </w:pPr>
            <w:r>
              <w:rPr>
                <w:rFonts w:ascii="Times New Roman" w:hAnsi="Times New Roman"/>
              </w:rPr>
              <w:t>贡献值</w:t>
            </w:r>
          </w:p>
        </w:tc>
        <w:tc>
          <w:tcPr>
            <w:tcW w:w="3250" w:type="dxa"/>
            <w:gridSpan w:val="2"/>
            <w:tcBorders>
              <w:tl2br w:val="nil"/>
              <w:tr2bl w:val="nil"/>
            </w:tcBorders>
          </w:tcPr>
          <w:p>
            <w:pPr>
              <w:jc w:val="center"/>
              <w:rPr>
                <w:rFonts w:ascii="Times New Roman" w:hAnsi="Times New Roman"/>
              </w:rPr>
            </w:pPr>
            <w:r>
              <w:rPr>
                <w:rFonts w:ascii="Times New Roman" w:hAnsi="Times New Roman"/>
              </w:rPr>
              <w:t>现状监测值</w:t>
            </w:r>
          </w:p>
        </w:tc>
        <w:tc>
          <w:tcPr>
            <w:tcW w:w="2940" w:type="dxa"/>
            <w:gridSpan w:val="2"/>
            <w:tcBorders>
              <w:tl2br w:val="nil"/>
              <w:tr2bl w:val="nil"/>
            </w:tcBorders>
          </w:tcPr>
          <w:p>
            <w:pPr>
              <w:jc w:val="center"/>
              <w:rPr>
                <w:rFonts w:ascii="Times New Roman" w:hAnsi="Times New Roman"/>
              </w:rPr>
            </w:pPr>
            <w:r>
              <w:rPr>
                <w:rFonts w:ascii="Times New Roman" w:hAnsi="Times New Roman"/>
              </w:rPr>
              <w:t>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tl2br w:val="nil"/>
              <w:tr2bl w:val="nil"/>
            </w:tcBorders>
          </w:tcPr>
          <w:p>
            <w:pPr>
              <w:jc w:val="center"/>
              <w:rPr>
                <w:rFonts w:ascii="Times New Roman" w:hAnsi="Times New Roman"/>
              </w:rPr>
            </w:pPr>
          </w:p>
        </w:tc>
        <w:tc>
          <w:tcPr>
            <w:tcW w:w="1350" w:type="dxa"/>
            <w:vMerge w:val="continue"/>
            <w:tcBorders>
              <w:tl2br w:val="nil"/>
              <w:tr2bl w:val="nil"/>
            </w:tcBorders>
          </w:tcPr>
          <w:p>
            <w:pPr>
              <w:jc w:val="center"/>
              <w:rPr>
                <w:rFonts w:ascii="Times New Roman" w:hAnsi="Times New Roman"/>
              </w:rPr>
            </w:pPr>
          </w:p>
        </w:tc>
        <w:tc>
          <w:tcPr>
            <w:tcW w:w="1560" w:type="dxa"/>
            <w:tcBorders>
              <w:tl2br w:val="nil"/>
              <w:tr2bl w:val="nil"/>
            </w:tcBorders>
          </w:tcPr>
          <w:p>
            <w:pPr>
              <w:jc w:val="center"/>
              <w:rPr>
                <w:rFonts w:ascii="Times New Roman" w:hAnsi="Times New Roman"/>
              </w:rPr>
            </w:pPr>
            <w:r>
              <w:rPr>
                <w:rFonts w:ascii="Times New Roman" w:hAnsi="Times New Roman"/>
              </w:rPr>
              <w:t>昼间</w:t>
            </w:r>
          </w:p>
        </w:tc>
        <w:tc>
          <w:tcPr>
            <w:tcW w:w="1690" w:type="dxa"/>
            <w:tcBorders>
              <w:tl2br w:val="nil"/>
              <w:tr2bl w:val="nil"/>
            </w:tcBorders>
          </w:tcPr>
          <w:p>
            <w:pPr>
              <w:jc w:val="center"/>
              <w:rPr>
                <w:rFonts w:ascii="Times New Roman" w:hAnsi="Times New Roman"/>
              </w:rPr>
            </w:pPr>
            <w:r>
              <w:rPr>
                <w:rFonts w:ascii="Times New Roman" w:hAnsi="Times New Roman"/>
              </w:rPr>
              <w:t>夜间</w:t>
            </w:r>
          </w:p>
        </w:tc>
        <w:tc>
          <w:tcPr>
            <w:tcW w:w="1480" w:type="dxa"/>
            <w:tcBorders>
              <w:tl2br w:val="nil"/>
              <w:tr2bl w:val="nil"/>
            </w:tcBorders>
          </w:tcPr>
          <w:p>
            <w:pPr>
              <w:jc w:val="center"/>
              <w:rPr>
                <w:rFonts w:ascii="Times New Roman" w:hAnsi="Times New Roman"/>
              </w:rPr>
            </w:pPr>
            <w:r>
              <w:rPr>
                <w:rFonts w:ascii="Times New Roman" w:hAnsi="Times New Roman"/>
              </w:rPr>
              <w:t>昼间</w:t>
            </w:r>
          </w:p>
        </w:tc>
        <w:tc>
          <w:tcPr>
            <w:tcW w:w="1460" w:type="dxa"/>
            <w:tcBorders>
              <w:tl2br w:val="nil"/>
              <w:tr2bl w:val="nil"/>
            </w:tcBorders>
          </w:tcPr>
          <w:p>
            <w:pPr>
              <w:jc w:val="center"/>
              <w:rPr>
                <w:rFonts w:ascii="Times New Roman" w:hAnsi="Times New Roman"/>
              </w:rPr>
            </w:pPr>
            <w:r>
              <w:rPr>
                <w:rFonts w:ascii="Times New Roman" w:hAnsi="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Borders>
              <w:tl2br w:val="nil"/>
              <w:tr2bl w:val="nil"/>
            </w:tcBorders>
            <w:vAlign w:val="center"/>
          </w:tcPr>
          <w:p>
            <w:pPr>
              <w:jc w:val="center"/>
              <w:rPr>
                <w:rFonts w:ascii="Times New Roman" w:hAnsi="Times New Roman"/>
              </w:rPr>
            </w:pPr>
            <w:r>
              <w:rPr>
                <w:rFonts w:ascii="Times New Roman" w:hAnsi="Times New Roman"/>
              </w:rPr>
              <w:t>项目所在地东边</w:t>
            </w:r>
          </w:p>
        </w:tc>
        <w:tc>
          <w:tcPr>
            <w:tcW w:w="1350" w:type="dxa"/>
            <w:tcBorders>
              <w:tl2br w:val="nil"/>
              <w:tr2bl w:val="nil"/>
            </w:tcBorders>
            <w:vAlign w:val="center"/>
          </w:tcPr>
          <w:p>
            <w:pPr>
              <w:jc w:val="center"/>
              <w:rPr>
                <w:rFonts w:ascii="Times New Roman" w:hAnsi="Times New Roman"/>
                <w:i/>
                <w:iCs/>
              </w:rPr>
            </w:pPr>
            <w:r>
              <w:rPr>
                <w:rFonts w:ascii="Times New Roman" w:hAnsi="Times New Roman"/>
              </w:rPr>
              <w:t>42.24</w:t>
            </w:r>
          </w:p>
        </w:tc>
        <w:tc>
          <w:tcPr>
            <w:tcW w:w="1560" w:type="dxa"/>
            <w:tcBorders>
              <w:tl2br w:val="nil"/>
              <w:tr2bl w:val="nil"/>
            </w:tcBorders>
            <w:vAlign w:val="center"/>
          </w:tcPr>
          <w:p>
            <w:pPr>
              <w:jc w:val="center"/>
              <w:rPr>
                <w:rFonts w:ascii="Times New Roman" w:hAnsi="Times New Roman"/>
                <w:szCs w:val="21"/>
              </w:rPr>
            </w:pPr>
            <w:r>
              <w:rPr>
                <w:rFonts w:ascii="Times New Roman" w:hAnsi="Times New Roman"/>
                <w:szCs w:val="21"/>
              </w:rPr>
              <w:t>56.6</w:t>
            </w:r>
          </w:p>
        </w:tc>
        <w:tc>
          <w:tcPr>
            <w:tcW w:w="1690" w:type="dxa"/>
            <w:tcBorders>
              <w:tl2br w:val="nil"/>
              <w:tr2bl w:val="nil"/>
            </w:tcBorders>
            <w:vAlign w:val="center"/>
          </w:tcPr>
          <w:p>
            <w:pPr>
              <w:jc w:val="center"/>
              <w:rPr>
                <w:rFonts w:ascii="Times New Roman" w:hAnsi="Times New Roman"/>
              </w:rPr>
            </w:pPr>
            <w:r>
              <w:rPr>
                <w:rFonts w:ascii="Times New Roman" w:hAnsi="Times New Roman"/>
              </w:rPr>
              <w:t>45.2</w:t>
            </w:r>
          </w:p>
        </w:tc>
        <w:tc>
          <w:tcPr>
            <w:tcW w:w="1480" w:type="dxa"/>
            <w:tcBorders>
              <w:tl2br w:val="nil"/>
              <w:tr2bl w:val="nil"/>
            </w:tcBorders>
            <w:vAlign w:val="center"/>
          </w:tcPr>
          <w:p>
            <w:pPr>
              <w:jc w:val="center"/>
              <w:rPr>
                <w:rFonts w:ascii="Times New Roman" w:hAnsi="Times New Roman"/>
              </w:rPr>
            </w:pPr>
            <w:r>
              <w:rPr>
                <w:rFonts w:ascii="Times New Roman" w:hAnsi="Times New Roman"/>
              </w:rPr>
              <w:t>56.8</w:t>
            </w:r>
          </w:p>
        </w:tc>
        <w:tc>
          <w:tcPr>
            <w:tcW w:w="1460" w:type="dxa"/>
            <w:tcBorders>
              <w:tl2br w:val="nil"/>
              <w:tr2bl w:val="nil"/>
            </w:tcBorders>
            <w:vAlign w:val="center"/>
          </w:tcPr>
          <w:p>
            <w:pPr>
              <w:jc w:val="center"/>
              <w:rPr>
                <w:rFonts w:ascii="Times New Roman" w:hAnsi="Times New Roman"/>
              </w:rPr>
            </w:pPr>
            <w:r>
              <w:rPr>
                <w:rFonts w:ascii="Times New Roman" w:hAnsi="Times New Roman"/>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Borders>
              <w:tl2br w:val="nil"/>
              <w:tr2bl w:val="nil"/>
            </w:tcBorders>
            <w:vAlign w:val="center"/>
          </w:tcPr>
          <w:p>
            <w:pPr>
              <w:jc w:val="center"/>
              <w:rPr>
                <w:rFonts w:ascii="Times New Roman" w:hAnsi="Times New Roman"/>
              </w:rPr>
            </w:pPr>
            <w:r>
              <w:rPr>
                <w:rFonts w:ascii="Times New Roman" w:hAnsi="Times New Roman"/>
              </w:rPr>
              <w:t>项目所在地南边</w:t>
            </w:r>
          </w:p>
        </w:tc>
        <w:tc>
          <w:tcPr>
            <w:tcW w:w="1350" w:type="dxa"/>
            <w:tcBorders>
              <w:tl2br w:val="nil"/>
              <w:tr2bl w:val="nil"/>
            </w:tcBorders>
            <w:vAlign w:val="center"/>
          </w:tcPr>
          <w:p>
            <w:pPr>
              <w:jc w:val="center"/>
              <w:rPr>
                <w:rFonts w:ascii="Times New Roman" w:hAnsi="Times New Roman"/>
              </w:rPr>
            </w:pPr>
            <w:r>
              <w:rPr>
                <w:rFonts w:ascii="Times New Roman" w:hAnsi="Times New Roman"/>
              </w:rPr>
              <w:t>42.89</w:t>
            </w:r>
          </w:p>
        </w:tc>
        <w:tc>
          <w:tcPr>
            <w:tcW w:w="1560" w:type="dxa"/>
            <w:tcBorders>
              <w:tl2br w:val="nil"/>
              <w:tr2bl w:val="nil"/>
            </w:tcBorders>
            <w:vAlign w:val="center"/>
          </w:tcPr>
          <w:p>
            <w:pPr>
              <w:jc w:val="center"/>
              <w:rPr>
                <w:rFonts w:ascii="Times New Roman" w:hAnsi="Times New Roman"/>
              </w:rPr>
            </w:pPr>
            <w:r>
              <w:rPr>
                <w:rFonts w:ascii="Times New Roman" w:hAnsi="Times New Roman"/>
              </w:rPr>
              <w:t>57.4</w:t>
            </w:r>
          </w:p>
        </w:tc>
        <w:tc>
          <w:tcPr>
            <w:tcW w:w="1690" w:type="dxa"/>
            <w:tcBorders>
              <w:tl2br w:val="nil"/>
              <w:tr2bl w:val="nil"/>
            </w:tcBorders>
            <w:vAlign w:val="center"/>
          </w:tcPr>
          <w:p>
            <w:pPr>
              <w:jc w:val="center"/>
              <w:rPr>
                <w:rFonts w:ascii="Times New Roman" w:hAnsi="Times New Roman"/>
              </w:rPr>
            </w:pPr>
            <w:r>
              <w:rPr>
                <w:rFonts w:ascii="Times New Roman" w:hAnsi="Times New Roman"/>
              </w:rPr>
              <w:t>46.6</w:t>
            </w:r>
          </w:p>
        </w:tc>
        <w:tc>
          <w:tcPr>
            <w:tcW w:w="1480" w:type="dxa"/>
            <w:tcBorders>
              <w:tl2br w:val="nil"/>
              <w:tr2bl w:val="nil"/>
            </w:tcBorders>
            <w:vAlign w:val="center"/>
          </w:tcPr>
          <w:p>
            <w:pPr>
              <w:jc w:val="center"/>
              <w:rPr>
                <w:rFonts w:ascii="Times New Roman" w:hAnsi="Times New Roman"/>
              </w:rPr>
            </w:pPr>
            <w:r>
              <w:rPr>
                <w:rFonts w:ascii="Times New Roman" w:hAnsi="Times New Roman"/>
              </w:rPr>
              <w:t>57.2</w:t>
            </w:r>
          </w:p>
        </w:tc>
        <w:tc>
          <w:tcPr>
            <w:tcW w:w="1460" w:type="dxa"/>
            <w:tcBorders>
              <w:tl2br w:val="nil"/>
              <w:tr2bl w:val="nil"/>
            </w:tcBorders>
            <w:vAlign w:val="center"/>
          </w:tcPr>
          <w:p>
            <w:pPr>
              <w:pStyle w:val="5"/>
              <w:ind w:firstLine="420"/>
              <w:rPr>
                <w:rFonts w:ascii="Times New Roman" w:hAnsi="Times New Roman" w:cs="Times New Roman"/>
                <w:sz w:val="21"/>
              </w:rPr>
            </w:pPr>
            <w:r>
              <w:rPr>
                <w:rFonts w:ascii="Times New Roman" w:hAnsi="Times New Roman" w:cs="Times New Roman"/>
                <w:sz w:val="21"/>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Borders>
              <w:tl2br w:val="nil"/>
              <w:tr2bl w:val="nil"/>
            </w:tcBorders>
            <w:vAlign w:val="center"/>
          </w:tcPr>
          <w:p>
            <w:pPr>
              <w:jc w:val="center"/>
              <w:rPr>
                <w:rFonts w:ascii="Times New Roman" w:hAnsi="Times New Roman"/>
              </w:rPr>
            </w:pPr>
            <w:r>
              <w:rPr>
                <w:rFonts w:ascii="Times New Roman" w:hAnsi="Times New Roman"/>
              </w:rPr>
              <w:t>项目所在地西边</w:t>
            </w:r>
          </w:p>
        </w:tc>
        <w:tc>
          <w:tcPr>
            <w:tcW w:w="1350" w:type="dxa"/>
            <w:tcBorders>
              <w:tl2br w:val="nil"/>
              <w:tr2bl w:val="nil"/>
            </w:tcBorders>
            <w:vAlign w:val="center"/>
          </w:tcPr>
          <w:p>
            <w:pPr>
              <w:jc w:val="center"/>
              <w:rPr>
                <w:rFonts w:ascii="Times New Roman" w:hAnsi="Times New Roman"/>
              </w:rPr>
            </w:pPr>
            <w:r>
              <w:rPr>
                <w:rFonts w:ascii="Times New Roman" w:hAnsi="Times New Roman"/>
              </w:rPr>
              <w:t>43.03</w:t>
            </w:r>
          </w:p>
        </w:tc>
        <w:tc>
          <w:tcPr>
            <w:tcW w:w="1560" w:type="dxa"/>
            <w:tcBorders>
              <w:tl2br w:val="nil"/>
              <w:tr2bl w:val="nil"/>
            </w:tcBorders>
            <w:vAlign w:val="center"/>
          </w:tcPr>
          <w:p>
            <w:pPr>
              <w:jc w:val="center"/>
              <w:rPr>
                <w:rFonts w:ascii="Times New Roman" w:hAnsi="Times New Roman"/>
              </w:rPr>
            </w:pPr>
            <w:r>
              <w:rPr>
                <w:rFonts w:ascii="Times New Roman" w:hAnsi="Times New Roman"/>
              </w:rPr>
              <w:t>57.6</w:t>
            </w:r>
          </w:p>
        </w:tc>
        <w:tc>
          <w:tcPr>
            <w:tcW w:w="1690" w:type="dxa"/>
            <w:tcBorders>
              <w:tl2br w:val="nil"/>
              <w:tr2bl w:val="nil"/>
            </w:tcBorders>
            <w:vAlign w:val="center"/>
          </w:tcPr>
          <w:p>
            <w:pPr>
              <w:jc w:val="center"/>
              <w:rPr>
                <w:rFonts w:ascii="Times New Roman" w:hAnsi="Times New Roman"/>
              </w:rPr>
            </w:pPr>
            <w:r>
              <w:rPr>
                <w:rFonts w:ascii="Times New Roman" w:hAnsi="Times New Roman"/>
              </w:rPr>
              <w:t>46.4</w:t>
            </w:r>
          </w:p>
        </w:tc>
        <w:tc>
          <w:tcPr>
            <w:tcW w:w="1480" w:type="dxa"/>
            <w:tcBorders>
              <w:tl2br w:val="nil"/>
              <w:tr2bl w:val="nil"/>
            </w:tcBorders>
            <w:vAlign w:val="center"/>
          </w:tcPr>
          <w:p>
            <w:pPr>
              <w:jc w:val="center"/>
              <w:rPr>
                <w:rFonts w:ascii="Times New Roman" w:hAnsi="Times New Roman"/>
              </w:rPr>
            </w:pPr>
            <w:r>
              <w:rPr>
                <w:rFonts w:ascii="Times New Roman" w:hAnsi="Times New Roman"/>
              </w:rPr>
              <w:t>57.8</w:t>
            </w:r>
          </w:p>
        </w:tc>
        <w:tc>
          <w:tcPr>
            <w:tcW w:w="1460" w:type="dxa"/>
            <w:tcBorders>
              <w:tl2br w:val="nil"/>
              <w:tr2bl w:val="nil"/>
            </w:tcBorders>
            <w:vAlign w:val="center"/>
          </w:tcPr>
          <w:p>
            <w:pPr>
              <w:jc w:val="center"/>
              <w:rPr>
                <w:rFonts w:ascii="Times New Roman" w:hAnsi="Times New Roman"/>
              </w:rPr>
            </w:pPr>
            <w:r>
              <w:rPr>
                <w:rFonts w:ascii="Times New Roman" w:hAnsi="Times New Roma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Borders>
              <w:tl2br w:val="nil"/>
              <w:tr2bl w:val="nil"/>
            </w:tcBorders>
            <w:vAlign w:val="center"/>
          </w:tcPr>
          <w:p>
            <w:pPr>
              <w:jc w:val="center"/>
              <w:rPr>
                <w:rFonts w:ascii="Times New Roman" w:hAnsi="Times New Roman"/>
              </w:rPr>
            </w:pPr>
            <w:r>
              <w:rPr>
                <w:rFonts w:ascii="Times New Roman" w:hAnsi="Times New Roman"/>
              </w:rPr>
              <w:t>项目所在地北边</w:t>
            </w:r>
          </w:p>
        </w:tc>
        <w:tc>
          <w:tcPr>
            <w:tcW w:w="1350" w:type="dxa"/>
            <w:tcBorders>
              <w:tl2br w:val="nil"/>
              <w:tr2bl w:val="nil"/>
            </w:tcBorders>
            <w:vAlign w:val="center"/>
          </w:tcPr>
          <w:p>
            <w:pPr>
              <w:jc w:val="center"/>
              <w:rPr>
                <w:rFonts w:ascii="Times New Roman" w:hAnsi="Times New Roman"/>
              </w:rPr>
            </w:pPr>
            <w:r>
              <w:rPr>
                <w:rFonts w:ascii="Times New Roman" w:hAnsi="Times New Roman"/>
              </w:rPr>
              <w:t>42.37</w:t>
            </w:r>
          </w:p>
        </w:tc>
        <w:tc>
          <w:tcPr>
            <w:tcW w:w="1560" w:type="dxa"/>
            <w:tcBorders>
              <w:tl2br w:val="nil"/>
              <w:tr2bl w:val="nil"/>
            </w:tcBorders>
            <w:vAlign w:val="center"/>
          </w:tcPr>
          <w:p>
            <w:pPr>
              <w:jc w:val="center"/>
              <w:rPr>
                <w:rFonts w:ascii="Times New Roman" w:hAnsi="Times New Roman"/>
              </w:rPr>
            </w:pPr>
            <w:r>
              <w:rPr>
                <w:rFonts w:ascii="Times New Roman" w:hAnsi="Times New Roman"/>
              </w:rPr>
              <w:t>56.2</w:t>
            </w:r>
          </w:p>
        </w:tc>
        <w:tc>
          <w:tcPr>
            <w:tcW w:w="1690" w:type="dxa"/>
            <w:tcBorders>
              <w:tl2br w:val="nil"/>
              <w:tr2bl w:val="nil"/>
            </w:tcBorders>
            <w:vAlign w:val="center"/>
          </w:tcPr>
          <w:p>
            <w:pPr>
              <w:jc w:val="center"/>
              <w:rPr>
                <w:rFonts w:ascii="Times New Roman" w:hAnsi="Times New Roman"/>
              </w:rPr>
            </w:pPr>
            <w:r>
              <w:rPr>
                <w:rFonts w:ascii="Times New Roman" w:hAnsi="Times New Roman"/>
              </w:rPr>
              <w:t>45.4</w:t>
            </w:r>
          </w:p>
        </w:tc>
        <w:tc>
          <w:tcPr>
            <w:tcW w:w="1480" w:type="dxa"/>
            <w:tcBorders>
              <w:tl2br w:val="nil"/>
              <w:tr2bl w:val="nil"/>
            </w:tcBorders>
            <w:vAlign w:val="center"/>
          </w:tcPr>
          <w:p>
            <w:pPr>
              <w:jc w:val="center"/>
              <w:rPr>
                <w:rFonts w:ascii="Times New Roman" w:hAnsi="Times New Roman"/>
              </w:rPr>
            </w:pPr>
            <w:r>
              <w:rPr>
                <w:rFonts w:ascii="Times New Roman" w:hAnsi="Times New Roman"/>
              </w:rPr>
              <w:t>56.4</w:t>
            </w:r>
          </w:p>
        </w:tc>
        <w:tc>
          <w:tcPr>
            <w:tcW w:w="1460" w:type="dxa"/>
            <w:tcBorders>
              <w:tl2br w:val="nil"/>
              <w:tr2bl w:val="nil"/>
            </w:tcBorders>
            <w:vAlign w:val="center"/>
          </w:tcPr>
          <w:p>
            <w:pPr>
              <w:jc w:val="center"/>
              <w:rPr>
                <w:rFonts w:ascii="Times New Roman" w:hAnsi="Times New Roman"/>
              </w:rPr>
            </w:pPr>
            <w:r>
              <w:rPr>
                <w:rFonts w:ascii="Times New Roman" w:hAnsi="Times New Roma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1" w:type="dxa"/>
            <w:gridSpan w:val="4"/>
            <w:tcBorders>
              <w:tl2br w:val="nil"/>
              <w:tr2bl w:val="nil"/>
            </w:tcBorders>
            <w:vAlign w:val="center"/>
          </w:tcPr>
          <w:p>
            <w:pPr>
              <w:jc w:val="center"/>
              <w:rPr>
                <w:rFonts w:ascii="Times New Roman" w:hAnsi="Times New Roman"/>
              </w:rPr>
            </w:pPr>
            <w:r>
              <w:rPr>
                <w:rFonts w:ascii="Times New Roman" w:hAnsi="Times New Roman"/>
              </w:rPr>
              <w:t>GB12348-2008  3类</w:t>
            </w:r>
          </w:p>
        </w:tc>
        <w:tc>
          <w:tcPr>
            <w:tcW w:w="1480" w:type="dxa"/>
            <w:tcBorders>
              <w:tl2br w:val="nil"/>
              <w:tr2bl w:val="nil"/>
            </w:tcBorders>
            <w:vAlign w:val="center"/>
          </w:tcPr>
          <w:p>
            <w:pPr>
              <w:jc w:val="center"/>
              <w:rPr>
                <w:rFonts w:ascii="Times New Roman" w:hAnsi="Times New Roman"/>
              </w:rPr>
            </w:pPr>
            <w:r>
              <w:rPr>
                <w:rFonts w:ascii="Times New Roman" w:hAnsi="Times New Roman"/>
              </w:rPr>
              <w:t>65</w:t>
            </w:r>
          </w:p>
        </w:tc>
        <w:tc>
          <w:tcPr>
            <w:tcW w:w="1460" w:type="dxa"/>
            <w:tcBorders>
              <w:tl2br w:val="nil"/>
              <w:tr2bl w:val="nil"/>
            </w:tcBorders>
            <w:vAlign w:val="center"/>
          </w:tcPr>
          <w:p>
            <w:pPr>
              <w:jc w:val="center"/>
              <w:rPr>
                <w:rFonts w:ascii="Times New Roman" w:hAnsi="Times New Roman"/>
              </w:rPr>
            </w:pPr>
            <w:r>
              <w:rPr>
                <w:rFonts w:ascii="Times New Roman" w:hAnsi="Times New Roman"/>
              </w:rPr>
              <w:t>55</w:t>
            </w:r>
          </w:p>
        </w:tc>
      </w:tr>
    </w:tbl>
    <w:p>
      <w:pPr>
        <w:spacing w:line="360" w:lineRule="auto"/>
        <w:ind w:firstLine="480" w:firstLineChars="200"/>
        <w:jc w:val="left"/>
        <w:rPr>
          <w:rFonts w:ascii="Times New Roman" w:hAnsi="Times New Roman"/>
          <w:sz w:val="24"/>
          <w:szCs w:val="24"/>
        </w:rPr>
      </w:pPr>
      <w:r>
        <w:rPr>
          <w:rFonts w:ascii="Times New Roman" w:hAnsi="Times New Roman"/>
          <w:sz w:val="24"/>
          <w:szCs w:val="24"/>
        </w:rPr>
        <w:t>从上表的预测结果可以看出，本项目采取有效的噪声防治措施，项目噪声贡献值不大，满足GB12348-2008《工业企业厂界环境噪声排放标准》中3类标准的限值要求。同时，昼间预测值为56.4~57.8dB(A),夜间预测值为48.2~49.3dB(A)，均满足GB3096-2008《声环境质量标准》中3类标准的限值要求，生产噪声对外环境的影响较小。</w:t>
      </w:r>
    </w:p>
    <w:p>
      <w:pPr>
        <w:pStyle w:val="6"/>
        <w:numPr>
          <w:ilvl w:val="1"/>
          <w:numId w:val="0"/>
        </w:numPr>
        <w:spacing w:before="120" w:after="120"/>
      </w:pPr>
      <w:bookmarkStart w:id="410" w:name="_Toc219258549"/>
      <w:bookmarkStart w:id="411" w:name="_Toc220122834"/>
      <w:bookmarkStart w:id="412" w:name="_Toc32489"/>
      <w:bookmarkStart w:id="413" w:name="_Toc280188855"/>
      <w:bookmarkStart w:id="414" w:name="_Toc1564"/>
      <w:bookmarkStart w:id="415" w:name="_Toc11805"/>
      <w:bookmarkStart w:id="416" w:name="_Toc31497"/>
      <w:bookmarkStart w:id="417" w:name="_Toc306034557"/>
      <w:bookmarkStart w:id="418" w:name="_Toc280188856"/>
      <w:r>
        <w:t>6.5 固体废物环境影响分析</w:t>
      </w:r>
      <w:bookmarkEnd w:id="410"/>
      <w:bookmarkEnd w:id="411"/>
      <w:bookmarkEnd w:id="412"/>
      <w:bookmarkEnd w:id="413"/>
      <w:bookmarkEnd w:id="414"/>
      <w:bookmarkEnd w:id="415"/>
      <w:bookmarkEnd w:id="416"/>
      <w:bookmarkEnd w:id="417"/>
    </w:p>
    <w:p>
      <w:pPr>
        <w:pStyle w:val="294"/>
        <w:spacing w:line="360" w:lineRule="auto"/>
        <w:rPr>
          <w:rFonts w:ascii="Times New Roman" w:hAnsi="Times New Roman" w:cs="Times New Roman"/>
        </w:rPr>
      </w:pPr>
      <w:r>
        <w:rPr>
          <w:rFonts w:ascii="Times New Roman" w:hAnsi="Times New Roman" w:cs="Times New Roman"/>
        </w:rPr>
        <w:t>项目固体废物主要是CFB锅炉燃烧产生的炉渣、</w:t>
      </w:r>
      <w:r>
        <w:rPr>
          <w:rFonts w:ascii="Times New Roman" w:hAnsi="Times New Roman" w:cs="Times New Roman"/>
          <w:szCs w:val="24"/>
        </w:rPr>
        <w:t>炉灰和石膏</w:t>
      </w:r>
      <w:r>
        <w:rPr>
          <w:rFonts w:ascii="Times New Roman" w:hAnsi="Times New Roman" w:cs="Times New Roman"/>
        </w:rPr>
        <w:t>，根据2019年长岭分公司统计数据，年产生锅炉炉渣、炉灰、石膏63030t/a。</w:t>
      </w:r>
      <w:r>
        <w:rPr>
          <w:rFonts w:ascii="Times New Roman" w:hAnsi="Times New Roman" w:cs="Times New Roman"/>
          <w:szCs w:val="24"/>
        </w:rPr>
        <w:t>长岭分公司委托湖南昌旭环保科技有限公司对</w:t>
      </w:r>
      <w:r>
        <w:rPr>
          <w:rFonts w:ascii="Times New Roman" w:hAnsi="Times New Roman" w:cs="Times New Roman"/>
        </w:rPr>
        <w:t>CFB锅炉灰渣成分及浸出毒性进行了检测，CFB锅炉掺烧油泥后，锅炉灰渣各物质浸出毒性均小于《危险废物鉴别标准 浸出毒性鉴别》（GB5085.3-2007）中危害成分浓度限值。因此项目CFB锅炉掺烧油泥后不会改变锅炉灰渣的性质，仍为一般工业固废，外售水泥厂综合利用。由于未新增操作人员，故无生活垃圾产生。项目所产生的一般工业固体废物均得到有效的回收利用或处置，排放量为零，故对周围环境影响较小。</w:t>
      </w:r>
    </w:p>
    <w:p>
      <w:pPr>
        <w:pStyle w:val="6"/>
        <w:numPr>
          <w:ilvl w:val="1"/>
          <w:numId w:val="0"/>
        </w:numPr>
        <w:spacing w:before="120" w:after="120"/>
      </w:pPr>
      <w:bookmarkStart w:id="419" w:name="_Toc8170"/>
      <w:r>
        <w:t>6.6 土壤环境影响分析</w:t>
      </w:r>
    </w:p>
    <w:p>
      <w:pPr>
        <w:pStyle w:val="294"/>
        <w:spacing w:line="360" w:lineRule="auto"/>
        <w:rPr>
          <w:rFonts w:ascii="Times New Roman" w:hAnsi="Times New Roman" w:cs="Times New Roman"/>
          <w:u w:val="single"/>
        </w:rPr>
      </w:pPr>
      <w:r>
        <w:rPr>
          <w:rFonts w:ascii="Times New Roman" w:hAnsi="Times New Roman" w:cs="Times New Roman"/>
          <w:u w:val="single"/>
        </w:rPr>
        <w:t>项目生产中主要固体废物为CFB锅炉燃烧产生的炉渣、炉灰和石膏，属于一般固废，外售水泥厂综合利用。大气污染物主要为镍等重金属，其会随降尘和降雨进入到项目周边土壤中，其中大部分会随着地表径流流走，只有很少部分进入到土壤中，根据</w:t>
      </w:r>
      <w:r>
        <w:rPr>
          <w:rFonts w:ascii="Times New Roman" w:hAnsi="Times New Roman" w:cs="Times New Roman"/>
          <w:szCs w:val="24"/>
          <w:u w:val="single"/>
        </w:rPr>
        <w:t>2020年3月19日，</w:t>
      </w:r>
      <w:r>
        <w:rPr>
          <w:rFonts w:ascii="Times New Roman" w:hAnsi="Times New Roman" w:cs="Times New Roman"/>
          <w:kern w:val="0"/>
          <w:szCs w:val="24"/>
          <w:u w:val="single"/>
        </w:rPr>
        <w:t>湖南昌旭环保科技有限公司对土壤中镍等重金属进行了监测，监测结果远小于</w:t>
      </w:r>
      <w:r>
        <w:rPr>
          <w:rFonts w:ascii="Times New Roman" w:hAnsi="Times New Roman" w:cs="Times New Roman"/>
          <w:u w:val="single"/>
        </w:rPr>
        <w:t>《土壤环境质量建设用地土壤污染风险管控标准（试行）》（GB36600-2018）标准限值。对项目运行过程中做好各项防治措施后可做到大气污染物达标排放，通过大气沉降对厂界外土壤造成污染的可能性很小。本项目厂区内煤棚等作业场地地面严格按照防渗结构设计并完善煤棚的屋顶防漏、煤棚周边防洪沟的建设，因此在严格按照防渗结构设计的前提下，项目运行后对周围土壤环境不会产生不利影响。另外，固废管理得当、收集清运及时则不会对周边土壤环境造成影响。</w:t>
      </w:r>
    </w:p>
    <w:p>
      <w:pPr>
        <w:pStyle w:val="6"/>
        <w:numPr>
          <w:ilvl w:val="1"/>
          <w:numId w:val="0"/>
        </w:numPr>
        <w:spacing w:before="120" w:after="120"/>
      </w:pPr>
      <w:r>
        <w:t>6.7 生态环境影响分析</w:t>
      </w:r>
      <w:bookmarkEnd w:id="419"/>
    </w:p>
    <w:p>
      <w:pPr>
        <w:pStyle w:val="294"/>
        <w:spacing w:line="360" w:lineRule="auto"/>
        <w:rPr>
          <w:rFonts w:ascii="Times New Roman" w:hAnsi="Times New Roman" w:cs="Times New Roman"/>
        </w:rPr>
      </w:pPr>
      <w:r>
        <w:rPr>
          <w:rFonts w:ascii="Times New Roman" w:hAnsi="Times New Roman" w:cs="Times New Roman"/>
        </w:rPr>
        <w:t>生态环境影响主要考虑烟气中二噁英对环境的影响。</w:t>
      </w:r>
    </w:p>
    <w:p>
      <w:pPr>
        <w:pStyle w:val="294"/>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1 \* GB2 </w:instrText>
      </w:r>
      <w:r>
        <w:rPr>
          <w:rFonts w:ascii="Times New Roman" w:hAnsi="Times New Roman" w:cs="Times New Roman"/>
        </w:rPr>
        <w:fldChar w:fldCharType="separate"/>
      </w:r>
      <w:r>
        <w:rPr>
          <w:rFonts w:ascii="Times New Roman" w:hAnsi="Times New Roman" w:cs="Times New Roman"/>
        </w:rPr>
        <w:t>⑴</w:t>
      </w:r>
      <w:r>
        <w:rPr>
          <w:rFonts w:ascii="Times New Roman" w:hAnsi="Times New Roman" w:cs="Times New Roman"/>
        </w:rPr>
        <w:fldChar w:fldCharType="end"/>
      </w:r>
      <w:r>
        <w:rPr>
          <w:rFonts w:ascii="Times New Roman" w:hAnsi="Times New Roman" w:cs="Times New Roman"/>
        </w:rPr>
        <w:t>二噁英类污染物的性质</w:t>
      </w:r>
    </w:p>
    <w:p>
      <w:pPr>
        <w:spacing w:line="360" w:lineRule="auto"/>
        <w:ind w:firstLine="480" w:firstLineChars="200"/>
        <w:jc w:val="left"/>
        <w:rPr>
          <w:rFonts w:ascii="Times New Roman" w:hAnsi="Times New Roman"/>
          <w:snapToGrid w:val="0"/>
          <w:sz w:val="24"/>
          <w:szCs w:val="24"/>
        </w:rPr>
      </w:pPr>
      <w:r>
        <w:rPr>
          <w:rFonts w:ascii="Times New Roman" w:hAnsi="Times New Roman"/>
          <w:snapToGrid w:val="0"/>
          <w:sz w:val="24"/>
          <w:szCs w:val="24"/>
        </w:rPr>
        <w:t>二噁英类有机污染物倾向与烟气中的微小粒状物相结合，经冷却后的烟气中，会有大部分有害有机物附着在烟尘的微小颗粒中。</w:t>
      </w:r>
    </w:p>
    <w:p>
      <w:pPr>
        <w:spacing w:line="360" w:lineRule="auto"/>
        <w:ind w:firstLine="480" w:firstLineChars="200"/>
        <w:jc w:val="left"/>
        <w:rPr>
          <w:rFonts w:ascii="Times New Roman" w:hAnsi="Times New Roman"/>
          <w:snapToGrid w:val="0"/>
          <w:sz w:val="24"/>
          <w:szCs w:val="24"/>
        </w:rPr>
      </w:pPr>
      <w:r>
        <w:rPr>
          <w:rFonts w:ascii="Times New Roman" w:hAnsi="Times New Roman"/>
          <w:snapToGrid w:val="0"/>
          <w:sz w:val="24"/>
          <w:szCs w:val="24"/>
        </w:rPr>
        <w:t>二噁英的排放和扩散首先会污染大气，然后沉淀到地表，进入食物链，最后进入人体内。二噁英是非水溶性物质，地表的二噁英经过地表径流汇入水中沉降到底质中，大部分以颗粒物吸附态存在，水生生物摄入后蓄积在体内，因此鱼类等水产品含二噁英类的比例较大。</w:t>
      </w:r>
    </w:p>
    <w:p>
      <w:pPr>
        <w:pStyle w:val="294"/>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2 \* GB2 </w:instrText>
      </w:r>
      <w:r>
        <w:rPr>
          <w:rFonts w:ascii="Times New Roman" w:hAnsi="Times New Roman" w:cs="Times New Roman"/>
        </w:rPr>
        <w:fldChar w:fldCharType="separate"/>
      </w:r>
      <w:r>
        <w:rPr>
          <w:rFonts w:ascii="Times New Roman" w:hAnsi="Times New Roman" w:cs="Times New Roman"/>
        </w:rPr>
        <w:t>⑵</w:t>
      </w:r>
      <w:r>
        <w:rPr>
          <w:rFonts w:ascii="Times New Roman" w:hAnsi="Times New Roman" w:cs="Times New Roman"/>
        </w:rPr>
        <w:fldChar w:fldCharType="end"/>
      </w:r>
      <w:r>
        <w:rPr>
          <w:rFonts w:ascii="Times New Roman" w:hAnsi="Times New Roman" w:cs="Times New Roman"/>
        </w:rPr>
        <w:t>二噁英类污染物的生态环境影响分析</w:t>
      </w:r>
    </w:p>
    <w:p>
      <w:pPr>
        <w:spacing w:line="360" w:lineRule="auto"/>
        <w:ind w:firstLine="480" w:firstLineChars="200"/>
        <w:jc w:val="left"/>
        <w:rPr>
          <w:rFonts w:ascii="Times New Roman" w:hAnsi="Times New Roman"/>
          <w:snapToGrid w:val="0"/>
          <w:sz w:val="24"/>
          <w:szCs w:val="24"/>
        </w:rPr>
      </w:pPr>
      <w:r>
        <w:rPr>
          <w:rFonts w:ascii="Times New Roman" w:hAnsi="Times New Roman"/>
          <w:snapToGrid w:val="0"/>
          <w:sz w:val="24"/>
          <w:szCs w:val="24"/>
        </w:rPr>
        <w:t>对农作物的影响：厂址周围没有农作物，锅炉的烟尘有可能飘落、滞留在植物的叶杆上，受烟尘污染的叶片和桔杆有可能带有微量的二噁英，如果叶杆作为牲畜饲料二噁英就可能进入食物链。</w:t>
      </w:r>
    </w:p>
    <w:p>
      <w:pPr>
        <w:spacing w:line="360" w:lineRule="auto"/>
        <w:ind w:firstLine="480" w:firstLineChars="200"/>
        <w:jc w:val="left"/>
        <w:rPr>
          <w:rFonts w:ascii="Times New Roman" w:hAnsi="Times New Roman"/>
          <w:snapToGrid w:val="0"/>
          <w:sz w:val="24"/>
          <w:szCs w:val="24"/>
        </w:rPr>
      </w:pPr>
      <w:r>
        <w:rPr>
          <w:rFonts w:ascii="Times New Roman" w:hAnsi="Times New Roman"/>
          <w:snapToGrid w:val="0"/>
          <w:sz w:val="24"/>
          <w:szCs w:val="24"/>
        </w:rPr>
        <w:t>对土壤的影响：含二噁英类有机物的烟尘降落到土壤上后，如果暴露在阳光下，几天后二噁英会慢慢分解；但如果进入到土壤中，由于二噁英类有机物的半衰期为10年以上，土壤将受到一定的污染。</w:t>
      </w:r>
    </w:p>
    <w:p>
      <w:pPr>
        <w:spacing w:line="360" w:lineRule="auto"/>
        <w:ind w:firstLine="480" w:firstLineChars="200"/>
        <w:jc w:val="left"/>
        <w:rPr>
          <w:rFonts w:ascii="Times New Roman" w:hAnsi="Times New Roman"/>
          <w:snapToGrid w:val="0"/>
          <w:sz w:val="24"/>
          <w:szCs w:val="24"/>
        </w:rPr>
      </w:pPr>
      <w:r>
        <w:rPr>
          <w:rFonts w:ascii="Times New Roman" w:hAnsi="Times New Roman"/>
          <w:snapToGrid w:val="0"/>
          <w:sz w:val="24"/>
          <w:szCs w:val="24"/>
        </w:rPr>
        <w:t>对家畜、家禽的影响：在大气污染(尤其是烟尘)影响范围内，土壤、农作物、草地均有可能受到二噁英类有机物的污染，在此范围内放养的牲畜、家禽会通过觅食而摄入，并在体内累积，进而被人体摄入。</w:t>
      </w:r>
    </w:p>
    <w:p>
      <w:pPr>
        <w:spacing w:line="360" w:lineRule="auto"/>
        <w:ind w:firstLine="480" w:firstLineChars="200"/>
        <w:rPr>
          <w:rFonts w:ascii="Times New Roman" w:hAnsi="Times New Roman"/>
          <w:bCs/>
        </w:rPr>
      </w:pPr>
      <w:r>
        <w:rPr>
          <w:rFonts w:ascii="Times New Roman" w:hAnsi="Times New Roman"/>
          <w:sz w:val="24"/>
          <w:szCs w:val="20"/>
        </w:rPr>
        <w:t>根据现场踏勘，项目不占用农田，所在区域内无自然保护区和重点文物保护单位，未发现珍稀保护植物物种、古树名木及珍稀野生动物。目前工程厂区已经规划为云溪工业园的二类工业用地，</w:t>
      </w:r>
      <w:r>
        <w:rPr>
          <w:rFonts w:ascii="Times New Roman" w:hAnsi="Times New Roman"/>
          <w:snapToGrid w:val="0"/>
          <w:sz w:val="24"/>
          <w:szCs w:val="24"/>
        </w:rPr>
        <w:t>由前面预测可知，二噁英类污染物对周围环境的贡献浓度远低于环境标准要求，因此，其产生的少量二噁英类污染物对周围环境的影响是在可接受范围内的。</w:t>
      </w:r>
    </w:p>
    <w:p>
      <w:pPr>
        <w:pStyle w:val="43"/>
        <w:spacing w:before="0" w:beforeAutospacing="0" w:after="0" w:afterAutospacing="0" w:line="360" w:lineRule="auto"/>
        <w:ind w:firstLine="480" w:firstLineChars="200"/>
        <w:jc w:val="both"/>
        <w:rPr>
          <w:rFonts w:ascii="Times New Roman" w:hAnsi="Times New Roman"/>
          <w:bCs/>
        </w:rPr>
        <w:sectPr>
          <w:type w:val="continuous"/>
          <w:pgSz w:w="11907" w:h="16840"/>
          <w:pgMar w:top="1474" w:right="1531" w:bottom="1418" w:left="1474" w:header="907" w:footer="510" w:gutter="0"/>
          <w:cols w:space="720" w:num="1"/>
          <w:docGrid w:linePitch="312" w:charSpace="0"/>
        </w:sectPr>
      </w:pPr>
    </w:p>
    <w:bookmarkEnd w:id="418"/>
    <w:p>
      <w:pPr>
        <w:pStyle w:val="4"/>
        <w:numPr>
          <w:ilvl w:val="0"/>
          <w:numId w:val="0"/>
        </w:numPr>
        <w:tabs>
          <w:tab w:val="clear" w:pos="0"/>
        </w:tabs>
      </w:pPr>
      <w:bookmarkStart w:id="420" w:name="_Toc15163"/>
      <w:r>
        <w:t>7. 环保措施及其可行性论证</w:t>
      </w:r>
      <w:bookmarkEnd w:id="420"/>
    </w:p>
    <w:p>
      <w:pPr>
        <w:pStyle w:val="6"/>
        <w:numPr>
          <w:ilvl w:val="1"/>
          <w:numId w:val="0"/>
        </w:numPr>
        <w:spacing w:before="120" w:after="120"/>
      </w:pPr>
      <w:bookmarkStart w:id="421" w:name="_Toc31127"/>
      <w:r>
        <w:t>7.1 废气治理措施及其可行性分析</w:t>
      </w:r>
      <w:bookmarkEnd w:id="421"/>
    </w:p>
    <w:p>
      <w:pPr>
        <w:pStyle w:val="7"/>
        <w:numPr>
          <w:ilvl w:val="2"/>
          <w:numId w:val="0"/>
        </w:numPr>
        <w:spacing w:before="120" w:after="120"/>
      </w:pPr>
      <w:r>
        <w:t>7.1.1 有组织废气来源及处理方式</w:t>
      </w:r>
    </w:p>
    <w:p>
      <w:pPr>
        <w:spacing w:line="360" w:lineRule="auto"/>
        <w:ind w:firstLine="510"/>
        <w:rPr>
          <w:rFonts w:ascii="Times New Roman" w:hAnsi="Times New Roman"/>
          <w:sz w:val="24"/>
          <w:szCs w:val="24"/>
        </w:rPr>
      </w:pPr>
      <w:bookmarkStart w:id="422" w:name="_Toc17161"/>
      <w:r>
        <w:rPr>
          <w:rFonts w:ascii="Times New Roman" w:hAnsi="Times New Roman"/>
          <w:sz w:val="24"/>
          <w:szCs w:val="24"/>
        </w:rPr>
        <w:t>根据现有监测数据，在掺烧油泥的情况下，CFB锅炉烟气经脱硫脱硝除尘处理后排放能够满足GB 13223-2011《火电厂大气污染物排放标准》表1 排放限值、《全面实施燃煤电厂超低排放和节能改造工作方案》标准要求和GB18484-2001《危险废物焚烧污染控制标准》表3标准。</w:t>
      </w:r>
    </w:p>
    <w:p>
      <w:pPr>
        <w:spacing w:line="360" w:lineRule="auto"/>
        <w:ind w:firstLine="510"/>
        <w:rPr>
          <w:rFonts w:ascii="Times New Roman" w:hAnsi="Times New Roman"/>
          <w:sz w:val="24"/>
          <w:szCs w:val="24"/>
        </w:rPr>
      </w:pPr>
      <w:r>
        <w:rPr>
          <w:rFonts w:ascii="Times New Roman" w:hAnsi="Times New Roman"/>
          <w:sz w:val="24"/>
          <w:szCs w:val="24"/>
        </w:rPr>
        <w:t>（1）脱硫</w:t>
      </w:r>
    </w:p>
    <w:p>
      <w:pPr>
        <w:spacing w:line="360" w:lineRule="auto"/>
        <w:ind w:firstLine="510"/>
        <w:rPr>
          <w:rFonts w:ascii="Times New Roman" w:hAnsi="Times New Roman"/>
          <w:sz w:val="24"/>
          <w:szCs w:val="24"/>
        </w:rPr>
      </w:pPr>
      <w:r>
        <w:rPr>
          <w:rFonts w:ascii="Times New Roman" w:hAnsi="Times New Roman"/>
          <w:sz w:val="24"/>
          <w:szCs w:val="24"/>
        </w:rPr>
        <w:t>本工程脱硫单元采用凯天环保科技股份有限公司研究开发的石灰石-石膏湿法脱硫技术，按2炉1塔进行工艺包设计，保证在设计燃料（含校核原料）、锅炉最大连续出力工况（BMCR）、处理100%烟气量条件下脱硫效率不小于95%，装置的可用率保证在95%以上，主体设备设计使用寿命不低于30年。</w:t>
      </w:r>
    </w:p>
    <w:p>
      <w:pPr>
        <w:spacing w:line="360" w:lineRule="auto"/>
        <w:ind w:firstLine="510"/>
        <w:rPr>
          <w:rFonts w:ascii="Times New Roman" w:hAnsi="Times New Roman"/>
        </w:rPr>
      </w:pPr>
      <w:r>
        <w:rPr>
          <w:rFonts w:ascii="Times New Roman" w:hAnsi="Times New Roman"/>
          <w:sz w:val="24"/>
          <w:szCs w:val="24"/>
        </w:rPr>
        <w:t>吸收塔采用技术先进、高效的喷淋空塔技术，可确保治理后的外排烟气二氧化硫含量在90mg/Nm</w:t>
      </w:r>
      <w:r>
        <w:rPr>
          <w:rFonts w:ascii="Times New Roman" w:hAnsi="Times New Roman"/>
          <w:sz w:val="24"/>
          <w:szCs w:val="24"/>
          <w:vertAlign w:val="superscript"/>
        </w:rPr>
        <w:t>3</w:t>
      </w:r>
      <w:r>
        <w:rPr>
          <w:rFonts w:ascii="Times New Roman" w:hAnsi="Times New Roman"/>
          <w:sz w:val="24"/>
          <w:szCs w:val="24"/>
        </w:rPr>
        <w:t>以下。本工程吸收塔设置塔顶烟囱，治理后的净烟气经塔顶烟囱直接排入大气。</w:t>
      </w:r>
    </w:p>
    <w:p>
      <w:pPr>
        <w:spacing w:line="360" w:lineRule="auto"/>
        <w:ind w:firstLine="510"/>
        <w:rPr>
          <w:rFonts w:ascii="Times New Roman" w:hAnsi="Times New Roman"/>
          <w:sz w:val="24"/>
          <w:szCs w:val="24"/>
        </w:rPr>
      </w:pPr>
      <w:r>
        <w:rPr>
          <w:rFonts w:ascii="Times New Roman" w:hAnsi="Times New Roman"/>
        </w:rPr>
        <w:drawing>
          <wp:inline distT="0" distB="0" distL="114300" distR="114300">
            <wp:extent cx="4076065" cy="2461895"/>
            <wp:effectExtent l="0" t="0" r="635" b="14605"/>
            <wp:docPr id="1" name="图片 6" descr="D:\user\Desktop\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D:\user\Desktop\捕获.JPG"/>
                    <pic:cNvPicPr>
                      <a:picLocks noChangeAspect="1"/>
                    </pic:cNvPicPr>
                  </pic:nvPicPr>
                  <pic:blipFill>
                    <a:blip r:embed="rId62"/>
                    <a:stretch>
                      <a:fillRect/>
                    </a:stretch>
                  </pic:blipFill>
                  <pic:spPr>
                    <a:xfrm>
                      <a:off x="0" y="0"/>
                      <a:ext cx="4081299" cy="2461895"/>
                    </a:xfrm>
                    <a:prstGeom prst="rect">
                      <a:avLst/>
                    </a:prstGeom>
                    <a:noFill/>
                    <a:ln>
                      <a:noFill/>
                    </a:ln>
                  </pic:spPr>
                </pic:pic>
              </a:graphicData>
            </a:graphic>
          </wp:inline>
        </w:drawing>
      </w:r>
    </w:p>
    <w:p>
      <w:pPr>
        <w:spacing w:line="360" w:lineRule="auto"/>
        <w:ind w:firstLine="510"/>
        <w:rPr>
          <w:rFonts w:ascii="Times New Roman" w:hAnsi="Times New Roman"/>
          <w:sz w:val="24"/>
          <w:szCs w:val="24"/>
        </w:rPr>
      </w:pPr>
      <w:r>
        <w:rPr>
          <w:rFonts w:ascii="Times New Roman" w:hAnsi="Times New Roman"/>
          <w:sz w:val="24"/>
          <w:szCs w:val="24"/>
        </w:rPr>
        <w:t>（2）脱硝</w:t>
      </w:r>
    </w:p>
    <w:p>
      <w:pPr>
        <w:spacing w:line="360" w:lineRule="auto"/>
        <w:ind w:firstLine="510"/>
        <w:rPr>
          <w:rFonts w:ascii="Times New Roman" w:hAnsi="Times New Roman"/>
          <w:sz w:val="24"/>
          <w:szCs w:val="24"/>
        </w:rPr>
      </w:pPr>
      <w:r>
        <w:rPr>
          <w:rFonts w:ascii="Times New Roman" w:hAnsi="Times New Roman"/>
          <w:sz w:val="24"/>
          <w:szCs w:val="24"/>
        </w:rPr>
        <w:t>本项目脱硝单元采用北京博惠通科技发展有限公司开发的选择性催化还原法(SCR)烟气脱硝工艺，其工艺包界区性催化还原法(SCR)烟气脱硝工艺的化学、物理过程如下所述。范围为锅炉尾部SCR脱硝系统及位于氨区的一套液氨储存、两套蒸发及氨气缓冲系统。</w:t>
      </w:r>
    </w:p>
    <w:p>
      <w:pPr>
        <w:spacing w:line="360" w:lineRule="auto"/>
        <w:ind w:firstLine="510"/>
        <w:rPr>
          <w:rFonts w:ascii="Times New Roman" w:hAnsi="Times New Roman"/>
          <w:sz w:val="24"/>
          <w:szCs w:val="24"/>
        </w:rPr>
      </w:pPr>
      <w:r>
        <w:rPr>
          <w:rFonts w:ascii="Times New Roman" w:hAnsi="Times New Roman"/>
          <w:sz w:val="24"/>
          <w:szCs w:val="24"/>
        </w:rPr>
        <w:t>a)化学过程</w:t>
      </w:r>
    </w:p>
    <w:p>
      <w:pPr>
        <w:spacing w:line="360" w:lineRule="auto"/>
        <w:ind w:firstLine="510"/>
        <w:rPr>
          <w:rFonts w:ascii="Times New Roman" w:hAnsi="Times New Roman"/>
          <w:sz w:val="24"/>
          <w:szCs w:val="24"/>
        </w:rPr>
      </w:pPr>
      <w:r>
        <w:rPr>
          <w:rFonts w:ascii="Times New Roman" w:hAnsi="Times New Roman"/>
          <w:sz w:val="24"/>
          <w:szCs w:val="24"/>
        </w:rPr>
        <w:t>把还原剂NH</w:t>
      </w:r>
      <w:r>
        <w:rPr>
          <w:rFonts w:ascii="Times New Roman" w:hAnsi="Times New Roman"/>
          <w:sz w:val="24"/>
          <w:szCs w:val="24"/>
          <w:vertAlign w:val="subscript"/>
        </w:rPr>
        <w:t>3</w:t>
      </w:r>
      <w:r>
        <w:rPr>
          <w:rFonts w:ascii="Times New Roman" w:hAnsi="Times New Roman"/>
          <w:sz w:val="24"/>
          <w:szCs w:val="24"/>
        </w:rPr>
        <w:t>通过喷射装置喷入烟气中，与烟气充分混合，还原剂NH</w:t>
      </w:r>
      <w:r>
        <w:rPr>
          <w:rFonts w:ascii="Times New Roman" w:hAnsi="Times New Roman"/>
          <w:sz w:val="24"/>
          <w:szCs w:val="24"/>
          <w:vertAlign w:val="subscript"/>
        </w:rPr>
        <w:t>3</w:t>
      </w:r>
      <w:r>
        <w:rPr>
          <w:rFonts w:ascii="Times New Roman" w:hAnsi="Times New Roman"/>
          <w:sz w:val="24"/>
          <w:szCs w:val="24"/>
        </w:rPr>
        <w:t>在催化剂作用下，选择性地与烟气中的NO</w:t>
      </w:r>
      <w:r>
        <w:rPr>
          <w:rFonts w:ascii="Times New Roman" w:hAnsi="Times New Roman"/>
          <w:sz w:val="24"/>
          <w:szCs w:val="24"/>
          <w:vertAlign w:val="subscript"/>
        </w:rPr>
        <w:t>x</w:t>
      </w:r>
      <w:r>
        <w:rPr>
          <w:rFonts w:ascii="Times New Roman" w:hAnsi="Times New Roman"/>
          <w:sz w:val="24"/>
          <w:szCs w:val="24"/>
        </w:rPr>
        <w:t>反应生成N</w:t>
      </w:r>
      <w:r>
        <w:rPr>
          <w:rFonts w:ascii="Times New Roman" w:hAnsi="Times New Roman"/>
          <w:sz w:val="24"/>
          <w:szCs w:val="24"/>
          <w:vertAlign w:val="subscript"/>
        </w:rPr>
        <w:t>2</w:t>
      </w:r>
      <w:r>
        <w:rPr>
          <w:rFonts w:ascii="Times New Roman" w:hAnsi="Times New Roman"/>
          <w:sz w:val="24"/>
          <w:szCs w:val="24"/>
        </w:rPr>
        <w:t>和H</w:t>
      </w:r>
      <w:r>
        <w:rPr>
          <w:rFonts w:ascii="Times New Roman" w:hAnsi="Times New Roman"/>
          <w:sz w:val="24"/>
          <w:szCs w:val="24"/>
          <w:vertAlign w:val="subscript"/>
        </w:rPr>
        <w:t>2</w:t>
      </w:r>
      <w:r>
        <w:rPr>
          <w:rFonts w:ascii="Times New Roman" w:hAnsi="Times New Roman"/>
          <w:sz w:val="24"/>
          <w:szCs w:val="24"/>
        </w:rPr>
        <w:t>O，而不是被O</w:t>
      </w:r>
      <w:r>
        <w:rPr>
          <w:rFonts w:ascii="Times New Roman" w:hAnsi="Times New Roman"/>
          <w:sz w:val="24"/>
          <w:szCs w:val="24"/>
          <w:vertAlign w:val="subscript"/>
        </w:rPr>
        <w:t>2</w:t>
      </w:r>
      <w:r>
        <w:rPr>
          <w:rFonts w:ascii="Times New Roman" w:hAnsi="Times New Roman"/>
          <w:sz w:val="24"/>
          <w:szCs w:val="24"/>
        </w:rPr>
        <w:t>所氧化，故称为“选择性”。主要反应如下：</w:t>
      </w:r>
    </w:p>
    <w:p>
      <w:pPr>
        <w:ind w:firstLine="2100" w:firstLineChars="750"/>
        <w:rPr>
          <w:rFonts w:ascii="Times New Roman" w:hAnsi="Times New Roman"/>
          <w:sz w:val="28"/>
          <w:szCs w:val="28"/>
        </w:rPr>
      </w:pPr>
      <w:r>
        <w:rPr>
          <w:rFonts w:ascii="Times New Roman" w:hAnsi="Times New Roman"/>
          <w:sz w:val="28"/>
          <w:szCs w:val="28"/>
        </w:rPr>
        <w:t>NO+NO</w:t>
      </w:r>
      <w:r>
        <w:rPr>
          <w:rFonts w:ascii="Times New Roman" w:hAnsi="Times New Roman"/>
          <w:sz w:val="28"/>
          <w:szCs w:val="28"/>
          <w:vertAlign w:val="subscript"/>
        </w:rPr>
        <w:t>2</w:t>
      </w:r>
      <w:r>
        <w:rPr>
          <w:rFonts w:ascii="Times New Roman" w:hAnsi="Times New Roman"/>
          <w:sz w:val="28"/>
          <w:szCs w:val="28"/>
        </w:rPr>
        <w:t>+2NH</w:t>
      </w:r>
      <w:r>
        <w:rPr>
          <w:rFonts w:ascii="Times New Roman" w:hAnsi="Times New Roman"/>
          <w:sz w:val="28"/>
          <w:szCs w:val="28"/>
          <w:vertAlign w:val="subscript"/>
        </w:rPr>
        <w:t>3</w:t>
      </w:r>
      <w:r>
        <w:rPr>
          <w:rFonts w:ascii="Times New Roman" w:hAnsi="Times New Roman"/>
          <w:sz w:val="28"/>
          <w:szCs w:val="28"/>
        </w:rPr>
        <w:t>→2N</w:t>
      </w:r>
      <w:r>
        <w:rPr>
          <w:rFonts w:ascii="Times New Roman" w:hAnsi="Times New Roman"/>
          <w:sz w:val="28"/>
          <w:szCs w:val="28"/>
          <w:vertAlign w:val="subscript"/>
        </w:rPr>
        <w:t>2</w:t>
      </w:r>
      <w:r>
        <w:rPr>
          <w:rFonts w:ascii="Times New Roman" w:hAnsi="Times New Roman"/>
          <w:sz w:val="28"/>
          <w:szCs w:val="28"/>
        </w:rPr>
        <w:t>+3H</w:t>
      </w:r>
      <w:r>
        <w:rPr>
          <w:rFonts w:ascii="Times New Roman" w:hAnsi="Times New Roman"/>
          <w:sz w:val="28"/>
          <w:szCs w:val="28"/>
          <w:vertAlign w:val="subscript"/>
        </w:rPr>
        <w:t>2</w:t>
      </w:r>
      <w:r>
        <w:rPr>
          <w:rFonts w:ascii="Times New Roman" w:hAnsi="Times New Roman"/>
          <w:sz w:val="28"/>
          <w:szCs w:val="28"/>
        </w:rPr>
        <w:t>O</w:t>
      </w:r>
    </w:p>
    <w:p>
      <w:pPr>
        <w:ind w:firstLine="2100" w:firstLineChars="750"/>
        <w:rPr>
          <w:rFonts w:ascii="Times New Roman" w:hAnsi="Times New Roman"/>
          <w:sz w:val="28"/>
          <w:szCs w:val="28"/>
        </w:rPr>
      </w:pPr>
      <w:r>
        <w:rPr>
          <w:rFonts w:ascii="Times New Roman" w:hAnsi="Times New Roman"/>
          <w:sz w:val="28"/>
          <w:szCs w:val="28"/>
        </w:rPr>
        <w:t>4NO+4NH</w:t>
      </w:r>
      <w:r>
        <w:rPr>
          <w:rFonts w:ascii="Times New Roman" w:hAnsi="Times New Roman"/>
          <w:sz w:val="28"/>
          <w:szCs w:val="28"/>
          <w:vertAlign w:val="subscript"/>
        </w:rPr>
        <w:t>3</w:t>
      </w:r>
      <w:r>
        <w:rPr>
          <w:rFonts w:ascii="Times New Roman" w:hAnsi="Times New Roman"/>
          <w:sz w:val="28"/>
          <w:szCs w:val="28"/>
        </w:rPr>
        <w:t>+O</w:t>
      </w:r>
      <w:r>
        <w:rPr>
          <w:rFonts w:ascii="Times New Roman" w:hAnsi="Times New Roman"/>
          <w:sz w:val="28"/>
          <w:szCs w:val="28"/>
          <w:vertAlign w:val="subscript"/>
        </w:rPr>
        <w:t>2</w:t>
      </w:r>
      <w:r>
        <w:rPr>
          <w:rFonts w:ascii="Times New Roman" w:hAnsi="Times New Roman"/>
          <w:sz w:val="28"/>
          <w:szCs w:val="28"/>
        </w:rPr>
        <w:t>→4N</w:t>
      </w:r>
      <w:r>
        <w:rPr>
          <w:rFonts w:ascii="Times New Roman" w:hAnsi="Times New Roman"/>
          <w:sz w:val="28"/>
          <w:szCs w:val="28"/>
          <w:vertAlign w:val="subscript"/>
        </w:rPr>
        <w:t>2</w:t>
      </w:r>
      <w:r>
        <w:rPr>
          <w:rFonts w:ascii="Times New Roman" w:hAnsi="Times New Roman"/>
          <w:sz w:val="28"/>
          <w:szCs w:val="28"/>
        </w:rPr>
        <w:t>+6H</w:t>
      </w:r>
      <w:r>
        <w:rPr>
          <w:rFonts w:ascii="Times New Roman" w:hAnsi="Times New Roman"/>
          <w:sz w:val="28"/>
          <w:szCs w:val="28"/>
          <w:vertAlign w:val="subscript"/>
        </w:rPr>
        <w:t>2</w:t>
      </w:r>
      <w:r>
        <w:rPr>
          <w:rFonts w:ascii="Times New Roman" w:hAnsi="Times New Roman"/>
          <w:sz w:val="28"/>
          <w:szCs w:val="28"/>
        </w:rPr>
        <w:t>O</w:t>
      </w:r>
    </w:p>
    <w:p>
      <w:pPr>
        <w:spacing w:line="360" w:lineRule="auto"/>
        <w:ind w:firstLine="510"/>
        <w:rPr>
          <w:rFonts w:ascii="Times New Roman" w:hAnsi="Times New Roman"/>
          <w:sz w:val="24"/>
          <w:szCs w:val="24"/>
        </w:rPr>
      </w:pPr>
      <w:r>
        <w:rPr>
          <w:rFonts w:ascii="Times New Roman" w:hAnsi="Times New Roman"/>
          <w:sz w:val="24"/>
          <w:szCs w:val="24"/>
        </w:rPr>
        <w:t>b)物理过程</w:t>
      </w:r>
    </w:p>
    <w:p>
      <w:pPr>
        <w:spacing w:line="360" w:lineRule="auto"/>
        <w:ind w:firstLine="510"/>
        <w:rPr>
          <w:rFonts w:ascii="Times New Roman" w:hAnsi="Times New Roman"/>
          <w:sz w:val="24"/>
          <w:szCs w:val="24"/>
        </w:rPr>
      </w:pPr>
      <w:r>
        <w:rPr>
          <w:rFonts w:ascii="Times New Roman" w:hAnsi="Times New Roman"/>
          <w:sz w:val="24"/>
          <w:szCs w:val="24"/>
        </w:rPr>
        <w:t>物理过程系指液氨通过液氨蒸发器，由液氨转化为气氨的过程。依靠液氨自身的压力输送至液氨蒸发器，氨蒸发器壳程通入蒸汽，将壳程内热媒—水加热，管程内通入液氨，通过加热管程使液氨蒸发成气氨后进入氨气缓冲罐。进入液氨蒸发器的氨量，通过液氨蒸发器前气动调节阀自动控制，以维持缓冲罐运行在一定的压力范围内。</w:t>
      </w:r>
    </w:p>
    <w:p>
      <w:pPr>
        <w:spacing w:line="360" w:lineRule="auto"/>
        <w:ind w:firstLine="510"/>
        <w:rPr>
          <w:rFonts w:ascii="Times New Roman" w:hAnsi="Times New Roman"/>
          <w:sz w:val="24"/>
          <w:szCs w:val="24"/>
        </w:rPr>
      </w:pPr>
      <w:r>
        <w:rPr>
          <w:rFonts w:ascii="Times New Roman" w:hAnsi="Times New Roman"/>
          <w:sz w:val="24"/>
          <w:szCs w:val="24"/>
        </w:rPr>
        <w:t>SCR工艺流程：液态氨在注入SCR系统烟气之前经由蒸发器蒸发气化；气化的氨和稀释空气混合，通过喷氨格栅喷入SCR反应器上游的烟气中；充分混合后的还原剂和烟气在SCR反应器中催化剂的作用下发生反应，去除NOx。SCR工艺系统主要由脱硝反应器、烟道系统、氨储存制备供应系统、氨喷射系统、吹灰系统等组成。本工程SCR反应器布置在锅炉与除尘器之间，采用独立支撑结构。SCR工艺流程图详见7.1-1。</w:t>
      </w:r>
    </w:p>
    <w:p>
      <w:pPr>
        <w:spacing w:line="360" w:lineRule="auto"/>
        <w:ind w:firstLine="510"/>
        <w:jc w:val="center"/>
        <w:rPr>
          <w:rFonts w:ascii="Times New Roman" w:hAnsi="Times New Roman"/>
          <w:sz w:val="24"/>
          <w:szCs w:val="24"/>
        </w:rPr>
      </w:pPr>
      <w:r>
        <w:rPr>
          <w:rFonts w:ascii="Times New Roman" w:hAnsi="Times New Roman"/>
        </w:rPr>
        <w:drawing>
          <wp:inline distT="0" distB="0" distL="114300" distR="114300">
            <wp:extent cx="5272405" cy="3001645"/>
            <wp:effectExtent l="0" t="0" r="4445" b="8255"/>
            <wp:docPr id="2" name="图片 5" descr="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SCR"/>
                    <pic:cNvPicPr>
                      <a:picLocks noChangeAspect="1"/>
                    </pic:cNvPicPr>
                  </pic:nvPicPr>
                  <pic:blipFill>
                    <a:blip r:embed="rId63"/>
                    <a:stretch>
                      <a:fillRect/>
                    </a:stretch>
                  </pic:blipFill>
                  <pic:spPr>
                    <a:xfrm>
                      <a:off x="0" y="0"/>
                      <a:ext cx="5272405" cy="3001645"/>
                    </a:xfrm>
                    <a:prstGeom prst="rect">
                      <a:avLst/>
                    </a:prstGeom>
                    <a:noFill/>
                    <a:ln>
                      <a:noFill/>
                    </a:ln>
                  </pic:spPr>
                </pic:pic>
              </a:graphicData>
            </a:graphic>
          </wp:inline>
        </w:drawing>
      </w:r>
      <w:r>
        <w:rPr>
          <w:rFonts w:ascii="Times New Roman" w:hAnsi="Times New Roman"/>
        </w:rPr>
        <w:t>-</w:t>
      </w:r>
    </w:p>
    <w:p>
      <w:pPr>
        <w:spacing w:line="360" w:lineRule="auto"/>
        <w:ind w:firstLine="510"/>
        <w:jc w:val="center"/>
        <w:rPr>
          <w:rFonts w:ascii="Times New Roman" w:hAnsi="Times New Roman"/>
          <w:sz w:val="24"/>
          <w:szCs w:val="24"/>
        </w:rPr>
      </w:pPr>
      <w:r>
        <w:rPr>
          <w:rFonts w:ascii="Times New Roman" w:hAnsi="Times New Roman"/>
          <w:b/>
          <w:bCs/>
          <w:sz w:val="24"/>
          <w:szCs w:val="24"/>
        </w:rPr>
        <w:t>图7.1-1  SCR工艺示意图</w:t>
      </w:r>
    </w:p>
    <w:p>
      <w:pPr>
        <w:spacing w:line="360" w:lineRule="auto"/>
        <w:rPr>
          <w:rFonts w:ascii="Times New Roman" w:hAnsi="Times New Roman"/>
          <w:sz w:val="24"/>
          <w:szCs w:val="24"/>
        </w:rPr>
      </w:pPr>
    </w:p>
    <w:p>
      <w:pPr>
        <w:spacing w:line="360" w:lineRule="auto"/>
        <w:ind w:firstLine="510"/>
        <w:rPr>
          <w:rFonts w:ascii="Times New Roman" w:hAnsi="Times New Roman"/>
          <w:sz w:val="24"/>
          <w:szCs w:val="24"/>
        </w:rPr>
      </w:pPr>
      <w:r>
        <w:rPr>
          <w:rFonts w:ascii="Times New Roman" w:hAnsi="Times New Roman"/>
          <w:sz w:val="24"/>
          <w:szCs w:val="24"/>
        </w:rPr>
        <w:t>（3）除尘</w:t>
      </w:r>
    </w:p>
    <w:p>
      <w:pPr>
        <w:spacing w:line="360" w:lineRule="auto"/>
        <w:ind w:firstLine="510"/>
        <w:rPr>
          <w:rFonts w:ascii="Times New Roman" w:hAnsi="Times New Roman"/>
          <w:sz w:val="24"/>
          <w:szCs w:val="24"/>
        </w:rPr>
      </w:pPr>
      <w:r>
        <w:rPr>
          <w:rFonts w:ascii="Times New Roman" w:hAnsi="Times New Roman"/>
          <w:sz w:val="24"/>
          <w:szCs w:val="24"/>
        </w:rPr>
        <w:t>CFB锅炉采用布袋除尘器对烟气进行除尘处理。</w:t>
      </w:r>
    </w:p>
    <w:p>
      <w:pPr>
        <w:spacing w:line="360" w:lineRule="auto"/>
        <w:ind w:firstLine="510"/>
        <w:rPr>
          <w:rFonts w:ascii="Times New Roman" w:hAnsi="Times New Roman"/>
          <w:sz w:val="24"/>
          <w:szCs w:val="24"/>
        </w:rPr>
      </w:pPr>
      <w:r>
        <w:rPr>
          <w:rFonts w:ascii="Times New Roman" w:hAnsi="Times New Roman"/>
          <w:sz w:val="24"/>
          <w:szCs w:val="24"/>
        </w:rPr>
        <w:t>根据现有CFB锅炉烟气监测数据，其排放能够满足GB 13223-2011《火电厂大气污染物排放标准》表1排放限值、《全面实施燃煤电厂超低排放和节能改造工作方案》要求，说明现有烟气治理措施能够达到相关排放要求。</w:t>
      </w:r>
    </w:p>
    <w:p>
      <w:pPr>
        <w:spacing w:line="360" w:lineRule="auto"/>
        <w:ind w:firstLine="510"/>
        <w:rPr>
          <w:rFonts w:ascii="Times New Roman" w:hAnsi="Times New Roman"/>
          <w:sz w:val="24"/>
          <w:szCs w:val="24"/>
        </w:rPr>
      </w:pPr>
      <w:r>
        <w:rPr>
          <w:rFonts w:ascii="Times New Roman" w:hAnsi="Times New Roman"/>
          <w:sz w:val="24"/>
          <w:szCs w:val="24"/>
        </w:rPr>
        <w:t>（4）二噁英及重金属</w:t>
      </w:r>
    </w:p>
    <w:p>
      <w:pPr>
        <w:spacing w:line="360" w:lineRule="auto"/>
        <w:ind w:firstLine="510"/>
        <w:rPr>
          <w:rFonts w:ascii="Times New Roman" w:hAnsi="Times New Roman"/>
          <w:kern w:val="0"/>
          <w:sz w:val="24"/>
          <w:szCs w:val="24"/>
        </w:rPr>
      </w:pPr>
      <w:r>
        <w:rPr>
          <w:rFonts w:ascii="Times New Roman" w:hAnsi="Times New Roman"/>
          <w:sz w:val="24"/>
          <w:szCs w:val="24"/>
        </w:rPr>
        <w:t>项目利用CFB锅炉掺烧油泥，油泥中含有微量重金属，烟气中有少量重金属产生，因油泥属于危险废物，掺照</w:t>
      </w:r>
      <w:r>
        <w:rPr>
          <w:rFonts w:ascii="Times New Roman" w:hAnsi="Times New Roman"/>
          <w:kern w:val="0"/>
          <w:sz w:val="24"/>
          <w:szCs w:val="24"/>
        </w:rPr>
        <w:t>《危险废物焚烧污染控制标准》GB18484-2001标准限值，为了验证</w:t>
      </w:r>
      <w:r>
        <w:rPr>
          <w:rFonts w:ascii="Times New Roman" w:hAnsi="Times New Roman"/>
          <w:sz w:val="24"/>
          <w:szCs w:val="24"/>
        </w:rPr>
        <w:t>烟气中二噁英的含量能否达标排放，2020年3月19日，环评单位委托</w:t>
      </w:r>
      <w:r>
        <w:rPr>
          <w:rFonts w:ascii="Times New Roman" w:hAnsi="Times New Roman"/>
          <w:kern w:val="0"/>
          <w:sz w:val="24"/>
          <w:szCs w:val="24"/>
        </w:rPr>
        <w:t>湖南昌旭环保科技有限公司对CFB锅炉烟气中二噁英、重金属进行了监测。监测结果表明项目CFB锅炉排气筒高度及锅炉烟气中二噁英和重金属的排放浓度能够满足《危险废物焚烧污染控制标准》GB18484-2001标准限值，见表7.1.1-1。</w:t>
      </w:r>
    </w:p>
    <w:p>
      <w:pPr>
        <w:spacing w:line="360" w:lineRule="auto"/>
        <w:ind w:firstLine="510"/>
        <w:jc w:val="center"/>
        <w:rPr>
          <w:rFonts w:ascii="Times New Roman" w:hAnsi="Times New Roman"/>
        </w:rPr>
      </w:pPr>
      <w:r>
        <w:rPr>
          <w:rFonts w:ascii="Times New Roman" w:hAnsi="Times New Roman"/>
          <w:b/>
          <w:sz w:val="24"/>
          <w:szCs w:val="24"/>
        </w:rPr>
        <w:t>表7.1.1-1  项目CFB锅炉掺烧油泥污染物排放情况</w:t>
      </w:r>
    </w:p>
    <w:tbl>
      <w:tblPr>
        <w:tblStyle w:val="45"/>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959"/>
        <w:gridCol w:w="1837"/>
        <w:gridCol w:w="2186"/>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78"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掺烧情景</w:t>
            </w:r>
          </w:p>
        </w:tc>
        <w:tc>
          <w:tcPr>
            <w:tcW w:w="1959"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污染因子</w:t>
            </w:r>
          </w:p>
        </w:tc>
        <w:tc>
          <w:tcPr>
            <w:tcW w:w="1837"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排放浓度（mg/m</w:t>
            </w:r>
            <w:r>
              <w:rPr>
                <w:rFonts w:ascii="Times New Roman" w:hAnsi="Times New Roman"/>
                <w:b/>
                <w:spacing w:val="6"/>
                <w:kern w:val="0"/>
                <w:szCs w:val="21"/>
                <w:u w:val="single"/>
                <w:vertAlign w:val="superscript"/>
              </w:rPr>
              <w:t>3</w:t>
            </w:r>
            <w:r>
              <w:rPr>
                <w:rFonts w:ascii="Times New Roman" w:hAnsi="Times New Roman"/>
                <w:b/>
                <w:spacing w:val="6"/>
                <w:kern w:val="0"/>
                <w:szCs w:val="21"/>
                <w:u w:val="single"/>
              </w:rPr>
              <w:t>）</w:t>
            </w:r>
          </w:p>
        </w:tc>
        <w:tc>
          <w:tcPr>
            <w:tcW w:w="2186"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排放速率（kg/h）</w:t>
            </w:r>
          </w:p>
        </w:tc>
        <w:tc>
          <w:tcPr>
            <w:tcW w:w="1898" w:type="dxa"/>
            <w:vAlign w:val="center"/>
          </w:tcPr>
          <w:p>
            <w:pPr>
              <w:ind w:right="-113"/>
              <w:jc w:val="center"/>
              <w:rPr>
                <w:rFonts w:ascii="Times New Roman" w:hAnsi="Times New Roman"/>
                <w:b/>
                <w:spacing w:val="6"/>
                <w:kern w:val="0"/>
                <w:szCs w:val="21"/>
                <w:u w:val="single"/>
              </w:rPr>
            </w:pPr>
            <w:r>
              <w:rPr>
                <w:rFonts w:ascii="Times New Roman" w:hAnsi="Times New Roman"/>
                <w:b/>
                <w:spacing w:val="6"/>
                <w:kern w:val="0"/>
                <w:szCs w:val="21"/>
                <w:u w:val="singl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1台锅炉单独掺烧</w:t>
            </w:r>
          </w:p>
        </w:tc>
        <w:tc>
          <w:tcPr>
            <w:tcW w:w="1959" w:type="dxa"/>
            <w:vAlign w:val="center"/>
          </w:tcPr>
          <w:p>
            <w:pPr>
              <w:jc w:val="center"/>
              <w:rPr>
                <w:rFonts w:ascii="Times New Roman" w:hAnsi="Times New Roman"/>
                <w:szCs w:val="21"/>
                <w:u w:val="single"/>
              </w:rPr>
            </w:pPr>
            <w:r>
              <w:rPr>
                <w:rFonts w:ascii="Times New Roman" w:hAnsi="Times New Roman"/>
                <w:szCs w:val="21"/>
                <w:u w:val="single"/>
              </w:rPr>
              <w:t>烟气量</w:t>
            </w:r>
          </w:p>
        </w:tc>
        <w:tc>
          <w:tcPr>
            <w:tcW w:w="1837"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2186"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238524m</w:t>
            </w:r>
            <w:r>
              <w:rPr>
                <w:rFonts w:ascii="Times New Roman" w:hAnsi="Times New Roman"/>
                <w:spacing w:val="6"/>
                <w:kern w:val="0"/>
                <w:szCs w:val="21"/>
                <w:u w:val="single"/>
                <w:vertAlign w:val="superscript"/>
              </w:rPr>
              <w:t>3</w:t>
            </w:r>
            <w:r>
              <w:rPr>
                <w:rFonts w:ascii="Times New Roman" w:hAnsi="Times New Roman"/>
                <w:spacing w:val="6"/>
                <w:kern w:val="0"/>
                <w:szCs w:val="21"/>
                <w:u w:val="single"/>
              </w:rPr>
              <w:t>/h</w:t>
            </w:r>
          </w:p>
        </w:tc>
        <w:tc>
          <w:tcPr>
            <w:tcW w:w="189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掺烧试验时实监测数据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7.6</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1.81</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二氧化硫</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8</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1.96</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氮氧化物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11</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2.62</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镍</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0.0022</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0.0005</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二噁英</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0.021ng/m</w:t>
            </w:r>
            <w:r>
              <w:rPr>
                <w:rFonts w:ascii="Times New Roman" w:hAnsi="Times New Roman"/>
                <w:szCs w:val="21"/>
                <w:u w:val="single"/>
                <w:vertAlign w:val="superscript"/>
              </w:rPr>
              <w:t>3</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0.005mg/h</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rPr>
              <w:t>汞</w:t>
            </w:r>
          </w:p>
        </w:tc>
        <w:tc>
          <w:tcPr>
            <w:tcW w:w="1837" w:type="dxa"/>
            <w:vAlign w:val="center"/>
          </w:tcPr>
          <w:p>
            <w:pPr>
              <w:jc w:val="center"/>
              <w:rPr>
                <w:rFonts w:ascii="Times New Roman" w:hAnsi="Times New Roman"/>
                <w:szCs w:val="21"/>
                <w:u w:val="single"/>
              </w:rPr>
            </w:pPr>
            <w:r>
              <w:rPr>
                <w:rFonts w:ascii="Times New Roman" w:hAnsi="Times New Roman"/>
                <w:szCs w:val="21"/>
              </w:rPr>
              <w:t>ND</w:t>
            </w:r>
          </w:p>
        </w:tc>
        <w:tc>
          <w:tcPr>
            <w:tcW w:w="2186" w:type="dxa"/>
            <w:vAlign w:val="center"/>
          </w:tcPr>
          <w:p>
            <w:pPr>
              <w:jc w:val="center"/>
              <w:rPr>
                <w:rFonts w:ascii="Times New Roman" w:hAnsi="Times New Roman"/>
                <w:szCs w:val="21"/>
                <w:u w:val="single"/>
              </w:rPr>
            </w:pPr>
            <w:r>
              <w:rPr>
                <w:rFonts w:ascii="Times New Roman" w:hAnsi="Times New Roman"/>
                <w:szCs w:val="21"/>
              </w:rPr>
              <w:t>/</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rPr>
              <w:t>铅</w:t>
            </w:r>
          </w:p>
        </w:tc>
        <w:tc>
          <w:tcPr>
            <w:tcW w:w="1837" w:type="dxa"/>
            <w:vAlign w:val="center"/>
          </w:tcPr>
          <w:p>
            <w:pPr>
              <w:jc w:val="center"/>
              <w:rPr>
                <w:rFonts w:ascii="Times New Roman" w:hAnsi="Times New Roman"/>
                <w:szCs w:val="21"/>
                <w:u w:val="single"/>
              </w:rPr>
            </w:pPr>
            <w:r>
              <w:rPr>
                <w:rFonts w:ascii="Times New Roman" w:hAnsi="Times New Roman"/>
                <w:szCs w:val="21"/>
              </w:rPr>
              <w:t>ND</w:t>
            </w:r>
          </w:p>
        </w:tc>
        <w:tc>
          <w:tcPr>
            <w:tcW w:w="2186" w:type="dxa"/>
            <w:vAlign w:val="center"/>
          </w:tcPr>
          <w:p>
            <w:pPr>
              <w:jc w:val="center"/>
              <w:rPr>
                <w:rFonts w:ascii="Times New Roman" w:hAnsi="Times New Roman"/>
                <w:szCs w:val="21"/>
                <w:u w:val="single"/>
              </w:rPr>
            </w:pPr>
            <w:r>
              <w:rPr>
                <w:rFonts w:ascii="Times New Roman" w:hAnsi="Times New Roman"/>
                <w:szCs w:val="21"/>
              </w:rPr>
              <w:t>/</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rPr>
            </w:pPr>
            <w:r>
              <w:rPr>
                <w:rFonts w:ascii="Times New Roman" w:hAnsi="Times New Roman"/>
                <w:szCs w:val="21"/>
              </w:rPr>
              <w:t>铜</w:t>
            </w:r>
          </w:p>
        </w:tc>
        <w:tc>
          <w:tcPr>
            <w:tcW w:w="1837" w:type="dxa"/>
            <w:vAlign w:val="center"/>
          </w:tcPr>
          <w:p>
            <w:pPr>
              <w:jc w:val="center"/>
              <w:rPr>
                <w:rFonts w:ascii="Times New Roman" w:hAnsi="Times New Roman"/>
                <w:szCs w:val="21"/>
                <w:u w:val="single"/>
              </w:rPr>
            </w:pPr>
            <w:r>
              <w:rPr>
                <w:rFonts w:ascii="Times New Roman" w:hAnsi="Times New Roman"/>
                <w:szCs w:val="21"/>
              </w:rPr>
              <w:t>ND</w:t>
            </w:r>
          </w:p>
        </w:tc>
        <w:tc>
          <w:tcPr>
            <w:tcW w:w="2186" w:type="dxa"/>
            <w:vAlign w:val="center"/>
          </w:tcPr>
          <w:p>
            <w:pPr>
              <w:jc w:val="center"/>
              <w:rPr>
                <w:rFonts w:ascii="Times New Roman" w:hAnsi="Times New Roman"/>
                <w:szCs w:val="21"/>
                <w:u w:val="single"/>
              </w:rPr>
            </w:pPr>
            <w:r>
              <w:rPr>
                <w:rFonts w:ascii="Times New Roman" w:hAnsi="Times New Roman"/>
                <w:szCs w:val="21"/>
              </w:rPr>
              <w:t>/</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rPr>
            </w:pPr>
            <w:r>
              <w:rPr>
                <w:rFonts w:ascii="Times New Roman" w:hAnsi="Times New Roman"/>
                <w:szCs w:val="21"/>
              </w:rPr>
              <w:t>林格曼黑度</w:t>
            </w:r>
          </w:p>
        </w:tc>
        <w:tc>
          <w:tcPr>
            <w:tcW w:w="1837" w:type="dxa"/>
            <w:vAlign w:val="center"/>
          </w:tcPr>
          <w:p>
            <w:pPr>
              <w:jc w:val="center"/>
              <w:rPr>
                <w:rFonts w:ascii="Times New Roman" w:hAnsi="Times New Roman"/>
                <w:szCs w:val="21"/>
              </w:rPr>
            </w:pPr>
            <w:r>
              <w:rPr>
                <w:rFonts w:ascii="Times New Roman" w:hAnsi="Times New Roman"/>
                <w:szCs w:val="21"/>
              </w:rPr>
              <w:t>＜1</w:t>
            </w:r>
          </w:p>
        </w:tc>
        <w:tc>
          <w:tcPr>
            <w:tcW w:w="2186" w:type="dxa"/>
            <w:vAlign w:val="center"/>
          </w:tcPr>
          <w:p>
            <w:pPr>
              <w:jc w:val="center"/>
              <w:rPr>
                <w:rFonts w:ascii="Times New Roman" w:hAnsi="Times New Roman"/>
                <w:szCs w:val="21"/>
              </w:rPr>
            </w:pPr>
            <w:r>
              <w:rPr>
                <w:rFonts w:ascii="Times New Roman" w:hAnsi="Times New Roman"/>
                <w:szCs w:val="21"/>
              </w:rPr>
              <w:t>/</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2台锅炉同时掺烧</w:t>
            </w:r>
          </w:p>
        </w:tc>
        <w:tc>
          <w:tcPr>
            <w:tcW w:w="1959" w:type="dxa"/>
            <w:vAlign w:val="center"/>
          </w:tcPr>
          <w:p>
            <w:pPr>
              <w:jc w:val="center"/>
              <w:rPr>
                <w:rFonts w:ascii="Times New Roman" w:hAnsi="Times New Roman"/>
                <w:szCs w:val="21"/>
                <w:u w:val="single"/>
              </w:rPr>
            </w:pPr>
            <w:r>
              <w:rPr>
                <w:rFonts w:ascii="Times New Roman" w:hAnsi="Times New Roman"/>
                <w:szCs w:val="21"/>
                <w:u w:val="single"/>
              </w:rPr>
              <w:t>烟气量</w:t>
            </w:r>
          </w:p>
        </w:tc>
        <w:tc>
          <w:tcPr>
            <w:tcW w:w="1837" w:type="dxa"/>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w:t>
            </w:r>
          </w:p>
        </w:tc>
        <w:tc>
          <w:tcPr>
            <w:tcW w:w="2186" w:type="dxa"/>
            <w:vAlign w:val="center"/>
          </w:tcPr>
          <w:p>
            <w:pPr>
              <w:jc w:val="center"/>
              <w:rPr>
                <w:rFonts w:ascii="Times New Roman" w:hAnsi="Times New Roman"/>
                <w:spacing w:val="6"/>
                <w:kern w:val="0"/>
                <w:szCs w:val="21"/>
                <w:u w:val="single"/>
              </w:rPr>
            </w:pPr>
            <w:r>
              <w:rPr>
                <w:rFonts w:ascii="Times New Roman" w:hAnsi="Times New Roman"/>
                <w:sz w:val="22"/>
                <w:u w:val="single"/>
              </w:rPr>
              <w:t>477048</w:t>
            </w:r>
            <w:r>
              <w:rPr>
                <w:rFonts w:ascii="Times New Roman" w:hAnsi="Times New Roman"/>
                <w:spacing w:val="6"/>
                <w:kern w:val="0"/>
                <w:szCs w:val="21"/>
                <w:u w:val="single"/>
              </w:rPr>
              <w:t>m</w:t>
            </w:r>
            <w:r>
              <w:rPr>
                <w:rFonts w:ascii="Times New Roman" w:hAnsi="Times New Roman"/>
                <w:spacing w:val="6"/>
                <w:kern w:val="0"/>
                <w:szCs w:val="21"/>
                <w:u w:val="single"/>
                <w:vertAlign w:val="superscript"/>
              </w:rPr>
              <w:t>3</w:t>
            </w:r>
            <w:r>
              <w:rPr>
                <w:rFonts w:ascii="Times New Roman" w:hAnsi="Times New Roman"/>
                <w:spacing w:val="6"/>
                <w:kern w:val="0"/>
                <w:szCs w:val="21"/>
                <w:u w:val="single"/>
              </w:rPr>
              <w:t>/h</w:t>
            </w:r>
          </w:p>
        </w:tc>
        <w:tc>
          <w:tcPr>
            <w:tcW w:w="1898" w:type="dxa"/>
            <w:vMerge w:val="restart"/>
            <w:vAlign w:val="center"/>
          </w:tcPr>
          <w:p>
            <w:pPr>
              <w:ind w:right="-113"/>
              <w:jc w:val="center"/>
              <w:rPr>
                <w:rFonts w:ascii="Times New Roman" w:hAnsi="Times New Roman"/>
                <w:spacing w:val="6"/>
                <w:kern w:val="0"/>
                <w:szCs w:val="21"/>
                <w:u w:val="single"/>
              </w:rPr>
            </w:pPr>
            <w:r>
              <w:rPr>
                <w:rFonts w:ascii="Times New Roman" w:hAnsi="Times New Roman"/>
                <w:spacing w:val="6"/>
                <w:kern w:val="0"/>
                <w:szCs w:val="21"/>
                <w:u w:val="single"/>
              </w:rPr>
              <w:t>类比1台锅炉单独掺烧时的数据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颗粒物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7.6</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3.62</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二氧化硫</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8</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3.92</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氮氧化物</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11</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5.24</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镍</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0.0022</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0.001</w:t>
            </w:r>
          </w:p>
        </w:tc>
        <w:tc>
          <w:tcPr>
            <w:tcW w:w="1898" w:type="dxa"/>
            <w:vMerge w:val="continue"/>
            <w:vAlign w:val="center"/>
          </w:tcPr>
          <w:p>
            <w:pPr>
              <w:ind w:right="-113"/>
              <w:jc w:val="center"/>
              <w:rPr>
                <w:rFonts w:ascii="Times New Roman" w:hAnsi="Times New Roman"/>
                <w:spacing w:val="6"/>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dxa"/>
            <w:vMerge w:val="continue"/>
            <w:vAlign w:val="center"/>
          </w:tcPr>
          <w:p>
            <w:pPr>
              <w:ind w:right="-113"/>
              <w:jc w:val="center"/>
              <w:rPr>
                <w:rFonts w:ascii="Times New Roman" w:hAnsi="Times New Roman"/>
                <w:spacing w:val="6"/>
                <w:kern w:val="0"/>
                <w:szCs w:val="21"/>
                <w:u w:val="single"/>
              </w:rPr>
            </w:pPr>
          </w:p>
        </w:tc>
        <w:tc>
          <w:tcPr>
            <w:tcW w:w="1959" w:type="dxa"/>
            <w:vAlign w:val="center"/>
          </w:tcPr>
          <w:p>
            <w:pPr>
              <w:jc w:val="center"/>
              <w:rPr>
                <w:rFonts w:ascii="Times New Roman" w:hAnsi="Times New Roman"/>
                <w:szCs w:val="21"/>
                <w:u w:val="single"/>
              </w:rPr>
            </w:pPr>
            <w:r>
              <w:rPr>
                <w:rFonts w:ascii="Times New Roman" w:hAnsi="Times New Roman"/>
                <w:szCs w:val="21"/>
                <w:u w:val="single"/>
              </w:rPr>
              <w:t>二噁英</w:t>
            </w:r>
          </w:p>
        </w:tc>
        <w:tc>
          <w:tcPr>
            <w:tcW w:w="1837" w:type="dxa"/>
            <w:vAlign w:val="center"/>
          </w:tcPr>
          <w:p>
            <w:pPr>
              <w:jc w:val="center"/>
              <w:rPr>
                <w:rFonts w:ascii="Times New Roman" w:hAnsi="Times New Roman"/>
                <w:szCs w:val="21"/>
                <w:u w:val="single"/>
              </w:rPr>
            </w:pPr>
            <w:r>
              <w:rPr>
                <w:rFonts w:ascii="Times New Roman" w:hAnsi="Times New Roman"/>
                <w:szCs w:val="21"/>
                <w:u w:val="single"/>
              </w:rPr>
              <w:t>0.021ng/m</w:t>
            </w:r>
            <w:r>
              <w:rPr>
                <w:rFonts w:ascii="Times New Roman" w:hAnsi="Times New Roman"/>
                <w:szCs w:val="21"/>
                <w:u w:val="single"/>
                <w:vertAlign w:val="superscript"/>
              </w:rPr>
              <w:t>3</w:t>
            </w:r>
          </w:p>
        </w:tc>
        <w:tc>
          <w:tcPr>
            <w:tcW w:w="2186" w:type="dxa"/>
            <w:vAlign w:val="center"/>
          </w:tcPr>
          <w:p>
            <w:pPr>
              <w:jc w:val="center"/>
              <w:rPr>
                <w:rFonts w:ascii="Times New Roman" w:hAnsi="Times New Roman"/>
                <w:szCs w:val="21"/>
                <w:u w:val="single"/>
              </w:rPr>
            </w:pPr>
            <w:r>
              <w:rPr>
                <w:rFonts w:ascii="Times New Roman" w:hAnsi="Times New Roman"/>
                <w:szCs w:val="21"/>
                <w:u w:val="single"/>
              </w:rPr>
              <w:t>0.01 mg/h</w:t>
            </w:r>
          </w:p>
        </w:tc>
        <w:tc>
          <w:tcPr>
            <w:tcW w:w="1898" w:type="dxa"/>
            <w:vMerge w:val="continue"/>
            <w:vAlign w:val="center"/>
          </w:tcPr>
          <w:p>
            <w:pPr>
              <w:ind w:right="-113"/>
              <w:jc w:val="center"/>
              <w:rPr>
                <w:rFonts w:ascii="Times New Roman" w:hAnsi="Times New Roman"/>
                <w:spacing w:val="6"/>
                <w:kern w:val="0"/>
                <w:szCs w:val="21"/>
                <w:u w:val="single"/>
              </w:rPr>
            </w:pPr>
          </w:p>
        </w:tc>
      </w:tr>
    </w:tbl>
    <w:p>
      <w:pPr>
        <w:spacing w:line="360" w:lineRule="auto"/>
        <w:ind w:firstLine="420" w:firstLineChars="200"/>
        <w:rPr>
          <w:rFonts w:ascii="Times New Roman" w:hAnsi="Times New Roman"/>
          <w:szCs w:val="21"/>
        </w:rPr>
      </w:pPr>
      <w:r>
        <w:rPr>
          <w:rFonts w:ascii="Times New Roman" w:hAnsi="Times New Roman"/>
          <w:szCs w:val="21"/>
        </w:rPr>
        <w:t>注：①二噁英的单位分别为：排放浓度ngTEQ/Nm</w:t>
      </w:r>
      <w:r>
        <w:rPr>
          <w:rFonts w:ascii="Times New Roman" w:hAnsi="Times New Roman"/>
          <w:szCs w:val="21"/>
          <w:vertAlign w:val="superscript"/>
        </w:rPr>
        <w:t>3</w:t>
      </w:r>
      <w:r>
        <w:rPr>
          <w:rFonts w:ascii="Times New Roman" w:hAnsi="Times New Roman"/>
          <w:szCs w:val="21"/>
        </w:rPr>
        <w:t>，排放速率</w:t>
      </w:r>
      <w:r>
        <w:rPr>
          <w:rFonts w:ascii="Times New Roman" w:hAnsi="Times New Roman"/>
          <w:kern w:val="0"/>
          <w:szCs w:val="21"/>
        </w:rPr>
        <w:t>ugTEQ/h，排放量mgTEQ/a，排放标准</w:t>
      </w:r>
      <w:r>
        <w:rPr>
          <w:rFonts w:ascii="Times New Roman" w:hAnsi="Times New Roman"/>
          <w:szCs w:val="21"/>
        </w:rPr>
        <w:t>ngTEQ/Nm</w:t>
      </w:r>
      <w:r>
        <w:rPr>
          <w:rFonts w:ascii="Times New Roman" w:hAnsi="Times New Roman"/>
          <w:szCs w:val="21"/>
          <w:vertAlign w:val="superscript"/>
        </w:rPr>
        <w:t>3</w:t>
      </w:r>
    </w:p>
    <w:p>
      <w:pPr>
        <w:spacing w:line="360"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kern w:val="0"/>
          <w:szCs w:val="21"/>
        </w:rPr>
        <w:t>烟尘 、氮氧化物 、二氧化硫的基准氧含量 为6%，镍、铜、汞、铅、二噁英的基准氧含量为11%。</w:t>
      </w:r>
    </w:p>
    <w:p>
      <w:pPr>
        <w:spacing w:line="360" w:lineRule="auto"/>
        <w:ind w:firstLine="510"/>
        <w:rPr>
          <w:rFonts w:ascii="Times New Roman" w:hAnsi="Times New Roman"/>
        </w:rPr>
      </w:pPr>
      <w:r>
        <w:rPr>
          <w:rFonts w:ascii="Times New Roman" w:hAnsi="Times New Roman"/>
          <w:szCs w:val="21"/>
        </w:rPr>
        <w:t>③林格曼黑度执行《火电厂大气污染物排放标准》（GB13223-2011）表1 排放限值、烟尘、SO</w:t>
      </w:r>
      <w:r>
        <w:rPr>
          <w:rFonts w:ascii="Times New Roman" w:hAnsi="Times New Roman"/>
          <w:szCs w:val="21"/>
          <w:vertAlign w:val="subscript"/>
        </w:rPr>
        <w:t>2</w:t>
      </w: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、汞执行《全面实施燃煤电厂超低排放和节能改造工作方案》要求，镍、铅、铜、二噁英参照执行《危险废物焚烧污染控制标准》GB18484-2001表3限值要求。</w:t>
      </w:r>
    </w:p>
    <w:p>
      <w:pPr>
        <w:pStyle w:val="2"/>
        <w:ind w:left="0" w:leftChars="0" w:firstLine="480"/>
        <w:rPr>
          <w:kern w:val="0"/>
          <w:sz w:val="24"/>
        </w:rPr>
      </w:pPr>
      <w:r>
        <w:rPr>
          <w:kern w:val="0"/>
          <w:sz w:val="24"/>
        </w:rPr>
        <w:t>长岭分公司2019年CFB锅炉烟气自动监测统计数据详见下表：</w:t>
      </w:r>
    </w:p>
    <w:p>
      <w:pPr>
        <w:jc w:val="center"/>
        <w:rPr>
          <w:rFonts w:ascii="Times New Roman" w:hAnsi="Times New Roman"/>
          <w:b/>
          <w:bCs/>
          <w:kern w:val="0"/>
          <w:sz w:val="24"/>
          <w:szCs w:val="24"/>
        </w:rPr>
      </w:pPr>
    </w:p>
    <w:p>
      <w:pPr>
        <w:jc w:val="center"/>
        <w:rPr>
          <w:rFonts w:ascii="Times New Roman" w:hAnsi="Times New Roman"/>
          <w:b/>
          <w:bCs/>
          <w:kern w:val="0"/>
          <w:sz w:val="24"/>
          <w:szCs w:val="24"/>
        </w:rPr>
      </w:pPr>
      <w:r>
        <w:rPr>
          <w:rFonts w:ascii="Times New Roman" w:hAnsi="Times New Roman"/>
          <w:b/>
          <w:bCs/>
          <w:kern w:val="0"/>
          <w:sz w:val="24"/>
          <w:szCs w:val="24"/>
        </w:rPr>
        <w:t>表7.1.1-2  2019年CFB锅炉气自动监测统计数据</w:t>
      </w:r>
    </w:p>
    <w:p>
      <w:pPr>
        <w:pStyle w:val="2"/>
        <w:ind w:left="420" w:firstLine="420"/>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70"/>
        <w:gridCol w:w="1320"/>
        <w:gridCol w:w="1790"/>
        <w:gridCol w:w="114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Align w:val="center"/>
          </w:tcPr>
          <w:p>
            <w:pPr>
              <w:ind w:right="-113"/>
              <w:jc w:val="center"/>
              <w:rPr>
                <w:rFonts w:ascii="Times New Roman" w:hAnsi="Times New Roman"/>
                <w:b/>
                <w:spacing w:val="6"/>
                <w:kern w:val="0"/>
                <w:szCs w:val="21"/>
              </w:rPr>
            </w:pPr>
            <w:r>
              <w:rPr>
                <w:rFonts w:ascii="Times New Roman" w:hAnsi="Times New Roman"/>
                <w:b/>
                <w:spacing w:val="6"/>
                <w:kern w:val="0"/>
                <w:szCs w:val="21"/>
              </w:rPr>
              <w:t>编号</w:t>
            </w:r>
          </w:p>
        </w:tc>
        <w:tc>
          <w:tcPr>
            <w:tcW w:w="1470" w:type="dxa"/>
            <w:vAlign w:val="center"/>
          </w:tcPr>
          <w:p>
            <w:pPr>
              <w:ind w:right="-113"/>
              <w:jc w:val="center"/>
              <w:rPr>
                <w:rFonts w:ascii="Times New Roman" w:hAnsi="Times New Roman"/>
                <w:b/>
                <w:spacing w:val="6"/>
                <w:kern w:val="0"/>
                <w:szCs w:val="21"/>
              </w:rPr>
            </w:pPr>
            <w:r>
              <w:rPr>
                <w:rFonts w:ascii="Times New Roman" w:hAnsi="Times New Roman"/>
                <w:b/>
                <w:spacing w:val="6"/>
                <w:kern w:val="0"/>
                <w:szCs w:val="21"/>
              </w:rPr>
              <w:t>污染因子</w:t>
            </w:r>
          </w:p>
        </w:tc>
        <w:tc>
          <w:tcPr>
            <w:tcW w:w="1320" w:type="dxa"/>
            <w:vAlign w:val="center"/>
          </w:tcPr>
          <w:p>
            <w:pPr>
              <w:ind w:right="-113"/>
              <w:jc w:val="center"/>
              <w:rPr>
                <w:rFonts w:ascii="Times New Roman" w:hAnsi="Times New Roman"/>
                <w:b/>
                <w:spacing w:val="6"/>
                <w:kern w:val="0"/>
                <w:szCs w:val="21"/>
              </w:rPr>
            </w:pPr>
            <w:r>
              <w:rPr>
                <w:rFonts w:ascii="Times New Roman" w:hAnsi="Times New Roman"/>
                <w:b/>
                <w:spacing w:val="6"/>
                <w:kern w:val="0"/>
                <w:szCs w:val="21"/>
              </w:rPr>
              <w:t>排放浓度（mg/m</w:t>
            </w:r>
            <w:r>
              <w:rPr>
                <w:rFonts w:ascii="Times New Roman" w:hAnsi="Times New Roman"/>
                <w:b/>
                <w:spacing w:val="6"/>
                <w:kern w:val="0"/>
                <w:szCs w:val="21"/>
                <w:vertAlign w:val="superscript"/>
              </w:rPr>
              <w:t>3</w:t>
            </w:r>
            <w:r>
              <w:rPr>
                <w:rFonts w:ascii="Times New Roman" w:hAnsi="Times New Roman"/>
                <w:b/>
                <w:spacing w:val="6"/>
                <w:kern w:val="0"/>
                <w:szCs w:val="21"/>
              </w:rPr>
              <w:t>）</w:t>
            </w:r>
          </w:p>
        </w:tc>
        <w:tc>
          <w:tcPr>
            <w:tcW w:w="1790" w:type="dxa"/>
            <w:vAlign w:val="center"/>
          </w:tcPr>
          <w:p>
            <w:pPr>
              <w:ind w:right="-113"/>
              <w:jc w:val="center"/>
              <w:rPr>
                <w:rFonts w:ascii="Times New Roman" w:hAnsi="Times New Roman"/>
                <w:b/>
                <w:spacing w:val="6"/>
                <w:kern w:val="0"/>
                <w:szCs w:val="21"/>
              </w:rPr>
            </w:pPr>
            <w:r>
              <w:rPr>
                <w:rFonts w:ascii="Times New Roman" w:hAnsi="Times New Roman"/>
                <w:b/>
                <w:spacing w:val="6"/>
                <w:kern w:val="0"/>
                <w:szCs w:val="21"/>
              </w:rPr>
              <w:t>排放速率（kg/h）</w:t>
            </w:r>
          </w:p>
        </w:tc>
        <w:tc>
          <w:tcPr>
            <w:tcW w:w="1147" w:type="dxa"/>
            <w:vAlign w:val="center"/>
          </w:tcPr>
          <w:p>
            <w:pPr>
              <w:ind w:right="-113"/>
              <w:jc w:val="center"/>
              <w:rPr>
                <w:rFonts w:ascii="Times New Roman" w:hAnsi="Times New Roman"/>
                <w:b/>
                <w:spacing w:val="6"/>
                <w:kern w:val="0"/>
                <w:szCs w:val="21"/>
              </w:rPr>
            </w:pPr>
            <w:r>
              <w:rPr>
                <w:rFonts w:ascii="Times New Roman" w:hAnsi="Times New Roman"/>
                <w:b/>
                <w:kern w:val="0"/>
                <w:szCs w:val="21"/>
                <w:u w:val="single"/>
              </w:rPr>
              <w:t>排放量（t/a）</w:t>
            </w:r>
          </w:p>
        </w:tc>
        <w:tc>
          <w:tcPr>
            <w:tcW w:w="1611" w:type="dxa"/>
            <w:vAlign w:val="center"/>
          </w:tcPr>
          <w:p>
            <w:pPr>
              <w:ind w:right="-113"/>
              <w:jc w:val="center"/>
              <w:rPr>
                <w:rFonts w:ascii="Times New Roman" w:hAnsi="Times New Roman"/>
                <w:b/>
                <w:spacing w:val="6"/>
                <w:kern w:val="0"/>
                <w:szCs w:val="21"/>
              </w:rPr>
            </w:pPr>
            <w:r>
              <w:rPr>
                <w:rFonts w:ascii="Times New Roman" w:hAnsi="Times New Roman"/>
                <w:b/>
                <w:spacing w:val="6"/>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vAlign w:val="center"/>
          </w:tcPr>
          <w:p>
            <w:pPr>
              <w:ind w:right="-113"/>
              <w:jc w:val="center"/>
              <w:rPr>
                <w:rFonts w:ascii="Times New Roman" w:hAnsi="Times New Roman"/>
                <w:spacing w:val="6"/>
                <w:kern w:val="0"/>
                <w:szCs w:val="21"/>
              </w:rPr>
            </w:pPr>
            <w:r>
              <w:rPr>
                <w:rFonts w:ascii="Times New Roman" w:hAnsi="Times New Roman"/>
                <w:spacing w:val="6"/>
                <w:kern w:val="0"/>
                <w:szCs w:val="21"/>
              </w:rPr>
              <w:t>1台锅炉单独运行</w:t>
            </w:r>
          </w:p>
        </w:tc>
        <w:tc>
          <w:tcPr>
            <w:tcW w:w="1470" w:type="dxa"/>
            <w:vAlign w:val="center"/>
          </w:tcPr>
          <w:p>
            <w:pPr>
              <w:jc w:val="center"/>
              <w:rPr>
                <w:rFonts w:ascii="Times New Roman" w:hAnsi="Times New Roman"/>
                <w:szCs w:val="21"/>
              </w:rPr>
            </w:pPr>
            <w:r>
              <w:rPr>
                <w:rFonts w:ascii="Times New Roman" w:hAnsi="Times New Roman"/>
                <w:szCs w:val="21"/>
              </w:rPr>
              <w:t>烟气量</w:t>
            </w:r>
          </w:p>
        </w:tc>
        <w:tc>
          <w:tcPr>
            <w:tcW w:w="1320" w:type="dxa"/>
            <w:vAlign w:val="center"/>
          </w:tcPr>
          <w:p>
            <w:pPr>
              <w:ind w:right="-113"/>
              <w:jc w:val="center"/>
              <w:rPr>
                <w:rFonts w:ascii="Times New Roman" w:hAnsi="Times New Roman"/>
                <w:spacing w:val="6"/>
                <w:kern w:val="0"/>
                <w:szCs w:val="21"/>
              </w:rPr>
            </w:pPr>
            <w:r>
              <w:rPr>
                <w:rFonts w:ascii="Times New Roman" w:hAnsi="Times New Roman"/>
                <w:spacing w:val="6"/>
                <w:kern w:val="0"/>
                <w:szCs w:val="21"/>
              </w:rPr>
              <w:t>/</w:t>
            </w:r>
          </w:p>
        </w:tc>
        <w:tc>
          <w:tcPr>
            <w:tcW w:w="1790" w:type="dxa"/>
            <w:vAlign w:val="center"/>
          </w:tcPr>
          <w:p>
            <w:pPr>
              <w:ind w:right="-113"/>
              <w:jc w:val="center"/>
              <w:rPr>
                <w:rFonts w:ascii="Times New Roman" w:hAnsi="Times New Roman"/>
                <w:spacing w:val="6"/>
                <w:kern w:val="0"/>
                <w:szCs w:val="21"/>
              </w:rPr>
            </w:pPr>
            <w:r>
              <w:rPr>
                <w:rFonts w:ascii="Times New Roman" w:hAnsi="Times New Roman"/>
                <w:spacing w:val="6"/>
                <w:kern w:val="0"/>
                <w:szCs w:val="21"/>
              </w:rPr>
              <w:t>313841.23m</w:t>
            </w:r>
            <w:r>
              <w:rPr>
                <w:rFonts w:ascii="Times New Roman" w:hAnsi="Times New Roman"/>
                <w:spacing w:val="6"/>
                <w:kern w:val="0"/>
                <w:szCs w:val="21"/>
                <w:vertAlign w:val="superscript"/>
              </w:rPr>
              <w:t>3</w:t>
            </w:r>
            <w:r>
              <w:rPr>
                <w:rFonts w:ascii="Times New Roman" w:hAnsi="Times New Roman"/>
                <w:spacing w:val="6"/>
                <w:kern w:val="0"/>
                <w:szCs w:val="21"/>
              </w:rPr>
              <w:t>/h</w:t>
            </w:r>
          </w:p>
        </w:tc>
        <w:tc>
          <w:tcPr>
            <w:tcW w:w="1147" w:type="dxa"/>
            <w:vAlign w:val="center"/>
          </w:tcPr>
          <w:p>
            <w:pPr>
              <w:ind w:right="-113"/>
              <w:jc w:val="center"/>
              <w:rPr>
                <w:rFonts w:ascii="Times New Roman" w:hAnsi="Times New Roman"/>
                <w:spacing w:val="6"/>
                <w:kern w:val="0"/>
                <w:szCs w:val="21"/>
              </w:rPr>
            </w:pPr>
            <w:r>
              <w:rPr>
                <w:rFonts w:ascii="Times New Roman" w:hAnsi="Times New Roman"/>
                <w:spacing w:val="6"/>
                <w:kern w:val="0"/>
                <w:szCs w:val="21"/>
              </w:rPr>
              <w:t>/</w:t>
            </w:r>
          </w:p>
        </w:tc>
        <w:tc>
          <w:tcPr>
            <w:tcW w:w="1611" w:type="dxa"/>
            <w:vMerge w:val="restart"/>
            <w:vAlign w:val="center"/>
          </w:tcPr>
          <w:p>
            <w:pPr>
              <w:ind w:right="-113"/>
              <w:jc w:val="center"/>
              <w:rPr>
                <w:rFonts w:ascii="Times New Roman" w:hAnsi="Times New Roman"/>
                <w:spacing w:val="6"/>
                <w:kern w:val="0"/>
                <w:szCs w:val="21"/>
              </w:rPr>
            </w:pPr>
            <w:r>
              <w:rPr>
                <w:rFonts w:ascii="Times New Roman" w:hAnsi="Times New Roman"/>
                <w:spacing w:val="6"/>
                <w:kern w:val="0"/>
                <w:szCs w:val="21"/>
              </w:rPr>
              <w:t>2019年在线监测数据，全年平均值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rPr>
            </w:pPr>
          </w:p>
        </w:tc>
        <w:tc>
          <w:tcPr>
            <w:tcW w:w="1470" w:type="dxa"/>
            <w:vAlign w:val="center"/>
          </w:tcPr>
          <w:p>
            <w:pPr>
              <w:jc w:val="center"/>
              <w:rPr>
                <w:rFonts w:ascii="Times New Roman" w:hAnsi="Times New Roman"/>
                <w:szCs w:val="21"/>
              </w:rPr>
            </w:pPr>
            <w:r>
              <w:rPr>
                <w:rFonts w:ascii="Times New Roman" w:hAnsi="Times New Roman"/>
                <w:szCs w:val="21"/>
              </w:rPr>
              <w:t>颗粒物</w:t>
            </w:r>
          </w:p>
        </w:tc>
        <w:tc>
          <w:tcPr>
            <w:tcW w:w="1320" w:type="dxa"/>
            <w:vAlign w:val="center"/>
          </w:tcPr>
          <w:p>
            <w:pPr>
              <w:jc w:val="center"/>
              <w:rPr>
                <w:rFonts w:ascii="Times New Roman" w:hAnsi="Times New Roman"/>
                <w:szCs w:val="21"/>
              </w:rPr>
            </w:pPr>
            <w:r>
              <w:rPr>
                <w:rFonts w:ascii="Times New Roman" w:hAnsi="Times New Roman"/>
                <w:szCs w:val="21"/>
              </w:rPr>
              <w:t>7.06</w:t>
            </w:r>
          </w:p>
        </w:tc>
        <w:tc>
          <w:tcPr>
            <w:tcW w:w="1790" w:type="dxa"/>
            <w:vAlign w:val="center"/>
          </w:tcPr>
          <w:p>
            <w:pPr>
              <w:jc w:val="center"/>
              <w:rPr>
                <w:rFonts w:ascii="Times New Roman" w:hAnsi="Times New Roman"/>
                <w:szCs w:val="21"/>
              </w:rPr>
            </w:pPr>
            <w:r>
              <w:rPr>
                <w:rFonts w:ascii="Times New Roman" w:hAnsi="Times New Roman"/>
                <w:szCs w:val="21"/>
              </w:rPr>
              <w:t>1.813</w:t>
            </w:r>
          </w:p>
        </w:tc>
        <w:tc>
          <w:tcPr>
            <w:tcW w:w="1147" w:type="dxa"/>
            <w:vAlign w:val="center"/>
          </w:tcPr>
          <w:p>
            <w:pPr>
              <w:jc w:val="center"/>
              <w:rPr>
                <w:rFonts w:ascii="Times New Roman" w:hAnsi="Times New Roman"/>
                <w:szCs w:val="21"/>
              </w:rPr>
            </w:pPr>
            <w:r>
              <w:rPr>
                <w:rFonts w:ascii="Times New Roman" w:hAnsi="Times New Roman"/>
                <w:szCs w:val="21"/>
              </w:rPr>
              <w:t>15.88</w:t>
            </w:r>
          </w:p>
        </w:tc>
        <w:tc>
          <w:tcPr>
            <w:tcW w:w="1611" w:type="dxa"/>
            <w:vMerge w:val="continue"/>
            <w:vAlign w:val="center"/>
          </w:tcPr>
          <w:p>
            <w:pPr>
              <w:ind w:right="-113"/>
              <w:jc w:val="center"/>
              <w:rPr>
                <w:rFonts w:ascii="Times New Roman" w:hAnsi="Times New Roman"/>
                <w:spacing w:val="6"/>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rPr>
            </w:pPr>
          </w:p>
        </w:tc>
        <w:tc>
          <w:tcPr>
            <w:tcW w:w="1470" w:type="dxa"/>
            <w:vAlign w:val="center"/>
          </w:tcPr>
          <w:p>
            <w:pPr>
              <w:jc w:val="center"/>
              <w:rPr>
                <w:rFonts w:ascii="Times New Roman" w:hAnsi="Times New Roman"/>
                <w:szCs w:val="21"/>
              </w:rPr>
            </w:pPr>
            <w:r>
              <w:rPr>
                <w:rFonts w:ascii="Times New Roman" w:hAnsi="Times New Roman"/>
                <w:szCs w:val="21"/>
              </w:rPr>
              <w:t>二氧化硫</w:t>
            </w:r>
          </w:p>
        </w:tc>
        <w:tc>
          <w:tcPr>
            <w:tcW w:w="1320" w:type="dxa"/>
            <w:vAlign w:val="center"/>
          </w:tcPr>
          <w:p>
            <w:pPr>
              <w:jc w:val="center"/>
              <w:rPr>
                <w:rFonts w:ascii="Times New Roman" w:hAnsi="Times New Roman"/>
                <w:szCs w:val="21"/>
              </w:rPr>
            </w:pPr>
            <w:r>
              <w:rPr>
                <w:rFonts w:ascii="Times New Roman" w:hAnsi="Times New Roman"/>
                <w:szCs w:val="21"/>
              </w:rPr>
              <w:t>3.56</w:t>
            </w:r>
          </w:p>
        </w:tc>
        <w:tc>
          <w:tcPr>
            <w:tcW w:w="1790" w:type="dxa"/>
            <w:vAlign w:val="center"/>
          </w:tcPr>
          <w:p>
            <w:pPr>
              <w:jc w:val="center"/>
              <w:rPr>
                <w:rFonts w:ascii="Times New Roman" w:hAnsi="Times New Roman"/>
                <w:szCs w:val="21"/>
              </w:rPr>
            </w:pPr>
            <w:r>
              <w:rPr>
                <w:rFonts w:ascii="Times New Roman" w:hAnsi="Times New Roman"/>
                <w:szCs w:val="21"/>
              </w:rPr>
              <w:t>0.911</w:t>
            </w:r>
          </w:p>
        </w:tc>
        <w:tc>
          <w:tcPr>
            <w:tcW w:w="1147" w:type="dxa"/>
            <w:vAlign w:val="center"/>
          </w:tcPr>
          <w:p>
            <w:pPr>
              <w:jc w:val="center"/>
              <w:rPr>
                <w:rFonts w:ascii="Times New Roman" w:hAnsi="Times New Roman"/>
                <w:szCs w:val="21"/>
              </w:rPr>
            </w:pPr>
            <w:r>
              <w:rPr>
                <w:rFonts w:ascii="Times New Roman" w:hAnsi="Times New Roman"/>
                <w:szCs w:val="21"/>
              </w:rPr>
              <w:t>7.98</w:t>
            </w:r>
          </w:p>
        </w:tc>
        <w:tc>
          <w:tcPr>
            <w:tcW w:w="1611" w:type="dxa"/>
            <w:vMerge w:val="continue"/>
            <w:vAlign w:val="center"/>
          </w:tcPr>
          <w:p>
            <w:pPr>
              <w:ind w:right="-113"/>
              <w:jc w:val="center"/>
              <w:rPr>
                <w:rFonts w:ascii="Times New Roman" w:hAnsi="Times New Roman"/>
                <w:spacing w:val="6"/>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rPr>
            </w:pPr>
          </w:p>
        </w:tc>
        <w:tc>
          <w:tcPr>
            <w:tcW w:w="1470" w:type="dxa"/>
            <w:vAlign w:val="center"/>
          </w:tcPr>
          <w:p>
            <w:pPr>
              <w:jc w:val="center"/>
              <w:rPr>
                <w:rFonts w:ascii="Times New Roman" w:hAnsi="Times New Roman"/>
                <w:szCs w:val="21"/>
              </w:rPr>
            </w:pPr>
            <w:r>
              <w:rPr>
                <w:rFonts w:ascii="Times New Roman" w:hAnsi="Times New Roman"/>
                <w:szCs w:val="21"/>
              </w:rPr>
              <w:t>氮氧化物</w:t>
            </w:r>
          </w:p>
        </w:tc>
        <w:tc>
          <w:tcPr>
            <w:tcW w:w="1320" w:type="dxa"/>
            <w:vAlign w:val="center"/>
          </w:tcPr>
          <w:p>
            <w:pPr>
              <w:jc w:val="center"/>
              <w:rPr>
                <w:rFonts w:ascii="Times New Roman" w:hAnsi="Times New Roman"/>
                <w:szCs w:val="21"/>
              </w:rPr>
            </w:pPr>
            <w:r>
              <w:rPr>
                <w:rFonts w:ascii="Times New Roman" w:hAnsi="Times New Roman"/>
                <w:szCs w:val="21"/>
              </w:rPr>
              <w:t>9.81</w:t>
            </w:r>
          </w:p>
        </w:tc>
        <w:tc>
          <w:tcPr>
            <w:tcW w:w="1790" w:type="dxa"/>
            <w:vAlign w:val="center"/>
          </w:tcPr>
          <w:p>
            <w:pPr>
              <w:jc w:val="center"/>
              <w:rPr>
                <w:rFonts w:ascii="Times New Roman" w:hAnsi="Times New Roman"/>
                <w:szCs w:val="21"/>
              </w:rPr>
            </w:pPr>
            <w:r>
              <w:rPr>
                <w:rFonts w:ascii="Times New Roman" w:hAnsi="Times New Roman"/>
                <w:szCs w:val="21"/>
              </w:rPr>
              <w:t>2.583</w:t>
            </w:r>
          </w:p>
        </w:tc>
        <w:tc>
          <w:tcPr>
            <w:tcW w:w="1147" w:type="dxa"/>
            <w:vAlign w:val="center"/>
          </w:tcPr>
          <w:p>
            <w:pPr>
              <w:jc w:val="center"/>
              <w:rPr>
                <w:rFonts w:ascii="Times New Roman" w:hAnsi="Times New Roman"/>
                <w:szCs w:val="21"/>
              </w:rPr>
            </w:pPr>
            <w:r>
              <w:rPr>
                <w:rFonts w:ascii="Times New Roman" w:hAnsi="Times New Roman"/>
                <w:szCs w:val="21"/>
              </w:rPr>
              <w:t>22.63</w:t>
            </w:r>
          </w:p>
        </w:tc>
        <w:tc>
          <w:tcPr>
            <w:tcW w:w="1611" w:type="dxa"/>
            <w:vMerge w:val="continue"/>
            <w:vAlign w:val="center"/>
          </w:tcPr>
          <w:p>
            <w:pPr>
              <w:ind w:right="-113"/>
              <w:jc w:val="center"/>
              <w:rPr>
                <w:rFonts w:ascii="Times New Roman" w:hAnsi="Times New Roman"/>
                <w:spacing w:val="6"/>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restart"/>
            <w:vAlign w:val="center"/>
          </w:tcPr>
          <w:p>
            <w:pPr>
              <w:ind w:right="-113"/>
              <w:jc w:val="center"/>
              <w:rPr>
                <w:rFonts w:ascii="Times New Roman" w:hAnsi="Times New Roman"/>
                <w:spacing w:val="6"/>
                <w:kern w:val="0"/>
                <w:szCs w:val="21"/>
              </w:rPr>
            </w:pPr>
            <w:r>
              <w:rPr>
                <w:rFonts w:ascii="Times New Roman" w:hAnsi="Times New Roman"/>
                <w:spacing w:val="6"/>
                <w:kern w:val="0"/>
                <w:szCs w:val="21"/>
              </w:rPr>
              <w:t>2台锅炉同时运行</w:t>
            </w:r>
          </w:p>
        </w:tc>
        <w:tc>
          <w:tcPr>
            <w:tcW w:w="1470" w:type="dxa"/>
            <w:vAlign w:val="center"/>
          </w:tcPr>
          <w:p>
            <w:pPr>
              <w:jc w:val="center"/>
              <w:rPr>
                <w:rFonts w:ascii="Times New Roman" w:hAnsi="Times New Roman"/>
                <w:szCs w:val="21"/>
              </w:rPr>
            </w:pPr>
            <w:r>
              <w:rPr>
                <w:rFonts w:ascii="Times New Roman" w:hAnsi="Times New Roman"/>
                <w:szCs w:val="21"/>
              </w:rPr>
              <w:t>烟气量</w:t>
            </w:r>
          </w:p>
        </w:tc>
        <w:tc>
          <w:tcPr>
            <w:tcW w:w="1320" w:type="dxa"/>
            <w:vAlign w:val="center"/>
          </w:tcPr>
          <w:p>
            <w:pPr>
              <w:ind w:right="-113"/>
              <w:jc w:val="center"/>
              <w:rPr>
                <w:rFonts w:ascii="Times New Roman" w:hAnsi="Times New Roman"/>
                <w:spacing w:val="6"/>
                <w:kern w:val="0"/>
                <w:szCs w:val="21"/>
              </w:rPr>
            </w:pPr>
            <w:r>
              <w:rPr>
                <w:rFonts w:ascii="Times New Roman" w:hAnsi="Times New Roman"/>
                <w:spacing w:val="6"/>
                <w:kern w:val="0"/>
                <w:szCs w:val="21"/>
              </w:rPr>
              <w:t>/</w:t>
            </w:r>
          </w:p>
        </w:tc>
        <w:tc>
          <w:tcPr>
            <w:tcW w:w="1790" w:type="dxa"/>
            <w:vAlign w:val="center"/>
          </w:tcPr>
          <w:p>
            <w:pPr>
              <w:ind w:right="-113"/>
              <w:jc w:val="center"/>
              <w:rPr>
                <w:rFonts w:ascii="Times New Roman" w:hAnsi="Times New Roman"/>
                <w:spacing w:val="6"/>
                <w:kern w:val="0"/>
                <w:szCs w:val="21"/>
              </w:rPr>
            </w:pPr>
            <w:r>
              <w:rPr>
                <w:rFonts w:ascii="Times New Roman" w:hAnsi="Times New Roman"/>
                <w:spacing w:val="6"/>
                <w:kern w:val="0"/>
                <w:szCs w:val="21"/>
              </w:rPr>
              <w:t>608269.82m</w:t>
            </w:r>
            <w:r>
              <w:rPr>
                <w:rFonts w:ascii="Times New Roman" w:hAnsi="Times New Roman"/>
                <w:spacing w:val="6"/>
                <w:kern w:val="0"/>
                <w:szCs w:val="21"/>
                <w:vertAlign w:val="superscript"/>
              </w:rPr>
              <w:t>3</w:t>
            </w:r>
            <w:r>
              <w:rPr>
                <w:rFonts w:ascii="Times New Roman" w:hAnsi="Times New Roman"/>
                <w:spacing w:val="6"/>
                <w:kern w:val="0"/>
                <w:szCs w:val="21"/>
              </w:rPr>
              <w:t>/h</w:t>
            </w:r>
          </w:p>
        </w:tc>
        <w:tc>
          <w:tcPr>
            <w:tcW w:w="1147" w:type="dxa"/>
            <w:vAlign w:val="center"/>
          </w:tcPr>
          <w:p>
            <w:pPr>
              <w:ind w:right="-113"/>
              <w:jc w:val="center"/>
              <w:rPr>
                <w:rFonts w:ascii="Times New Roman" w:hAnsi="Times New Roman"/>
                <w:spacing w:val="6"/>
                <w:kern w:val="0"/>
                <w:szCs w:val="21"/>
              </w:rPr>
            </w:pPr>
            <w:r>
              <w:rPr>
                <w:rFonts w:ascii="Times New Roman" w:hAnsi="Times New Roman"/>
                <w:spacing w:val="6"/>
                <w:kern w:val="0"/>
                <w:szCs w:val="21"/>
              </w:rPr>
              <w:t>/</w:t>
            </w:r>
          </w:p>
        </w:tc>
        <w:tc>
          <w:tcPr>
            <w:tcW w:w="1611" w:type="dxa"/>
            <w:vMerge w:val="restart"/>
            <w:vAlign w:val="center"/>
          </w:tcPr>
          <w:p>
            <w:pPr>
              <w:ind w:right="-113"/>
              <w:jc w:val="center"/>
              <w:rPr>
                <w:rFonts w:ascii="Times New Roman" w:hAnsi="Times New Roman"/>
                <w:spacing w:val="6"/>
                <w:kern w:val="0"/>
                <w:szCs w:val="21"/>
              </w:rPr>
            </w:pPr>
            <w:r>
              <w:rPr>
                <w:rFonts w:ascii="Times New Roman" w:hAnsi="Times New Roman"/>
                <w:spacing w:val="6"/>
                <w:kern w:val="0"/>
                <w:szCs w:val="21"/>
              </w:rPr>
              <w:t>2019年在线监测数据，全年平均值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rPr>
            </w:pPr>
          </w:p>
        </w:tc>
        <w:tc>
          <w:tcPr>
            <w:tcW w:w="1470" w:type="dxa"/>
            <w:vAlign w:val="center"/>
          </w:tcPr>
          <w:p>
            <w:pPr>
              <w:jc w:val="center"/>
              <w:rPr>
                <w:rFonts w:ascii="Times New Roman" w:hAnsi="Times New Roman"/>
                <w:szCs w:val="21"/>
              </w:rPr>
            </w:pPr>
            <w:r>
              <w:rPr>
                <w:rFonts w:ascii="Times New Roman" w:hAnsi="Times New Roman"/>
                <w:szCs w:val="21"/>
              </w:rPr>
              <w:t>颗粒物</w:t>
            </w:r>
          </w:p>
        </w:tc>
        <w:tc>
          <w:tcPr>
            <w:tcW w:w="1320" w:type="dxa"/>
            <w:vAlign w:val="center"/>
          </w:tcPr>
          <w:p>
            <w:pPr>
              <w:jc w:val="center"/>
              <w:rPr>
                <w:rFonts w:ascii="Times New Roman" w:hAnsi="Times New Roman"/>
                <w:szCs w:val="21"/>
              </w:rPr>
            </w:pPr>
            <w:r>
              <w:rPr>
                <w:rFonts w:ascii="Times New Roman" w:hAnsi="Times New Roman"/>
                <w:szCs w:val="21"/>
              </w:rPr>
              <w:t>7.03</w:t>
            </w:r>
          </w:p>
        </w:tc>
        <w:tc>
          <w:tcPr>
            <w:tcW w:w="1790" w:type="dxa"/>
            <w:vAlign w:val="center"/>
          </w:tcPr>
          <w:p>
            <w:pPr>
              <w:jc w:val="center"/>
              <w:rPr>
                <w:rFonts w:ascii="Times New Roman" w:hAnsi="Times New Roman"/>
                <w:szCs w:val="21"/>
              </w:rPr>
            </w:pPr>
            <w:r>
              <w:rPr>
                <w:rFonts w:ascii="Times New Roman" w:hAnsi="Times New Roman"/>
                <w:szCs w:val="21"/>
              </w:rPr>
              <w:t>3.526</w:t>
            </w:r>
          </w:p>
        </w:tc>
        <w:tc>
          <w:tcPr>
            <w:tcW w:w="1147" w:type="dxa"/>
            <w:vAlign w:val="center"/>
          </w:tcPr>
          <w:p>
            <w:pPr>
              <w:jc w:val="center"/>
              <w:rPr>
                <w:rFonts w:ascii="Times New Roman" w:hAnsi="Times New Roman"/>
                <w:szCs w:val="21"/>
              </w:rPr>
            </w:pPr>
            <w:r>
              <w:rPr>
                <w:rFonts w:ascii="Times New Roman" w:hAnsi="Times New Roman"/>
                <w:szCs w:val="21"/>
              </w:rPr>
              <w:t>30.89</w:t>
            </w:r>
          </w:p>
        </w:tc>
        <w:tc>
          <w:tcPr>
            <w:tcW w:w="1611" w:type="dxa"/>
            <w:vMerge w:val="continue"/>
            <w:vAlign w:val="center"/>
          </w:tcPr>
          <w:p>
            <w:pPr>
              <w:ind w:right="-113"/>
              <w:jc w:val="center"/>
              <w:rPr>
                <w:rFonts w:ascii="Times New Roman" w:hAnsi="Times New Roman"/>
                <w:spacing w:val="6"/>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rPr>
            </w:pPr>
          </w:p>
        </w:tc>
        <w:tc>
          <w:tcPr>
            <w:tcW w:w="1470" w:type="dxa"/>
            <w:vAlign w:val="center"/>
          </w:tcPr>
          <w:p>
            <w:pPr>
              <w:jc w:val="center"/>
              <w:rPr>
                <w:rFonts w:ascii="Times New Roman" w:hAnsi="Times New Roman"/>
                <w:szCs w:val="21"/>
              </w:rPr>
            </w:pPr>
            <w:r>
              <w:rPr>
                <w:rFonts w:ascii="Times New Roman" w:hAnsi="Times New Roman"/>
                <w:szCs w:val="21"/>
              </w:rPr>
              <w:t>二氧化硫</w:t>
            </w:r>
          </w:p>
        </w:tc>
        <w:tc>
          <w:tcPr>
            <w:tcW w:w="1320" w:type="dxa"/>
            <w:vAlign w:val="center"/>
          </w:tcPr>
          <w:p>
            <w:pPr>
              <w:jc w:val="center"/>
              <w:rPr>
                <w:rFonts w:ascii="Times New Roman" w:hAnsi="Times New Roman"/>
                <w:szCs w:val="21"/>
              </w:rPr>
            </w:pPr>
            <w:r>
              <w:rPr>
                <w:rFonts w:ascii="Times New Roman" w:hAnsi="Times New Roman"/>
                <w:szCs w:val="21"/>
              </w:rPr>
              <w:t>1.84</w:t>
            </w:r>
          </w:p>
        </w:tc>
        <w:tc>
          <w:tcPr>
            <w:tcW w:w="1790" w:type="dxa"/>
            <w:vAlign w:val="center"/>
          </w:tcPr>
          <w:p>
            <w:pPr>
              <w:jc w:val="center"/>
              <w:rPr>
                <w:rFonts w:ascii="Times New Roman" w:hAnsi="Times New Roman"/>
                <w:szCs w:val="21"/>
              </w:rPr>
            </w:pPr>
            <w:r>
              <w:rPr>
                <w:rFonts w:ascii="Times New Roman" w:hAnsi="Times New Roman"/>
                <w:szCs w:val="21"/>
              </w:rPr>
              <w:t>0.930</w:t>
            </w:r>
          </w:p>
        </w:tc>
        <w:tc>
          <w:tcPr>
            <w:tcW w:w="1147" w:type="dxa"/>
            <w:vAlign w:val="center"/>
          </w:tcPr>
          <w:p>
            <w:pPr>
              <w:jc w:val="center"/>
              <w:rPr>
                <w:rFonts w:ascii="Times New Roman" w:hAnsi="Times New Roman"/>
                <w:szCs w:val="21"/>
              </w:rPr>
            </w:pPr>
            <w:r>
              <w:rPr>
                <w:rFonts w:ascii="Times New Roman" w:hAnsi="Times New Roman"/>
                <w:szCs w:val="21"/>
              </w:rPr>
              <w:t>8.15</w:t>
            </w:r>
          </w:p>
        </w:tc>
        <w:tc>
          <w:tcPr>
            <w:tcW w:w="1611" w:type="dxa"/>
            <w:vMerge w:val="continue"/>
            <w:vAlign w:val="center"/>
          </w:tcPr>
          <w:p>
            <w:pPr>
              <w:ind w:right="-113"/>
              <w:jc w:val="center"/>
              <w:rPr>
                <w:rFonts w:ascii="Times New Roman" w:hAnsi="Times New Roman"/>
                <w:spacing w:val="6"/>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8" w:type="dxa"/>
            <w:vMerge w:val="continue"/>
            <w:vAlign w:val="center"/>
          </w:tcPr>
          <w:p>
            <w:pPr>
              <w:ind w:right="-113"/>
              <w:jc w:val="center"/>
              <w:rPr>
                <w:rFonts w:ascii="Times New Roman" w:hAnsi="Times New Roman"/>
                <w:spacing w:val="6"/>
                <w:kern w:val="0"/>
                <w:szCs w:val="21"/>
              </w:rPr>
            </w:pPr>
          </w:p>
        </w:tc>
        <w:tc>
          <w:tcPr>
            <w:tcW w:w="1470" w:type="dxa"/>
            <w:vAlign w:val="center"/>
          </w:tcPr>
          <w:p>
            <w:pPr>
              <w:jc w:val="center"/>
              <w:rPr>
                <w:rFonts w:ascii="Times New Roman" w:hAnsi="Times New Roman"/>
                <w:szCs w:val="21"/>
              </w:rPr>
            </w:pPr>
            <w:r>
              <w:rPr>
                <w:rFonts w:ascii="Times New Roman" w:hAnsi="Times New Roman"/>
                <w:szCs w:val="21"/>
              </w:rPr>
              <w:t>氮氧化物</w:t>
            </w:r>
          </w:p>
        </w:tc>
        <w:tc>
          <w:tcPr>
            <w:tcW w:w="1320" w:type="dxa"/>
            <w:vAlign w:val="center"/>
          </w:tcPr>
          <w:p>
            <w:pPr>
              <w:jc w:val="center"/>
              <w:rPr>
                <w:rFonts w:ascii="Times New Roman" w:hAnsi="Times New Roman"/>
                <w:szCs w:val="21"/>
              </w:rPr>
            </w:pPr>
            <w:r>
              <w:rPr>
                <w:rFonts w:ascii="Times New Roman" w:hAnsi="Times New Roman"/>
                <w:szCs w:val="21"/>
              </w:rPr>
              <w:t>11.93</w:t>
            </w:r>
          </w:p>
        </w:tc>
        <w:tc>
          <w:tcPr>
            <w:tcW w:w="1790" w:type="dxa"/>
            <w:vAlign w:val="center"/>
          </w:tcPr>
          <w:p>
            <w:pPr>
              <w:jc w:val="center"/>
              <w:rPr>
                <w:rFonts w:ascii="Times New Roman" w:hAnsi="Times New Roman"/>
                <w:szCs w:val="21"/>
              </w:rPr>
            </w:pPr>
            <w:r>
              <w:rPr>
                <w:rFonts w:ascii="Times New Roman" w:hAnsi="Times New Roman"/>
                <w:szCs w:val="21"/>
              </w:rPr>
              <w:t>5.996</w:t>
            </w:r>
          </w:p>
        </w:tc>
        <w:tc>
          <w:tcPr>
            <w:tcW w:w="1147" w:type="dxa"/>
            <w:vAlign w:val="center"/>
          </w:tcPr>
          <w:p>
            <w:pPr>
              <w:jc w:val="center"/>
              <w:rPr>
                <w:rFonts w:ascii="Times New Roman" w:hAnsi="Times New Roman"/>
                <w:szCs w:val="21"/>
              </w:rPr>
            </w:pPr>
            <w:r>
              <w:rPr>
                <w:rFonts w:ascii="Times New Roman" w:hAnsi="Times New Roman"/>
                <w:szCs w:val="21"/>
              </w:rPr>
              <w:t>52.52</w:t>
            </w:r>
          </w:p>
        </w:tc>
        <w:tc>
          <w:tcPr>
            <w:tcW w:w="1611" w:type="dxa"/>
            <w:vMerge w:val="continue"/>
            <w:vAlign w:val="center"/>
          </w:tcPr>
          <w:p>
            <w:pPr>
              <w:ind w:right="-113"/>
              <w:jc w:val="center"/>
              <w:rPr>
                <w:rFonts w:ascii="Times New Roman" w:hAnsi="Times New Roman"/>
                <w:spacing w:val="6"/>
                <w:kern w:val="0"/>
                <w:szCs w:val="21"/>
              </w:rPr>
            </w:pPr>
          </w:p>
        </w:tc>
      </w:tr>
    </w:tbl>
    <w:p>
      <w:pPr>
        <w:pStyle w:val="2"/>
        <w:ind w:left="0" w:leftChars="0" w:firstLine="0" w:firstLineChars="0"/>
      </w:pPr>
    </w:p>
    <w:p>
      <w:pPr>
        <w:spacing w:line="360" w:lineRule="auto"/>
        <w:ind w:firstLine="480" w:firstLineChars="200"/>
        <w:jc w:val="left"/>
        <w:rPr>
          <w:rFonts w:ascii="Times New Roman" w:hAnsi="Times New Roman"/>
          <w:sz w:val="24"/>
          <w:szCs w:val="24"/>
        </w:rPr>
      </w:pPr>
      <w:r>
        <w:rPr>
          <w:rFonts w:ascii="Times New Roman" w:hAnsi="Times New Roman"/>
          <w:sz w:val="24"/>
          <w:szCs w:val="24"/>
        </w:rPr>
        <w:t>从以上两个表中数据可以看出，掺烧油泥浮渣，仅增加少量烟尘、SO</w:t>
      </w:r>
      <w:r>
        <w:rPr>
          <w:rFonts w:ascii="Times New Roman" w:hAnsi="Times New Roman"/>
          <w:sz w:val="24"/>
          <w:szCs w:val="24"/>
          <w:vertAlign w:val="subscript"/>
        </w:rPr>
        <w:t>2</w:t>
      </w:r>
      <w:r>
        <w:rPr>
          <w:rFonts w:ascii="Times New Roman" w:hAnsi="Times New Roman"/>
          <w:sz w:val="24"/>
          <w:szCs w:val="24"/>
        </w:rPr>
        <w:t>的排放量。</w:t>
      </w:r>
      <w:r>
        <w:rPr>
          <w:rFonts w:ascii="Times New Roman" w:hAnsi="Times New Roman"/>
          <w:kern w:val="0"/>
          <w:sz w:val="24"/>
          <w:szCs w:val="24"/>
        </w:rPr>
        <w:t>根据监测数据可以看出，排放浓度达到了《危险废物焚烧污染控制标准》GB18484-2001表3限值要求。</w:t>
      </w:r>
      <w:r>
        <w:rPr>
          <w:rFonts w:ascii="Times New Roman" w:hAnsi="Times New Roman"/>
          <w:sz w:val="24"/>
          <w:szCs w:val="24"/>
        </w:rPr>
        <w:t>因此本次掺烧烟气无需对二噁英、重金属等新增指标进行专项治理。</w:t>
      </w:r>
    </w:p>
    <w:p>
      <w:pPr>
        <w:spacing w:line="360" w:lineRule="auto"/>
        <w:ind w:firstLine="480" w:firstLineChars="200"/>
        <w:jc w:val="left"/>
        <w:rPr>
          <w:rFonts w:ascii="Times New Roman" w:hAnsi="Times New Roman"/>
          <w:kern w:val="0"/>
          <w:sz w:val="24"/>
          <w:szCs w:val="24"/>
        </w:rPr>
      </w:pPr>
      <w:r>
        <w:rPr>
          <w:rFonts w:ascii="Times New Roman" w:hAnsi="Times New Roman"/>
          <w:kern w:val="0"/>
          <w:sz w:val="24"/>
          <w:szCs w:val="24"/>
        </w:rPr>
        <w:t>本项目CFB锅炉油泥浮渣焚烧量12000t/a，烟囱高度100m，符合GB18484-2001《危险废物焚烧污染控制标准》中排气筒最低允许高度的要求。</w:t>
      </w:r>
    </w:p>
    <w:p>
      <w:pPr>
        <w:spacing w:line="360" w:lineRule="auto"/>
        <w:ind w:firstLine="510"/>
        <w:jc w:val="center"/>
        <w:rPr>
          <w:rFonts w:ascii="Times New Roman" w:hAnsi="Times New Roman"/>
          <w:b/>
          <w:bCs/>
          <w:kern w:val="0"/>
          <w:sz w:val="24"/>
          <w:szCs w:val="24"/>
        </w:rPr>
      </w:pPr>
      <w:r>
        <w:rPr>
          <w:rFonts w:ascii="Times New Roman" w:hAnsi="Times New Roman"/>
          <w:b/>
          <w:bCs/>
          <w:kern w:val="0"/>
          <w:sz w:val="24"/>
          <w:szCs w:val="24"/>
        </w:rPr>
        <w:t>表7.1.1-3  焚烧炉排气筒高度</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0"/>
        <w:gridCol w:w="3005"/>
        <w:gridCol w:w="2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0" w:type="dxa"/>
            <w:vAlign w:val="center"/>
          </w:tcPr>
          <w:p>
            <w:pPr>
              <w:jc w:val="center"/>
              <w:rPr>
                <w:rFonts w:ascii="Times New Roman" w:hAnsi="Times New Roman"/>
                <w:b/>
                <w:bCs/>
                <w:szCs w:val="21"/>
              </w:rPr>
            </w:pPr>
            <w:r>
              <w:rPr>
                <w:rFonts w:ascii="Times New Roman" w:hAnsi="Times New Roman"/>
                <w:b/>
                <w:bCs/>
                <w:szCs w:val="21"/>
              </w:rPr>
              <w:t>焚烧量（kg/h）</w:t>
            </w:r>
          </w:p>
        </w:tc>
        <w:tc>
          <w:tcPr>
            <w:tcW w:w="3005" w:type="dxa"/>
            <w:vAlign w:val="center"/>
          </w:tcPr>
          <w:p>
            <w:pPr>
              <w:jc w:val="center"/>
              <w:rPr>
                <w:rFonts w:ascii="Times New Roman" w:hAnsi="Times New Roman"/>
                <w:b/>
                <w:bCs/>
                <w:szCs w:val="21"/>
              </w:rPr>
            </w:pPr>
            <w:r>
              <w:rPr>
                <w:rFonts w:ascii="Times New Roman" w:hAnsi="Times New Roman"/>
                <w:b/>
                <w:bCs/>
                <w:szCs w:val="21"/>
              </w:rPr>
              <w:t>废物种类</w:t>
            </w:r>
          </w:p>
        </w:tc>
        <w:tc>
          <w:tcPr>
            <w:tcW w:w="2943" w:type="dxa"/>
            <w:vAlign w:val="center"/>
          </w:tcPr>
          <w:p>
            <w:pPr>
              <w:jc w:val="center"/>
              <w:rPr>
                <w:rFonts w:ascii="Times New Roman" w:hAnsi="Times New Roman"/>
                <w:b/>
                <w:bCs/>
                <w:szCs w:val="21"/>
              </w:rPr>
            </w:pPr>
            <w:r>
              <w:rPr>
                <w:rFonts w:ascii="Times New Roman" w:hAnsi="Times New Roman"/>
                <w:b/>
                <w:bCs/>
                <w:szCs w:val="21"/>
              </w:rPr>
              <w:t>排气筒最低允许高度（m）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0" w:type="dxa"/>
            <w:vMerge w:val="restart"/>
            <w:vAlign w:val="center"/>
          </w:tcPr>
          <w:p>
            <w:pPr>
              <w:jc w:val="center"/>
              <w:rPr>
                <w:rFonts w:ascii="Times New Roman" w:hAnsi="Times New Roman"/>
                <w:szCs w:val="21"/>
              </w:rPr>
            </w:pPr>
            <w:r>
              <w:rPr>
                <w:rFonts w:ascii="Times New Roman" w:hAnsi="Times New Roman"/>
                <w:szCs w:val="21"/>
              </w:rPr>
              <w:t>≤300</w:t>
            </w:r>
          </w:p>
        </w:tc>
        <w:tc>
          <w:tcPr>
            <w:tcW w:w="3005" w:type="dxa"/>
            <w:vAlign w:val="center"/>
          </w:tcPr>
          <w:p>
            <w:pPr>
              <w:jc w:val="center"/>
              <w:rPr>
                <w:rFonts w:ascii="Times New Roman" w:hAnsi="Times New Roman"/>
                <w:szCs w:val="21"/>
              </w:rPr>
            </w:pPr>
            <w:r>
              <w:rPr>
                <w:rFonts w:ascii="Times New Roman" w:hAnsi="Times New Roman"/>
                <w:szCs w:val="21"/>
              </w:rPr>
              <w:t>医院临床废物</w:t>
            </w:r>
          </w:p>
        </w:tc>
        <w:tc>
          <w:tcPr>
            <w:tcW w:w="2943" w:type="dxa"/>
            <w:vAlign w:val="center"/>
          </w:tcPr>
          <w:p>
            <w:pPr>
              <w:jc w:val="center"/>
              <w:rPr>
                <w:rFonts w:ascii="Times New Roman" w:hAnsi="Times New Roman"/>
                <w:szCs w:val="21"/>
              </w:rPr>
            </w:pPr>
            <w:r>
              <w:rPr>
                <w:rFonts w:ascii="Times New Roman" w:hAnsi="Times New Roman"/>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0" w:type="dxa"/>
            <w:vMerge w:val="continue"/>
            <w:vAlign w:val="center"/>
          </w:tcPr>
          <w:p>
            <w:pPr>
              <w:jc w:val="center"/>
              <w:rPr>
                <w:rFonts w:ascii="Times New Roman" w:hAnsi="Times New Roman"/>
                <w:szCs w:val="21"/>
              </w:rPr>
            </w:pPr>
          </w:p>
        </w:tc>
        <w:tc>
          <w:tcPr>
            <w:tcW w:w="3005" w:type="dxa"/>
            <w:vAlign w:val="center"/>
          </w:tcPr>
          <w:p>
            <w:pPr>
              <w:jc w:val="center"/>
              <w:rPr>
                <w:rFonts w:ascii="Times New Roman" w:hAnsi="Times New Roman"/>
                <w:szCs w:val="21"/>
              </w:rPr>
            </w:pPr>
            <w:r>
              <w:rPr>
                <w:rFonts w:ascii="Times New Roman" w:hAnsi="Times New Roman"/>
                <w:szCs w:val="21"/>
              </w:rPr>
              <w:t>除医院临床废物以外的第4.2条规定的危险废物</w:t>
            </w:r>
          </w:p>
        </w:tc>
        <w:tc>
          <w:tcPr>
            <w:tcW w:w="2943" w:type="dxa"/>
            <w:vAlign w:val="center"/>
          </w:tcPr>
          <w:p>
            <w:pPr>
              <w:jc w:val="center"/>
              <w:rPr>
                <w:rFonts w:ascii="Times New Roman" w:hAnsi="Times New Roman"/>
                <w:szCs w:val="21"/>
              </w:rPr>
            </w:pPr>
            <w:r>
              <w:rPr>
                <w:rFonts w:ascii="Times New Roman" w:hAnsi="Times New Roman"/>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0" w:type="dxa"/>
            <w:vAlign w:val="center"/>
          </w:tcPr>
          <w:p>
            <w:pPr>
              <w:jc w:val="center"/>
              <w:rPr>
                <w:rFonts w:ascii="Times New Roman" w:hAnsi="Times New Roman"/>
                <w:szCs w:val="21"/>
              </w:rPr>
            </w:pPr>
            <w:r>
              <w:rPr>
                <w:rFonts w:ascii="Times New Roman" w:hAnsi="Times New Roman"/>
                <w:szCs w:val="21"/>
              </w:rPr>
              <w:t>300~2000</w:t>
            </w:r>
          </w:p>
        </w:tc>
        <w:tc>
          <w:tcPr>
            <w:tcW w:w="3005" w:type="dxa"/>
            <w:vAlign w:val="center"/>
          </w:tcPr>
          <w:p>
            <w:pPr>
              <w:jc w:val="center"/>
              <w:rPr>
                <w:rFonts w:ascii="Times New Roman" w:hAnsi="Times New Roman"/>
                <w:szCs w:val="21"/>
              </w:rPr>
            </w:pPr>
            <w:r>
              <w:rPr>
                <w:rFonts w:ascii="Times New Roman" w:hAnsi="Times New Roman"/>
                <w:szCs w:val="21"/>
              </w:rPr>
              <w:t>第4.2条规定的危险废物</w:t>
            </w:r>
          </w:p>
        </w:tc>
        <w:tc>
          <w:tcPr>
            <w:tcW w:w="2943" w:type="dxa"/>
            <w:vAlign w:val="center"/>
          </w:tcPr>
          <w:p>
            <w:pPr>
              <w:jc w:val="center"/>
              <w:rPr>
                <w:rFonts w:ascii="Times New Roman" w:hAnsi="Times New Roman"/>
                <w:szCs w:val="21"/>
              </w:rPr>
            </w:pPr>
            <w:r>
              <w:rPr>
                <w:rFonts w:ascii="Times New Roman" w:hAnsi="Times New Roman"/>
                <w:szCs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0" w:type="dxa"/>
            <w:vAlign w:val="center"/>
          </w:tcPr>
          <w:p>
            <w:pPr>
              <w:jc w:val="center"/>
              <w:rPr>
                <w:rFonts w:ascii="Times New Roman" w:hAnsi="Times New Roman"/>
                <w:szCs w:val="21"/>
              </w:rPr>
            </w:pPr>
            <w:r>
              <w:rPr>
                <w:rFonts w:ascii="Times New Roman" w:hAnsi="Times New Roman"/>
                <w:szCs w:val="21"/>
              </w:rPr>
              <w:t>2000~2500</w:t>
            </w:r>
          </w:p>
        </w:tc>
        <w:tc>
          <w:tcPr>
            <w:tcW w:w="3005" w:type="dxa"/>
            <w:vAlign w:val="center"/>
          </w:tcPr>
          <w:p>
            <w:pPr>
              <w:jc w:val="center"/>
              <w:rPr>
                <w:rFonts w:ascii="Times New Roman" w:hAnsi="Times New Roman"/>
                <w:szCs w:val="21"/>
              </w:rPr>
            </w:pPr>
            <w:r>
              <w:rPr>
                <w:rFonts w:ascii="Times New Roman" w:hAnsi="Times New Roman"/>
                <w:szCs w:val="21"/>
              </w:rPr>
              <w:t>第4.2条规定的危险废物</w:t>
            </w:r>
          </w:p>
        </w:tc>
        <w:tc>
          <w:tcPr>
            <w:tcW w:w="2943" w:type="dxa"/>
            <w:vAlign w:val="center"/>
          </w:tcPr>
          <w:p>
            <w:pPr>
              <w:jc w:val="center"/>
              <w:rPr>
                <w:rFonts w:ascii="Times New Roman" w:hAnsi="Times New Roman"/>
                <w:szCs w:val="21"/>
              </w:rPr>
            </w:pPr>
            <w:r>
              <w:rPr>
                <w:rFonts w:ascii="Times New Roman" w:hAnsi="Times New Roman"/>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0" w:type="dxa"/>
            <w:vAlign w:val="center"/>
          </w:tcPr>
          <w:p>
            <w:pPr>
              <w:jc w:val="center"/>
              <w:rPr>
                <w:rFonts w:ascii="Times New Roman" w:hAnsi="Times New Roman"/>
                <w:szCs w:val="21"/>
              </w:rPr>
            </w:pPr>
            <w:r>
              <w:rPr>
                <w:rFonts w:ascii="Times New Roman" w:hAnsi="Times New Roman"/>
                <w:szCs w:val="21"/>
              </w:rPr>
              <w:t>≥2500</w:t>
            </w:r>
          </w:p>
        </w:tc>
        <w:tc>
          <w:tcPr>
            <w:tcW w:w="3005" w:type="dxa"/>
            <w:vAlign w:val="center"/>
          </w:tcPr>
          <w:p>
            <w:pPr>
              <w:jc w:val="center"/>
              <w:rPr>
                <w:rFonts w:ascii="Times New Roman" w:hAnsi="Times New Roman"/>
                <w:szCs w:val="21"/>
              </w:rPr>
            </w:pPr>
            <w:r>
              <w:rPr>
                <w:rFonts w:ascii="Times New Roman" w:hAnsi="Times New Roman"/>
                <w:szCs w:val="21"/>
              </w:rPr>
              <w:t>第4.2条规定的危险废物</w:t>
            </w:r>
          </w:p>
        </w:tc>
        <w:tc>
          <w:tcPr>
            <w:tcW w:w="2943" w:type="dxa"/>
            <w:vAlign w:val="center"/>
          </w:tcPr>
          <w:p>
            <w:pPr>
              <w:jc w:val="center"/>
              <w:rPr>
                <w:rFonts w:ascii="Times New Roman" w:hAnsi="Times New Roman"/>
                <w:szCs w:val="21"/>
              </w:rPr>
            </w:pPr>
            <w:r>
              <w:rPr>
                <w:rFonts w:ascii="Times New Roman" w:hAnsi="Times New Roman"/>
                <w:szCs w:val="21"/>
              </w:rPr>
              <w:t>50</w:t>
            </w:r>
          </w:p>
        </w:tc>
      </w:tr>
    </w:tbl>
    <w:p>
      <w:pPr>
        <w:spacing w:line="360" w:lineRule="auto"/>
        <w:rPr>
          <w:rFonts w:ascii="Times New Roman" w:hAnsi="Times New Roman"/>
          <w:kern w:val="0"/>
          <w:szCs w:val="21"/>
        </w:rPr>
      </w:pPr>
      <w:r>
        <w:rPr>
          <w:rFonts w:ascii="Times New Roman" w:hAnsi="Times New Roman"/>
          <w:kern w:val="0"/>
          <w:szCs w:val="21"/>
        </w:rPr>
        <w:t>注：</w:t>
      </w:r>
      <w:r>
        <w:rPr>
          <w:rFonts w:ascii="Times New Roman" w:hAnsi="Times New Roman"/>
          <w:szCs w:val="21"/>
        </w:rPr>
        <w:t>第4.2条规定的危险废物：焚烧物的要求：除易爆和具有放射性以外的危险废物均可进行焚烧</w:t>
      </w:r>
    </w:p>
    <w:p>
      <w:pPr>
        <w:spacing w:line="360" w:lineRule="auto"/>
        <w:ind w:firstLine="510"/>
        <w:rPr>
          <w:rFonts w:ascii="Times New Roman" w:hAnsi="Times New Roman"/>
          <w:kern w:val="0"/>
          <w:sz w:val="24"/>
          <w:szCs w:val="24"/>
        </w:rPr>
      </w:pPr>
      <w:r>
        <w:rPr>
          <w:rFonts w:ascii="Times New Roman" w:hAnsi="Times New Roman"/>
          <w:kern w:val="0"/>
          <w:sz w:val="24"/>
          <w:szCs w:val="24"/>
        </w:rPr>
        <w:t>CFB锅炉焚烧油泥的技术性能指标能够满足GB18484-2001《危险废物焚烧污染控制标准》中烟气停留时间、燃烧效率、焚烧去除率和焚烧残渣的热灼减率的要求。CFB锅炉焚烧油泥技术可行。</w:t>
      </w:r>
    </w:p>
    <w:p>
      <w:pPr>
        <w:spacing w:line="360" w:lineRule="auto"/>
        <w:jc w:val="center"/>
        <w:rPr>
          <w:rFonts w:ascii="Times New Roman" w:hAnsi="Times New Roman"/>
          <w:b/>
          <w:bCs/>
          <w:kern w:val="0"/>
          <w:sz w:val="24"/>
          <w:szCs w:val="24"/>
        </w:rPr>
      </w:pPr>
    </w:p>
    <w:p>
      <w:pPr>
        <w:spacing w:line="360" w:lineRule="auto"/>
        <w:jc w:val="center"/>
        <w:rPr>
          <w:rFonts w:ascii="Times New Roman" w:hAnsi="Times New Roman"/>
          <w:b/>
          <w:bCs/>
          <w:kern w:val="0"/>
          <w:sz w:val="24"/>
          <w:szCs w:val="24"/>
        </w:rPr>
      </w:pPr>
    </w:p>
    <w:p>
      <w:pPr>
        <w:spacing w:line="360" w:lineRule="auto"/>
        <w:jc w:val="center"/>
        <w:rPr>
          <w:rFonts w:ascii="Times New Roman" w:hAnsi="Times New Roman"/>
          <w:b/>
          <w:bCs/>
          <w:kern w:val="0"/>
          <w:sz w:val="24"/>
          <w:szCs w:val="24"/>
        </w:rPr>
      </w:pPr>
      <w:r>
        <w:rPr>
          <w:rFonts w:ascii="Times New Roman" w:hAnsi="Times New Roman"/>
          <w:b/>
          <w:bCs/>
          <w:kern w:val="0"/>
          <w:sz w:val="24"/>
          <w:szCs w:val="24"/>
        </w:rPr>
        <w:t>表7.1.1-3  《危险废物焚烧污染控制标准》焚烧炉的技术性能指标</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1779"/>
        <w:gridCol w:w="1740"/>
        <w:gridCol w:w="1741"/>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527" w:type="dxa"/>
            <w:tcBorders>
              <w:tl2br w:val="single" w:color="000000" w:sz="4" w:space="0"/>
            </w:tcBorders>
            <w:vAlign w:val="center"/>
          </w:tcPr>
          <w:p>
            <w:pPr>
              <w:jc w:val="right"/>
              <w:rPr>
                <w:rFonts w:ascii="Times New Roman" w:hAnsi="Times New Roman"/>
                <w:b/>
                <w:bCs/>
                <w:szCs w:val="21"/>
              </w:rPr>
            </w:pPr>
            <w:r>
              <w:rPr>
                <w:rFonts w:ascii="Times New Roman" w:hAnsi="Times New Roman"/>
                <w:b/>
                <w:bCs/>
                <w:szCs w:val="21"/>
              </w:rPr>
              <w:t>指标</w:t>
            </w:r>
          </w:p>
          <w:p>
            <w:pPr>
              <w:rPr>
                <w:rFonts w:ascii="Times New Roman" w:hAnsi="Times New Roman"/>
                <w:b/>
                <w:bCs/>
                <w:szCs w:val="21"/>
              </w:rPr>
            </w:pPr>
            <w:r>
              <w:rPr>
                <w:rFonts w:ascii="Times New Roman" w:hAnsi="Times New Roman"/>
                <w:b/>
                <w:bCs/>
                <w:szCs w:val="21"/>
              </w:rPr>
              <w:t>废物类型</w:t>
            </w:r>
          </w:p>
        </w:tc>
        <w:tc>
          <w:tcPr>
            <w:tcW w:w="1779" w:type="dxa"/>
            <w:vAlign w:val="center"/>
          </w:tcPr>
          <w:p>
            <w:pPr>
              <w:jc w:val="center"/>
              <w:rPr>
                <w:rFonts w:ascii="Times New Roman" w:hAnsi="Times New Roman"/>
                <w:b/>
                <w:bCs/>
                <w:szCs w:val="21"/>
              </w:rPr>
            </w:pPr>
            <w:r>
              <w:rPr>
                <w:rFonts w:ascii="Times New Roman" w:hAnsi="Times New Roman"/>
                <w:b/>
                <w:bCs/>
                <w:szCs w:val="21"/>
              </w:rPr>
              <w:t>烟气停留时间（s）</w:t>
            </w:r>
          </w:p>
        </w:tc>
        <w:tc>
          <w:tcPr>
            <w:tcW w:w="1740" w:type="dxa"/>
            <w:vAlign w:val="center"/>
          </w:tcPr>
          <w:p>
            <w:pPr>
              <w:jc w:val="center"/>
              <w:rPr>
                <w:rFonts w:ascii="Times New Roman" w:hAnsi="Times New Roman"/>
                <w:b/>
                <w:bCs/>
                <w:szCs w:val="21"/>
              </w:rPr>
            </w:pPr>
            <w:r>
              <w:rPr>
                <w:rFonts w:ascii="Times New Roman" w:hAnsi="Times New Roman"/>
                <w:b/>
                <w:bCs/>
                <w:szCs w:val="21"/>
              </w:rPr>
              <w:t>燃烧效率</w:t>
            </w:r>
          </w:p>
          <w:p>
            <w:pPr>
              <w:jc w:val="center"/>
              <w:rPr>
                <w:rFonts w:ascii="Times New Roman" w:hAnsi="Times New Roman"/>
                <w:b/>
                <w:bCs/>
                <w:szCs w:val="21"/>
              </w:rPr>
            </w:pPr>
            <w:r>
              <w:rPr>
                <w:rFonts w:ascii="Times New Roman" w:hAnsi="Times New Roman"/>
                <w:b/>
                <w:bCs/>
                <w:szCs w:val="21"/>
              </w:rPr>
              <w:t>（%）</w:t>
            </w:r>
          </w:p>
        </w:tc>
        <w:tc>
          <w:tcPr>
            <w:tcW w:w="1741" w:type="dxa"/>
            <w:vAlign w:val="center"/>
          </w:tcPr>
          <w:p>
            <w:pPr>
              <w:jc w:val="center"/>
              <w:rPr>
                <w:rFonts w:ascii="Times New Roman" w:hAnsi="Times New Roman"/>
                <w:b/>
                <w:bCs/>
                <w:szCs w:val="21"/>
              </w:rPr>
            </w:pPr>
            <w:r>
              <w:rPr>
                <w:rFonts w:ascii="Times New Roman" w:hAnsi="Times New Roman"/>
                <w:b/>
                <w:bCs/>
                <w:szCs w:val="21"/>
              </w:rPr>
              <w:t>焚毁去除率</w:t>
            </w:r>
          </w:p>
          <w:p>
            <w:pPr>
              <w:jc w:val="center"/>
              <w:rPr>
                <w:rFonts w:ascii="Times New Roman" w:hAnsi="Times New Roman"/>
                <w:b/>
                <w:bCs/>
                <w:szCs w:val="21"/>
              </w:rPr>
            </w:pPr>
            <w:r>
              <w:rPr>
                <w:rFonts w:ascii="Times New Roman" w:hAnsi="Times New Roman"/>
                <w:b/>
                <w:bCs/>
                <w:szCs w:val="21"/>
              </w:rPr>
              <w:t>（%）</w:t>
            </w:r>
          </w:p>
        </w:tc>
        <w:tc>
          <w:tcPr>
            <w:tcW w:w="1741" w:type="dxa"/>
            <w:vAlign w:val="center"/>
          </w:tcPr>
          <w:p>
            <w:pPr>
              <w:jc w:val="center"/>
              <w:rPr>
                <w:rFonts w:ascii="Times New Roman" w:hAnsi="Times New Roman"/>
                <w:b/>
                <w:bCs/>
                <w:szCs w:val="21"/>
              </w:rPr>
            </w:pPr>
            <w:r>
              <w:rPr>
                <w:rFonts w:ascii="Times New Roman" w:hAnsi="Times New Roman"/>
                <w:b/>
                <w:bCs/>
                <w:szCs w:val="21"/>
              </w:rPr>
              <w:t>焚烧残渣的热灼减率（%）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7" w:type="dxa"/>
            <w:vAlign w:val="center"/>
          </w:tcPr>
          <w:p>
            <w:pPr>
              <w:rPr>
                <w:rFonts w:ascii="Times New Roman" w:hAnsi="Times New Roman"/>
                <w:szCs w:val="21"/>
              </w:rPr>
            </w:pPr>
            <w:r>
              <w:rPr>
                <w:rFonts w:ascii="Times New Roman" w:hAnsi="Times New Roman"/>
                <w:szCs w:val="21"/>
              </w:rPr>
              <w:t>危险废物</w:t>
            </w:r>
          </w:p>
        </w:tc>
        <w:tc>
          <w:tcPr>
            <w:tcW w:w="1779" w:type="dxa"/>
            <w:vAlign w:val="center"/>
          </w:tcPr>
          <w:p>
            <w:pPr>
              <w:jc w:val="center"/>
              <w:rPr>
                <w:rFonts w:ascii="Times New Roman" w:hAnsi="Times New Roman"/>
                <w:szCs w:val="21"/>
              </w:rPr>
            </w:pPr>
            <w:r>
              <w:rPr>
                <w:rFonts w:ascii="Times New Roman" w:hAnsi="Times New Roman"/>
                <w:szCs w:val="21"/>
              </w:rPr>
              <w:t>≥2.0</w:t>
            </w:r>
          </w:p>
        </w:tc>
        <w:tc>
          <w:tcPr>
            <w:tcW w:w="1740" w:type="dxa"/>
            <w:vAlign w:val="center"/>
          </w:tcPr>
          <w:p>
            <w:pPr>
              <w:jc w:val="center"/>
              <w:rPr>
                <w:rFonts w:ascii="Times New Roman" w:hAnsi="Times New Roman"/>
                <w:szCs w:val="21"/>
              </w:rPr>
            </w:pPr>
            <w:r>
              <w:rPr>
                <w:rFonts w:ascii="Times New Roman" w:hAnsi="Times New Roman"/>
                <w:szCs w:val="21"/>
              </w:rPr>
              <w:t>≥99.9</w:t>
            </w:r>
          </w:p>
        </w:tc>
        <w:tc>
          <w:tcPr>
            <w:tcW w:w="1741" w:type="dxa"/>
            <w:vAlign w:val="center"/>
          </w:tcPr>
          <w:p>
            <w:pPr>
              <w:jc w:val="center"/>
              <w:rPr>
                <w:rFonts w:ascii="Times New Roman" w:hAnsi="Times New Roman"/>
                <w:szCs w:val="21"/>
              </w:rPr>
            </w:pPr>
            <w:r>
              <w:rPr>
                <w:rFonts w:ascii="Times New Roman" w:hAnsi="Times New Roman"/>
                <w:szCs w:val="21"/>
              </w:rPr>
              <w:t>≥99.99</w:t>
            </w:r>
          </w:p>
        </w:tc>
        <w:tc>
          <w:tcPr>
            <w:tcW w:w="1741" w:type="dxa"/>
            <w:vAlign w:val="center"/>
          </w:tcPr>
          <w:p>
            <w:pPr>
              <w:jc w:val="center"/>
              <w:rPr>
                <w:rFonts w:ascii="Times New Roman" w:hAnsi="Times New Roman"/>
                <w:szCs w:val="21"/>
              </w:rPr>
            </w:pPr>
            <w:r>
              <w:rPr>
                <w:rFonts w:ascii="Times New Roman" w:hAnsi="Times New Roman"/>
                <w:szCs w:val="21"/>
              </w:rPr>
              <w:t>&lt;5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7" w:type="dxa"/>
            <w:vAlign w:val="center"/>
          </w:tcPr>
          <w:p>
            <w:pPr>
              <w:jc w:val="center"/>
              <w:rPr>
                <w:rFonts w:ascii="Times New Roman" w:hAnsi="Times New Roman"/>
                <w:szCs w:val="21"/>
              </w:rPr>
            </w:pPr>
            <w:r>
              <w:rPr>
                <w:rFonts w:ascii="Times New Roman" w:hAnsi="Times New Roman"/>
                <w:szCs w:val="21"/>
              </w:rPr>
              <w:t>本项目</w:t>
            </w:r>
          </w:p>
        </w:tc>
        <w:tc>
          <w:tcPr>
            <w:tcW w:w="1779" w:type="dxa"/>
            <w:vAlign w:val="center"/>
          </w:tcPr>
          <w:p>
            <w:pPr>
              <w:jc w:val="center"/>
              <w:rPr>
                <w:rFonts w:ascii="Times New Roman" w:hAnsi="Times New Roman"/>
                <w:szCs w:val="21"/>
              </w:rPr>
            </w:pPr>
            <w:r>
              <w:rPr>
                <w:rFonts w:ascii="Times New Roman" w:hAnsi="Times New Roman"/>
                <w:szCs w:val="21"/>
              </w:rPr>
              <w:t>27.8</w:t>
            </w:r>
          </w:p>
        </w:tc>
        <w:tc>
          <w:tcPr>
            <w:tcW w:w="1740" w:type="dxa"/>
            <w:vAlign w:val="center"/>
          </w:tcPr>
          <w:p>
            <w:pPr>
              <w:jc w:val="center"/>
              <w:rPr>
                <w:rFonts w:ascii="Times New Roman" w:hAnsi="Times New Roman"/>
                <w:szCs w:val="21"/>
              </w:rPr>
            </w:pPr>
            <w:r>
              <w:rPr>
                <w:rFonts w:ascii="Times New Roman" w:hAnsi="Times New Roman"/>
                <w:szCs w:val="21"/>
              </w:rPr>
              <w:t>99.98</w:t>
            </w:r>
          </w:p>
        </w:tc>
        <w:tc>
          <w:tcPr>
            <w:tcW w:w="1741" w:type="dxa"/>
            <w:vAlign w:val="center"/>
          </w:tcPr>
          <w:p>
            <w:pPr>
              <w:jc w:val="center"/>
              <w:rPr>
                <w:rFonts w:ascii="Times New Roman" w:hAnsi="Times New Roman"/>
                <w:szCs w:val="21"/>
              </w:rPr>
            </w:pPr>
            <w:r>
              <w:rPr>
                <w:rFonts w:ascii="Times New Roman" w:hAnsi="Times New Roman"/>
                <w:szCs w:val="21"/>
              </w:rPr>
              <w:t>99.993</w:t>
            </w:r>
          </w:p>
        </w:tc>
        <w:tc>
          <w:tcPr>
            <w:tcW w:w="1741" w:type="dxa"/>
            <w:vAlign w:val="center"/>
          </w:tcPr>
          <w:p>
            <w:pPr>
              <w:jc w:val="center"/>
              <w:rPr>
                <w:rFonts w:ascii="Times New Roman" w:hAnsi="Times New Roman"/>
                <w:szCs w:val="21"/>
              </w:rPr>
            </w:pPr>
            <w:r>
              <w:rPr>
                <w:rFonts w:ascii="Times New Roman" w:hAnsi="Times New Roman"/>
                <w:szCs w:val="21"/>
              </w:rPr>
              <w:t>锅炉灰0.01</w:t>
            </w:r>
          </w:p>
          <w:p>
            <w:pPr>
              <w:jc w:val="center"/>
              <w:rPr>
                <w:rFonts w:ascii="Times New Roman" w:hAnsi="Times New Roman"/>
                <w:szCs w:val="21"/>
              </w:rPr>
            </w:pPr>
            <w:r>
              <w:rPr>
                <w:rFonts w:ascii="Times New Roman" w:hAnsi="Times New Roman"/>
                <w:szCs w:val="21"/>
              </w:rPr>
              <w:t>锅炉渣0.23</w:t>
            </w:r>
          </w:p>
        </w:tc>
      </w:tr>
    </w:tbl>
    <w:p>
      <w:pPr>
        <w:spacing w:line="360" w:lineRule="auto"/>
        <w:rPr>
          <w:rFonts w:ascii="Times New Roman" w:hAnsi="Times New Roman"/>
          <w:kern w:val="0"/>
          <w:szCs w:val="21"/>
        </w:rPr>
      </w:pPr>
    </w:p>
    <w:p>
      <w:pPr>
        <w:spacing w:line="360" w:lineRule="auto"/>
        <w:ind w:firstLine="510"/>
        <w:rPr>
          <w:rFonts w:ascii="Times New Roman" w:hAnsi="Times New Roman"/>
          <w:kern w:val="0"/>
          <w:sz w:val="24"/>
          <w:szCs w:val="24"/>
        </w:rPr>
      </w:pPr>
      <w:r>
        <w:rPr>
          <w:rFonts w:ascii="Times New Roman" w:hAnsi="Times New Roman"/>
          <w:sz w:val="24"/>
          <w:szCs w:val="24"/>
        </w:rPr>
        <w:t>炉膛的尺寸为：32000mm（高）×10966mm（宽）×5290mm（深）=1856.3m</w:t>
      </w:r>
      <w:r>
        <w:rPr>
          <w:rFonts w:ascii="Times New Roman" w:hAnsi="Times New Roman"/>
          <w:sz w:val="24"/>
          <w:szCs w:val="24"/>
          <w:vertAlign w:val="superscript"/>
        </w:rPr>
        <w:t>3</w:t>
      </w:r>
      <w:r>
        <w:rPr>
          <w:rFonts w:ascii="Times New Roman" w:hAnsi="Times New Roman"/>
          <w:sz w:val="24"/>
          <w:szCs w:val="24"/>
        </w:rPr>
        <w:t>，烟气量为66.7m</w:t>
      </w:r>
      <w:r>
        <w:rPr>
          <w:rFonts w:ascii="Times New Roman" w:hAnsi="Times New Roman"/>
          <w:sz w:val="24"/>
          <w:szCs w:val="24"/>
          <w:vertAlign w:val="superscript"/>
        </w:rPr>
        <w:t>3</w:t>
      </w:r>
      <w:r>
        <w:rPr>
          <w:rFonts w:ascii="Times New Roman" w:hAnsi="Times New Roman"/>
          <w:sz w:val="24"/>
          <w:szCs w:val="24"/>
        </w:rPr>
        <w:t>/s，则烟气停留时间为27.8s。</w:t>
      </w:r>
    </w:p>
    <w:p>
      <w:pPr>
        <w:spacing w:line="360" w:lineRule="auto"/>
        <w:ind w:firstLine="510"/>
        <w:rPr>
          <w:rFonts w:ascii="Times New Roman" w:hAnsi="Times New Roman"/>
          <w:kern w:val="0"/>
          <w:sz w:val="24"/>
          <w:szCs w:val="24"/>
        </w:rPr>
      </w:pPr>
    </w:p>
    <w:p>
      <w:pPr>
        <w:spacing w:line="360" w:lineRule="auto"/>
        <w:ind w:firstLine="510"/>
        <w:rPr>
          <w:rFonts w:ascii="Times New Roman" w:hAnsi="Times New Roman"/>
          <w:kern w:val="0"/>
          <w:sz w:val="24"/>
          <w:szCs w:val="24"/>
        </w:rPr>
      </w:pPr>
      <w:r>
        <w:rPr>
          <w:rFonts w:ascii="Times New Roman" w:hAnsi="Times New Roman"/>
          <w:kern w:val="0"/>
          <w:sz w:val="24"/>
          <w:szCs w:val="24"/>
        </w:rPr>
        <w:t>燃烧效率：</w:t>
      </w:r>
    </w:p>
    <w:p>
      <w:pPr>
        <w:spacing w:line="360" w:lineRule="auto"/>
        <w:ind w:firstLine="510"/>
        <w:rPr>
          <w:rFonts w:ascii="Times New Roman" w:hAnsi="Times New Roman"/>
          <w:kern w:val="0"/>
          <w:sz w:val="24"/>
          <w:szCs w:val="24"/>
        </w:rPr>
      </w:pPr>
      <w:r>
        <w:rPr>
          <w:rFonts w:ascii="Times New Roman" w:hAnsi="Times New Roman"/>
          <w:kern w:val="0"/>
          <w:position w:val="-30"/>
          <w:sz w:val="24"/>
          <w:szCs w:val="24"/>
        </w:rPr>
        <w:object>
          <v:shape id="_x0000_i1025" o:spt="75" type="#_x0000_t75" style="height:36pt;width:328.5pt;" o:ole="t" filled="f" o:preferrelative="t" stroked="f" coordsize="21600,21600">
            <v:path/>
            <v:fill on="f" focussize="0,0"/>
            <v:stroke on="f" joinstyle="miter"/>
            <v:imagedata r:id="rId65" o:title=""/>
            <o:lock v:ext="edit" aspectratio="t"/>
            <w10:wrap type="none"/>
            <w10:anchorlock/>
          </v:shape>
          <o:OLEObject Type="Embed" ProgID="Equation.3" ShapeID="_x0000_i1025" DrawAspect="Content" ObjectID="_1468075725" r:id="rId64">
            <o:LockedField>false</o:LockedField>
          </o:OLEObject>
        </w:object>
      </w:r>
    </w:p>
    <w:p>
      <w:pPr>
        <w:spacing w:line="360" w:lineRule="auto"/>
        <w:ind w:firstLine="510"/>
        <w:rPr>
          <w:rFonts w:ascii="Times New Roman" w:hAnsi="Times New Roman"/>
          <w:kern w:val="0"/>
          <w:sz w:val="24"/>
          <w:szCs w:val="24"/>
        </w:rPr>
      </w:pPr>
      <w:r>
        <w:rPr>
          <w:rFonts w:ascii="Times New Roman" w:hAnsi="Times New Roman"/>
          <w:kern w:val="0"/>
          <w:sz w:val="24"/>
          <w:szCs w:val="24"/>
        </w:rPr>
        <w:t>焚毁去除率：</w:t>
      </w:r>
    </w:p>
    <w:p>
      <w:pPr>
        <w:spacing w:line="360" w:lineRule="auto"/>
        <w:ind w:firstLine="510"/>
        <w:rPr>
          <w:rFonts w:ascii="Times New Roman" w:hAnsi="Times New Roman"/>
          <w:kern w:val="0"/>
          <w:sz w:val="24"/>
          <w:szCs w:val="24"/>
        </w:rPr>
      </w:pPr>
      <w:r>
        <w:rPr>
          <w:rFonts w:ascii="Times New Roman" w:hAnsi="Times New Roman"/>
          <w:kern w:val="0"/>
          <w:sz w:val="24"/>
          <w:szCs w:val="24"/>
        </w:rPr>
        <w:object>
          <v:shape id="_x0000_i1026" o:spt="75" type="#_x0000_t75" style="height:34.5pt;width:342pt;" o:ole="t" filled="f" o:preferrelative="t" stroked="f" coordsize="21600,21600">
            <v:path/>
            <v:fill on="f" focussize="0,0"/>
            <v:stroke on="f" joinstyle="miter"/>
            <v:imagedata r:id="rId67" o:title=""/>
            <o:lock v:ext="edit" aspectratio="t"/>
            <w10:wrap type="none"/>
            <w10:anchorlock/>
          </v:shape>
          <o:OLEObject Type="Embed" ProgID="Equation.3" ShapeID="_x0000_i1026" DrawAspect="Content" ObjectID="_1468075726" r:id="rId66">
            <o:LockedField>false</o:LockedField>
          </o:OLEObject>
        </w:object>
      </w:r>
    </w:p>
    <w:p>
      <w:pPr>
        <w:pStyle w:val="7"/>
        <w:numPr>
          <w:ilvl w:val="2"/>
          <w:numId w:val="0"/>
        </w:numPr>
        <w:spacing w:before="120" w:after="120"/>
      </w:pPr>
      <w:r>
        <w:t>7.1.2 无组织废气环境影响分析</w:t>
      </w:r>
    </w:p>
    <w:p>
      <w:pPr>
        <w:pStyle w:val="5"/>
        <w:ind w:firstLine="480"/>
        <w:rPr>
          <w:rFonts w:ascii="Times New Roman" w:hAnsi="Times New Roman" w:cs="Times New Roman"/>
        </w:rPr>
      </w:pPr>
      <w:r>
        <w:rPr>
          <w:rFonts w:ascii="Times New Roman" w:hAnsi="Times New Roman" w:cs="Times New Roman"/>
        </w:rPr>
        <w:t>本项目无组织排放源，主要是煤棚、机泵及管道输送过程中，在阀门法兰处发生泄漏时产生的无组织氨及H</w:t>
      </w:r>
      <w:r>
        <w:rPr>
          <w:rFonts w:ascii="Times New Roman" w:hAnsi="Times New Roman" w:cs="Times New Roman"/>
          <w:vertAlign w:val="subscript"/>
        </w:rPr>
        <w:t>2</w:t>
      </w:r>
      <w:r>
        <w:rPr>
          <w:rFonts w:ascii="Times New Roman" w:hAnsi="Times New Roman" w:cs="Times New Roman"/>
        </w:rPr>
        <w:t>S排放。</w:t>
      </w:r>
      <w:r>
        <w:rPr>
          <w:rFonts w:ascii="Times New Roman" w:hAnsi="Times New Roman" w:cs="Times New Roman"/>
          <w:szCs w:val="24"/>
        </w:rPr>
        <w:t>由于废气收集困难，所需资金投入较大，且其中的组成不同，处理工艺也不尽相同，需要针对具体情况进行分析，采取不同的工艺分别进行治理，加强管理，减少源头生产装置的跑、冒、滴、漏等现象产生，及时处理泄漏故障，</w:t>
      </w:r>
      <w:r>
        <w:rPr>
          <w:rFonts w:ascii="Times New Roman" w:hAnsi="Times New Roman" w:cs="Times New Roman"/>
        </w:rPr>
        <w:t>发理泄漏量超过正常值时，及时进行修复与治理，治理后，污染物排放量减少约85%以上。经预测，厂界无组织排放的各项污染物能达标。</w:t>
      </w:r>
    </w:p>
    <w:p>
      <w:pPr>
        <w:pStyle w:val="6"/>
        <w:numPr>
          <w:ilvl w:val="1"/>
          <w:numId w:val="0"/>
        </w:numPr>
        <w:spacing w:before="120" w:after="120"/>
      </w:pPr>
      <w:r>
        <w:t>7.2 废水治理措施</w:t>
      </w:r>
      <w:bookmarkEnd w:id="422"/>
      <w:r>
        <w:t>分析</w:t>
      </w:r>
    </w:p>
    <w:p>
      <w:pPr>
        <w:pStyle w:val="7"/>
        <w:numPr>
          <w:ilvl w:val="2"/>
          <w:numId w:val="0"/>
        </w:numPr>
        <w:spacing w:before="120" w:after="120"/>
      </w:pPr>
      <w:bookmarkStart w:id="423" w:name="_Toc30932"/>
      <w:bookmarkStart w:id="424" w:name="_Toc3369"/>
      <w:r>
        <w:t>7.2.1 废水来源及处理方式</w:t>
      </w:r>
      <w:bookmarkEnd w:id="423"/>
    </w:p>
    <w:p>
      <w:pPr>
        <w:spacing w:line="360" w:lineRule="auto"/>
        <w:ind w:firstLine="510"/>
        <w:rPr>
          <w:rFonts w:ascii="Times New Roman" w:hAnsi="Times New Roman"/>
          <w:sz w:val="24"/>
          <w:szCs w:val="24"/>
        </w:rPr>
      </w:pPr>
      <w:r>
        <w:rPr>
          <w:rFonts w:ascii="Times New Roman" w:hAnsi="Times New Roman"/>
          <w:sz w:val="24"/>
        </w:rPr>
        <w:t>项目废水主要是CFB锅炉排污水与CFB烟脱废水，均进污水处理厂含盐污水处理系统。</w:t>
      </w:r>
      <w:r>
        <w:rPr>
          <w:rFonts w:ascii="Times New Roman" w:hAnsi="Times New Roman"/>
          <w:sz w:val="24"/>
          <w:szCs w:val="24"/>
        </w:rPr>
        <w:t>长岭分公司现有 2 座污水处理场，分别为第一污水处理场和第二污水处理场，第一污水处理场负责对全公司废水进行隔油、气浮等预处理以满足二污进水水质标准，分为含油污水、含盐污水两个处理系统。含油、含盐污水分别经过隔油和浮选后，送第二污水处场处理。第一污水处理场总处理能力为850m</w:t>
      </w:r>
      <w:r>
        <w:rPr>
          <w:rFonts w:ascii="Times New Roman" w:hAnsi="Times New Roman"/>
          <w:sz w:val="24"/>
          <w:szCs w:val="24"/>
          <w:vertAlign w:val="superscript"/>
        </w:rPr>
        <w:t>3</w:t>
      </w:r>
      <w:r>
        <w:rPr>
          <w:rFonts w:ascii="Times New Roman" w:hAnsi="Times New Roman"/>
          <w:sz w:val="24"/>
          <w:szCs w:val="24"/>
        </w:rPr>
        <w:t>/h，其中含油污水处理能力为600m</w:t>
      </w:r>
      <w:r>
        <w:rPr>
          <w:rFonts w:ascii="Times New Roman" w:hAnsi="Times New Roman"/>
          <w:sz w:val="24"/>
          <w:szCs w:val="24"/>
          <w:vertAlign w:val="superscript"/>
        </w:rPr>
        <w:t>3</w:t>
      </w:r>
      <w:r>
        <w:rPr>
          <w:rFonts w:ascii="Times New Roman" w:hAnsi="Times New Roman"/>
          <w:sz w:val="24"/>
          <w:szCs w:val="24"/>
        </w:rPr>
        <w:t>/h，含盐污水处理能力为250m</w:t>
      </w:r>
      <w:r>
        <w:rPr>
          <w:rFonts w:ascii="Times New Roman" w:hAnsi="Times New Roman"/>
          <w:sz w:val="24"/>
          <w:szCs w:val="24"/>
          <w:vertAlign w:val="superscript"/>
        </w:rPr>
        <w:t>3</w:t>
      </w:r>
      <w:r>
        <w:rPr>
          <w:rFonts w:ascii="Times New Roman" w:hAnsi="Times New Roman"/>
          <w:sz w:val="24"/>
          <w:szCs w:val="24"/>
        </w:rPr>
        <w:t>/h，本项目最大污水处理量1.3t/h。 第二污水处理场位于长岭分公司现有厂区西北侧6.5km，采取生化方式处理一污的来水以满足全厂废水达标外排的要求。经第一污水处理场预处理后的含油污水，进入第二污水处理场调节池，调节池出水经计量后自流经配水井、混合井进入接触氧化池进行一级生化处理，再通过中间沉淀池沉淀、消氧后进入水解酸化池，在无氧或缺氧的条件下发生厌氧水解酸化反应以提高污水的可生化性。然后进入氧化沟进行二级生化处理，出水进入二沉池进行泥水分离后进入提升水池，经泵提升后进入砂滤池，降低悬浮物后进入内循环曝气生物滤池（BAF）进行三级生化处理，处理后的合格出水经反洗水池溢流至待滤水池。炼油装置区的含油废水设计拟经处理达标后 75%经进一步净化后回用于装置区，因目前废水回用设施处于调试状态，回用率约50%，不能回用的部分通过待滤水池后与含盐废水一起外排长江。含盐污水通过调节罐后进入MBBR池，出水进短程生物池进一步生化处理，短程生物池出水经二沉池进行泥水分离，经提升泵提升至高效沉淀池，</w:t>
      </w:r>
      <w:r>
        <w:rPr>
          <w:rFonts w:ascii="Times New Roman" w:hAnsi="Times New Roman"/>
          <w:sz w:val="24"/>
          <w:szCs w:val="24"/>
          <w:lang w:val="en-GB"/>
        </w:rPr>
        <w:t>高效沉淀池出水自流至臭氧催化氧化池，并通入臭氧，在催化剂的作用下进行化学高级氧化处理，出水自流至EM-BAF池进一步处理，合格后经泵排放至长江。</w:t>
      </w:r>
    </w:p>
    <w:p>
      <w:pPr>
        <w:pStyle w:val="5"/>
        <w:spacing w:line="480" w:lineRule="exact"/>
        <w:ind w:firstLine="0" w:firstLineChars="0"/>
        <w:jc w:val="left"/>
        <w:rPr>
          <w:rFonts w:ascii="Times New Roman" w:hAnsi="Times New Roman" w:cs="Times New Roman"/>
          <w:szCs w:val="24"/>
        </w:rPr>
      </w:pPr>
      <w:r>
        <w:rPr>
          <w:rFonts w:ascii="Times New Roman" w:hAnsi="Times New Roman" w:cs="Times New Roman"/>
          <w:szCs w:val="24"/>
        </w:rPr>
        <w:drawing>
          <wp:anchor distT="0" distB="0" distL="0" distR="0" simplePos="0" relativeHeight="486760448" behindDoc="1" locked="0" layoutInCell="1" allowOverlap="1">
            <wp:simplePos x="0" y="0"/>
            <wp:positionH relativeFrom="margin">
              <wp:posOffset>99695</wp:posOffset>
            </wp:positionH>
            <wp:positionV relativeFrom="paragraph">
              <wp:posOffset>240665</wp:posOffset>
            </wp:positionV>
            <wp:extent cx="5372100" cy="1120140"/>
            <wp:effectExtent l="0" t="0" r="0" b="10160"/>
            <wp:wrapNone/>
            <wp:docPr id="35" name="图片 1"/>
            <wp:cNvGraphicFramePr/>
            <a:graphic xmlns:a="http://schemas.openxmlformats.org/drawingml/2006/main">
              <a:graphicData uri="http://schemas.openxmlformats.org/drawingml/2006/picture">
                <pic:pic xmlns:pic="http://schemas.openxmlformats.org/drawingml/2006/picture">
                  <pic:nvPicPr>
                    <pic:cNvPr id="35" name="图片 1"/>
                    <pic:cNvPicPr/>
                  </pic:nvPicPr>
                  <pic:blipFill>
                    <a:blip r:embed="rId23" cstate="print"/>
                    <a:srcRect/>
                    <a:stretch>
                      <a:fillRect/>
                    </a:stretch>
                  </pic:blipFill>
                  <pic:spPr>
                    <a:xfrm>
                      <a:off x="0" y="0"/>
                      <a:ext cx="5372100" cy="1120140"/>
                    </a:xfrm>
                    <a:prstGeom prst="rect">
                      <a:avLst/>
                    </a:prstGeom>
                    <a:ln>
                      <a:noFill/>
                    </a:ln>
                  </pic:spPr>
                </pic:pic>
              </a:graphicData>
            </a:graphic>
          </wp:anchor>
        </w:drawing>
      </w:r>
      <w:r>
        <w:rPr>
          <w:rFonts w:ascii="Times New Roman" w:hAnsi="Times New Roman" w:cs="Times New Roman"/>
          <w:szCs w:val="24"/>
        </w:rPr>
        <w:t xml:space="preserve">污水处理场工艺流程简图详见图 </w:t>
      </w:r>
      <w:r>
        <w:rPr>
          <w:rFonts w:hint="eastAsia" w:ascii="Times New Roman" w:hAnsi="Times New Roman" w:cs="Times New Roman"/>
          <w:szCs w:val="24"/>
        </w:rPr>
        <w:t>7</w:t>
      </w:r>
      <w:r>
        <w:rPr>
          <w:rFonts w:ascii="Times New Roman" w:hAnsi="Times New Roman" w:cs="Times New Roman"/>
          <w:szCs w:val="24"/>
        </w:rPr>
        <w:t>.2-1~</w:t>
      </w:r>
      <w:r>
        <w:rPr>
          <w:rFonts w:hint="eastAsia" w:ascii="Times New Roman" w:hAnsi="Times New Roman" w:cs="Times New Roman"/>
          <w:szCs w:val="24"/>
        </w:rPr>
        <w:t>7</w:t>
      </w:r>
      <w:r>
        <w:rPr>
          <w:rFonts w:ascii="Times New Roman" w:hAnsi="Times New Roman" w:cs="Times New Roman"/>
          <w:szCs w:val="24"/>
        </w:rPr>
        <w:t>.2-3。</w:t>
      </w: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0" w:firstLineChars="0"/>
        <w:rPr>
          <w:rFonts w:ascii="Times New Roman" w:hAnsi="Times New Roman" w:cs="Times New Roman"/>
        </w:rPr>
      </w:pPr>
    </w:p>
    <w:p>
      <w:pPr>
        <w:pStyle w:val="5"/>
        <w:spacing w:line="480" w:lineRule="exact"/>
        <w:ind w:firstLine="0" w:firstLineChars="0"/>
        <w:rPr>
          <w:rFonts w:ascii="Times New Roman" w:hAnsi="Times New Roman" w:cs="Times New Roman"/>
          <w:b/>
          <w:bCs/>
        </w:rPr>
      </w:pPr>
      <w:r>
        <w:rPr>
          <w:rFonts w:ascii="Times New Roman" w:hAnsi="Times New Roman" w:cs="Times New Roman"/>
          <w:b/>
          <w:bCs/>
        </w:rPr>
        <w:t xml:space="preserve">图 </w:t>
      </w:r>
      <w:r>
        <w:rPr>
          <w:rFonts w:hint="eastAsia" w:ascii="Times New Roman" w:hAnsi="Times New Roman" w:cs="Times New Roman"/>
          <w:b/>
          <w:bCs/>
        </w:rPr>
        <w:t>7</w:t>
      </w:r>
      <w:r>
        <w:rPr>
          <w:rFonts w:ascii="Times New Roman" w:hAnsi="Times New Roman" w:cs="Times New Roman"/>
          <w:b/>
          <w:bCs/>
        </w:rPr>
        <w:t>.2-1 长岭分公司第一污水处理场含油（含盐）污水处理工艺简要流程</w:t>
      </w:r>
    </w:p>
    <w:p>
      <w:pPr>
        <w:pStyle w:val="5"/>
        <w:spacing w:line="480" w:lineRule="exact"/>
        <w:ind w:firstLine="480"/>
        <w:rPr>
          <w:rFonts w:ascii="Times New Roman" w:hAnsi="Times New Roman" w:cs="Times New Roman"/>
        </w:rPr>
      </w:pPr>
      <w:r>
        <w:rPr>
          <w:rFonts w:ascii="Times New Roman" w:hAnsi="Times New Roman" w:cs="Times New Roman"/>
        </w:rPr>
        <w:drawing>
          <wp:anchor distT="0" distB="0" distL="0" distR="0" simplePos="0" relativeHeight="486761472" behindDoc="0" locked="0" layoutInCell="1" allowOverlap="1">
            <wp:simplePos x="0" y="0"/>
            <wp:positionH relativeFrom="column">
              <wp:posOffset>125095</wp:posOffset>
            </wp:positionH>
            <wp:positionV relativeFrom="paragraph">
              <wp:posOffset>37465</wp:posOffset>
            </wp:positionV>
            <wp:extent cx="5273040" cy="1479550"/>
            <wp:effectExtent l="0" t="0" r="10160" b="6350"/>
            <wp:wrapNone/>
            <wp:docPr id="37" name="图片 21"/>
            <wp:cNvGraphicFramePr/>
            <a:graphic xmlns:a="http://schemas.openxmlformats.org/drawingml/2006/main">
              <a:graphicData uri="http://schemas.openxmlformats.org/drawingml/2006/picture">
                <pic:pic xmlns:pic="http://schemas.openxmlformats.org/drawingml/2006/picture">
                  <pic:nvPicPr>
                    <pic:cNvPr id="37" name="图片 21"/>
                    <pic:cNvPicPr/>
                  </pic:nvPicPr>
                  <pic:blipFill>
                    <a:blip r:embed="rId24" cstate="print"/>
                    <a:srcRect b="10316"/>
                    <a:stretch>
                      <a:fillRect/>
                    </a:stretch>
                  </pic:blipFill>
                  <pic:spPr>
                    <a:xfrm>
                      <a:off x="0" y="0"/>
                      <a:ext cx="5273040" cy="1479550"/>
                    </a:xfrm>
                    <a:prstGeom prst="rect">
                      <a:avLst/>
                    </a:prstGeom>
                    <a:ln>
                      <a:noFill/>
                    </a:ln>
                  </pic:spPr>
                </pic:pic>
              </a:graphicData>
            </a:graphic>
          </wp:anchor>
        </w:drawing>
      </w: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480"/>
        <w:rPr>
          <w:rFonts w:ascii="Times New Roman" w:hAnsi="Times New Roman" w:cs="Times New Roman"/>
        </w:rPr>
      </w:pPr>
    </w:p>
    <w:p>
      <w:pPr>
        <w:pStyle w:val="5"/>
        <w:spacing w:line="480" w:lineRule="exact"/>
        <w:ind w:firstLine="0" w:firstLineChars="0"/>
        <w:jc w:val="center"/>
        <w:rPr>
          <w:rFonts w:ascii="Times New Roman" w:hAnsi="Times New Roman" w:cs="Times New Roman"/>
          <w:b/>
          <w:bCs/>
        </w:rPr>
      </w:pPr>
      <w:r>
        <w:rPr>
          <w:rFonts w:ascii="Times New Roman" w:hAnsi="Times New Roman" w:cs="Times New Roman"/>
          <w:b/>
          <w:bCs/>
        </w:rPr>
        <w:t xml:space="preserve">图 </w:t>
      </w:r>
      <w:r>
        <w:rPr>
          <w:rFonts w:hint="eastAsia" w:ascii="Times New Roman" w:hAnsi="Times New Roman" w:cs="Times New Roman"/>
          <w:b/>
          <w:bCs/>
        </w:rPr>
        <w:t>7</w:t>
      </w:r>
      <w:r>
        <w:rPr>
          <w:rFonts w:ascii="Times New Roman" w:hAnsi="Times New Roman" w:cs="Times New Roman"/>
          <w:b/>
          <w:bCs/>
        </w:rPr>
        <w:t>.2-2 长岭分公司第二污水处理场含油污水处理工艺简要流程</w:t>
      </w:r>
    </w:p>
    <w:p>
      <w:pPr>
        <w:pStyle w:val="5"/>
        <w:spacing w:line="480" w:lineRule="exact"/>
        <w:ind w:firstLine="0" w:firstLineChars="0"/>
        <w:rPr>
          <w:rFonts w:ascii="Times New Roman" w:hAnsi="Times New Roman" w:cs="Times New Roman"/>
        </w:rPr>
      </w:pPr>
    </w:p>
    <w:p>
      <w:pPr>
        <w:pStyle w:val="5"/>
        <w:spacing w:line="480" w:lineRule="exact"/>
        <w:ind w:firstLine="0" w:firstLineChars="0"/>
        <w:rPr>
          <w:rFonts w:ascii="Times New Roman" w:hAnsi="Times New Roman" w:cs="Times New Roman"/>
        </w:rPr>
      </w:pPr>
      <w:r>
        <w:rPr>
          <w:rFonts w:ascii="Times New Roman" w:hAnsi="Times New Roman" w:cs="Times New Roman"/>
          <w:szCs w:val="24"/>
        </w:rPr>
        <w:drawing>
          <wp:anchor distT="0" distB="0" distL="0" distR="0" simplePos="0" relativeHeight="486762496" behindDoc="0" locked="0" layoutInCell="1" allowOverlap="1">
            <wp:simplePos x="0" y="0"/>
            <wp:positionH relativeFrom="column">
              <wp:posOffset>183515</wp:posOffset>
            </wp:positionH>
            <wp:positionV relativeFrom="paragraph">
              <wp:posOffset>52070</wp:posOffset>
            </wp:positionV>
            <wp:extent cx="5271135" cy="393700"/>
            <wp:effectExtent l="0" t="0" r="12065" b="0"/>
            <wp:wrapNone/>
            <wp:docPr id="39" name="图片 22"/>
            <wp:cNvGraphicFramePr/>
            <a:graphic xmlns:a="http://schemas.openxmlformats.org/drawingml/2006/main">
              <a:graphicData uri="http://schemas.openxmlformats.org/drawingml/2006/picture">
                <pic:pic xmlns:pic="http://schemas.openxmlformats.org/drawingml/2006/picture">
                  <pic:nvPicPr>
                    <pic:cNvPr id="39" name="图片 22"/>
                    <pic:cNvPicPr/>
                  </pic:nvPicPr>
                  <pic:blipFill>
                    <a:blip r:embed="rId25" cstate="print"/>
                    <a:srcRect b="37872"/>
                    <a:stretch>
                      <a:fillRect/>
                    </a:stretch>
                  </pic:blipFill>
                  <pic:spPr>
                    <a:xfrm>
                      <a:off x="0" y="0"/>
                      <a:ext cx="5271135" cy="393700"/>
                    </a:xfrm>
                    <a:prstGeom prst="rect">
                      <a:avLst/>
                    </a:prstGeom>
                    <a:ln>
                      <a:noFill/>
                    </a:ln>
                  </pic:spPr>
                </pic:pic>
              </a:graphicData>
            </a:graphic>
          </wp:anchor>
        </w:drawing>
      </w:r>
    </w:p>
    <w:p>
      <w:pPr>
        <w:pStyle w:val="5"/>
        <w:spacing w:line="480" w:lineRule="exact"/>
        <w:ind w:firstLine="0" w:firstLineChars="0"/>
        <w:rPr>
          <w:rFonts w:ascii="Times New Roman" w:hAnsi="Times New Roman" w:cs="Times New Roman"/>
        </w:rPr>
      </w:pPr>
    </w:p>
    <w:p>
      <w:pPr>
        <w:pStyle w:val="5"/>
        <w:ind w:firstLine="482"/>
        <w:jc w:val="center"/>
        <w:rPr>
          <w:rFonts w:ascii="Times New Roman" w:hAnsi="Times New Roman" w:cs="Times New Roman"/>
          <w:b/>
          <w:bCs/>
        </w:rPr>
      </w:pPr>
      <w:r>
        <w:rPr>
          <w:rFonts w:ascii="Times New Roman" w:hAnsi="Times New Roman" w:cs="Times New Roman"/>
          <w:b/>
          <w:bCs/>
        </w:rPr>
        <w:t xml:space="preserve">图 </w:t>
      </w:r>
      <w:r>
        <w:rPr>
          <w:rFonts w:hint="eastAsia" w:ascii="Times New Roman" w:hAnsi="Times New Roman" w:cs="Times New Roman"/>
          <w:b/>
          <w:bCs/>
        </w:rPr>
        <w:t>7</w:t>
      </w:r>
      <w:r>
        <w:rPr>
          <w:rFonts w:ascii="Times New Roman" w:hAnsi="Times New Roman" w:cs="Times New Roman"/>
          <w:b/>
          <w:bCs/>
        </w:rPr>
        <w:t>.2-3 长岭分公司第二污水处理场含盐污水处理工艺简要流程</w:t>
      </w:r>
    </w:p>
    <w:p>
      <w:pPr>
        <w:pStyle w:val="6"/>
        <w:numPr>
          <w:ilvl w:val="1"/>
          <w:numId w:val="0"/>
        </w:numPr>
        <w:spacing w:before="120" w:after="120"/>
      </w:pPr>
      <w:r>
        <w:t>7.3 地下水防治措施分析</w:t>
      </w:r>
      <w:bookmarkEnd w:id="424"/>
    </w:p>
    <w:p>
      <w:pPr>
        <w:spacing w:line="360" w:lineRule="auto"/>
        <w:ind w:firstLine="480" w:firstLineChars="200"/>
        <w:rPr>
          <w:rFonts w:ascii="Times New Roman" w:hAnsi="Times New Roman"/>
          <w:sz w:val="24"/>
        </w:rPr>
      </w:pPr>
      <w:r>
        <w:rPr>
          <w:rFonts w:ascii="Times New Roman" w:hAnsi="Times New Roman"/>
          <w:sz w:val="24"/>
        </w:rPr>
        <w:t>本项目地下水污染防治措施按照“源头控制、分区防治、污染监控、应急响应”相结合的原则，从污染物的产生、入渗、扩散、应急响应进行控制。</w:t>
      </w:r>
    </w:p>
    <w:p>
      <w:pPr>
        <w:pStyle w:val="7"/>
        <w:numPr>
          <w:ilvl w:val="2"/>
          <w:numId w:val="0"/>
        </w:numPr>
        <w:spacing w:before="120" w:after="120"/>
      </w:pPr>
      <w:bookmarkStart w:id="425" w:name="_Toc18983"/>
      <w:r>
        <w:t>7.3.1 源头控制措施</w:t>
      </w:r>
      <w:bookmarkEnd w:id="425"/>
    </w:p>
    <w:p>
      <w:pPr>
        <w:spacing w:line="360" w:lineRule="auto"/>
        <w:ind w:firstLine="480" w:firstLineChars="200"/>
        <w:rPr>
          <w:rFonts w:ascii="Times New Roman" w:hAnsi="Times New Roman"/>
          <w:sz w:val="24"/>
        </w:rPr>
      </w:pPr>
      <w:r>
        <w:rPr>
          <w:rFonts w:ascii="Times New Roman" w:hAnsi="Times New Roman"/>
          <w:sz w:val="24"/>
        </w:rPr>
        <w:t>项目应积极采用节能减排及清洁生产技术，不断改进生产工艺，降低污染物产生量和排放量，尽可能从源头上减少污染物的产生，防止环境污染；严格按照国家相关规范要求，对工艺、管道、设备采取相应的措施，以防止和降低可能污染物的跑、冒、滴、漏，将废水泄漏的环境风险事故降低到最低程度。</w:t>
      </w:r>
    </w:p>
    <w:p>
      <w:pPr>
        <w:pStyle w:val="7"/>
        <w:numPr>
          <w:ilvl w:val="2"/>
          <w:numId w:val="0"/>
        </w:numPr>
        <w:spacing w:before="120" w:after="120"/>
      </w:pPr>
      <w:bookmarkStart w:id="426" w:name="_Toc14127"/>
      <w:r>
        <w:t>7.3.2 分区防护措施</w:t>
      </w:r>
      <w:bookmarkEnd w:id="426"/>
    </w:p>
    <w:p>
      <w:pPr>
        <w:spacing w:line="360" w:lineRule="auto"/>
        <w:ind w:firstLine="480" w:firstLineChars="200"/>
        <w:rPr>
          <w:rFonts w:ascii="Times New Roman" w:hAnsi="Times New Roman"/>
          <w:sz w:val="24"/>
        </w:rPr>
      </w:pPr>
      <w:r>
        <w:rPr>
          <w:rFonts w:ascii="Times New Roman" w:hAnsi="Times New Roman"/>
          <w:sz w:val="24"/>
        </w:rPr>
        <w:t>防渗是控制污染物进一步下渗的重要措施，可以大大降低地下水被污染的风险。参照《石油化工工程防渗技术规范》(GBT50934-2013)中相关要求，将建设场地划分为重点污染防治区、一般污染防治区和非污染防治区，具体分区情况见下表。</w:t>
      </w:r>
    </w:p>
    <w:p>
      <w:pPr>
        <w:pStyle w:val="18"/>
      </w:pPr>
    </w:p>
    <w:p>
      <w:pPr>
        <w:pStyle w:val="18"/>
        <w:rPr>
          <w:szCs w:val="21"/>
        </w:rPr>
      </w:pPr>
      <w:r>
        <w:t>表 7.3.2-1</w:t>
      </w:r>
      <w:r>
        <w:rPr>
          <w:szCs w:val="21"/>
        </w:rPr>
        <w:t xml:space="preserve">  项目污染防治分区</w:t>
      </w:r>
    </w:p>
    <w:tbl>
      <w:tblPr>
        <w:tblStyle w:val="45"/>
        <w:tblW w:w="86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186"/>
        <w:gridCol w:w="3346"/>
        <w:gridCol w:w="20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b/>
                <w:szCs w:val="21"/>
              </w:rPr>
            </w:pPr>
            <w:r>
              <w:rPr>
                <w:rFonts w:ascii="Times New Roman" w:hAnsi="Times New Roman"/>
                <w:b/>
                <w:szCs w:val="21"/>
              </w:rPr>
              <w:t>装置、单元名称</w:t>
            </w:r>
          </w:p>
        </w:tc>
        <w:tc>
          <w:tcPr>
            <w:tcW w:w="3346" w:type="dxa"/>
            <w:vAlign w:val="center"/>
          </w:tcPr>
          <w:p>
            <w:pPr>
              <w:jc w:val="center"/>
              <w:rPr>
                <w:rFonts w:ascii="Times New Roman" w:hAnsi="Times New Roman"/>
                <w:b/>
                <w:szCs w:val="21"/>
              </w:rPr>
            </w:pPr>
            <w:r>
              <w:rPr>
                <w:rFonts w:ascii="Times New Roman" w:hAnsi="Times New Roman"/>
                <w:b/>
                <w:szCs w:val="21"/>
              </w:rPr>
              <w:t>污染防治区域及部位</w:t>
            </w:r>
          </w:p>
        </w:tc>
        <w:tc>
          <w:tcPr>
            <w:tcW w:w="2068" w:type="dxa"/>
            <w:vAlign w:val="center"/>
          </w:tcPr>
          <w:p>
            <w:pPr>
              <w:jc w:val="center"/>
              <w:rPr>
                <w:rFonts w:ascii="Times New Roman" w:hAnsi="Times New Roman"/>
                <w:b/>
                <w:szCs w:val="21"/>
              </w:rPr>
            </w:pPr>
            <w:r>
              <w:rPr>
                <w:rFonts w:ascii="Times New Roman" w:hAnsi="Times New Roman"/>
                <w:b/>
                <w:szCs w:val="21"/>
              </w:rPr>
              <w:t>污染防治区类别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szCs w:val="21"/>
              </w:rPr>
            </w:pPr>
            <w:r>
              <w:rPr>
                <w:rFonts w:ascii="Times New Roman" w:hAnsi="Times New Roman"/>
                <w:szCs w:val="21"/>
              </w:rPr>
              <w:t>泵、锅炉区</w:t>
            </w:r>
          </w:p>
        </w:tc>
        <w:tc>
          <w:tcPr>
            <w:tcW w:w="3346" w:type="dxa"/>
            <w:vAlign w:val="center"/>
          </w:tcPr>
          <w:p>
            <w:pPr>
              <w:jc w:val="center"/>
              <w:rPr>
                <w:rFonts w:ascii="Times New Roman" w:hAnsi="Times New Roman"/>
                <w:szCs w:val="21"/>
              </w:rPr>
            </w:pPr>
            <w:r>
              <w:rPr>
                <w:rFonts w:ascii="Times New Roman" w:hAnsi="Times New Roman"/>
                <w:szCs w:val="21"/>
              </w:rPr>
              <w:t>围堰内</w:t>
            </w:r>
          </w:p>
        </w:tc>
        <w:tc>
          <w:tcPr>
            <w:tcW w:w="2068" w:type="dxa"/>
            <w:vAlign w:val="center"/>
          </w:tcPr>
          <w:p>
            <w:pPr>
              <w:jc w:val="center"/>
              <w:rPr>
                <w:rFonts w:ascii="Times New Roman" w:hAnsi="Times New Roman"/>
                <w:szCs w:val="21"/>
              </w:rPr>
            </w:pPr>
            <w:r>
              <w:rPr>
                <w:rFonts w:ascii="Times New Roman" w:hAnsi="Times New Roman"/>
                <w:szCs w:val="21"/>
              </w:rPr>
              <w:t>重点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szCs w:val="21"/>
              </w:rPr>
            </w:pPr>
            <w:r>
              <w:rPr>
                <w:rFonts w:ascii="Times New Roman" w:hAnsi="Times New Roman"/>
                <w:szCs w:val="21"/>
              </w:rPr>
              <w:t>煤棚区</w:t>
            </w:r>
          </w:p>
        </w:tc>
        <w:tc>
          <w:tcPr>
            <w:tcW w:w="3346" w:type="dxa"/>
            <w:vAlign w:val="center"/>
          </w:tcPr>
          <w:p>
            <w:pPr>
              <w:jc w:val="center"/>
              <w:rPr>
                <w:rFonts w:ascii="Times New Roman" w:hAnsi="Times New Roman"/>
                <w:szCs w:val="21"/>
              </w:rPr>
            </w:pPr>
            <w:r>
              <w:rPr>
                <w:rFonts w:ascii="Times New Roman" w:hAnsi="Times New Roman"/>
                <w:szCs w:val="21"/>
              </w:rPr>
              <w:t>装置区地面</w:t>
            </w:r>
          </w:p>
        </w:tc>
        <w:tc>
          <w:tcPr>
            <w:tcW w:w="2068" w:type="dxa"/>
            <w:vAlign w:val="center"/>
          </w:tcPr>
          <w:p>
            <w:pPr>
              <w:jc w:val="center"/>
              <w:rPr>
                <w:rFonts w:ascii="Times New Roman" w:hAnsi="Times New Roman"/>
                <w:szCs w:val="21"/>
              </w:rPr>
            </w:pPr>
            <w:r>
              <w:rPr>
                <w:rFonts w:ascii="Times New Roman" w:hAnsi="Times New Roman"/>
                <w:szCs w:val="21"/>
              </w:rPr>
              <w:t>一般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szCs w:val="21"/>
              </w:rPr>
            </w:pPr>
            <w:r>
              <w:rPr>
                <w:rFonts w:ascii="Times New Roman" w:hAnsi="Times New Roman"/>
                <w:szCs w:val="21"/>
              </w:rPr>
              <w:t>废气治理设施区</w:t>
            </w:r>
          </w:p>
        </w:tc>
        <w:tc>
          <w:tcPr>
            <w:tcW w:w="3346" w:type="dxa"/>
            <w:vAlign w:val="center"/>
          </w:tcPr>
          <w:p>
            <w:pPr>
              <w:jc w:val="center"/>
              <w:rPr>
                <w:rFonts w:ascii="Times New Roman" w:hAnsi="Times New Roman"/>
                <w:szCs w:val="21"/>
              </w:rPr>
            </w:pPr>
            <w:r>
              <w:rPr>
                <w:rFonts w:ascii="Times New Roman" w:hAnsi="Times New Roman"/>
                <w:szCs w:val="21"/>
              </w:rPr>
              <w:t>区域地面</w:t>
            </w:r>
          </w:p>
        </w:tc>
        <w:tc>
          <w:tcPr>
            <w:tcW w:w="2068" w:type="dxa"/>
            <w:vAlign w:val="center"/>
          </w:tcPr>
          <w:p>
            <w:pPr>
              <w:jc w:val="center"/>
              <w:rPr>
                <w:rFonts w:ascii="Times New Roman" w:hAnsi="Times New Roman"/>
                <w:szCs w:val="21"/>
              </w:rPr>
            </w:pPr>
            <w:r>
              <w:rPr>
                <w:rFonts w:ascii="Times New Roman" w:hAnsi="Times New Roman"/>
                <w:szCs w:val="21"/>
              </w:rPr>
              <w:t>一般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szCs w:val="21"/>
              </w:rPr>
            </w:pPr>
            <w:r>
              <w:rPr>
                <w:rFonts w:ascii="Times New Roman" w:hAnsi="Times New Roman"/>
                <w:szCs w:val="21"/>
              </w:rPr>
              <w:t>雨水明沟</w:t>
            </w:r>
          </w:p>
        </w:tc>
        <w:tc>
          <w:tcPr>
            <w:tcW w:w="3346" w:type="dxa"/>
            <w:vAlign w:val="center"/>
          </w:tcPr>
          <w:p>
            <w:pPr>
              <w:jc w:val="center"/>
              <w:rPr>
                <w:rFonts w:ascii="Times New Roman" w:hAnsi="Times New Roman"/>
                <w:szCs w:val="21"/>
              </w:rPr>
            </w:pPr>
            <w:r>
              <w:rPr>
                <w:rFonts w:ascii="Times New Roman" w:hAnsi="Times New Roman"/>
                <w:szCs w:val="21"/>
              </w:rPr>
              <w:t>雨水明沟</w:t>
            </w:r>
          </w:p>
        </w:tc>
        <w:tc>
          <w:tcPr>
            <w:tcW w:w="2068" w:type="dxa"/>
            <w:vAlign w:val="center"/>
          </w:tcPr>
          <w:p>
            <w:pPr>
              <w:jc w:val="center"/>
              <w:rPr>
                <w:rFonts w:ascii="Times New Roman" w:hAnsi="Times New Roman"/>
                <w:szCs w:val="21"/>
              </w:rPr>
            </w:pPr>
            <w:r>
              <w:rPr>
                <w:rFonts w:ascii="Times New Roman" w:hAnsi="Times New Roman"/>
                <w:szCs w:val="21"/>
              </w:rPr>
              <w:t>一般</w:t>
            </w:r>
          </w:p>
        </w:tc>
      </w:tr>
    </w:tbl>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r>
        <w:rPr>
          <w:rFonts w:ascii="Times New Roman" w:hAnsi="Times New Roman"/>
          <w:sz w:val="24"/>
        </w:rPr>
        <w:t>（1）重点污染防治区</w:t>
      </w:r>
    </w:p>
    <w:p>
      <w:pPr>
        <w:spacing w:line="360" w:lineRule="auto"/>
        <w:ind w:firstLine="480" w:firstLineChars="200"/>
        <w:rPr>
          <w:rFonts w:ascii="Times New Roman" w:hAnsi="Times New Roman"/>
          <w:sz w:val="24"/>
        </w:rPr>
      </w:pPr>
      <w:r>
        <w:rPr>
          <w:rFonts w:ascii="Times New Roman" w:hAnsi="Times New Roman"/>
          <w:sz w:val="24"/>
        </w:rPr>
        <w:t>对于位于地下或者半地下的生产功能单元，发生物料泄漏后不容易及时发现和处理的区域或部位，将其划分为重点污染防治区，包括泵、锅炉区部位。</w:t>
      </w:r>
    </w:p>
    <w:p>
      <w:pPr>
        <w:spacing w:line="360" w:lineRule="auto"/>
        <w:ind w:firstLine="480" w:firstLineChars="200"/>
        <w:rPr>
          <w:rFonts w:ascii="Times New Roman" w:hAnsi="Times New Roman"/>
          <w:sz w:val="24"/>
        </w:rPr>
      </w:pPr>
      <w:r>
        <w:rPr>
          <w:rFonts w:ascii="Times New Roman" w:hAnsi="Times New Roman"/>
          <w:sz w:val="24"/>
        </w:rPr>
        <w:t>本项目泵、锅炉区地面及围堰应按照《石油化工储运系统罐区设计规范》（SH/T3007-2014）的要求严格设计，加强防渗，重点污染防治区防渗层的防渗性能不应低于6.0m厚渗透系数为1.0×10</w:t>
      </w:r>
      <w:r>
        <w:rPr>
          <w:rFonts w:ascii="Times New Roman" w:hAnsi="Times New Roman"/>
          <w:sz w:val="24"/>
          <w:vertAlign w:val="superscript"/>
        </w:rPr>
        <w:t>-7</w:t>
      </w:r>
      <w:r>
        <w:rPr>
          <w:rFonts w:ascii="Times New Roman" w:hAnsi="Times New Roman"/>
          <w:sz w:val="24"/>
        </w:rPr>
        <w:t>cm/s的粘土层的防渗性能。其基础或地基采用加固措施，避免渗漏对地下水的影响。</w:t>
      </w:r>
    </w:p>
    <w:p>
      <w:pPr>
        <w:spacing w:line="360" w:lineRule="auto"/>
        <w:ind w:firstLine="480" w:firstLineChars="200"/>
        <w:rPr>
          <w:rFonts w:ascii="Times New Roman" w:hAnsi="Times New Roman"/>
          <w:sz w:val="24"/>
        </w:rPr>
      </w:pPr>
      <w:r>
        <w:rPr>
          <w:rFonts w:ascii="Times New Roman" w:hAnsi="Times New Roman"/>
          <w:sz w:val="24"/>
        </w:rPr>
        <w:t>（2）一般污染防治区</w:t>
      </w:r>
    </w:p>
    <w:p>
      <w:pPr>
        <w:spacing w:line="360" w:lineRule="auto"/>
        <w:ind w:firstLine="480" w:firstLineChars="200"/>
        <w:rPr>
          <w:rFonts w:ascii="Times New Roman" w:hAnsi="Times New Roman"/>
          <w:sz w:val="24"/>
        </w:rPr>
      </w:pPr>
      <w:r>
        <w:rPr>
          <w:rFonts w:ascii="Times New Roman" w:hAnsi="Times New Roman"/>
          <w:sz w:val="24"/>
        </w:rPr>
        <w:t>按照《石油化工工程防渗技术规范》(GBT50934-2013)石油化工储运工程区的典型污染防治分区原则，本项目装置区地面、雨水明沟均为一般污染防治区。其渗透性能应不低于1.5m厚渗透系数为1.0×10</w:t>
      </w:r>
      <w:r>
        <w:rPr>
          <w:rFonts w:ascii="Times New Roman" w:hAnsi="Times New Roman"/>
          <w:sz w:val="24"/>
          <w:vertAlign w:val="superscript"/>
        </w:rPr>
        <w:t>-7</w:t>
      </w:r>
      <w:r>
        <w:rPr>
          <w:rFonts w:ascii="Times New Roman" w:hAnsi="Times New Roman"/>
          <w:sz w:val="24"/>
        </w:rPr>
        <w:t>cm/s的黏土层的防渗性能。</w:t>
      </w:r>
    </w:p>
    <w:p>
      <w:pPr>
        <w:pStyle w:val="7"/>
        <w:numPr>
          <w:ilvl w:val="2"/>
          <w:numId w:val="0"/>
        </w:numPr>
        <w:spacing w:before="120" w:after="120"/>
        <w:ind w:left="142"/>
      </w:pPr>
      <w:bookmarkStart w:id="427" w:name="_Toc16450"/>
      <w:r>
        <w:t>7.3.3 地下水监测与管理</w:t>
      </w:r>
      <w:bookmarkEnd w:id="427"/>
    </w:p>
    <w:p>
      <w:pPr>
        <w:spacing w:line="360" w:lineRule="auto"/>
        <w:ind w:firstLine="480" w:firstLineChars="200"/>
        <w:rPr>
          <w:rFonts w:ascii="Times New Roman" w:hAnsi="Times New Roman"/>
          <w:sz w:val="24"/>
        </w:rPr>
      </w:pPr>
      <w:r>
        <w:rPr>
          <w:rFonts w:ascii="Times New Roman" w:hAnsi="Times New Roman"/>
          <w:sz w:val="24"/>
        </w:rPr>
        <w:t>（1）根据项目生产运营及项目区地下水环境特征需建立合理、可行、操作性强的防治地下水污染的环境管理体系，包括环境监测方案和向环境保护行政主管部门报告等制度。</w:t>
      </w:r>
    </w:p>
    <w:p>
      <w:pPr>
        <w:spacing w:line="360" w:lineRule="auto"/>
        <w:ind w:firstLine="480" w:firstLineChars="200"/>
        <w:rPr>
          <w:rFonts w:ascii="Times New Roman" w:hAnsi="Times New Roman"/>
          <w:sz w:val="24"/>
        </w:rPr>
      </w:pPr>
      <w:r>
        <w:rPr>
          <w:rFonts w:ascii="Times New Roman" w:hAnsi="Times New Roman"/>
          <w:sz w:val="24"/>
        </w:rPr>
        <w:t>（2）根据《环境影响评价技术导则 地下水环境》（HJ610-2016）要求，本项目应至少在建设项目场地下游布设1个监控点，长岭分公司已在本项目西北边设置了1座监控井。</w:t>
      </w:r>
    </w:p>
    <w:p>
      <w:pPr>
        <w:pStyle w:val="7"/>
        <w:numPr>
          <w:ilvl w:val="2"/>
          <w:numId w:val="0"/>
        </w:numPr>
        <w:spacing w:before="120" w:after="120"/>
      </w:pPr>
      <w:bookmarkStart w:id="428" w:name="_Toc16374"/>
      <w:r>
        <w:t>7.3.4 应急响应</w:t>
      </w:r>
      <w:bookmarkEnd w:id="428"/>
    </w:p>
    <w:p>
      <w:pPr>
        <w:spacing w:line="360" w:lineRule="auto"/>
        <w:ind w:firstLine="480" w:firstLineChars="200"/>
        <w:rPr>
          <w:rFonts w:ascii="Times New Roman" w:hAnsi="Times New Roman"/>
          <w:sz w:val="24"/>
        </w:rPr>
      </w:pPr>
      <w:r>
        <w:rPr>
          <w:rFonts w:ascii="Times New Roman" w:hAnsi="Times New Roman"/>
          <w:sz w:val="24"/>
        </w:rPr>
        <w:t>当地下水被污染可采取抽水净化法的治理方法：控制污染源并查清污染范围后，在污染区范围内已布置抽水井，将被污染的地下水直接抽排出地表，送长岭分公司污水处理场处理达标后排放。</w:t>
      </w:r>
    </w:p>
    <w:p>
      <w:pPr>
        <w:pStyle w:val="6"/>
        <w:numPr>
          <w:ilvl w:val="1"/>
          <w:numId w:val="0"/>
        </w:numPr>
        <w:spacing w:before="120" w:after="120"/>
      </w:pPr>
      <w:bookmarkStart w:id="429" w:name="_Toc3527"/>
      <w:r>
        <w:t>7.4 噪声治理措施分析</w:t>
      </w:r>
      <w:bookmarkEnd w:id="429"/>
    </w:p>
    <w:p>
      <w:pPr>
        <w:autoSpaceDE w:val="0"/>
        <w:autoSpaceDN w:val="0"/>
        <w:spacing w:line="360" w:lineRule="auto"/>
        <w:ind w:firstLine="480" w:firstLineChars="200"/>
        <w:rPr>
          <w:rFonts w:ascii="Times New Roman" w:hAnsi="Times New Roman"/>
          <w:sz w:val="24"/>
        </w:rPr>
      </w:pPr>
      <w:r>
        <w:rPr>
          <w:rFonts w:ascii="Times New Roman" w:hAnsi="Times New Roman"/>
          <w:sz w:val="24"/>
        </w:rPr>
        <w:t>本项目噪声源主要有生产设备运行时产生的机械噪声和空气动力性噪声，主要噪声设备为机泵、锅炉、风机等。本项目对噪声主要采取控制噪声源与隔断噪声传播途径相结合的办法，以控制噪声对厂界外声环境的影响。主要治理措施如下：</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（1）选用低噪声设备</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建设方应在满足工艺生产的前提下，设计中考虑选用设备加工精度高、装配质量好、低噪声的设备是必要且可行的。</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（2）隔振与减振</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许多噪声是由于机械或板的振动而产生的，对于这种机械性噪声的治理，最常用的方法是隔振与减振。如与地基应避免刚性连接，采用隔振器或自行设置隔振装置来实现弹性连接。</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另外，应建立设备定期维护、保养的管理制度，以防止设备故障形成的非生产噪声。同时，加强个体防护措施，例如对操作工人配戴耳罩、帽盔等防护措施。</w:t>
      </w:r>
    </w:p>
    <w:p>
      <w:pPr>
        <w:pStyle w:val="5"/>
        <w:ind w:firstLine="480"/>
        <w:rPr>
          <w:rFonts w:ascii="Times New Roman" w:hAnsi="Times New Roman" w:cs="Times New Roman"/>
        </w:rPr>
      </w:pPr>
      <w:r>
        <w:rPr>
          <w:rFonts w:ascii="Times New Roman" w:hAnsi="Times New Roman" w:cs="Times New Roman"/>
        </w:rPr>
        <w:t>以上处理措施在各行业噪声防治中应用广泛，处理效果良好，在采取基础减震等措施后，可降噪约20dB（A），厂界噪声可实现达标排放。</w:t>
      </w:r>
    </w:p>
    <w:p>
      <w:pPr>
        <w:pStyle w:val="6"/>
        <w:numPr>
          <w:ilvl w:val="1"/>
          <w:numId w:val="0"/>
        </w:numPr>
        <w:spacing w:before="120" w:after="120"/>
      </w:pPr>
      <w:bookmarkStart w:id="430" w:name="_Toc9341"/>
      <w:r>
        <w:t>7.5 土壤治理措施分析</w:t>
      </w:r>
    </w:p>
    <w:p>
      <w:pPr>
        <w:pStyle w:val="294"/>
        <w:spacing w:line="360" w:lineRule="auto"/>
        <w:rPr>
          <w:rFonts w:ascii="Times New Roman" w:hAnsi="Times New Roman" w:cs="Times New Roman"/>
          <w:u w:val="single"/>
        </w:rPr>
      </w:pPr>
      <w:r>
        <w:rPr>
          <w:rFonts w:ascii="Times New Roman" w:hAnsi="Times New Roman" w:cs="Times New Roman"/>
          <w:szCs w:val="24"/>
        </w:rPr>
        <w:t>项目生产中主</w:t>
      </w:r>
      <w:r>
        <w:rPr>
          <w:rFonts w:ascii="Times New Roman" w:hAnsi="Times New Roman" w:cs="Times New Roman"/>
        </w:rPr>
        <w:t>要固体废物为CFB锅炉燃烧产生的炉渣、</w:t>
      </w:r>
      <w:r>
        <w:rPr>
          <w:rFonts w:ascii="Times New Roman" w:hAnsi="Times New Roman" w:cs="Times New Roman"/>
          <w:szCs w:val="24"/>
        </w:rPr>
        <w:t>炉灰和石膏</w:t>
      </w:r>
      <w:r>
        <w:rPr>
          <w:rFonts w:ascii="Times New Roman" w:hAnsi="Times New Roman" w:cs="Times New Roman"/>
        </w:rPr>
        <w:t>，属于一般固废，外售水泥厂综合利用。</w:t>
      </w:r>
      <w:r>
        <w:rPr>
          <w:rFonts w:ascii="Times New Roman" w:hAnsi="Times New Roman" w:cs="Times New Roman"/>
          <w:szCs w:val="24"/>
        </w:rPr>
        <w:t>项目大气污染物主要为重金属镍及二噁英等，其会随降尘和降雨进入到项目周边土壤中，其中大部分会随着地表径流流走，只有很少部分进入到土壤中，项目运行过程中做好各项防治措施后可做到大气污染物达标排放，对土壤的环境影响降至最小。本项目厂区内煤棚等作业场地地面严格按照防渗结构设计并完善煤棚的屋顶防漏、煤棚周边防洪沟的建设，因此在严格按照防渗结构设计的前提下，项目运行后对周围土壤环境不会产生不利影响。另外，</w:t>
      </w:r>
      <w:r>
        <w:rPr>
          <w:rFonts w:ascii="Times New Roman" w:hAnsi="Times New Roman" w:cs="Times New Roman"/>
        </w:rPr>
        <w:t>固废管理得当、收集清运及时则不会对周边土壤环境造成影响。</w:t>
      </w:r>
    </w:p>
    <w:p>
      <w:pPr>
        <w:pStyle w:val="6"/>
        <w:numPr>
          <w:ilvl w:val="1"/>
          <w:numId w:val="0"/>
        </w:numPr>
        <w:spacing w:before="120" w:after="120"/>
      </w:pPr>
      <w:r>
        <w:t>7.6 固废处理措施分析</w:t>
      </w:r>
      <w:bookmarkEnd w:id="430"/>
    </w:p>
    <w:p>
      <w:pPr>
        <w:pStyle w:val="294"/>
        <w:spacing w:line="360" w:lineRule="auto"/>
        <w:rPr>
          <w:rFonts w:ascii="Times New Roman" w:hAnsi="Times New Roman" w:cs="Times New Roman"/>
        </w:rPr>
      </w:pPr>
      <w:r>
        <w:rPr>
          <w:rFonts w:ascii="Times New Roman" w:hAnsi="Times New Roman" w:cs="Times New Roman"/>
        </w:rPr>
        <w:t>项目固体废物主要是CFB锅炉燃烧产生的炉渣、</w:t>
      </w:r>
      <w:r>
        <w:rPr>
          <w:rFonts w:ascii="Times New Roman" w:hAnsi="Times New Roman" w:cs="Times New Roman"/>
          <w:szCs w:val="24"/>
        </w:rPr>
        <w:t>炉灰和石膏</w:t>
      </w:r>
      <w:r>
        <w:rPr>
          <w:rFonts w:ascii="Times New Roman" w:hAnsi="Times New Roman" w:cs="Times New Roman"/>
        </w:rPr>
        <w:t>，</w:t>
      </w:r>
      <w:r>
        <w:rPr>
          <w:rFonts w:ascii="Times New Roman" w:hAnsi="Times New Roman" w:cs="Times New Roman"/>
          <w:szCs w:val="24"/>
        </w:rPr>
        <w:t>为一般工业固废</w:t>
      </w:r>
      <w:r>
        <w:rPr>
          <w:rFonts w:ascii="Times New Roman" w:hAnsi="Times New Roman" w:cs="Times New Roman"/>
        </w:rPr>
        <w:t>，外售水泥厂综合利用。项目所产生的一般工业固体废物均得到有效的回收利用或处置，排放量为零，故对周围环境影响较小。</w:t>
      </w:r>
    </w:p>
    <w:p>
      <w:pPr>
        <w:pStyle w:val="4"/>
        <w:numPr>
          <w:ilvl w:val="0"/>
          <w:numId w:val="0"/>
        </w:numPr>
        <w:tabs>
          <w:tab w:val="clear" w:pos="0"/>
        </w:tabs>
        <w:spacing w:before="180" w:after="180" w:line="240" w:lineRule="auto"/>
      </w:pPr>
      <w:bookmarkStart w:id="431" w:name="_Toc27407"/>
      <w:r>
        <w:t>8. 环境风险分析及防控措施</w:t>
      </w:r>
      <w:bookmarkEnd w:id="431"/>
    </w:p>
    <w:p>
      <w:pPr>
        <w:pStyle w:val="6"/>
        <w:numPr>
          <w:ilvl w:val="1"/>
          <w:numId w:val="0"/>
        </w:numPr>
        <w:spacing w:before="120" w:after="120"/>
      </w:pPr>
      <w:bookmarkStart w:id="432" w:name="_Toc32664"/>
      <w:r>
        <w:t>8.1 评价目的</w:t>
      </w:r>
      <w:bookmarkEnd w:id="432"/>
    </w:p>
    <w:p>
      <w:pPr>
        <w:spacing w:line="360" w:lineRule="auto"/>
        <w:ind w:firstLine="510"/>
        <w:rPr>
          <w:rFonts w:ascii="Times New Roman" w:hAnsi="Times New Roman"/>
          <w:kern w:val="0"/>
          <w:sz w:val="24"/>
          <w:szCs w:val="24"/>
        </w:rPr>
      </w:pPr>
      <w:r>
        <w:rPr>
          <w:rFonts w:ascii="Times New Roman" w:hAnsi="Times New Roman"/>
          <w:kern w:val="0"/>
          <w:sz w:val="24"/>
          <w:szCs w:val="24"/>
        </w:rPr>
        <w:t>根据1.5.5章节的风险评价等级计算，可知本项目风险等级为二级。本工程环境风险评价按照《建设项目环境风险评价导则》（HJ/T169-2018）、环保部《关于进一步加强环境影响评价管理防范环境风险的通知》（环发[2012]77 号）和《关于切实加强风险防范严格环境影响评价管理的通知》（环发[2012]98 号）等要求，通过对拟建项目环境风险识别与环境风险分析，说明本项目存在的环境风险和应当采取的相应防范处置措施，以达到合理防范环境风险，将环境风险对人员和财产的损害和其对生态环境的不利影响降到最低限度或达到可接受水平。</w:t>
      </w:r>
    </w:p>
    <w:p>
      <w:pPr>
        <w:pStyle w:val="6"/>
        <w:numPr>
          <w:ilvl w:val="1"/>
          <w:numId w:val="0"/>
        </w:numPr>
        <w:tabs>
          <w:tab w:val="left" w:pos="1092"/>
        </w:tabs>
        <w:kinsoku w:val="0"/>
        <w:overflowPunct w:val="0"/>
        <w:spacing w:before="120" w:after="120"/>
      </w:pPr>
      <w:bookmarkStart w:id="433" w:name="_Toc5766"/>
      <w:r>
        <w:t xml:space="preserve">8.2 </w:t>
      </w:r>
      <w:bookmarkEnd w:id="433"/>
      <w:r>
        <w:t>环境风险识别与环境风险分析</w:t>
      </w:r>
    </w:p>
    <w:p>
      <w:pPr>
        <w:spacing w:line="360" w:lineRule="auto"/>
        <w:ind w:firstLine="440" w:firstLineChars="200"/>
        <w:rPr>
          <w:rFonts w:ascii="Times New Roman" w:hAnsi="Times New Roman"/>
          <w:sz w:val="24"/>
        </w:rPr>
      </w:pPr>
      <w:r>
        <w:rPr>
          <w:rFonts w:ascii="Times New Roman" w:hAnsi="Times New Roman"/>
          <w:spacing w:val="-10"/>
          <w:sz w:val="24"/>
          <w:szCs w:val="24"/>
        </w:rPr>
        <w:t>根据《国家安全监管总局关于公布首批重点监管的危险化学品名录的通知》（安监总管三〔2011〕95 号），本项目涉及的氨、硫化氢、</w:t>
      </w:r>
      <w:r>
        <w:rPr>
          <w:rFonts w:ascii="Times New Roman" w:hAnsi="Times New Roman"/>
          <w:sz w:val="24"/>
        </w:rPr>
        <w:t>二噁英</w:t>
      </w:r>
      <w:r>
        <w:rPr>
          <w:rFonts w:ascii="Times New Roman" w:hAnsi="Times New Roman"/>
          <w:spacing w:val="-10"/>
          <w:sz w:val="24"/>
          <w:szCs w:val="24"/>
        </w:rPr>
        <w:t>为重点监管的危险化学品。</w:t>
      </w:r>
      <w:bookmarkStart w:id="434" w:name="_Toc12804"/>
      <w:r>
        <w:rPr>
          <w:rFonts w:ascii="Times New Roman" w:hAnsi="Times New Roman"/>
          <w:sz w:val="24"/>
        </w:rPr>
        <w:t>其主要化学理化性质如下表。</w:t>
      </w:r>
    </w:p>
    <w:p>
      <w:pPr>
        <w:pStyle w:val="294"/>
        <w:spacing w:line="240" w:lineRule="auto"/>
        <w:ind w:firstLine="0" w:firstLineChars="0"/>
        <w:jc w:val="center"/>
        <w:rPr>
          <w:rFonts w:ascii="Times New Roman" w:hAnsi="Times New Roman" w:cs="Times New Roman"/>
          <w:b/>
          <w:bCs/>
          <w:szCs w:val="24"/>
        </w:rPr>
      </w:pPr>
      <w:r>
        <w:rPr>
          <w:rFonts w:ascii="Times New Roman" w:hAnsi="Times New Roman" w:cs="Times New Roman"/>
          <w:b/>
          <w:bCs/>
          <w:szCs w:val="24"/>
        </w:rPr>
        <w:t>表8.2-1  氨的危害特性及安全技术分析一览表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7" w:type="dxa"/>
          <w:left w:w="108" w:type="dxa"/>
          <w:bottom w:w="17" w:type="dxa"/>
          <w:right w:w="108" w:type="dxa"/>
        </w:tblCellMar>
      </w:tblPr>
      <w:tblGrid>
        <w:gridCol w:w="1296"/>
        <w:gridCol w:w="1550"/>
        <w:gridCol w:w="549"/>
        <w:gridCol w:w="1711"/>
        <w:gridCol w:w="1711"/>
        <w:gridCol w:w="1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Align w:val="center"/>
          </w:tcPr>
          <w:p>
            <w:pPr>
              <w:spacing w:line="240" w:lineRule="exact"/>
              <w:jc w:val="center"/>
              <w:rPr>
                <w:rFonts w:ascii="Times New Roman" w:hAnsi="Times New Roman"/>
                <w:b/>
                <w:bCs/>
                <w:szCs w:val="21"/>
              </w:rPr>
            </w:pPr>
            <w:r>
              <w:rPr>
                <w:rFonts w:ascii="Times New Roman" w:hAnsi="Times New Roman"/>
                <w:b/>
                <w:bCs/>
                <w:szCs w:val="21"/>
              </w:rPr>
              <w:t>品名</w:t>
            </w:r>
          </w:p>
        </w:tc>
        <w:tc>
          <w:tcPr>
            <w:tcW w:w="7232" w:type="dxa"/>
            <w:gridSpan w:val="5"/>
            <w:vAlign w:val="center"/>
          </w:tcPr>
          <w:p>
            <w:pPr>
              <w:spacing w:line="240" w:lineRule="exact"/>
              <w:ind w:firstLine="360"/>
              <w:jc w:val="center"/>
              <w:rPr>
                <w:rFonts w:ascii="Times New Roman" w:hAnsi="Times New Roman"/>
                <w:b/>
                <w:bCs/>
                <w:szCs w:val="21"/>
              </w:rPr>
            </w:pPr>
            <w:r>
              <w:rPr>
                <w:rFonts w:ascii="Times New Roman" w:hAnsi="Times New Roman"/>
                <w:b/>
                <w:bCs/>
                <w:szCs w:val="21"/>
              </w:rPr>
              <w:t>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restart"/>
            <w:vAlign w:val="center"/>
          </w:tcPr>
          <w:p>
            <w:pPr>
              <w:spacing w:line="240" w:lineRule="exact"/>
              <w:jc w:val="center"/>
              <w:rPr>
                <w:rFonts w:ascii="Times New Roman" w:hAnsi="Times New Roman"/>
                <w:szCs w:val="21"/>
              </w:rPr>
            </w:pPr>
            <w:r>
              <w:rPr>
                <w:rFonts w:ascii="Times New Roman" w:hAnsi="Times New Roman"/>
                <w:szCs w:val="21"/>
              </w:rPr>
              <w:t>物理性质</w:t>
            </w: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熔点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-77.7℃</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沸点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凝固点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相对密度</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(水=1)0.82(-79℃)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外观气味</w:t>
            </w:r>
          </w:p>
        </w:tc>
        <w:tc>
          <w:tcPr>
            <w:tcW w:w="5133" w:type="dxa"/>
            <w:gridSpan w:val="3"/>
            <w:vAlign w:val="center"/>
          </w:tcPr>
          <w:p>
            <w:pPr>
              <w:spacing w:line="240" w:lineRule="exact"/>
              <w:jc w:val="center"/>
              <w:rPr>
                <w:rFonts w:ascii="Times New Roman" w:hAnsi="Times New Roman"/>
                <w:szCs w:val="21"/>
              </w:rPr>
            </w:pPr>
            <w:r>
              <w:rPr>
                <w:rFonts w:ascii="Times New Roman" w:hAnsi="Times New Roman"/>
                <w:szCs w:val="21"/>
              </w:rPr>
              <w:t>无色有刺激性恶臭的气体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溶解性</w:t>
            </w:r>
          </w:p>
        </w:tc>
        <w:tc>
          <w:tcPr>
            <w:tcW w:w="5133" w:type="dxa"/>
            <w:gridSpan w:val="3"/>
            <w:vAlign w:val="center"/>
          </w:tcPr>
          <w:p>
            <w:pPr>
              <w:spacing w:line="240" w:lineRule="exact"/>
              <w:jc w:val="center"/>
              <w:rPr>
                <w:rFonts w:ascii="Times New Roman" w:hAnsi="Times New Roman"/>
                <w:szCs w:val="21"/>
              </w:rPr>
            </w:pPr>
            <w:r>
              <w:rPr>
                <w:rFonts w:ascii="Times New Roman" w:hAnsi="Times New Roman"/>
                <w:szCs w:val="21"/>
              </w:rPr>
              <w:t>易溶于水、乙醇、乙醚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危险货</w:t>
            </w:r>
          </w:p>
          <w:p>
            <w:pPr>
              <w:spacing w:line="240" w:lineRule="exact"/>
              <w:jc w:val="center"/>
              <w:rPr>
                <w:rFonts w:ascii="Times New Roman" w:hAnsi="Times New Roman"/>
                <w:szCs w:val="21"/>
              </w:rPr>
            </w:pPr>
            <w:r>
              <w:rPr>
                <w:rFonts w:ascii="Times New Roman" w:hAnsi="Times New Roman"/>
                <w:szCs w:val="21"/>
              </w:rPr>
              <w:t>物编号</w:t>
            </w: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23003</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物质危害特性</w:t>
            </w:r>
          </w:p>
        </w:tc>
        <w:tc>
          <w:tcPr>
            <w:tcW w:w="3422" w:type="dxa"/>
            <w:gridSpan w:val="2"/>
            <w:vAlign w:val="center"/>
          </w:tcPr>
          <w:p>
            <w:pPr>
              <w:spacing w:line="240" w:lineRule="exact"/>
              <w:jc w:val="center"/>
              <w:rPr>
                <w:rFonts w:ascii="Times New Roman" w:hAnsi="Times New Roman"/>
                <w:szCs w:val="21"/>
              </w:rPr>
            </w:pPr>
            <w:r>
              <w:rPr>
                <w:rFonts w:ascii="Times New Roman" w:hAnsi="Times New Roman"/>
                <w:szCs w:val="21"/>
              </w:rPr>
              <w:t>有毒气体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危险特性</w:t>
            </w:r>
          </w:p>
        </w:tc>
        <w:tc>
          <w:tcPr>
            <w:tcW w:w="7232" w:type="dxa"/>
            <w:gridSpan w:val="5"/>
            <w:vAlign w:val="center"/>
          </w:tcPr>
          <w:p>
            <w:pPr>
              <w:spacing w:line="240" w:lineRule="exact"/>
              <w:rPr>
                <w:rFonts w:ascii="Times New Roman" w:hAnsi="Times New Roman"/>
                <w:szCs w:val="21"/>
              </w:rPr>
            </w:pPr>
            <w:r>
              <w:rPr>
                <w:rFonts w:ascii="Times New Roman" w:hAnsi="Times New Roman"/>
                <w:szCs w:val="21"/>
              </w:rPr>
              <w:t>与空气混合能形成爆炸性混合物。遇明火、高热能引起燃烧爆炸。与氟、氯等接触会发生剧烈的化学反应。若遇高热，容器内压增大，有开裂和爆炸的危险。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毒性</w:t>
            </w:r>
          </w:p>
        </w:tc>
        <w:tc>
          <w:tcPr>
            <w:tcW w:w="7232" w:type="dxa"/>
            <w:gridSpan w:val="5"/>
            <w:vAlign w:val="center"/>
          </w:tcPr>
          <w:p>
            <w:pPr>
              <w:spacing w:line="240" w:lineRule="exact"/>
              <w:rPr>
                <w:rFonts w:ascii="Times New Roman" w:hAnsi="Times New Roman"/>
                <w:szCs w:val="21"/>
              </w:rPr>
            </w:pPr>
            <w:r>
              <w:rPr>
                <w:rFonts w:ascii="Times New Roman" w:hAnsi="Times New Roman"/>
                <w:szCs w:val="21"/>
              </w:rPr>
              <w:t>毒性：低毒类。</w:t>
            </w:r>
            <w:r>
              <w:rPr>
                <w:rFonts w:ascii="Times New Roman" w:hAnsi="Times New Roman"/>
                <w:szCs w:val="21"/>
              </w:rPr>
              <w:br w:type="textWrapping"/>
            </w:r>
            <w:r>
              <w:rPr>
                <w:rFonts w:ascii="Times New Roman" w:hAnsi="Times New Roman"/>
                <w:szCs w:val="21"/>
              </w:rPr>
              <w:t>急性毒性：LD</w:t>
            </w:r>
            <w:r>
              <w:rPr>
                <w:rFonts w:ascii="Times New Roman" w:hAnsi="Times New Roman"/>
                <w:szCs w:val="21"/>
                <w:vertAlign w:val="subscript"/>
              </w:rPr>
              <w:t>50</w:t>
            </w:r>
            <w:r>
              <w:rPr>
                <w:rFonts w:ascii="Times New Roman" w:hAnsi="Times New Roman"/>
                <w:szCs w:val="21"/>
              </w:rPr>
              <w:t>350mg/kg(大鼠经口)；LC</w:t>
            </w:r>
            <w:r>
              <w:rPr>
                <w:rFonts w:ascii="Times New Roman" w:hAnsi="Times New Roman"/>
                <w:szCs w:val="21"/>
                <w:vertAlign w:val="subscript"/>
              </w:rPr>
              <w:t>50</w:t>
            </w:r>
            <w:r>
              <w:rPr>
                <w:rFonts w:ascii="Times New Roman" w:hAnsi="Times New Roman"/>
                <w:szCs w:val="21"/>
              </w:rPr>
              <w:t>1390mg/m</w:t>
            </w:r>
            <w:r>
              <w:rPr>
                <w:rFonts w:ascii="Times New Roman" w:hAnsi="Times New Roman"/>
                <w:szCs w:val="21"/>
                <w:vertAlign w:val="superscript"/>
              </w:rPr>
              <w:t>3</w:t>
            </w:r>
            <w:r>
              <w:rPr>
                <w:rFonts w:ascii="Times New Roman" w:hAnsi="Times New Roman"/>
                <w:szCs w:val="21"/>
              </w:rPr>
              <w:t>，4小时，(大鼠吸入)。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restart"/>
            <w:vAlign w:val="center"/>
          </w:tcPr>
          <w:p>
            <w:pPr>
              <w:spacing w:line="240" w:lineRule="exact"/>
              <w:jc w:val="center"/>
              <w:rPr>
                <w:rFonts w:ascii="Times New Roman" w:hAnsi="Times New Roman"/>
                <w:szCs w:val="21"/>
              </w:rPr>
            </w:pPr>
            <w:r>
              <w:rPr>
                <w:rFonts w:ascii="Times New Roman" w:hAnsi="Times New Roman"/>
                <w:szCs w:val="21"/>
              </w:rPr>
              <w:t>安全防</w:t>
            </w:r>
          </w:p>
          <w:p>
            <w:pPr>
              <w:spacing w:line="240" w:lineRule="exact"/>
              <w:jc w:val="center"/>
              <w:rPr>
                <w:rFonts w:ascii="Times New Roman" w:hAnsi="Times New Roman"/>
                <w:szCs w:val="21"/>
              </w:rPr>
            </w:pPr>
            <w:r>
              <w:rPr>
                <w:rFonts w:ascii="Times New Roman" w:hAnsi="Times New Roman"/>
                <w:szCs w:val="21"/>
              </w:rPr>
              <w:t>护措施</w:t>
            </w:r>
          </w:p>
        </w:tc>
        <w:tc>
          <w:tcPr>
            <w:tcW w:w="1550" w:type="dxa"/>
            <w:vAlign w:val="center"/>
          </w:tcPr>
          <w:p>
            <w:pPr>
              <w:spacing w:line="240" w:lineRule="exact"/>
              <w:jc w:val="center"/>
              <w:rPr>
                <w:rFonts w:ascii="Times New Roman" w:hAnsi="Times New Roman"/>
                <w:szCs w:val="21"/>
              </w:rPr>
            </w:pPr>
            <w:r>
              <w:rPr>
                <w:rFonts w:ascii="Times New Roman" w:hAnsi="Times New Roman"/>
                <w:szCs w:val="21"/>
              </w:rPr>
              <w:t>呼吸系统防护</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空气中浓度超标时，建议佩戴过滤式防毒面具(半面罩)。紧急事态抢救或撤离时，必须佩戴空气呼吸器。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眼睛防护</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戴化学安全防护眼镜。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身体防护</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穿防静电工作服。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trHeight w:val="90" w:hRule="atLeast"/>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手防护</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戴橡皮手套。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其他</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工作现场严禁吸烟、进食和饮水。工作毕，淋浴更衣。保持良好的卫生习惯。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restart"/>
            <w:vAlign w:val="center"/>
          </w:tcPr>
          <w:p>
            <w:pPr>
              <w:spacing w:line="240" w:lineRule="exact"/>
              <w:jc w:val="center"/>
              <w:rPr>
                <w:rFonts w:ascii="Times New Roman" w:hAnsi="Times New Roman"/>
                <w:szCs w:val="21"/>
              </w:rPr>
            </w:pPr>
            <w:r>
              <w:rPr>
                <w:rFonts w:ascii="Times New Roman" w:hAnsi="Times New Roman"/>
                <w:szCs w:val="21"/>
              </w:rPr>
              <w:t>应急措施</w:t>
            </w:r>
          </w:p>
        </w:tc>
        <w:tc>
          <w:tcPr>
            <w:tcW w:w="1550" w:type="dxa"/>
            <w:vMerge w:val="restart"/>
            <w:vAlign w:val="center"/>
          </w:tcPr>
          <w:p>
            <w:pPr>
              <w:spacing w:line="240" w:lineRule="exact"/>
              <w:jc w:val="center"/>
              <w:rPr>
                <w:rFonts w:ascii="Times New Roman" w:hAnsi="Times New Roman"/>
                <w:szCs w:val="21"/>
              </w:rPr>
            </w:pPr>
            <w:r>
              <w:rPr>
                <w:rFonts w:ascii="Times New Roman" w:hAnsi="Times New Roman"/>
                <w:szCs w:val="21"/>
              </w:rPr>
              <w:t>急救措施</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皮肤接触：立即脱去被污染的衣着，应用2%硼酸液或大量流动清水彻底冲洗。就医。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Merge w:val="continue"/>
            <w:vAlign w:val="center"/>
          </w:tcPr>
          <w:p>
            <w:pPr>
              <w:spacing w:line="240" w:lineRule="exact"/>
              <w:ind w:firstLine="360"/>
              <w:jc w:val="center"/>
              <w:rPr>
                <w:rFonts w:ascii="Times New Roman" w:hAnsi="Times New Roman"/>
                <w:szCs w:val="21"/>
              </w:rPr>
            </w:pP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眼睛接触：立即提起眼睑，用大量流动清水或生理盐水彻底冲洗至少15分钟。就医。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Merge w:val="continue"/>
            <w:vAlign w:val="center"/>
          </w:tcPr>
          <w:p>
            <w:pPr>
              <w:spacing w:line="240" w:lineRule="exact"/>
              <w:ind w:firstLine="360"/>
              <w:jc w:val="center"/>
              <w:rPr>
                <w:rFonts w:ascii="Times New Roman" w:hAnsi="Times New Roman"/>
                <w:szCs w:val="21"/>
              </w:rPr>
            </w:pP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吸入：迅速脱离现场至空气新鲜处。必要时进行人工呼吸。就医。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Merge w:val="continue"/>
            <w:vAlign w:val="center"/>
          </w:tcPr>
          <w:p>
            <w:pPr>
              <w:spacing w:line="240" w:lineRule="exact"/>
              <w:ind w:firstLine="360"/>
              <w:jc w:val="center"/>
              <w:rPr>
                <w:rFonts w:ascii="Times New Roman" w:hAnsi="Times New Roman"/>
                <w:szCs w:val="21"/>
              </w:rPr>
            </w:pP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食入：迅速脱离现场至空气新鲜处。保持呼吸道通畅。如呼吸困难，给输氧。如呼吸停止，立即进行人工呼吸。就医。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550" w:type="dxa"/>
            <w:vAlign w:val="center"/>
          </w:tcPr>
          <w:p>
            <w:pPr>
              <w:spacing w:line="240" w:lineRule="exact"/>
              <w:jc w:val="center"/>
              <w:rPr>
                <w:rFonts w:ascii="Times New Roman" w:hAnsi="Times New Roman"/>
                <w:szCs w:val="21"/>
              </w:rPr>
            </w:pPr>
            <w:r>
              <w:rPr>
                <w:rFonts w:ascii="Times New Roman" w:hAnsi="Times New Roman"/>
                <w:szCs w:val="21"/>
              </w:rPr>
              <w:t>泄漏措施</w:t>
            </w:r>
          </w:p>
        </w:tc>
        <w:tc>
          <w:tcPr>
            <w:tcW w:w="5682" w:type="dxa"/>
            <w:gridSpan w:val="4"/>
            <w:vAlign w:val="center"/>
          </w:tcPr>
          <w:p>
            <w:pPr>
              <w:spacing w:line="240" w:lineRule="exact"/>
              <w:rPr>
                <w:rFonts w:ascii="Times New Roman" w:hAnsi="Times New Roman"/>
                <w:szCs w:val="21"/>
              </w:rPr>
            </w:pPr>
            <w:r>
              <w:rPr>
                <w:rFonts w:ascii="Times New Roman" w:hAnsi="Times New Roman"/>
                <w:szCs w:val="21"/>
              </w:rPr>
              <w:t>迅速撤离泄漏污染区人员至上风处，并立即进行隔离150米，严格限制出入，切断火源。建议应急处理人员戴自给正压式呼吸器，穿防毒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产生途径</w:t>
            </w:r>
          </w:p>
        </w:tc>
        <w:tc>
          <w:tcPr>
            <w:tcW w:w="7232" w:type="dxa"/>
            <w:gridSpan w:val="5"/>
            <w:vAlign w:val="center"/>
          </w:tcPr>
          <w:p>
            <w:pPr>
              <w:spacing w:line="240" w:lineRule="exact"/>
              <w:rPr>
                <w:rFonts w:ascii="Times New Roman" w:hAnsi="Times New Roman"/>
                <w:szCs w:val="21"/>
              </w:rPr>
            </w:pPr>
            <w:r>
              <w:rPr>
                <w:rFonts w:ascii="Times New Roman" w:hAnsi="Times New Roman"/>
                <w:szCs w:val="21"/>
              </w:rPr>
              <w:t>运输、堆放过程中产生</w:t>
            </w:r>
          </w:p>
        </w:tc>
      </w:tr>
    </w:tbl>
    <w:p>
      <w:pPr>
        <w:pStyle w:val="294"/>
        <w:spacing w:line="240" w:lineRule="auto"/>
        <w:ind w:firstLine="0" w:firstLineChars="0"/>
        <w:jc w:val="center"/>
        <w:rPr>
          <w:rFonts w:ascii="Times New Roman" w:hAnsi="Times New Roman" w:cs="Times New Roman"/>
          <w:szCs w:val="24"/>
        </w:rPr>
      </w:pPr>
    </w:p>
    <w:p>
      <w:pPr>
        <w:pStyle w:val="294"/>
        <w:spacing w:line="240" w:lineRule="auto"/>
        <w:ind w:firstLine="0" w:firstLineChars="0"/>
        <w:jc w:val="center"/>
        <w:rPr>
          <w:rFonts w:ascii="Times New Roman" w:hAnsi="Times New Roman" w:cs="Times New Roman"/>
          <w:b/>
          <w:bCs/>
          <w:szCs w:val="24"/>
        </w:rPr>
      </w:pPr>
      <w:r>
        <w:rPr>
          <w:rFonts w:ascii="Times New Roman" w:hAnsi="Times New Roman" w:cs="Times New Roman"/>
          <w:b/>
          <w:bCs/>
          <w:szCs w:val="24"/>
        </w:rPr>
        <w:t>表8.2-2  硫化氢的危害特性及安全技术分析一览表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7" w:type="dxa"/>
          <w:left w:w="108" w:type="dxa"/>
          <w:bottom w:w="17" w:type="dxa"/>
          <w:right w:w="108" w:type="dxa"/>
        </w:tblCellMar>
      </w:tblPr>
      <w:tblGrid>
        <w:gridCol w:w="1303"/>
        <w:gridCol w:w="1547"/>
        <w:gridCol w:w="549"/>
        <w:gridCol w:w="1709"/>
        <w:gridCol w:w="1709"/>
        <w:gridCol w:w="1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Align w:val="center"/>
          </w:tcPr>
          <w:p>
            <w:pPr>
              <w:spacing w:line="240" w:lineRule="exact"/>
              <w:jc w:val="center"/>
              <w:rPr>
                <w:rFonts w:ascii="Times New Roman" w:hAnsi="Times New Roman"/>
                <w:b/>
                <w:bCs/>
                <w:szCs w:val="21"/>
              </w:rPr>
            </w:pPr>
            <w:r>
              <w:rPr>
                <w:rFonts w:ascii="Times New Roman" w:hAnsi="Times New Roman"/>
                <w:b/>
                <w:bCs/>
                <w:szCs w:val="21"/>
              </w:rPr>
              <w:t>品名</w:t>
            </w:r>
          </w:p>
        </w:tc>
        <w:tc>
          <w:tcPr>
            <w:tcW w:w="7225" w:type="dxa"/>
            <w:gridSpan w:val="5"/>
            <w:vAlign w:val="center"/>
          </w:tcPr>
          <w:p>
            <w:pPr>
              <w:spacing w:line="240" w:lineRule="exact"/>
              <w:ind w:firstLine="360"/>
              <w:jc w:val="center"/>
              <w:rPr>
                <w:rFonts w:ascii="Times New Roman" w:hAnsi="Times New Roman"/>
                <w:b/>
                <w:bCs/>
                <w:szCs w:val="21"/>
              </w:rPr>
            </w:pPr>
            <w:r>
              <w:rPr>
                <w:rFonts w:ascii="Times New Roman" w:hAnsi="Times New Roman"/>
                <w:b/>
                <w:bCs/>
                <w:szCs w:val="21"/>
              </w:rPr>
              <w:t>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restart"/>
            <w:vAlign w:val="center"/>
          </w:tcPr>
          <w:p>
            <w:pPr>
              <w:spacing w:line="240" w:lineRule="exact"/>
              <w:jc w:val="center"/>
              <w:rPr>
                <w:rFonts w:ascii="Times New Roman" w:hAnsi="Times New Roman"/>
                <w:szCs w:val="21"/>
              </w:rPr>
            </w:pPr>
            <w:r>
              <w:rPr>
                <w:rFonts w:ascii="Times New Roman" w:hAnsi="Times New Roman"/>
                <w:szCs w:val="21"/>
              </w:rPr>
              <w:t>物理性质</w:t>
            </w:r>
          </w:p>
        </w:tc>
        <w:tc>
          <w:tcPr>
            <w:tcW w:w="2096" w:type="dxa"/>
            <w:gridSpan w:val="2"/>
            <w:vAlign w:val="center"/>
          </w:tcPr>
          <w:p>
            <w:pPr>
              <w:spacing w:line="240" w:lineRule="exact"/>
              <w:jc w:val="center"/>
              <w:rPr>
                <w:rFonts w:ascii="Times New Roman" w:hAnsi="Times New Roman"/>
                <w:szCs w:val="21"/>
              </w:rPr>
            </w:pPr>
            <w:r>
              <w:rPr>
                <w:rFonts w:ascii="Times New Roman" w:hAnsi="Times New Roman"/>
                <w:szCs w:val="21"/>
              </w:rPr>
              <w:t>熔点</w:t>
            </w:r>
          </w:p>
        </w:tc>
        <w:tc>
          <w:tcPr>
            <w:tcW w:w="1709" w:type="dxa"/>
            <w:vAlign w:val="center"/>
          </w:tcPr>
          <w:p>
            <w:pPr>
              <w:spacing w:line="240" w:lineRule="exact"/>
              <w:jc w:val="center"/>
              <w:rPr>
                <w:rFonts w:ascii="Times New Roman" w:hAnsi="Times New Roman"/>
                <w:szCs w:val="21"/>
              </w:rPr>
            </w:pPr>
            <w:r>
              <w:rPr>
                <w:rFonts w:ascii="Times New Roman" w:hAnsi="Times New Roman"/>
                <w:szCs w:val="21"/>
              </w:rPr>
              <w:t>-85.5℃</w:t>
            </w:r>
          </w:p>
        </w:tc>
        <w:tc>
          <w:tcPr>
            <w:tcW w:w="1709" w:type="dxa"/>
            <w:vAlign w:val="center"/>
          </w:tcPr>
          <w:p>
            <w:pPr>
              <w:spacing w:line="240" w:lineRule="exact"/>
              <w:jc w:val="center"/>
              <w:rPr>
                <w:rFonts w:ascii="Times New Roman" w:hAnsi="Times New Roman"/>
                <w:szCs w:val="21"/>
              </w:rPr>
            </w:pPr>
            <w:r>
              <w:rPr>
                <w:rFonts w:ascii="Times New Roman" w:hAnsi="Times New Roman"/>
                <w:szCs w:val="21"/>
              </w:rPr>
              <w:t>沸点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-60.4℃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2096" w:type="dxa"/>
            <w:gridSpan w:val="2"/>
            <w:vAlign w:val="center"/>
          </w:tcPr>
          <w:p>
            <w:pPr>
              <w:spacing w:line="240" w:lineRule="exact"/>
              <w:jc w:val="center"/>
              <w:rPr>
                <w:rFonts w:ascii="Times New Roman" w:hAnsi="Times New Roman"/>
                <w:szCs w:val="21"/>
              </w:rPr>
            </w:pPr>
            <w:r>
              <w:rPr>
                <w:rFonts w:ascii="Times New Roman" w:hAnsi="Times New Roman"/>
                <w:szCs w:val="21"/>
              </w:rPr>
              <w:t>凝固点</w:t>
            </w:r>
          </w:p>
        </w:tc>
        <w:tc>
          <w:tcPr>
            <w:tcW w:w="1709" w:type="dxa"/>
            <w:vAlign w:val="center"/>
          </w:tcPr>
          <w:p>
            <w:pPr>
              <w:spacing w:line="240" w:lineRule="exact"/>
              <w:jc w:val="center"/>
              <w:rPr>
                <w:rFonts w:ascii="Times New Roman" w:hAnsi="Times New Roman"/>
                <w:szCs w:val="21"/>
              </w:rPr>
            </w:pPr>
            <w:r>
              <w:rPr>
                <w:rFonts w:ascii="Times New Roman" w:hAnsi="Times New Roman"/>
                <w:szCs w:val="21"/>
              </w:rPr>
              <w:t>-</w:t>
            </w:r>
          </w:p>
        </w:tc>
        <w:tc>
          <w:tcPr>
            <w:tcW w:w="1709" w:type="dxa"/>
            <w:vAlign w:val="center"/>
          </w:tcPr>
          <w:p>
            <w:pPr>
              <w:spacing w:line="240" w:lineRule="exact"/>
              <w:jc w:val="center"/>
              <w:rPr>
                <w:rFonts w:ascii="Times New Roman" w:hAnsi="Times New Roman"/>
                <w:szCs w:val="21"/>
              </w:rPr>
            </w:pPr>
            <w:r>
              <w:rPr>
                <w:rFonts w:ascii="Times New Roman" w:hAnsi="Times New Roman"/>
                <w:szCs w:val="21"/>
              </w:rPr>
              <w:t>相对密度</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(空气=1)1.19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2096" w:type="dxa"/>
            <w:gridSpan w:val="2"/>
            <w:vAlign w:val="center"/>
          </w:tcPr>
          <w:p>
            <w:pPr>
              <w:spacing w:line="240" w:lineRule="exact"/>
              <w:jc w:val="center"/>
              <w:rPr>
                <w:rFonts w:ascii="Times New Roman" w:hAnsi="Times New Roman"/>
                <w:szCs w:val="21"/>
              </w:rPr>
            </w:pPr>
            <w:r>
              <w:rPr>
                <w:rFonts w:ascii="Times New Roman" w:hAnsi="Times New Roman"/>
                <w:szCs w:val="21"/>
              </w:rPr>
              <w:t>外观气味</w:t>
            </w:r>
          </w:p>
        </w:tc>
        <w:tc>
          <w:tcPr>
            <w:tcW w:w="5129" w:type="dxa"/>
            <w:gridSpan w:val="3"/>
            <w:vAlign w:val="center"/>
          </w:tcPr>
          <w:p>
            <w:pPr>
              <w:spacing w:line="240" w:lineRule="exact"/>
              <w:jc w:val="center"/>
              <w:rPr>
                <w:rFonts w:ascii="Times New Roman" w:hAnsi="Times New Roman"/>
                <w:szCs w:val="21"/>
              </w:rPr>
            </w:pPr>
            <w:r>
              <w:rPr>
                <w:rFonts w:ascii="Times New Roman" w:hAnsi="Times New Roman"/>
                <w:szCs w:val="21"/>
              </w:rPr>
              <w:t>无色有恶臭气体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2096" w:type="dxa"/>
            <w:gridSpan w:val="2"/>
            <w:vAlign w:val="center"/>
          </w:tcPr>
          <w:p>
            <w:pPr>
              <w:spacing w:line="240" w:lineRule="exact"/>
              <w:jc w:val="center"/>
              <w:rPr>
                <w:rFonts w:ascii="Times New Roman" w:hAnsi="Times New Roman"/>
                <w:szCs w:val="21"/>
              </w:rPr>
            </w:pPr>
            <w:r>
              <w:rPr>
                <w:rFonts w:ascii="Times New Roman" w:hAnsi="Times New Roman"/>
                <w:szCs w:val="21"/>
              </w:rPr>
              <w:t>溶解性</w:t>
            </w:r>
          </w:p>
        </w:tc>
        <w:tc>
          <w:tcPr>
            <w:tcW w:w="5129" w:type="dxa"/>
            <w:gridSpan w:val="3"/>
            <w:vAlign w:val="center"/>
          </w:tcPr>
          <w:p>
            <w:pPr>
              <w:spacing w:line="240" w:lineRule="exact"/>
              <w:jc w:val="center"/>
              <w:rPr>
                <w:rFonts w:ascii="Times New Roman" w:hAnsi="Times New Roman"/>
                <w:szCs w:val="21"/>
              </w:rPr>
            </w:pPr>
            <w:r>
              <w:rPr>
                <w:rFonts w:ascii="Times New Roman" w:hAnsi="Times New Roman"/>
                <w:szCs w:val="21"/>
              </w:rPr>
              <w:t>溶于水、乙醇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Align w:val="center"/>
          </w:tcPr>
          <w:p>
            <w:pPr>
              <w:spacing w:line="240" w:lineRule="exact"/>
              <w:jc w:val="center"/>
              <w:rPr>
                <w:rFonts w:ascii="Times New Roman" w:hAnsi="Times New Roman"/>
                <w:szCs w:val="21"/>
              </w:rPr>
            </w:pPr>
            <w:r>
              <w:rPr>
                <w:rFonts w:ascii="Times New Roman" w:hAnsi="Times New Roman"/>
                <w:szCs w:val="21"/>
              </w:rPr>
              <w:t>危险货</w:t>
            </w:r>
          </w:p>
          <w:p>
            <w:pPr>
              <w:spacing w:line="240" w:lineRule="exact"/>
              <w:jc w:val="center"/>
              <w:rPr>
                <w:rFonts w:ascii="Times New Roman" w:hAnsi="Times New Roman"/>
                <w:szCs w:val="21"/>
              </w:rPr>
            </w:pPr>
            <w:r>
              <w:rPr>
                <w:rFonts w:ascii="Times New Roman" w:hAnsi="Times New Roman"/>
                <w:szCs w:val="21"/>
              </w:rPr>
              <w:t>物编号</w:t>
            </w:r>
          </w:p>
        </w:tc>
        <w:tc>
          <w:tcPr>
            <w:tcW w:w="2096" w:type="dxa"/>
            <w:gridSpan w:val="2"/>
            <w:vAlign w:val="center"/>
          </w:tcPr>
          <w:p>
            <w:pPr>
              <w:spacing w:line="240" w:lineRule="exact"/>
              <w:jc w:val="center"/>
              <w:rPr>
                <w:rFonts w:ascii="Times New Roman" w:hAnsi="Times New Roman"/>
                <w:szCs w:val="21"/>
              </w:rPr>
            </w:pPr>
            <w:r>
              <w:rPr>
                <w:rFonts w:ascii="Times New Roman" w:hAnsi="Times New Roman"/>
                <w:szCs w:val="21"/>
              </w:rPr>
              <w:t>21006</w:t>
            </w:r>
          </w:p>
        </w:tc>
        <w:tc>
          <w:tcPr>
            <w:tcW w:w="1709" w:type="dxa"/>
            <w:vAlign w:val="center"/>
          </w:tcPr>
          <w:p>
            <w:pPr>
              <w:spacing w:line="240" w:lineRule="exact"/>
              <w:jc w:val="center"/>
              <w:rPr>
                <w:rFonts w:ascii="Times New Roman" w:hAnsi="Times New Roman"/>
                <w:szCs w:val="21"/>
              </w:rPr>
            </w:pPr>
            <w:r>
              <w:rPr>
                <w:rFonts w:ascii="Times New Roman" w:hAnsi="Times New Roman"/>
                <w:szCs w:val="21"/>
              </w:rPr>
              <w:t>物质危害特性</w:t>
            </w:r>
          </w:p>
        </w:tc>
        <w:tc>
          <w:tcPr>
            <w:tcW w:w="3420" w:type="dxa"/>
            <w:gridSpan w:val="2"/>
            <w:vAlign w:val="center"/>
          </w:tcPr>
          <w:p>
            <w:pPr>
              <w:spacing w:line="240" w:lineRule="exact"/>
              <w:jc w:val="center"/>
              <w:rPr>
                <w:rFonts w:ascii="Times New Roman" w:hAnsi="Times New Roman"/>
                <w:szCs w:val="21"/>
              </w:rPr>
            </w:pPr>
            <w:r>
              <w:rPr>
                <w:rFonts w:ascii="Times New Roman" w:hAnsi="Times New Roman"/>
                <w:szCs w:val="21"/>
              </w:rPr>
              <w:t>易燃气体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Align w:val="center"/>
          </w:tcPr>
          <w:p>
            <w:pPr>
              <w:spacing w:line="240" w:lineRule="exact"/>
              <w:jc w:val="center"/>
              <w:rPr>
                <w:rFonts w:ascii="Times New Roman" w:hAnsi="Times New Roman"/>
                <w:szCs w:val="21"/>
              </w:rPr>
            </w:pPr>
            <w:r>
              <w:rPr>
                <w:rFonts w:ascii="Times New Roman" w:hAnsi="Times New Roman"/>
                <w:szCs w:val="21"/>
              </w:rPr>
              <w:t>危险特性</w:t>
            </w:r>
          </w:p>
        </w:tc>
        <w:tc>
          <w:tcPr>
            <w:tcW w:w="7225" w:type="dxa"/>
            <w:gridSpan w:val="5"/>
            <w:vAlign w:val="center"/>
          </w:tcPr>
          <w:p>
            <w:pPr>
              <w:spacing w:line="240" w:lineRule="exact"/>
              <w:rPr>
                <w:rFonts w:ascii="Times New Roman" w:hAnsi="Times New Roman"/>
                <w:szCs w:val="21"/>
              </w:rPr>
            </w:pPr>
            <w:r>
              <w:rPr>
                <w:rFonts w:ascii="Times New Roman" w:hAnsi="Times New Roman"/>
                <w:szCs w:val="21"/>
              </w:rPr>
              <w:t>易燃，与空气混合能形成爆炸性混合物，遇明火、高热能引起燃烧爆炸。与浓硝酸、发烟硫酸或其它强氧化剂剧烈反应，发生爆炸。气体比空气重，能在较低处扩散到相当远的地方，遇明火会引起回燃。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Align w:val="center"/>
          </w:tcPr>
          <w:p>
            <w:pPr>
              <w:spacing w:line="240" w:lineRule="exact"/>
              <w:jc w:val="center"/>
              <w:rPr>
                <w:rFonts w:ascii="Times New Roman" w:hAnsi="Times New Roman"/>
                <w:szCs w:val="21"/>
              </w:rPr>
            </w:pPr>
            <w:r>
              <w:rPr>
                <w:rFonts w:ascii="Times New Roman" w:hAnsi="Times New Roman"/>
                <w:szCs w:val="21"/>
              </w:rPr>
              <w:t>毒性</w:t>
            </w:r>
          </w:p>
        </w:tc>
        <w:tc>
          <w:tcPr>
            <w:tcW w:w="7225" w:type="dxa"/>
            <w:gridSpan w:val="5"/>
            <w:vAlign w:val="center"/>
          </w:tcPr>
          <w:p>
            <w:pPr>
              <w:spacing w:line="240" w:lineRule="exact"/>
              <w:rPr>
                <w:rFonts w:ascii="Times New Roman" w:hAnsi="Times New Roman"/>
                <w:szCs w:val="21"/>
              </w:rPr>
            </w:pPr>
            <w:r>
              <w:rPr>
                <w:rFonts w:ascii="Times New Roman" w:hAnsi="Times New Roman"/>
                <w:szCs w:val="21"/>
              </w:rPr>
              <w:t>急性毒性：LC</w:t>
            </w:r>
            <w:r>
              <w:rPr>
                <w:rFonts w:ascii="Times New Roman" w:hAnsi="Times New Roman"/>
                <w:szCs w:val="21"/>
                <w:vertAlign w:val="subscript"/>
              </w:rPr>
              <w:t>50</w:t>
            </w:r>
            <w:r>
              <w:rPr>
                <w:rFonts w:ascii="Times New Roman" w:hAnsi="Times New Roman"/>
                <w:szCs w:val="21"/>
              </w:rPr>
              <w:t>618mg/m</w:t>
            </w:r>
            <w:r>
              <w:rPr>
                <w:rFonts w:ascii="Times New Roman" w:hAnsi="Times New Roman"/>
                <w:szCs w:val="21"/>
                <w:vertAlign w:val="superscript"/>
              </w:rPr>
              <w:t>3</w:t>
            </w:r>
            <w:r>
              <w:rPr>
                <w:rFonts w:ascii="Times New Roman" w:hAnsi="Times New Roman"/>
                <w:szCs w:val="21"/>
              </w:rPr>
              <w:t>(大鼠吸入)</w:t>
            </w:r>
            <w:r>
              <w:rPr>
                <w:rFonts w:ascii="Times New Roman" w:hAnsi="Times New Roman"/>
                <w:szCs w:val="21"/>
              </w:rPr>
              <w:br w:type="textWrapping"/>
            </w:r>
            <w:r>
              <w:rPr>
                <w:rFonts w:ascii="Times New Roman" w:hAnsi="Times New Roman"/>
                <w:szCs w:val="21"/>
              </w:rPr>
              <w:t>亚急性和慢性毒性：家兔吸入0.01mg/L，2小时/天，3个月，引起中枢神经系统的机能改变，气管、支气管粘膜刺激症状，大脑皮层出现病理改变。小鼠长期接触低浓度硫化氟，有小气道损害。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restart"/>
            <w:vAlign w:val="center"/>
          </w:tcPr>
          <w:p>
            <w:pPr>
              <w:spacing w:line="240" w:lineRule="exact"/>
              <w:jc w:val="center"/>
              <w:rPr>
                <w:rFonts w:ascii="Times New Roman" w:hAnsi="Times New Roman"/>
                <w:szCs w:val="21"/>
              </w:rPr>
            </w:pPr>
            <w:r>
              <w:rPr>
                <w:rFonts w:ascii="Times New Roman" w:hAnsi="Times New Roman"/>
                <w:szCs w:val="21"/>
              </w:rPr>
              <w:t>安全防护措施</w:t>
            </w:r>
          </w:p>
        </w:tc>
        <w:tc>
          <w:tcPr>
            <w:tcW w:w="1547" w:type="dxa"/>
            <w:vAlign w:val="center"/>
          </w:tcPr>
          <w:p>
            <w:pPr>
              <w:spacing w:line="240" w:lineRule="exact"/>
              <w:jc w:val="center"/>
              <w:rPr>
                <w:rFonts w:ascii="Times New Roman" w:hAnsi="Times New Roman"/>
                <w:szCs w:val="21"/>
              </w:rPr>
            </w:pPr>
            <w:r>
              <w:rPr>
                <w:rFonts w:ascii="Times New Roman" w:hAnsi="Times New Roman"/>
                <w:szCs w:val="21"/>
              </w:rPr>
              <w:t>呼吸系统防护</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空气中浓度超标时，佩带过渡式防毒面具(半面罩)。紧急事态抢救或撤离时，建议佩带氧气呼吸器或空气呼吸器。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眼睛防护</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戴化学安全防护眼镜。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身体防护</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穿防静电工作服。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手防护</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戴防化学品手套。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其他</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工作现场严禁吸烟、进食和饮水。工作毕，淋浴更衣。及时换洗工作服。作业人员应学会自救互救。进入罐、限制性空间或其它高浓度区作业，须有人监护。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restart"/>
            <w:vAlign w:val="center"/>
          </w:tcPr>
          <w:p>
            <w:pPr>
              <w:spacing w:line="240" w:lineRule="exact"/>
              <w:jc w:val="center"/>
              <w:rPr>
                <w:rFonts w:ascii="Times New Roman" w:hAnsi="Times New Roman"/>
                <w:szCs w:val="21"/>
              </w:rPr>
            </w:pPr>
            <w:r>
              <w:rPr>
                <w:rFonts w:ascii="Times New Roman" w:hAnsi="Times New Roman"/>
                <w:szCs w:val="21"/>
              </w:rPr>
              <w:t>应急措施</w:t>
            </w:r>
          </w:p>
        </w:tc>
        <w:tc>
          <w:tcPr>
            <w:tcW w:w="1547" w:type="dxa"/>
            <w:vMerge w:val="restart"/>
            <w:vAlign w:val="center"/>
          </w:tcPr>
          <w:p>
            <w:pPr>
              <w:spacing w:line="240" w:lineRule="exact"/>
              <w:jc w:val="center"/>
              <w:rPr>
                <w:rFonts w:ascii="Times New Roman" w:hAnsi="Times New Roman"/>
                <w:szCs w:val="21"/>
              </w:rPr>
            </w:pPr>
            <w:r>
              <w:rPr>
                <w:rFonts w:ascii="Times New Roman" w:hAnsi="Times New Roman"/>
                <w:szCs w:val="21"/>
              </w:rPr>
              <w:t>急救措施</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皮肤接触：脱去污染的衣着，用流动清水冲洗。就医。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Merge w:val="continue"/>
            <w:vAlign w:val="center"/>
          </w:tcPr>
          <w:p>
            <w:pPr>
              <w:spacing w:line="240" w:lineRule="exact"/>
              <w:ind w:firstLine="360"/>
              <w:jc w:val="center"/>
              <w:rPr>
                <w:rFonts w:ascii="Times New Roman" w:hAnsi="Times New Roman"/>
                <w:szCs w:val="21"/>
              </w:rPr>
            </w:pP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眼睛接触：立即提起眼睑，用大量流动清水或生理盐水彻底冲洗至少15分钟。就医。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Merge w:val="continue"/>
            <w:vAlign w:val="center"/>
          </w:tcPr>
          <w:p>
            <w:pPr>
              <w:spacing w:line="240" w:lineRule="exact"/>
              <w:ind w:firstLine="360"/>
              <w:jc w:val="center"/>
              <w:rPr>
                <w:rFonts w:ascii="Times New Roman" w:hAnsi="Times New Roman"/>
                <w:szCs w:val="21"/>
              </w:rPr>
            </w:pP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吸入：迅速脱离现场至空气新鲜处。必要时进行人工呼吸。就医。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Merge w:val="continue"/>
            <w:vAlign w:val="center"/>
          </w:tcPr>
          <w:p>
            <w:pPr>
              <w:spacing w:line="240" w:lineRule="exact"/>
              <w:ind w:firstLine="360"/>
              <w:jc w:val="center"/>
              <w:rPr>
                <w:rFonts w:ascii="Times New Roman" w:hAnsi="Times New Roman"/>
                <w:szCs w:val="21"/>
              </w:rPr>
            </w:pPr>
          </w:p>
        </w:tc>
        <w:tc>
          <w:tcPr>
            <w:tcW w:w="1547" w:type="dxa"/>
            <w:vAlign w:val="center"/>
          </w:tcPr>
          <w:p>
            <w:pPr>
              <w:spacing w:line="240" w:lineRule="exact"/>
              <w:jc w:val="center"/>
              <w:rPr>
                <w:rFonts w:ascii="Times New Roman" w:hAnsi="Times New Roman"/>
                <w:szCs w:val="21"/>
              </w:rPr>
            </w:pPr>
            <w:r>
              <w:rPr>
                <w:rFonts w:ascii="Times New Roman" w:hAnsi="Times New Roman"/>
                <w:szCs w:val="21"/>
              </w:rPr>
              <w:t>泄漏措施</w:t>
            </w:r>
          </w:p>
        </w:tc>
        <w:tc>
          <w:tcPr>
            <w:tcW w:w="5678" w:type="dxa"/>
            <w:gridSpan w:val="4"/>
            <w:vAlign w:val="center"/>
          </w:tcPr>
          <w:p>
            <w:pPr>
              <w:spacing w:line="240" w:lineRule="exact"/>
              <w:rPr>
                <w:rFonts w:ascii="Times New Roman" w:hAnsi="Times New Roman"/>
                <w:szCs w:val="21"/>
              </w:rPr>
            </w:pPr>
            <w:r>
              <w:rPr>
                <w:rFonts w:ascii="Times New Roman" w:hAnsi="Times New Roman"/>
                <w:szCs w:val="21"/>
              </w:rPr>
              <w:t>迅速撤离泄漏污染区人员至上风处，并立即进行隔离，小泄漏时隔离150m，大泄漏时隔离300m，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8" w:type="dxa"/>
            <w:bottom w:w="17" w:type="dxa"/>
            <w:right w:w="108" w:type="dxa"/>
          </w:tblCellMar>
        </w:tblPrEx>
        <w:trPr>
          <w:jc w:val="center"/>
        </w:trPr>
        <w:tc>
          <w:tcPr>
            <w:tcW w:w="1303" w:type="dxa"/>
            <w:vAlign w:val="center"/>
          </w:tcPr>
          <w:p>
            <w:pPr>
              <w:spacing w:line="240" w:lineRule="exact"/>
              <w:jc w:val="center"/>
              <w:rPr>
                <w:rFonts w:ascii="Times New Roman" w:hAnsi="Times New Roman"/>
                <w:szCs w:val="21"/>
              </w:rPr>
            </w:pPr>
            <w:r>
              <w:rPr>
                <w:rFonts w:ascii="Times New Roman" w:hAnsi="Times New Roman"/>
                <w:szCs w:val="21"/>
              </w:rPr>
              <w:t>产生途径</w:t>
            </w:r>
          </w:p>
        </w:tc>
        <w:tc>
          <w:tcPr>
            <w:tcW w:w="7225" w:type="dxa"/>
            <w:gridSpan w:val="5"/>
            <w:vAlign w:val="center"/>
          </w:tcPr>
          <w:p>
            <w:pPr>
              <w:spacing w:line="240" w:lineRule="exact"/>
              <w:rPr>
                <w:rFonts w:ascii="Times New Roman" w:hAnsi="Times New Roman"/>
                <w:szCs w:val="21"/>
              </w:rPr>
            </w:pPr>
            <w:r>
              <w:rPr>
                <w:rFonts w:ascii="Times New Roman" w:hAnsi="Times New Roman"/>
                <w:szCs w:val="21"/>
              </w:rPr>
              <w:t>运输、堆放过程中产生</w:t>
            </w:r>
          </w:p>
        </w:tc>
      </w:tr>
    </w:tbl>
    <w:p>
      <w:pPr>
        <w:spacing w:line="360" w:lineRule="auto"/>
        <w:ind w:firstLine="480" w:firstLineChars="200"/>
        <w:rPr>
          <w:rFonts w:ascii="Times New Roman" w:hAnsi="Times New Roman"/>
          <w:sz w:val="24"/>
        </w:rPr>
      </w:pPr>
    </w:p>
    <w:p>
      <w:pPr>
        <w:pStyle w:val="294"/>
        <w:spacing w:line="240" w:lineRule="auto"/>
        <w:ind w:firstLine="0" w:firstLineChars="0"/>
        <w:jc w:val="center"/>
        <w:rPr>
          <w:rFonts w:ascii="Times New Roman" w:hAnsi="Times New Roman" w:cs="Times New Roman"/>
          <w:b/>
          <w:bCs/>
          <w:szCs w:val="24"/>
        </w:rPr>
      </w:pPr>
      <w:r>
        <w:rPr>
          <w:rFonts w:ascii="Times New Roman" w:hAnsi="Times New Roman" w:cs="Times New Roman"/>
          <w:b/>
          <w:bCs/>
          <w:szCs w:val="24"/>
        </w:rPr>
        <w:t>表8.2-3  二氧化硫的危害特性及安全技术分析一览表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6"/>
        <w:gridCol w:w="1373"/>
        <w:gridCol w:w="726"/>
        <w:gridCol w:w="1711"/>
        <w:gridCol w:w="1711"/>
        <w:gridCol w:w="1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Align w:val="center"/>
          </w:tcPr>
          <w:p>
            <w:pPr>
              <w:spacing w:line="240" w:lineRule="exact"/>
              <w:jc w:val="center"/>
              <w:rPr>
                <w:rFonts w:ascii="Times New Roman" w:hAnsi="Times New Roman"/>
                <w:b/>
                <w:bCs/>
                <w:szCs w:val="21"/>
              </w:rPr>
            </w:pPr>
            <w:r>
              <w:rPr>
                <w:rFonts w:ascii="Times New Roman" w:hAnsi="Times New Roman"/>
                <w:b/>
                <w:bCs/>
                <w:szCs w:val="21"/>
              </w:rPr>
              <w:t>品名</w:t>
            </w:r>
          </w:p>
        </w:tc>
        <w:tc>
          <w:tcPr>
            <w:tcW w:w="7232" w:type="dxa"/>
            <w:gridSpan w:val="5"/>
            <w:vAlign w:val="center"/>
          </w:tcPr>
          <w:p>
            <w:pPr>
              <w:spacing w:line="240" w:lineRule="exact"/>
              <w:ind w:firstLine="360"/>
              <w:jc w:val="center"/>
              <w:rPr>
                <w:rFonts w:ascii="Times New Roman" w:hAnsi="Times New Roman"/>
                <w:b/>
                <w:bCs/>
                <w:szCs w:val="21"/>
              </w:rPr>
            </w:pPr>
            <w:r>
              <w:rPr>
                <w:rFonts w:ascii="Times New Roman" w:hAnsi="Times New Roman"/>
                <w:b/>
                <w:bCs/>
                <w:szCs w:val="21"/>
              </w:rPr>
              <w:t>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restart"/>
            <w:vAlign w:val="center"/>
          </w:tcPr>
          <w:p>
            <w:pPr>
              <w:spacing w:line="240" w:lineRule="exact"/>
              <w:jc w:val="center"/>
              <w:rPr>
                <w:rFonts w:ascii="Times New Roman" w:hAnsi="Times New Roman"/>
                <w:szCs w:val="21"/>
              </w:rPr>
            </w:pPr>
            <w:r>
              <w:rPr>
                <w:rFonts w:ascii="Times New Roman" w:hAnsi="Times New Roman"/>
                <w:szCs w:val="21"/>
              </w:rPr>
              <w:t>物理性质</w:t>
            </w: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熔点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-75.5℃</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沸点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凝固点</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相对密度</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(空气=1)2.26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外观气味</w:t>
            </w:r>
          </w:p>
        </w:tc>
        <w:tc>
          <w:tcPr>
            <w:tcW w:w="5133" w:type="dxa"/>
            <w:gridSpan w:val="3"/>
            <w:vAlign w:val="center"/>
          </w:tcPr>
          <w:p>
            <w:pPr>
              <w:spacing w:line="240" w:lineRule="exact"/>
              <w:jc w:val="center"/>
              <w:rPr>
                <w:rFonts w:ascii="Times New Roman" w:hAnsi="Times New Roman"/>
                <w:szCs w:val="21"/>
              </w:rPr>
            </w:pPr>
            <w:r>
              <w:rPr>
                <w:rFonts w:ascii="Times New Roman" w:hAnsi="Times New Roman"/>
                <w:szCs w:val="21"/>
              </w:rPr>
              <w:t>无色气体，特臭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溶解性</w:t>
            </w:r>
          </w:p>
        </w:tc>
        <w:tc>
          <w:tcPr>
            <w:tcW w:w="5133" w:type="dxa"/>
            <w:gridSpan w:val="3"/>
            <w:vAlign w:val="center"/>
          </w:tcPr>
          <w:p>
            <w:pPr>
              <w:spacing w:line="240" w:lineRule="exact"/>
              <w:jc w:val="center"/>
              <w:rPr>
                <w:rFonts w:ascii="Times New Roman" w:hAnsi="Times New Roman"/>
                <w:szCs w:val="21"/>
              </w:rPr>
            </w:pPr>
            <w:r>
              <w:rPr>
                <w:rFonts w:ascii="Times New Roman" w:hAnsi="Times New Roman"/>
                <w:szCs w:val="21"/>
              </w:rPr>
              <w:t>溶于水、乙醇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危险货物编号</w:t>
            </w:r>
          </w:p>
        </w:tc>
        <w:tc>
          <w:tcPr>
            <w:tcW w:w="2099" w:type="dxa"/>
            <w:gridSpan w:val="2"/>
            <w:vAlign w:val="center"/>
          </w:tcPr>
          <w:p>
            <w:pPr>
              <w:spacing w:line="240" w:lineRule="exact"/>
              <w:jc w:val="center"/>
              <w:rPr>
                <w:rFonts w:ascii="Times New Roman" w:hAnsi="Times New Roman"/>
                <w:szCs w:val="21"/>
              </w:rPr>
            </w:pPr>
            <w:r>
              <w:rPr>
                <w:rFonts w:ascii="Times New Roman" w:hAnsi="Times New Roman"/>
                <w:szCs w:val="21"/>
              </w:rPr>
              <w:t>23013</w:t>
            </w:r>
          </w:p>
        </w:tc>
        <w:tc>
          <w:tcPr>
            <w:tcW w:w="1711" w:type="dxa"/>
            <w:vAlign w:val="center"/>
          </w:tcPr>
          <w:p>
            <w:pPr>
              <w:spacing w:line="240" w:lineRule="exact"/>
              <w:jc w:val="center"/>
              <w:rPr>
                <w:rFonts w:ascii="Times New Roman" w:hAnsi="Times New Roman"/>
                <w:szCs w:val="21"/>
              </w:rPr>
            </w:pPr>
            <w:r>
              <w:rPr>
                <w:rFonts w:ascii="Times New Roman" w:hAnsi="Times New Roman"/>
                <w:szCs w:val="21"/>
              </w:rPr>
              <w:t>物质危害特性</w:t>
            </w:r>
          </w:p>
        </w:tc>
        <w:tc>
          <w:tcPr>
            <w:tcW w:w="3422" w:type="dxa"/>
            <w:gridSpan w:val="2"/>
            <w:vAlign w:val="center"/>
          </w:tcPr>
          <w:p>
            <w:pPr>
              <w:spacing w:line="240" w:lineRule="exact"/>
              <w:jc w:val="center"/>
              <w:rPr>
                <w:rFonts w:ascii="Times New Roman" w:hAnsi="Times New Roman"/>
                <w:szCs w:val="21"/>
              </w:rPr>
            </w:pPr>
            <w:r>
              <w:rPr>
                <w:rFonts w:ascii="Times New Roman" w:hAnsi="Times New Roman"/>
                <w:szCs w:val="21"/>
              </w:rPr>
              <w:t>有毒气体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危险特性</w:t>
            </w:r>
          </w:p>
        </w:tc>
        <w:tc>
          <w:tcPr>
            <w:tcW w:w="7232" w:type="dxa"/>
            <w:gridSpan w:val="5"/>
            <w:vAlign w:val="center"/>
          </w:tcPr>
          <w:p>
            <w:pPr>
              <w:spacing w:line="240" w:lineRule="exact"/>
              <w:rPr>
                <w:rFonts w:ascii="Times New Roman" w:hAnsi="Times New Roman"/>
                <w:szCs w:val="21"/>
              </w:rPr>
            </w:pPr>
            <w:r>
              <w:rPr>
                <w:rFonts w:ascii="Times New Roman" w:hAnsi="Times New Roman"/>
                <w:szCs w:val="21"/>
              </w:rPr>
              <w:t>不燃。若遇高热，容器内压增大，有开裂和爆炸的危险。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毒性</w:t>
            </w:r>
          </w:p>
        </w:tc>
        <w:tc>
          <w:tcPr>
            <w:tcW w:w="7232" w:type="dxa"/>
            <w:gridSpan w:val="5"/>
            <w:vAlign w:val="center"/>
          </w:tcPr>
          <w:p>
            <w:pPr>
              <w:spacing w:line="240" w:lineRule="exact"/>
              <w:rPr>
                <w:rFonts w:ascii="Times New Roman" w:hAnsi="Times New Roman"/>
                <w:szCs w:val="21"/>
              </w:rPr>
            </w:pPr>
            <w:r>
              <w:rPr>
                <w:rFonts w:ascii="Times New Roman" w:hAnsi="Times New Roman"/>
                <w:szCs w:val="21"/>
              </w:rPr>
              <w:t>LD50：无资料 </w:t>
            </w:r>
          </w:p>
          <w:p>
            <w:pPr>
              <w:spacing w:line="240" w:lineRule="exact"/>
              <w:rPr>
                <w:rFonts w:ascii="Times New Roman" w:hAnsi="Times New Roman"/>
                <w:szCs w:val="21"/>
              </w:rPr>
            </w:pPr>
            <w:r>
              <w:rPr>
                <w:rFonts w:ascii="Times New Roman" w:hAnsi="Times New Roman"/>
                <w:szCs w:val="21"/>
              </w:rPr>
              <w:t>LC50：6600mg/m</w:t>
            </w:r>
            <w:r>
              <w:rPr>
                <w:rFonts w:ascii="Times New Roman" w:hAnsi="Times New Roman"/>
                <w:szCs w:val="21"/>
                <w:vertAlign w:val="superscript"/>
              </w:rPr>
              <w:t>3</w:t>
            </w:r>
            <w:r>
              <w:rPr>
                <w:rFonts w:ascii="Times New Roman" w:hAnsi="Times New Roman"/>
                <w:szCs w:val="21"/>
              </w:rPr>
              <w:t>，1小时（大鼠吸入）</w:t>
            </w:r>
          </w:p>
          <w:p>
            <w:pPr>
              <w:spacing w:line="240" w:lineRule="exact"/>
              <w:rPr>
                <w:rFonts w:ascii="Times New Roman" w:hAnsi="Times New Roman"/>
                <w:szCs w:val="21"/>
              </w:rPr>
            </w:pPr>
            <w:r>
              <w:rPr>
                <w:rFonts w:ascii="Times New Roman" w:hAnsi="Times New Roman"/>
                <w:szCs w:val="21"/>
              </w:rPr>
              <w:t>易被湿润的粘膜表面吸收生成亚硫酸、硫酸。对眼及呼吸道粘膜有强烈的刺激作用。大量吸入可引起肺水肿、喉水肿、声带痉挛而致窒息。 急性中毒：轻度中毒时，发生流泪、畏光、咳嗽，咽、喉灼痛等；严重中毒可在数小时内发生肺水肿；极高浓度吸入可引起反射性声门痉挛而致窒息。皮肤或眼接触发生炎症或灼伤。 慢性影响：长期低浓度接触，可有头痛、头昏、乏力等全身症状以及慢性鼻炎、咽喉炎、支气管炎、嗅觉及味觉减退等。少数工人有牙齿酸蚀症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restart"/>
            <w:vAlign w:val="center"/>
          </w:tcPr>
          <w:p>
            <w:pPr>
              <w:spacing w:line="240" w:lineRule="exact"/>
              <w:jc w:val="center"/>
              <w:rPr>
                <w:rFonts w:ascii="Times New Roman" w:hAnsi="Times New Roman"/>
                <w:szCs w:val="21"/>
              </w:rPr>
            </w:pPr>
            <w:r>
              <w:rPr>
                <w:rFonts w:ascii="Times New Roman" w:hAnsi="Times New Roman"/>
                <w:szCs w:val="21"/>
              </w:rPr>
              <w:t>安全防护措施</w:t>
            </w:r>
          </w:p>
        </w:tc>
        <w:tc>
          <w:tcPr>
            <w:tcW w:w="1373" w:type="dxa"/>
            <w:vAlign w:val="center"/>
          </w:tcPr>
          <w:p>
            <w:pPr>
              <w:spacing w:line="240" w:lineRule="exact"/>
              <w:jc w:val="center"/>
              <w:rPr>
                <w:rFonts w:ascii="Times New Roman" w:hAnsi="Times New Roman"/>
                <w:szCs w:val="21"/>
              </w:rPr>
            </w:pPr>
            <w:r>
              <w:rPr>
                <w:rFonts w:ascii="Times New Roman" w:hAnsi="Times New Roman"/>
                <w:szCs w:val="21"/>
              </w:rPr>
              <w:t>工程控制</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严加密闭，提供充分的局部排风和全面通风。提供安全淋浴和洗眼设备。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Align w:val="center"/>
          </w:tcPr>
          <w:p>
            <w:pPr>
              <w:spacing w:line="240" w:lineRule="exact"/>
              <w:jc w:val="center"/>
              <w:rPr>
                <w:rFonts w:ascii="Times New Roman" w:hAnsi="Times New Roman"/>
                <w:szCs w:val="21"/>
              </w:rPr>
            </w:pPr>
            <w:r>
              <w:rPr>
                <w:rFonts w:ascii="Times New Roman" w:hAnsi="Times New Roman"/>
                <w:szCs w:val="21"/>
              </w:rPr>
              <w:t>呼吸系统防护</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空气中浓度超标时，佩戴自吸过滤式防毒面具（全面罩）。紧急事态</w:t>
            </w:r>
          </w:p>
          <w:p>
            <w:pPr>
              <w:spacing w:line="240" w:lineRule="exact"/>
              <w:rPr>
                <w:rFonts w:ascii="Times New Roman" w:hAnsi="Times New Roman"/>
                <w:szCs w:val="21"/>
              </w:rPr>
            </w:pPr>
            <w:r>
              <w:rPr>
                <w:rFonts w:ascii="Times New Roman" w:hAnsi="Times New Roman"/>
                <w:szCs w:val="21"/>
              </w:rPr>
              <w:t>抢救或撤离时，建议佩戴正压自给式呼吸器。眼睛防护：呼吸系统防护中已作防护。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身体防护</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穿聚乙烯防毒服。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手防护</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戴橡胶手套。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Align w:val="center"/>
          </w:tcPr>
          <w:p>
            <w:pPr>
              <w:spacing w:line="240" w:lineRule="exact"/>
              <w:ind w:firstLine="199" w:firstLineChars="95"/>
              <w:jc w:val="center"/>
              <w:rPr>
                <w:rFonts w:ascii="Times New Roman" w:hAnsi="Times New Roman"/>
                <w:szCs w:val="21"/>
              </w:rPr>
            </w:pPr>
            <w:r>
              <w:rPr>
                <w:rFonts w:ascii="Times New Roman" w:hAnsi="Times New Roman"/>
                <w:szCs w:val="21"/>
              </w:rPr>
              <w:t>其他</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工作现场禁止吸烟、进食和饮水。工作完毕，淋浴更衣。保持良好的卫生习惯。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restart"/>
            <w:vAlign w:val="center"/>
          </w:tcPr>
          <w:p>
            <w:pPr>
              <w:spacing w:line="240" w:lineRule="exact"/>
              <w:jc w:val="center"/>
              <w:rPr>
                <w:rFonts w:ascii="Times New Roman" w:hAnsi="Times New Roman"/>
                <w:szCs w:val="21"/>
              </w:rPr>
            </w:pPr>
            <w:r>
              <w:rPr>
                <w:rFonts w:ascii="Times New Roman" w:hAnsi="Times New Roman"/>
                <w:szCs w:val="21"/>
              </w:rPr>
              <w:t>应急措施</w:t>
            </w:r>
          </w:p>
        </w:tc>
        <w:tc>
          <w:tcPr>
            <w:tcW w:w="1373" w:type="dxa"/>
            <w:vMerge w:val="restart"/>
            <w:vAlign w:val="center"/>
          </w:tcPr>
          <w:p>
            <w:pPr>
              <w:spacing w:line="240" w:lineRule="exact"/>
              <w:jc w:val="center"/>
              <w:rPr>
                <w:rFonts w:ascii="Times New Roman" w:hAnsi="Times New Roman"/>
                <w:szCs w:val="21"/>
              </w:rPr>
            </w:pPr>
            <w:r>
              <w:rPr>
                <w:rFonts w:ascii="Times New Roman" w:hAnsi="Times New Roman"/>
                <w:szCs w:val="21"/>
              </w:rPr>
              <w:t>急救措施</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皮肤接触：立即脱去污染的衣着，用大量流动清水冲洗。就医。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Merge w:val="continue"/>
            <w:vAlign w:val="center"/>
          </w:tcPr>
          <w:p>
            <w:pPr>
              <w:spacing w:line="240" w:lineRule="exact"/>
              <w:ind w:firstLine="360"/>
              <w:jc w:val="center"/>
              <w:rPr>
                <w:rFonts w:ascii="Times New Roman" w:hAnsi="Times New Roman"/>
                <w:szCs w:val="21"/>
              </w:rPr>
            </w:pP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眼睛接触：提起眼睑，用流动清水或生理盐水冲洗。就医。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Merge w:val="continue"/>
            <w:vAlign w:val="center"/>
          </w:tcPr>
          <w:p>
            <w:pPr>
              <w:spacing w:line="240" w:lineRule="exact"/>
              <w:ind w:firstLine="360"/>
              <w:jc w:val="center"/>
              <w:rPr>
                <w:rFonts w:ascii="Times New Roman" w:hAnsi="Times New Roman"/>
                <w:szCs w:val="21"/>
              </w:rPr>
            </w:pP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吸入：迅速脱离现场至空气新鲜处。保持呼吸道通畅。如呼吸困难，给输氧。如呼吸停止，立即进行人工呼吸。就医。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Merge w:val="continue"/>
            <w:vAlign w:val="center"/>
          </w:tcPr>
          <w:p>
            <w:pPr>
              <w:spacing w:line="240" w:lineRule="exact"/>
              <w:ind w:firstLine="360"/>
              <w:jc w:val="center"/>
              <w:rPr>
                <w:rFonts w:ascii="Times New Roman" w:hAnsi="Times New Roman"/>
                <w:szCs w:val="21"/>
              </w:rPr>
            </w:pPr>
          </w:p>
        </w:tc>
        <w:tc>
          <w:tcPr>
            <w:tcW w:w="1373" w:type="dxa"/>
            <w:vAlign w:val="center"/>
          </w:tcPr>
          <w:p>
            <w:pPr>
              <w:spacing w:line="240" w:lineRule="exact"/>
              <w:jc w:val="center"/>
              <w:rPr>
                <w:rFonts w:ascii="Times New Roman" w:hAnsi="Times New Roman"/>
                <w:szCs w:val="21"/>
              </w:rPr>
            </w:pPr>
            <w:r>
              <w:rPr>
                <w:rFonts w:ascii="Times New Roman" w:hAnsi="Times New Roman"/>
                <w:szCs w:val="21"/>
              </w:rPr>
              <w:t>泄漏措施</w:t>
            </w:r>
          </w:p>
        </w:tc>
        <w:tc>
          <w:tcPr>
            <w:tcW w:w="5859" w:type="dxa"/>
            <w:gridSpan w:val="4"/>
            <w:vAlign w:val="center"/>
          </w:tcPr>
          <w:p>
            <w:pPr>
              <w:spacing w:line="240" w:lineRule="exact"/>
              <w:rPr>
                <w:rFonts w:ascii="Times New Roman" w:hAnsi="Times New Roman"/>
                <w:szCs w:val="21"/>
              </w:rPr>
            </w:pPr>
            <w:r>
              <w:rPr>
                <w:rFonts w:ascii="Times New Roman" w:hAnsi="Times New Roman"/>
                <w:szCs w:val="21"/>
              </w:rPr>
              <w:t>迅速撤离泄漏污染区人员至上风处，并立即进行隔离，小泄漏时隔离150m，大泄漏时隔离450m，严格限制出入。建议应急处理人员戴自给正压式呼吸器，穿防毒服。从上风处进入现场。尽可能切断泄漏源。用工业覆盖层或吸附/ 吸收剂盖住泄漏点附近的下水道等地方，防止气体进入。合理通风，加速扩散。喷雾状水稀释、溶解。构筑围堤或挖坑收容产生的大量废水。如有可能，用一捉捕器使气体通过次氯酸钠溶液。漏气容器要妥善处理，修复、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vAlign w:val="center"/>
          </w:tcPr>
          <w:p>
            <w:pPr>
              <w:spacing w:line="240" w:lineRule="exact"/>
              <w:jc w:val="center"/>
              <w:rPr>
                <w:rFonts w:ascii="Times New Roman" w:hAnsi="Times New Roman"/>
                <w:szCs w:val="21"/>
              </w:rPr>
            </w:pPr>
            <w:r>
              <w:rPr>
                <w:rFonts w:ascii="Times New Roman" w:hAnsi="Times New Roman"/>
                <w:szCs w:val="21"/>
              </w:rPr>
              <w:t>产生途径</w:t>
            </w:r>
          </w:p>
        </w:tc>
        <w:tc>
          <w:tcPr>
            <w:tcW w:w="7232" w:type="dxa"/>
            <w:gridSpan w:val="5"/>
            <w:vAlign w:val="center"/>
          </w:tcPr>
          <w:p>
            <w:pPr>
              <w:spacing w:line="240" w:lineRule="exact"/>
              <w:rPr>
                <w:rFonts w:ascii="Times New Roman" w:hAnsi="Times New Roman"/>
                <w:szCs w:val="21"/>
              </w:rPr>
            </w:pPr>
            <w:r>
              <w:rPr>
                <w:rFonts w:ascii="Times New Roman" w:hAnsi="Times New Roman"/>
                <w:szCs w:val="21"/>
              </w:rPr>
              <w:t>焚烧过程中产生</w:t>
            </w:r>
          </w:p>
        </w:tc>
      </w:tr>
    </w:tbl>
    <w:p>
      <w:pPr>
        <w:pStyle w:val="294"/>
        <w:spacing w:line="240" w:lineRule="auto"/>
        <w:ind w:firstLine="0" w:firstLineChars="0"/>
        <w:jc w:val="center"/>
        <w:rPr>
          <w:rFonts w:ascii="Times New Roman" w:hAnsi="Times New Roman" w:cs="Times New Roman"/>
          <w:b/>
          <w:szCs w:val="24"/>
        </w:rPr>
      </w:pPr>
    </w:p>
    <w:p>
      <w:pPr>
        <w:pStyle w:val="294"/>
        <w:spacing w:line="240" w:lineRule="auto"/>
        <w:ind w:firstLine="0" w:firstLineChars="0"/>
        <w:jc w:val="center"/>
        <w:rPr>
          <w:rFonts w:ascii="Times New Roman" w:hAnsi="Times New Roman" w:cs="Times New Roman"/>
          <w:b/>
          <w:bCs/>
          <w:szCs w:val="24"/>
        </w:rPr>
      </w:pPr>
      <w:r>
        <w:rPr>
          <w:rFonts w:ascii="Times New Roman" w:hAnsi="Times New Roman" w:cs="Times New Roman"/>
          <w:b/>
          <w:bCs/>
          <w:szCs w:val="24"/>
        </w:rPr>
        <w:t>表8.2-4  二噁英的危险特性</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7"/>
        <w:gridCol w:w="7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1527" w:type="dxa"/>
            <w:vAlign w:val="center"/>
          </w:tcPr>
          <w:p>
            <w:pPr>
              <w:spacing w:line="240" w:lineRule="exact"/>
              <w:jc w:val="center"/>
              <w:rPr>
                <w:rFonts w:ascii="Times New Roman" w:hAnsi="Times New Roman"/>
                <w:szCs w:val="21"/>
              </w:rPr>
            </w:pPr>
            <w:r>
              <w:rPr>
                <w:rFonts w:ascii="Times New Roman" w:hAnsi="Times New Roman"/>
                <w:szCs w:val="21"/>
              </w:rPr>
              <w:t>二噁英成分</w:t>
            </w:r>
          </w:p>
        </w:tc>
        <w:tc>
          <w:tcPr>
            <w:tcW w:w="7001" w:type="dxa"/>
            <w:vAlign w:val="center"/>
          </w:tcPr>
          <w:p>
            <w:pPr>
              <w:tabs>
                <w:tab w:val="left" w:pos="2642"/>
              </w:tabs>
              <w:spacing w:line="240" w:lineRule="exact"/>
              <w:ind w:firstLine="210" w:firstLineChars="100"/>
              <w:jc w:val="left"/>
              <w:rPr>
                <w:rFonts w:ascii="Times New Roman" w:hAnsi="Times New Roman"/>
                <w:szCs w:val="21"/>
              </w:rPr>
            </w:pPr>
            <w:r>
              <w:rPr>
                <w:rFonts w:ascii="Times New Roman" w:hAnsi="Times New Roman"/>
                <w:szCs w:val="21"/>
              </w:rPr>
              <w:t>噁英英文名字"Dioxin"。二噁英包括75 种多氯代二苯并二噁英和135 种多氯代二苯并呋喃。其中以2、3、7、8 位氯取代的异构体毒性最大，称为TCDD。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1527" w:type="dxa"/>
            <w:vAlign w:val="center"/>
          </w:tcPr>
          <w:p>
            <w:pPr>
              <w:spacing w:line="240" w:lineRule="exact"/>
              <w:jc w:val="center"/>
              <w:rPr>
                <w:rFonts w:ascii="Times New Roman" w:hAnsi="Times New Roman"/>
                <w:szCs w:val="21"/>
              </w:rPr>
            </w:pPr>
            <w:r>
              <w:rPr>
                <w:rFonts w:ascii="Times New Roman" w:hAnsi="Times New Roman"/>
                <w:szCs w:val="21"/>
              </w:rPr>
              <w:t>性质</w:t>
            </w:r>
          </w:p>
        </w:tc>
        <w:tc>
          <w:tcPr>
            <w:tcW w:w="7001" w:type="dxa"/>
            <w:vAlign w:val="center"/>
          </w:tcPr>
          <w:p>
            <w:pPr>
              <w:spacing w:line="240" w:lineRule="exact"/>
              <w:ind w:firstLine="210" w:firstLineChars="100"/>
              <w:jc w:val="left"/>
              <w:rPr>
                <w:rFonts w:ascii="Times New Roman" w:hAnsi="Times New Roman"/>
                <w:szCs w:val="21"/>
              </w:rPr>
            </w:pPr>
            <w:r>
              <w:rPr>
                <w:rFonts w:ascii="Times New Roman" w:hAnsi="Times New Roman"/>
                <w:szCs w:val="21"/>
              </w:rPr>
              <w:t>二噁英极具亲脂性及化学稳定性，700°C 以上才开始分解。在二氯苯中脂肪的溶解度为14000mg/L，这决定了它们可以通过食物链中的脂质发生转移和生物富集。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5" w:hRule="atLeast"/>
          <w:jc w:val="center"/>
        </w:trPr>
        <w:tc>
          <w:tcPr>
            <w:tcW w:w="1527" w:type="dxa"/>
            <w:vAlign w:val="center"/>
          </w:tcPr>
          <w:p>
            <w:pPr>
              <w:spacing w:line="240" w:lineRule="exact"/>
              <w:jc w:val="center"/>
              <w:rPr>
                <w:rFonts w:ascii="Times New Roman" w:hAnsi="Times New Roman"/>
                <w:szCs w:val="21"/>
              </w:rPr>
            </w:pPr>
            <w:r>
              <w:rPr>
                <w:rFonts w:ascii="Times New Roman" w:hAnsi="Times New Roman"/>
                <w:szCs w:val="21"/>
              </w:rPr>
              <w:t>危险特性</w:t>
            </w:r>
          </w:p>
        </w:tc>
        <w:tc>
          <w:tcPr>
            <w:tcW w:w="7001" w:type="dxa"/>
            <w:vAlign w:val="center"/>
          </w:tcPr>
          <w:p>
            <w:pPr>
              <w:spacing w:line="240" w:lineRule="exact"/>
              <w:ind w:firstLine="210" w:firstLineChars="100"/>
              <w:jc w:val="left"/>
              <w:rPr>
                <w:rFonts w:ascii="Times New Roman" w:hAnsi="Times New Roman"/>
                <w:szCs w:val="21"/>
              </w:rPr>
            </w:pPr>
            <w:r>
              <w:rPr>
                <w:rFonts w:ascii="Times New Roman" w:hAnsi="Times New Roman"/>
                <w:szCs w:val="21"/>
              </w:rPr>
              <w:t>二噁英毒性主要表现为对生殖系统、免疫系统、皮肤的毒性，并具有很强的致性。TCDD 的免疫毒性表现为胸腺萎缩、体液细胞免疫抑制、抗体产生能力抑制、抗病毒能力降低，TCDD 的免疫毒性基本确定，并认为免疫系统是TCDD 主要的和最敏感的靶器官之一，其它毒性的发挥几乎都与其免疫毒性有关。人暴露于高浓度的TCDD 时，所观察到的皮肤危害主要是氯痤疮。除此之外，二噁英的皮肤毒性表现还有表皮角化、色素沉着、多汗症和弹性组织变性等。TCDD 暴露可引起慢性阻塞性肺病发生率的升高，也可引起肝纤维化及肝功能的改变，出现黄疸、转氨酶升高，免疫球蛋白降低，高血脂，消化功能障碍，出现食欲减退、腹胀、噁心，肌肉关节和运动功能改变，神经和内分泌的改变和衰竭综合症。</w:t>
            </w:r>
          </w:p>
        </w:tc>
      </w:tr>
    </w:tbl>
    <w:p>
      <w:pPr>
        <w:pStyle w:val="22"/>
        <w:kinsoku w:val="0"/>
        <w:overflowPunct w:val="0"/>
        <w:spacing w:before="134" w:line="328" w:lineRule="auto"/>
        <w:ind w:right="273" w:firstLine="400" w:firstLineChars="200"/>
      </w:pPr>
    </w:p>
    <w:p>
      <w:pPr>
        <w:pStyle w:val="7"/>
        <w:numPr>
          <w:ilvl w:val="2"/>
          <w:numId w:val="0"/>
        </w:numPr>
        <w:spacing w:before="120" w:after="120"/>
      </w:pPr>
      <w:r>
        <w:t>8.2.1泄漏环境影响分析</w:t>
      </w:r>
      <w:bookmarkEnd w:id="434"/>
    </w:p>
    <w:p>
      <w:pPr>
        <w:pStyle w:val="8"/>
        <w:numPr>
          <w:ilvl w:val="3"/>
          <w:numId w:val="0"/>
        </w:numPr>
        <w:tabs>
          <w:tab w:val="clear" w:pos="0"/>
        </w:tabs>
      </w:pPr>
      <w:r>
        <w:t>8.2.1.1泄漏后污染转移途径及危害形式</w:t>
      </w:r>
    </w:p>
    <w:p>
      <w:pPr>
        <w:snapToGrid w:val="0"/>
        <w:spacing w:line="360" w:lineRule="auto"/>
        <w:ind w:firstLine="480" w:firstLineChars="200"/>
        <w:jc w:val="left"/>
        <w:rPr>
          <w:rFonts w:ascii="Times New Roman" w:hAnsi="Times New Roman"/>
          <w:sz w:val="24"/>
        </w:rPr>
      </w:pPr>
      <w:r>
        <w:rPr>
          <w:rFonts w:ascii="Times New Roman" w:hAnsi="Times New Roman"/>
          <w:sz w:val="24"/>
        </w:rPr>
        <w:t>油泥泄漏后，可能产生物料的环境扩散，而对环境构成重大污染事故的主要是环境扩散导致环境污染事故。环境扩散途径示意图见图8.2-1：</w:t>
      </w:r>
    </w:p>
    <w:p>
      <w:pPr>
        <w:pStyle w:val="2"/>
        <w:ind w:left="420" w:firstLine="420"/>
        <w:jc w:val="center"/>
      </w:pPr>
      <w:r>
        <w:drawing>
          <wp:inline distT="0" distB="0" distL="0" distR="0">
            <wp:extent cx="4337050" cy="2463800"/>
            <wp:effectExtent l="0" t="0" r="6350" b="12700"/>
            <wp:docPr id="1084" name="图片 113"/>
            <wp:cNvGraphicFramePr/>
            <a:graphic xmlns:a="http://schemas.openxmlformats.org/drawingml/2006/main">
              <a:graphicData uri="http://schemas.openxmlformats.org/drawingml/2006/picture">
                <pic:pic xmlns:pic="http://schemas.openxmlformats.org/drawingml/2006/picture">
                  <pic:nvPicPr>
                    <pic:cNvPr id="1084" name="图片 113"/>
                    <pic:cNvPicPr/>
                  </pic:nvPicPr>
                  <pic:blipFill>
                    <a:blip r:embed="rId68" cstate="print"/>
                    <a:srcRect/>
                    <a:stretch>
                      <a:fillRect/>
                    </a:stretch>
                  </pic:blipFill>
                  <pic:spPr>
                    <a:xfrm>
                      <a:off x="0" y="0"/>
                      <a:ext cx="4337050" cy="2463800"/>
                    </a:xfrm>
                    <a:prstGeom prst="rect">
                      <a:avLst/>
                    </a:prstGeom>
                    <a:ln>
                      <a:noFill/>
                    </a:ln>
                  </pic:spPr>
                </pic:pic>
              </a:graphicData>
            </a:graphic>
          </wp:inline>
        </w:drawing>
      </w:r>
    </w:p>
    <w:p>
      <w:pPr>
        <w:pStyle w:val="2"/>
        <w:ind w:left="420" w:firstLine="422"/>
        <w:jc w:val="center"/>
      </w:pPr>
      <w:r>
        <w:rPr>
          <w:b/>
        </w:rPr>
        <w:t>图8.2-1  环境扩散途径示意图</w:t>
      </w:r>
    </w:p>
    <w:p>
      <w:pPr>
        <w:snapToGrid w:val="0"/>
        <w:spacing w:line="360" w:lineRule="auto"/>
        <w:ind w:firstLine="480" w:firstLineChars="200"/>
        <w:jc w:val="left"/>
        <w:rPr>
          <w:rFonts w:ascii="Times New Roman" w:hAnsi="Times New Roman"/>
          <w:sz w:val="24"/>
        </w:rPr>
      </w:pPr>
      <w:r>
        <w:rPr>
          <w:rFonts w:ascii="Times New Roman" w:hAnsi="Times New Roman"/>
          <w:sz w:val="24"/>
        </w:rPr>
        <w:t>因为油泥浮渣暂存罐的泄漏风险，极有可能随下水道或渗漏污染地表水体，或土壤和地下水体。项目设有500 m</w:t>
      </w:r>
      <w:r>
        <w:rPr>
          <w:rFonts w:ascii="Times New Roman" w:hAnsi="Times New Roman"/>
          <w:sz w:val="24"/>
          <w:vertAlign w:val="superscript"/>
        </w:rPr>
        <w:t>3</w:t>
      </w:r>
      <w:r>
        <w:rPr>
          <w:rFonts w:ascii="Times New Roman" w:hAnsi="Times New Roman"/>
          <w:sz w:val="24"/>
        </w:rPr>
        <w:t>热电油泥罐围堰，泄漏的油泥浮渣经污油井进含油污水系统处理。且项目已做地面硬化防渗处理，因此发生土壤和地下水体渗漏污染可能性不大。</w:t>
      </w:r>
    </w:p>
    <w:p>
      <w:pPr>
        <w:pStyle w:val="8"/>
        <w:numPr>
          <w:ilvl w:val="3"/>
          <w:numId w:val="0"/>
        </w:numPr>
        <w:tabs>
          <w:tab w:val="clear" w:pos="0"/>
        </w:tabs>
      </w:pPr>
      <w:r>
        <w:t>8.2.1.2主要环境影响</w:t>
      </w:r>
    </w:p>
    <w:p>
      <w:pPr>
        <w:snapToGrid w:val="0"/>
        <w:spacing w:line="360" w:lineRule="auto"/>
        <w:ind w:firstLine="480" w:firstLineChars="200"/>
        <w:jc w:val="left"/>
        <w:rPr>
          <w:rFonts w:ascii="Times New Roman" w:hAnsi="Times New Roman"/>
          <w:sz w:val="24"/>
        </w:rPr>
      </w:pPr>
      <w:r>
        <w:rPr>
          <w:rFonts w:ascii="Times New Roman" w:hAnsi="Times New Roman"/>
          <w:sz w:val="24"/>
        </w:rPr>
        <w:t>对大气环境的污染影响</w:t>
      </w:r>
    </w:p>
    <w:p>
      <w:pPr>
        <w:numPr>
          <w:ilvl w:val="0"/>
          <w:numId w:val="12"/>
        </w:numPr>
        <w:snapToGrid w:val="0"/>
        <w:spacing w:line="360" w:lineRule="auto"/>
        <w:ind w:firstLine="480" w:firstLineChars="200"/>
        <w:jc w:val="left"/>
        <w:rPr>
          <w:rFonts w:ascii="Times New Roman" w:hAnsi="Times New Roman"/>
          <w:sz w:val="24"/>
        </w:rPr>
      </w:pPr>
      <w:r>
        <w:rPr>
          <w:rFonts w:ascii="Times New Roman" w:hAnsi="Times New Roman"/>
          <w:sz w:val="24"/>
        </w:rPr>
        <w:t>一是废气泄漏后在大气中挥发，大气中氨、硫化氢、二氧化硫、二噁英，主要是对人体健康的危害。对眼、呼吸道粘膜有强烈刺激和腐蚀作用，可致眼和皮肤灼伤。浓度较大时可引起反射性呼吸和心搏停止。二有组织废气处理设施故障，可造成外排超标风险。</w:t>
      </w:r>
    </w:p>
    <w:p>
      <w:pPr>
        <w:numPr>
          <w:ilvl w:val="0"/>
          <w:numId w:val="12"/>
        </w:numPr>
        <w:snapToGrid w:val="0"/>
        <w:spacing w:line="360" w:lineRule="auto"/>
        <w:ind w:firstLine="480" w:firstLineChars="200"/>
        <w:jc w:val="left"/>
        <w:rPr>
          <w:rFonts w:ascii="Times New Roman" w:hAnsi="Times New Roman"/>
          <w:sz w:val="24"/>
        </w:rPr>
      </w:pPr>
      <w:r>
        <w:rPr>
          <w:rFonts w:ascii="Times New Roman" w:hAnsi="Times New Roman"/>
          <w:sz w:val="24"/>
        </w:rPr>
        <w:t>对水环境和土壤污染影响</w:t>
      </w:r>
    </w:p>
    <w:p>
      <w:pPr>
        <w:snapToGrid w:val="0"/>
        <w:spacing w:line="360" w:lineRule="auto"/>
        <w:ind w:firstLine="480" w:firstLineChars="200"/>
        <w:jc w:val="left"/>
        <w:rPr>
          <w:rFonts w:ascii="Times New Roman" w:hAnsi="Times New Roman"/>
          <w:sz w:val="24"/>
        </w:rPr>
      </w:pPr>
      <w:r>
        <w:rPr>
          <w:rFonts w:ascii="Times New Roman" w:hAnsi="Times New Roman"/>
          <w:sz w:val="24"/>
        </w:rPr>
        <w:t>一旦发生油泥泄漏，会进入水体，如进入污水管网，对会污水处理厂产生冲击影响，影响污水处理厂的处理效果；如进入雨水排放系统，将会最终排入项目地北侧的小河沟，会对小河沟及下游水生生态系统产生较大的破坏，导致水生生物的死亡。渗漏进入地下，会对地下水产生污染。</w:t>
      </w:r>
    </w:p>
    <w:p>
      <w:pPr>
        <w:pStyle w:val="7"/>
        <w:numPr>
          <w:ilvl w:val="2"/>
          <w:numId w:val="0"/>
        </w:numPr>
        <w:spacing w:before="120" w:after="120"/>
        <w:ind w:left="142"/>
      </w:pPr>
      <w:bookmarkStart w:id="435" w:name="_Toc6471"/>
      <w:r>
        <w:t>8.2.2风险管理及防范措施</w:t>
      </w:r>
      <w:bookmarkEnd w:id="435"/>
    </w:p>
    <w:p>
      <w:pPr>
        <w:spacing w:line="360" w:lineRule="auto"/>
        <w:ind w:firstLine="480" w:firstLineChars="200"/>
        <w:rPr>
          <w:rFonts w:ascii="Times New Roman" w:hAnsi="Times New Roman"/>
          <w:sz w:val="24"/>
          <w:szCs w:val="24"/>
        </w:rPr>
      </w:pPr>
      <w:r>
        <w:rPr>
          <w:rFonts w:ascii="Times New Roman" w:hAnsi="Times New Roman"/>
          <w:sz w:val="24"/>
          <w:szCs w:val="24"/>
        </w:rPr>
        <w:t>风险管理是研究风险发生规律和风险控制技术的一门管理科学，各组织通过风险识别、风险估测、风险评价，并在此基础上优化组合各种风险管理技术，对风险实施有效的控制并妥善处理风险事故，以期达到最低事故率、最小损失和最大的安全投资效益的目的。</w:t>
      </w:r>
    </w:p>
    <w:p>
      <w:pPr>
        <w:spacing w:line="360" w:lineRule="auto"/>
        <w:ind w:firstLine="480" w:firstLineChars="200"/>
        <w:rPr>
          <w:rFonts w:ascii="Times New Roman" w:hAnsi="Times New Roman"/>
          <w:sz w:val="24"/>
          <w:szCs w:val="24"/>
        </w:rPr>
      </w:pPr>
      <w:r>
        <w:rPr>
          <w:rFonts w:ascii="Times New Roman" w:hAnsi="Times New Roman"/>
          <w:sz w:val="24"/>
          <w:szCs w:val="24"/>
        </w:rPr>
        <w:t>为了预防和减少事故风险，本次环评从总图设计、建筑安全、工艺技术设计、自动控制设计、危险化学品储运、消防及火灾报警等多方面，提出事故风险防范措施。</w:t>
      </w:r>
    </w:p>
    <w:p>
      <w:pPr>
        <w:pStyle w:val="8"/>
        <w:numPr>
          <w:ilvl w:val="3"/>
          <w:numId w:val="0"/>
        </w:numPr>
        <w:tabs>
          <w:tab w:val="clear" w:pos="0"/>
        </w:tabs>
      </w:pPr>
      <w:r>
        <w:t>8.2.2.1 选址、总图布置和建筑安全防范措施</w:t>
      </w:r>
    </w:p>
    <w:p>
      <w:pPr>
        <w:spacing w:line="360" w:lineRule="auto"/>
        <w:ind w:firstLine="480" w:firstLineChars="200"/>
        <w:rPr>
          <w:rFonts w:ascii="Times New Roman" w:hAnsi="Times New Roman"/>
          <w:sz w:val="24"/>
          <w:szCs w:val="24"/>
        </w:rPr>
      </w:pPr>
      <w:r>
        <w:rPr>
          <w:rFonts w:ascii="Times New Roman" w:hAnsi="Times New Roman"/>
          <w:sz w:val="24"/>
          <w:szCs w:val="24"/>
        </w:rPr>
        <w:t>（1）选址</w:t>
      </w:r>
    </w:p>
    <w:p>
      <w:pPr>
        <w:spacing w:line="360" w:lineRule="auto"/>
        <w:ind w:firstLine="480" w:firstLineChars="200"/>
        <w:rPr>
          <w:rFonts w:ascii="Times New Roman" w:hAnsi="Times New Roman"/>
          <w:sz w:val="24"/>
          <w:szCs w:val="24"/>
        </w:rPr>
      </w:pPr>
      <w:r>
        <w:rPr>
          <w:rFonts w:ascii="Times New Roman" w:hAnsi="Times New Roman"/>
          <w:sz w:val="24"/>
          <w:szCs w:val="24"/>
        </w:rPr>
        <w:t>本项目厂址位于中石化长岭分公司厂区，根据《岳阳市中心城区云溪片控制性详细规划》，厂址属于工业用地，周围无自然保护区、风景名胜区、水源地等敏感点，居民生活区距离远，在发生风险事故的状态下，居民区不会受到较大影响。</w:t>
      </w:r>
    </w:p>
    <w:p>
      <w:pPr>
        <w:spacing w:line="360" w:lineRule="auto"/>
        <w:ind w:firstLine="480" w:firstLineChars="200"/>
        <w:rPr>
          <w:rFonts w:ascii="Times New Roman" w:hAnsi="Times New Roman"/>
          <w:sz w:val="24"/>
          <w:szCs w:val="24"/>
        </w:rPr>
      </w:pPr>
      <w:r>
        <w:rPr>
          <w:rFonts w:ascii="Times New Roman" w:hAnsi="Times New Roman"/>
          <w:sz w:val="24"/>
          <w:szCs w:val="24"/>
        </w:rPr>
        <w:t>（2）总图布置和建筑安全防范措施</w:t>
      </w:r>
    </w:p>
    <w:p>
      <w:pPr>
        <w:spacing w:line="360" w:lineRule="auto"/>
        <w:ind w:firstLine="480" w:firstLineChars="200"/>
        <w:rPr>
          <w:rFonts w:ascii="Times New Roman" w:hAnsi="Times New Roman"/>
          <w:sz w:val="24"/>
          <w:szCs w:val="24"/>
        </w:rPr>
      </w:pPr>
      <w:r>
        <w:rPr>
          <w:rFonts w:ascii="Times New Roman" w:hAnsi="Times New Roman"/>
          <w:sz w:val="24"/>
          <w:szCs w:val="24"/>
        </w:rPr>
        <w:t>环评要求施工设计中严格执行国家有关部门现行的设计规范、规定及标准。与其他生产装置之间严格按防火防爆间距布置。根据工序生产过程中火灾危险等级及毒物危害程度分级进行分类、分区布置。合理组织人流和货流，结合交通、消防的需要，泵区周围设置环形消防道，以满足工艺流程、厂内外运输、检修及生产管理的要求。</w:t>
      </w:r>
    </w:p>
    <w:p>
      <w:pPr>
        <w:pStyle w:val="8"/>
        <w:numPr>
          <w:ilvl w:val="3"/>
          <w:numId w:val="0"/>
        </w:numPr>
        <w:tabs>
          <w:tab w:val="clear" w:pos="0"/>
        </w:tabs>
      </w:pPr>
      <w:r>
        <w:t>8.2.2.2储运安全防范措施</w:t>
      </w:r>
    </w:p>
    <w:p>
      <w:pPr>
        <w:spacing w:line="360" w:lineRule="auto"/>
        <w:ind w:firstLine="480" w:firstLineChars="200"/>
        <w:rPr>
          <w:rFonts w:ascii="Times New Roman" w:hAnsi="Times New Roman"/>
          <w:sz w:val="24"/>
          <w:szCs w:val="24"/>
        </w:rPr>
      </w:pPr>
      <w:r>
        <w:rPr>
          <w:rFonts w:ascii="Times New Roman" w:hAnsi="Times New Roman"/>
          <w:sz w:val="24"/>
          <w:szCs w:val="24"/>
        </w:rPr>
        <w:t>（1）项目涉及的主要危险化学品为脱硝用氨，在生产储运中须按照国家有关标准，满足安全、消防的要求，设置明显标志，并由专人负责管理。</w:t>
      </w:r>
    </w:p>
    <w:p>
      <w:pPr>
        <w:spacing w:line="360" w:lineRule="auto"/>
        <w:ind w:firstLine="480" w:firstLineChars="200"/>
        <w:rPr>
          <w:rFonts w:ascii="Times New Roman" w:hAnsi="Times New Roman"/>
          <w:sz w:val="24"/>
          <w:szCs w:val="24"/>
        </w:rPr>
      </w:pPr>
      <w:r>
        <w:rPr>
          <w:rFonts w:ascii="Times New Roman" w:hAnsi="Times New Roman"/>
          <w:sz w:val="24"/>
          <w:szCs w:val="24"/>
        </w:rPr>
        <w:t>（2）每年进行一次对本项目的安全评价，对存在安全问题的提出整改方案，如发现设备设施存在现实危险的，应当立即停止使用，予以更换或者修复，并采取相应安全措施。</w:t>
      </w:r>
    </w:p>
    <w:p>
      <w:pPr>
        <w:spacing w:line="360" w:lineRule="auto"/>
        <w:ind w:firstLine="480" w:firstLineChars="200"/>
        <w:rPr>
          <w:rFonts w:ascii="Times New Roman" w:hAnsi="Times New Roman"/>
          <w:sz w:val="24"/>
          <w:szCs w:val="24"/>
        </w:rPr>
      </w:pPr>
      <w:r>
        <w:rPr>
          <w:rFonts w:ascii="Times New Roman" w:hAnsi="Times New Roman"/>
          <w:sz w:val="24"/>
          <w:szCs w:val="24"/>
        </w:rPr>
        <w:t>（3）泵区及锅炉周围筑围堰，使物质泄漏时不至于扩散到围堰外，利于迅速收集，并设置消防栓等灭火设备。</w:t>
      </w:r>
    </w:p>
    <w:p>
      <w:pPr>
        <w:spacing w:line="360" w:lineRule="auto"/>
        <w:ind w:firstLine="480" w:firstLineChars="200"/>
        <w:rPr>
          <w:rFonts w:ascii="Times New Roman" w:hAnsi="Times New Roman"/>
          <w:sz w:val="24"/>
          <w:szCs w:val="24"/>
        </w:rPr>
      </w:pPr>
      <w:r>
        <w:rPr>
          <w:rFonts w:ascii="Times New Roman" w:hAnsi="Times New Roman"/>
          <w:sz w:val="24"/>
          <w:szCs w:val="24"/>
        </w:rPr>
        <w:t>（4）储运系统设置明显的警告标志，消防系统齐备，消防水管路压力大于0.3 MPa，灭火后的消防水通过临时围堰进入长岭分公司事故水池，经污水处理站处理后达标排放。</w:t>
      </w:r>
    </w:p>
    <w:p>
      <w:pPr>
        <w:spacing w:line="360" w:lineRule="auto"/>
        <w:ind w:firstLine="480" w:firstLineChars="200"/>
        <w:rPr>
          <w:rFonts w:ascii="Times New Roman" w:hAnsi="Times New Roman"/>
          <w:sz w:val="24"/>
          <w:szCs w:val="24"/>
        </w:rPr>
      </w:pPr>
      <w:r>
        <w:rPr>
          <w:rFonts w:ascii="Times New Roman" w:hAnsi="Times New Roman"/>
          <w:sz w:val="24"/>
          <w:szCs w:val="24"/>
        </w:rPr>
        <w:t>（5）管线采用较高的管道设计等级。除必要的阀门及仪表等，尽量减少法兰接头，以减少泄漏机会。</w:t>
      </w:r>
    </w:p>
    <w:p>
      <w:pPr>
        <w:pStyle w:val="8"/>
        <w:numPr>
          <w:ilvl w:val="3"/>
          <w:numId w:val="0"/>
        </w:numPr>
        <w:tabs>
          <w:tab w:val="clear" w:pos="0"/>
        </w:tabs>
      </w:pPr>
      <w:r>
        <w:t>8.2.2.3工艺技术设计安全防范措施</w:t>
      </w:r>
    </w:p>
    <w:p>
      <w:pPr>
        <w:spacing w:line="360" w:lineRule="auto"/>
        <w:ind w:firstLine="480" w:firstLineChars="200"/>
        <w:rPr>
          <w:rFonts w:ascii="Times New Roman" w:hAnsi="Times New Roman"/>
          <w:sz w:val="24"/>
          <w:szCs w:val="24"/>
        </w:rPr>
      </w:pPr>
      <w:r>
        <w:rPr>
          <w:rFonts w:ascii="Times New Roman" w:hAnsi="Times New Roman"/>
          <w:sz w:val="24"/>
          <w:szCs w:val="24"/>
        </w:rPr>
        <w:t>（1）根据工艺要求，须确保泵区安全和作业场所有害物质的浓度符合安全卫生标准。</w:t>
      </w:r>
    </w:p>
    <w:p>
      <w:pPr>
        <w:spacing w:line="360" w:lineRule="auto"/>
        <w:ind w:firstLine="480" w:firstLineChars="200"/>
        <w:rPr>
          <w:rFonts w:ascii="Times New Roman" w:hAnsi="Times New Roman"/>
          <w:sz w:val="24"/>
          <w:szCs w:val="24"/>
        </w:rPr>
      </w:pPr>
      <w:r>
        <w:rPr>
          <w:rFonts w:ascii="Times New Roman" w:hAnsi="Times New Roman"/>
          <w:sz w:val="24"/>
          <w:szCs w:val="24"/>
        </w:rPr>
        <w:t>（2）工程范围内的建（构）筑物的火灾耐火等级均不小于二级；其防火分区、防爆措施、安全疏散等均遵照国家现行消防法规的有关规定执行。</w:t>
      </w:r>
    </w:p>
    <w:p>
      <w:pPr>
        <w:spacing w:line="360" w:lineRule="auto"/>
        <w:ind w:firstLine="480" w:firstLineChars="200"/>
        <w:rPr>
          <w:rFonts w:ascii="Times New Roman" w:hAnsi="Times New Roman"/>
          <w:sz w:val="24"/>
          <w:szCs w:val="24"/>
        </w:rPr>
      </w:pPr>
      <w:r>
        <w:rPr>
          <w:rFonts w:ascii="Times New Roman" w:hAnsi="Times New Roman"/>
          <w:sz w:val="24"/>
          <w:szCs w:val="24"/>
        </w:rPr>
        <w:t>（3）采用先进可靠的工艺技术和合理的工艺流程，设计考虑必要的裕度及操作弹性，以适应加工负荷上下波动的需要。</w:t>
      </w:r>
    </w:p>
    <w:p>
      <w:pPr>
        <w:spacing w:line="360" w:lineRule="auto"/>
        <w:ind w:firstLine="480" w:firstLineChars="200"/>
        <w:rPr>
          <w:rFonts w:ascii="Times New Roman" w:hAnsi="Times New Roman"/>
          <w:sz w:val="24"/>
          <w:szCs w:val="24"/>
        </w:rPr>
      </w:pPr>
      <w:r>
        <w:rPr>
          <w:rFonts w:ascii="Times New Roman" w:hAnsi="Times New Roman"/>
          <w:sz w:val="24"/>
          <w:szCs w:val="24"/>
        </w:rPr>
        <w:t>（4）为确保安全操作，保障人身安全，泵区设置自动联锁保护系统。</w:t>
      </w:r>
    </w:p>
    <w:p>
      <w:pPr>
        <w:pStyle w:val="8"/>
        <w:numPr>
          <w:ilvl w:val="3"/>
          <w:numId w:val="0"/>
        </w:numPr>
        <w:tabs>
          <w:tab w:val="clear" w:pos="0"/>
        </w:tabs>
      </w:pPr>
      <w:r>
        <w:t>8.2.2.4自动控制及电气仪表设计安全防范措施</w:t>
      </w:r>
    </w:p>
    <w:p>
      <w:pPr>
        <w:spacing w:line="360" w:lineRule="auto"/>
        <w:ind w:firstLine="480" w:firstLineChars="200"/>
        <w:rPr>
          <w:rFonts w:ascii="Times New Roman" w:hAnsi="Times New Roman"/>
          <w:sz w:val="24"/>
          <w:szCs w:val="24"/>
        </w:rPr>
      </w:pPr>
      <w:r>
        <w:rPr>
          <w:rFonts w:ascii="Times New Roman" w:hAnsi="Times New Roman"/>
          <w:sz w:val="24"/>
          <w:szCs w:val="24"/>
        </w:rPr>
        <w:t>（1）本项目生产控制系统拟采用先进的DCS控制系统，对各生产设备工作状态进行集中显示、控制和操作。</w:t>
      </w:r>
    </w:p>
    <w:p>
      <w:pPr>
        <w:spacing w:line="360" w:lineRule="auto"/>
        <w:ind w:firstLine="480" w:firstLineChars="200"/>
        <w:rPr>
          <w:rFonts w:ascii="Times New Roman" w:hAnsi="Times New Roman"/>
          <w:sz w:val="24"/>
          <w:szCs w:val="24"/>
        </w:rPr>
      </w:pPr>
      <w:r>
        <w:rPr>
          <w:rFonts w:ascii="Times New Roman" w:hAnsi="Times New Roman"/>
          <w:sz w:val="24"/>
          <w:szCs w:val="24"/>
        </w:rPr>
        <w:t>（2）泵区所用仪表均按所处区域的防爆等级选用本安型或隔爆型仪表。</w:t>
      </w:r>
    </w:p>
    <w:p>
      <w:pPr>
        <w:spacing w:line="360" w:lineRule="auto"/>
        <w:ind w:firstLine="480" w:firstLineChars="200"/>
        <w:rPr>
          <w:rFonts w:ascii="Times New Roman" w:hAnsi="Times New Roman"/>
          <w:sz w:val="24"/>
          <w:szCs w:val="24"/>
        </w:rPr>
      </w:pPr>
      <w:r>
        <w:rPr>
          <w:rFonts w:ascii="Times New Roman" w:hAnsi="Times New Roman"/>
          <w:sz w:val="24"/>
          <w:szCs w:val="24"/>
        </w:rPr>
        <w:t>（3）电缆敷设及配电间的设计均考虑防火、防爆要求。均按《建筑物防雷击设计规范》GB50057-2010和《工业与民用电力装置的接地设计规范》（试行）GBJ65-83的规定，设防雷击、防静电系统。</w:t>
      </w:r>
    </w:p>
    <w:p>
      <w:pPr>
        <w:spacing w:line="360" w:lineRule="auto"/>
        <w:ind w:firstLine="480" w:firstLineChars="200"/>
        <w:rPr>
          <w:rFonts w:ascii="Times New Roman" w:hAnsi="Times New Roman"/>
          <w:sz w:val="24"/>
          <w:szCs w:val="24"/>
        </w:rPr>
      </w:pPr>
      <w:r>
        <w:rPr>
          <w:rFonts w:ascii="Times New Roman" w:hAnsi="Times New Roman"/>
          <w:sz w:val="24"/>
          <w:szCs w:val="24"/>
        </w:rPr>
        <w:t>（4）为减少电缆着火及损坏的危险，尽可能采用地下敷设。紧急电源线及仪表电缆线布置在危险区域地上时，采用相应级别的电缆电线。电缆的选用充分考虑阻燃、环境腐蚀等不利因素。</w:t>
      </w:r>
    </w:p>
    <w:p>
      <w:pPr>
        <w:spacing w:line="360" w:lineRule="auto"/>
        <w:ind w:firstLine="480" w:firstLineChars="200"/>
        <w:rPr>
          <w:rFonts w:ascii="Times New Roman" w:hAnsi="Times New Roman"/>
          <w:sz w:val="24"/>
          <w:szCs w:val="24"/>
        </w:rPr>
      </w:pPr>
      <w:r>
        <w:rPr>
          <w:rFonts w:ascii="Times New Roman" w:hAnsi="Times New Roman"/>
          <w:sz w:val="24"/>
          <w:szCs w:val="24"/>
        </w:rPr>
        <w:t>（5）所有正常不带电的金属外壳及爆炸危险区域内的工艺金属设备均可靠接地，接地电阻不大于4欧。</w:t>
      </w:r>
    </w:p>
    <w:p>
      <w:pPr>
        <w:spacing w:line="360" w:lineRule="auto"/>
        <w:ind w:firstLine="480" w:firstLineChars="200"/>
        <w:rPr>
          <w:rFonts w:ascii="Times New Roman" w:hAnsi="Times New Roman"/>
          <w:sz w:val="24"/>
          <w:szCs w:val="24"/>
        </w:rPr>
      </w:pPr>
      <w:r>
        <w:rPr>
          <w:rFonts w:ascii="Times New Roman" w:hAnsi="Times New Roman"/>
          <w:sz w:val="24"/>
          <w:szCs w:val="24"/>
        </w:rPr>
        <w:t>（6）爆炸危险场所采用防爆灯具。</w:t>
      </w:r>
    </w:p>
    <w:p>
      <w:pPr>
        <w:spacing w:line="360" w:lineRule="auto"/>
        <w:ind w:firstLine="480" w:firstLineChars="200"/>
        <w:rPr>
          <w:rFonts w:ascii="Times New Roman" w:hAnsi="Times New Roman"/>
          <w:sz w:val="24"/>
          <w:szCs w:val="24"/>
        </w:rPr>
      </w:pPr>
      <w:r>
        <w:rPr>
          <w:rFonts w:ascii="Times New Roman" w:hAnsi="Times New Roman"/>
          <w:sz w:val="24"/>
          <w:szCs w:val="24"/>
        </w:rPr>
        <w:t>（7）在项目区主要通道和消防通道设置火灾报警按钮。</w:t>
      </w:r>
    </w:p>
    <w:p>
      <w:pPr>
        <w:pStyle w:val="8"/>
        <w:numPr>
          <w:ilvl w:val="3"/>
          <w:numId w:val="0"/>
        </w:numPr>
        <w:tabs>
          <w:tab w:val="clear" w:pos="0"/>
        </w:tabs>
      </w:pPr>
      <w:r>
        <w:t>8.2.2.5应急控制措施</w:t>
      </w:r>
    </w:p>
    <w:p>
      <w:pPr>
        <w:spacing w:line="360" w:lineRule="auto"/>
        <w:ind w:firstLine="540" w:firstLineChars="225"/>
        <w:rPr>
          <w:rFonts w:ascii="Times New Roman" w:hAnsi="Times New Roman"/>
          <w:sz w:val="24"/>
          <w:szCs w:val="24"/>
        </w:rPr>
      </w:pPr>
      <w:r>
        <w:rPr>
          <w:rFonts w:ascii="Times New Roman" w:hAnsi="Times New Roman"/>
          <w:sz w:val="24"/>
          <w:szCs w:val="24"/>
        </w:rPr>
        <w:t>（1）火灾应急措施</w:t>
      </w:r>
    </w:p>
    <w:p>
      <w:pPr>
        <w:spacing w:line="360" w:lineRule="auto"/>
        <w:ind w:firstLine="480" w:firstLineChars="200"/>
        <w:rPr>
          <w:rFonts w:ascii="Times New Roman" w:hAnsi="Times New Roman"/>
          <w:sz w:val="24"/>
          <w:szCs w:val="24"/>
        </w:rPr>
      </w:pPr>
      <w:r>
        <w:rPr>
          <w:rFonts w:ascii="Times New Roman" w:hAnsi="Times New Roman"/>
          <w:sz w:val="24"/>
          <w:szCs w:val="24"/>
        </w:rPr>
        <w:t>如发生火灾事故，岗位人员立即向生产调度、运行部电话报警，并迅速组织力量采取相应的方法灭火。调度在接到通知后，迅速通知消防队和有关部门组织人员赶至现场。消防队在接到报警后应根据事故性质制定方案，采取相应措施。</w:t>
      </w:r>
    </w:p>
    <w:p>
      <w:pPr>
        <w:spacing w:line="360" w:lineRule="auto"/>
        <w:ind w:firstLine="480" w:firstLineChars="200"/>
        <w:rPr>
          <w:rFonts w:ascii="Times New Roman" w:hAnsi="Times New Roman"/>
          <w:sz w:val="24"/>
          <w:szCs w:val="24"/>
        </w:rPr>
      </w:pPr>
      <w:r>
        <w:rPr>
          <w:rFonts w:ascii="Times New Roman" w:hAnsi="Times New Roman"/>
          <w:sz w:val="24"/>
          <w:szCs w:val="24"/>
        </w:rPr>
        <w:t>（2）废气泄漏应急措施</w:t>
      </w:r>
    </w:p>
    <w:p>
      <w:pPr>
        <w:spacing w:line="360" w:lineRule="auto"/>
        <w:ind w:firstLine="480" w:firstLineChars="200"/>
        <w:rPr>
          <w:rFonts w:ascii="Times New Roman" w:hAnsi="Times New Roman"/>
          <w:sz w:val="24"/>
          <w:szCs w:val="24"/>
        </w:rPr>
      </w:pPr>
      <w:r>
        <w:rPr>
          <w:rFonts w:ascii="Times New Roman" w:hAnsi="Times New Roman"/>
          <w:sz w:val="24"/>
          <w:szCs w:val="24"/>
        </w:rPr>
        <w:t>废气泄漏首要措施为控制泄漏源，即对发生泄漏的设施切断阀门或尽量彻底堵漏以使泄漏量最小。如对泄漏点的系统上端阀门处进行关闭，杜绝泄漏源；或立即采取紧急停车的方式杜绝泄漏的产生。</w:t>
      </w:r>
    </w:p>
    <w:p>
      <w:pPr>
        <w:spacing w:line="360" w:lineRule="auto"/>
        <w:ind w:firstLine="480" w:firstLineChars="200"/>
        <w:rPr>
          <w:rFonts w:ascii="Times New Roman" w:hAnsi="Times New Roman"/>
          <w:sz w:val="24"/>
          <w:szCs w:val="24"/>
        </w:rPr>
      </w:pPr>
      <w:r>
        <w:rPr>
          <w:rFonts w:ascii="Times New Roman" w:hAnsi="Times New Roman"/>
          <w:sz w:val="24"/>
          <w:szCs w:val="24"/>
        </w:rPr>
        <w:t>（3）事故泄漏物料及事故废水收集处置措施</w:t>
      </w:r>
    </w:p>
    <w:p>
      <w:pPr>
        <w:spacing w:line="360" w:lineRule="auto"/>
        <w:ind w:firstLine="480" w:firstLineChars="200"/>
        <w:rPr>
          <w:rFonts w:ascii="Times New Roman" w:hAnsi="Times New Roman"/>
          <w:sz w:val="24"/>
          <w:szCs w:val="24"/>
        </w:rPr>
      </w:pPr>
      <w:r>
        <w:rPr>
          <w:rFonts w:ascii="Times New Roman" w:hAnsi="Times New Roman"/>
          <w:sz w:val="24"/>
          <w:szCs w:val="24"/>
        </w:rPr>
        <w:t>①厂区总平面布置</w:t>
      </w:r>
    </w:p>
    <w:p>
      <w:pPr>
        <w:spacing w:line="360" w:lineRule="auto"/>
        <w:ind w:firstLine="480" w:firstLineChars="200"/>
        <w:rPr>
          <w:rFonts w:ascii="Times New Roman" w:hAnsi="Times New Roman"/>
          <w:sz w:val="24"/>
          <w:szCs w:val="24"/>
        </w:rPr>
      </w:pPr>
      <w:r>
        <w:rPr>
          <w:rFonts w:ascii="Times New Roman" w:hAnsi="Times New Roman"/>
          <w:sz w:val="24"/>
          <w:szCs w:val="24"/>
        </w:rPr>
        <w:t>结合全厂总平面布局、场地竖向、道路及排雨水系统状况，以自流排放为原则合理划分事故排水收集系统。</w:t>
      </w:r>
    </w:p>
    <w:p>
      <w:pPr>
        <w:spacing w:line="360" w:lineRule="auto"/>
        <w:ind w:firstLine="480" w:firstLineChars="200"/>
      </w:pPr>
      <w:r>
        <w:rPr>
          <w:rFonts w:ascii="Times New Roman" w:hAnsi="Times New Roman"/>
          <w:sz w:val="24"/>
          <w:szCs w:val="24"/>
        </w:rPr>
        <w:fldChar w:fldCharType="begin"/>
      </w:r>
      <w:r>
        <w:rPr>
          <w:rFonts w:ascii="Times New Roman" w:hAnsi="Times New Roman"/>
          <w:sz w:val="24"/>
          <w:szCs w:val="24"/>
        </w:rPr>
        <w:instrText xml:space="preserve"> = 2 \* GB3 \* MERGEFORMAT </w:instrText>
      </w:r>
      <w:r>
        <w:rPr>
          <w:rFonts w:ascii="Times New Roman" w:hAnsi="Times New Roman"/>
          <w:sz w:val="24"/>
          <w:szCs w:val="24"/>
        </w:rPr>
        <w:fldChar w:fldCharType="separate"/>
      </w:r>
      <w:r>
        <w:rPr>
          <w:rFonts w:ascii="Times New Roman" w:hAnsi="Times New Roman"/>
        </w:rPr>
        <w:t>②</w:t>
      </w:r>
      <w:r>
        <w:rPr>
          <w:rFonts w:ascii="Times New Roman" w:hAnsi="Times New Roman"/>
          <w:sz w:val="24"/>
          <w:szCs w:val="24"/>
        </w:rPr>
        <w:fldChar w:fldCharType="end"/>
      </w:r>
      <w:r>
        <w:rPr>
          <w:rFonts w:ascii="Times New Roman" w:hAnsi="Times New Roman"/>
          <w:sz w:val="24"/>
          <w:szCs w:val="24"/>
        </w:rPr>
        <w:t>事故泄漏物料</w:t>
      </w:r>
    </w:p>
    <w:p>
      <w:pPr>
        <w:pStyle w:val="239"/>
        <w:spacing w:line="360" w:lineRule="auto"/>
        <w:ind w:firstLine="480"/>
        <w:jc w:val="left"/>
      </w:pPr>
      <w:r>
        <w:rPr>
          <w:rFonts w:ascii="Times New Roman"/>
          <w:sz w:val="24"/>
        </w:rPr>
        <w:t>本项目各装置区均设置了高不低于15cm的围堰或环绕装置的水泥硬化的集水沟，发生泄漏事故时泄漏物料可以控制在围堰内及集水沟内，泄漏物料不会穿透混凝土地面，向土壤及地下水中扩散。罐区则依据防火规范的要求，设置有防火堤，储罐及设施发生泄漏事故时，泄漏物料可以控制在防火堤内。防火堤内地面也是混凝土硬化地面，可以阻止泄漏至地面的烃类物质向土壤及地下水的分散过程。</w:t>
      </w:r>
    </w:p>
    <w:p>
      <w:pPr>
        <w:spacing w:line="360" w:lineRule="auto"/>
        <w:ind w:firstLine="480" w:firstLineChars="200"/>
        <w:rPr>
          <w:rFonts w:ascii="Times New Roman" w:hAnsi="Times New Roman"/>
          <w:sz w:val="24"/>
          <w:szCs w:val="24"/>
        </w:rPr>
      </w:pPr>
      <w:r>
        <w:rPr>
          <w:rFonts w:ascii="Times New Roman" w:hAnsi="Times New Roman"/>
          <w:sz w:val="24"/>
          <w:szCs w:val="24"/>
        </w:rPr>
        <w:sym w:font="Wingdings" w:char="F083"/>
      </w:r>
      <w:r>
        <w:rPr>
          <w:rFonts w:ascii="Times New Roman" w:hAnsi="Times New Roman"/>
          <w:sz w:val="24"/>
          <w:szCs w:val="24"/>
        </w:rPr>
        <w:t>消防废水收集</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本项目消防系统分为消火栓系统和灭火器系统。本项目依托长岭分公司现有的事故废水池收集消防废水，收集的消防废水处理达标后达标排放。</w:t>
      </w:r>
    </w:p>
    <w:p>
      <w:pPr>
        <w:pStyle w:val="8"/>
        <w:numPr>
          <w:ilvl w:val="3"/>
          <w:numId w:val="0"/>
        </w:numPr>
        <w:tabs>
          <w:tab w:val="clear" w:pos="0"/>
        </w:tabs>
      </w:pPr>
      <w:r>
        <w:t>8.2.2.7废水风险防范措施</w:t>
      </w:r>
    </w:p>
    <w:p>
      <w:pPr>
        <w:pStyle w:val="22"/>
        <w:kinsoku w:val="0"/>
        <w:overflowPunct w:val="0"/>
        <w:spacing w:before="157" w:line="364" w:lineRule="auto"/>
        <w:ind w:right="313" w:firstLine="480"/>
        <w:rPr>
          <w:spacing w:val="-6"/>
          <w:sz w:val="24"/>
        </w:rPr>
      </w:pPr>
      <w:r>
        <w:rPr>
          <w:spacing w:val="-6"/>
          <w:sz w:val="24"/>
        </w:rPr>
        <w:t>本项目产生的锅炉排污水、烟脱废水均排入公司含盐污水处理系统。项目位于长岭分公司厂区内，项目区域地面进行硬化防渗处理；风险事故对水环境主要指含污废水通过裂缝等病状地面进入地下水体及污水处理场故障事故；设有围堰、污水处理场、事故池等三级防控措施，且在本项目上下游均设有地下水监控井，在一定程度上可有效减少风险事故造成的水污染事件。</w:t>
      </w:r>
    </w:p>
    <w:p>
      <w:pPr>
        <w:pStyle w:val="22"/>
        <w:kinsoku w:val="0"/>
        <w:overflowPunct w:val="0"/>
        <w:spacing w:line="362" w:lineRule="auto"/>
        <w:ind w:right="317" w:firstLine="480"/>
        <w:rPr>
          <w:spacing w:val="-4"/>
          <w:sz w:val="24"/>
        </w:rPr>
      </w:pPr>
      <w:r>
        <w:rPr>
          <w:spacing w:val="-4"/>
          <w:sz w:val="24"/>
        </w:rPr>
        <w:t>本次项目工程量小，现有的风险防范措施满足建设后后生产要求，未来生产中应加强管理，避免跑冒滴漏等污染影响。</w:t>
      </w:r>
    </w:p>
    <w:p>
      <w:pPr>
        <w:pStyle w:val="8"/>
        <w:numPr>
          <w:ilvl w:val="3"/>
          <w:numId w:val="0"/>
        </w:numPr>
        <w:tabs>
          <w:tab w:val="clear" w:pos="0"/>
        </w:tabs>
      </w:pPr>
      <w:r>
        <w:t>8.2.2.8环境风险防范管理要求</w:t>
      </w:r>
    </w:p>
    <w:p>
      <w:pPr>
        <w:snapToGrid w:val="0"/>
        <w:spacing w:line="360" w:lineRule="auto"/>
        <w:ind w:firstLine="480" w:firstLineChars="200"/>
        <w:jc w:val="left"/>
        <w:rPr>
          <w:rFonts w:ascii="Times New Roman" w:hAnsi="Times New Roman"/>
          <w:sz w:val="24"/>
        </w:rPr>
      </w:pPr>
      <w:r>
        <w:rPr>
          <w:rFonts w:ascii="Times New Roman" w:hAnsi="Times New Roman"/>
          <w:sz w:val="24"/>
        </w:rPr>
        <w:t>环境保护部于 2012 年 7 月 3 日发布《关于进一步加强环境影响评价管理防范环境风险的通知》环发[2012]77 号，明确建设单位及其所属企业是环境风险防范的责任主体，应建立有效的环境风险防范与应急管理体系并不断完善。</w:t>
      </w:r>
    </w:p>
    <w:p>
      <w:pPr>
        <w:snapToGrid w:val="0"/>
        <w:spacing w:line="360" w:lineRule="auto"/>
        <w:ind w:firstLine="480" w:firstLineChars="200"/>
        <w:jc w:val="left"/>
        <w:rPr>
          <w:rFonts w:ascii="Times New Roman" w:hAnsi="Times New Roman"/>
          <w:sz w:val="24"/>
        </w:rPr>
      </w:pPr>
      <w:r>
        <w:rPr>
          <w:rFonts w:ascii="Times New Roman" w:hAnsi="Times New Roman"/>
          <w:sz w:val="24"/>
        </w:rPr>
        <w:t>（1）建设项目的环境风险防范设施和应急措施是企业环境风险防范与应急管理 体系的组成部分，也是企业制定和完善突发环境事件应急预案的基础。企业突发环境事件应急预案的编制、评估、备案和实施等，应按《企业事业单位突发环境事件应急预案备案管理办法（试行）》（环发〔2015〕4号）等相关规定执行。</w:t>
      </w:r>
    </w:p>
    <w:p>
      <w:pPr>
        <w:snapToGrid w:val="0"/>
        <w:spacing w:line="360" w:lineRule="auto"/>
        <w:ind w:firstLine="480" w:firstLineChars="200"/>
        <w:jc w:val="left"/>
        <w:rPr>
          <w:rFonts w:ascii="Times New Roman" w:hAnsi="Times New Roman"/>
          <w:sz w:val="24"/>
        </w:rPr>
      </w:pPr>
      <w:r>
        <w:rPr>
          <w:rFonts w:ascii="Times New Roman" w:hAnsi="Times New Roman"/>
          <w:sz w:val="24"/>
        </w:rPr>
        <w:t>（2）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p>
      <w:pPr>
        <w:snapToGrid w:val="0"/>
        <w:spacing w:line="360" w:lineRule="auto"/>
        <w:ind w:firstLine="480" w:firstLineChars="200"/>
        <w:jc w:val="left"/>
        <w:rPr>
          <w:rFonts w:ascii="Times New Roman" w:hAnsi="Times New Roman"/>
          <w:sz w:val="24"/>
        </w:rPr>
      </w:pPr>
      <w:r>
        <w:rPr>
          <w:rFonts w:ascii="Times New Roman" w:hAnsi="Times New Roman"/>
          <w:sz w:val="24"/>
        </w:rPr>
        <w:t xml:space="preserve">（3）企业应积极完善环境风险预警体系、环境风险防控工程、环境应急保障体系。企业突发环境事件应急预案应与当地政府和相关部门以及周边企业、工业园区的应急预案相衔接，加强区域应急物资调配管理，构建区域环境风险联控机制。 </w:t>
      </w:r>
    </w:p>
    <w:p>
      <w:pPr>
        <w:snapToGrid w:val="0"/>
        <w:spacing w:line="360" w:lineRule="auto"/>
        <w:ind w:firstLine="480" w:firstLineChars="200"/>
        <w:jc w:val="left"/>
        <w:rPr>
          <w:rFonts w:ascii="Times New Roman" w:hAnsi="Times New Roman"/>
          <w:sz w:val="24"/>
        </w:rPr>
      </w:pPr>
      <w:r>
        <w:rPr>
          <w:rFonts w:ascii="Times New Roman" w:hAnsi="Times New Roman"/>
          <w:sz w:val="24"/>
        </w:rPr>
        <w:t>（4）项目应在其设计方案确定后、设计文件批复前，逐项对比防治污染、防止生态破坏以及防范环境风险设施的设计方案与环境影响评价文件及批复要求的相符性。建设单位应将上述环保设施在设计阶段的落实情况报环境影响评价文件审批部门备案，并抄报当地环保部门。</w:t>
      </w:r>
    </w:p>
    <w:p>
      <w:pPr>
        <w:snapToGrid w:val="0"/>
        <w:spacing w:line="360" w:lineRule="auto"/>
        <w:ind w:firstLine="480" w:firstLineChars="200"/>
        <w:jc w:val="left"/>
        <w:rPr>
          <w:rFonts w:ascii="Times New Roman" w:hAnsi="Times New Roman"/>
          <w:sz w:val="24"/>
        </w:rPr>
      </w:pPr>
      <w:r>
        <w:rPr>
          <w:rFonts w:ascii="Times New Roman" w:hAnsi="Times New Roman"/>
          <w:sz w:val="24"/>
        </w:rPr>
        <w:t>（5）项目的环境影响评价文件经批准后，环境风险防范设施发生重大变动的， 建设单位应按《环境影响评价法》要求重新办理报批手续。</w:t>
      </w:r>
    </w:p>
    <w:p>
      <w:pPr>
        <w:pStyle w:val="6"/>
        <w:numPr>
          <w:ilvl w:val="1"/>
          <w:numId w:val="0"/>
        </w:numPr>
        <w:tabs>
          <w:tab w:val="clear" w:pos="0"/>
        </w:tabs>
        <w:spacing w:before="120" w:after="120"/>
      </w:pPr>
      <w:bookmarkStart w:id="436" w:name="_Toc22012"/>
      <w:r>
        <w:t>8.3 环境风险应急预案</w:t>
      </w:r>
      <w:bookmarkEnd w:id="436"/>
    </w:p>
    <w:p>
      <w:pPr>
        <w:pStyle w:val="22"/>
        <w:kinsoku w:val="0"/>
        <w:overflowPunct w:val="0"/>
        <w:spacing w:before="160" w:line="364" w:lineRule="auto"/>
        <w:ind w:right="317" w:firstLine="480"/>
        <w:rPr>
          <w:spacing w:val="1"/>
          <w:sz w:val="24"/>
        </w:rPr>
      </w:pPr>
      <w:r>
        <w:rPr>
          <w:spacing w:val="1"/>
          <w:sz w:val="24"/>
        </w:rPr>
        <w:t>公司已经建立了一套较为完善的应急预案和应急体系以应</w:t>
      </w:r>
      <w:r>
        <w:rPr>
          <w:spacing w:val="-5"/>
          <w:sz w:val="24"/>
        </w:rPr>
        <w:t>对厂区内各风险事故，包括应急启动条件、应急终止、应急保障等，本项目位于公司现有厂区内，风险应急措施主要依附厂内现有的应急系统。</w:t>
      </w:r>
    </w:p>
    <w:p>
      <w:pPr>
        <w:pStyle w:val="22"/>
        <w:kinsoku w:val="0"/>
        <w:overflowPunct w:val="0"/>
        <w:spacing w:line="304" w:lineRule="exact"/>
        <w:ind w:left="716"/>
        <w:rPr>
          <w:sz w:val="24"/>
        </w:rPr>
      </w:pPr>
      <w:r>
        <w:rPr>
          <w:sz w:val="24"/>
        </w:rPr>
        <w:t>（1）风险事故处理程序</w:t>
      </w:r>
    </w:p>
    <w:p>
      <w:pPr>
        <w:pStyle w:val="22"/>
        <w:kinsoku w:val="0"/>
        <w:overflowPunct w:val="0"/>
        <w:spacing w:before="161" w:line="362" w:lineRule="auto"/>
        <w:ind w:right="317" w:firstLine="480"/>
        <w:rPr>
          <w:spacing w:val="-3"/>
          <w:sz w:val="24"/>
        </w:rPr>
      </w:pPr>
      <w:r>
        <w:rPr>
          <w:spacing w:val="-3"/>
          <w:sz w:val="24"/>
        </w:rPr>
        <w:t>项目风险事故处理应当有完整的处理程序图，一旦发生应急事故，必须依照风险事故处理</w:t>
      </w:r>
      <w:r>
        <w:rPr>
          <w:sz w:val="24"/>
        </w:rPr>
        <w:t>程序图进行操作。</w:t>
      </w:r>
    </w:p>
    <w:p>
      <w:pPr>
        <w:pStyle w:val="22"/>
        <w:kinsoku w:val="0"/>
        <w:overflowPunct w:val="0"/>
        <w:spacing w:before="5"/>
        <w:ind w:left="706"/>
        <w:rPr>
          <w:sz w:val="24"/>
        </w:rPr>
      </w:pPr>
      <w:r>
        <w:rPr>
          <w:sz w:val="24"/>
        </w:rPr>
        <w:t>（2）风险事故处理措施</w:t>
      </w:r>
    </w:p>
    <w:p>
      <w:pPr>
        <w:pStyle w:val="22"/>
        <w:kinsoku w:val="0"/>
        <w:overflowPunct w:val="0"/>
        <w:spacing w:before="161" w:line="362" w:lineRule="auto"/>
        <w:ind w:right="317" w:firstLine="480"/>
        <w:rPr>
          <w:spacing w:val="-3"/>
          <w:sz w:val="24"/>
        </w:rPr>
      </w:pPr>
      <w:r>
        <w:rPr>
          <w:spacing w:val="-3"/>
          <w:sz w:val="24"/>
        </w:rPr>
        <w:t>为了有效地处理风险事故，应有切实可行的处理措施。项目风险事故应急措施包括设备器材、事故现场指挥、救护、通讯等系统的建立、现场应急措施方案、事故危害监测队伍、现场撤离和善后措施方案等。</w:t>
      </w:r>
    </w:p>
    <w:p>
      <w:pPr>
        <w:pStyle w:val="246"/>
        <w:tabs>
          <w:tab w:val="left" w:pos="862"/>
        </w:tabs>
        <w:kinsoku w:val="0"/>
        <w:overflowPunct w:val="0"/>
        <w:spacing w:before="158"/>
        <w:ind w:left="420" w:leftChars="200" w:firstLine="0" w:firstLineChars="0"/>
        <w:rPr>
          <w:rFonts w:ascii="Times New Roman" w:hAnsi="Times New Roman" w:cs="Times New Roman"/>
          <w:sz w:val="24"/>
        </w:rPr>
      </w:pPr>
      <w:r>
        <w:rPr>
          <w:rFonts w:ascii="Times New Roman" w:hAnsi="Times New Roman" w:cs="Times New Roman"/>
          <w:sz w:val="24"/>
        </w:rPr>
        <w:t>1、设立报警、通讯系统以及事故处置领导体系；</w:t>
      </w:r>
    </w:p>
    <w:p>
      <w:pPr>
        <w:pStyle w:val="246"/>
        <w:tabs>
          <w:tab w:val="left" w:pos="863"/>
        </w:tabs>
        <w:kinsoku w:val="0"/>
        <w:overflowPunct w:val="0"/>
        <w:spacing w:before="161" w:line="362" w:lineRule="auto"/>
        <w:ind w:left="420" w:leftChars="200" w:right="316" w:firstLine="0" w:firstLineChars="0"/>
        <w:rPr>
          <w:rFonts w:ascii="Times New Roman" w:hAnsi="Times New Roman" w:cs="Times New Roman"/>
          <w:sz w:val="24"/>
        </w:rPr>
      </w:pPr>
      <w:r>
        <w:rPr>
          <w:rFonts w:ascii="Times New Roman" w:hAnsi="Times New Roman" w:cs="Times New Roman"/>
          <w:sz w:val="24"/>
        </w:rPr>
        <w:t>2、制定有效处理事故的应急行动方案，并得到厂内外有关部门的认可，能与有关部门有效配合；</w:t>
      </w:r>
    </w:p>
    <w:p>
      <w:pPr>
        <w:pStyle w:val="246"/>
        <w:tabs>
          <w:tab w:val="left" w:pos="862"/>
        </w:tabs>
        <w:kinsoku w:val="0"/>
        <w:overflowPunct w:val="0"/>
        <w:spacing w:before="5"/>
        <w:ind w:left="420" w:leftChars="200" w:firstLine="0" w:firstLineChars="0"/>
        <w:rPr>
          <w:rFonts w:ascii="Times New Roman" w:hAnsi="Times New Roman" w:cs="Times New Roman"/>
          <w:sz w:val="24"/>
        </w:rPr>
      </w:pPr>
      <w:r>
        <w:rPr>
          <w:rFonts w:ascii="Times New Roman" w:hAnsi="Times New Roman" w:cs="Times New Roman"/>
          <w:sz w:val="24"/>
        </w:rPr>
        <w:t>3、明确职责，并落实到单位和有关人员；</w:t>
      </w:r>
    </w:p>
    <w:p>
      <w:pPr>
        <w:pStyle w:val="246"/>
        <w:tabs>
          <w:tab w:val="left" w:pos="862"/>
        </w:tabs>
        <w:kinsoku w:val="0"/>
        <w:overflowPunct w:val="0"/>
        <w:spacing w:before="160"/>
        <w:ind w:left="420" w:leftChars="200" w:firstLine="0" w:firstLineChars="0"/>
        <w:rPr>
          <w:rFonts w:ascii="Times New Roman" w:hAnsi="Times New Roman" w:cs="Times New Roman"/>
          <w:sz w:val="24"/>
        </w:rPr>
      </w:pPr>
      <w:r>
        <w:rPr>
          <w:rFonts w:ascii="Times New Roman" w:hAnsi="Times New Roman" w:cs="Times New Roman"/>
          <w:sz w:val="24"/>
        </w:rPr>
        <w:t>4、制定控制和减少事故影响范围以及补救行动的实施计划；</w:t>
      </w:r>
    </w:p>
    <w:p>
      <w:pPr>
        <w:pStyle w:val="246"/>
        <w:tabs>
          <w:tab w:val="left" w:pos="863"/>
        </w:tabs>
        <w:kinsoku w:val="0"/>
        <w:overflowPunct w:val="0"/>
        <w:spacing w:before="161" w:line="362" w:lineRule="auto"/>
        <w:ind w:left="420" w:leftChars="200" w:right="316" w:firstLine="0" w:firstLineChars="0"/>
        <w:rPr>
          <w:rFonts w:ascii="Times New Roman" w:hAnsi="Times New Roman" w:cs="Times New Roman"/>
          <w:sz w:val="24"/>
        </w:rPr>
      </w:pPr>
      <w:r>
        <w:rPr>
          <w:rFonts w:ascii="Times New Roman" w:hAnsi="Times New Roman" w:cs="Times New Roman"/>
          <w:sz w:val="24"/>
        </w:rPr>
        <w:t>5、对事故现场管理以及事故处置全过程的监督，应由富有事故处置经验的人员或有关部门工作人员承担；</w:t>
      </w:r>
    </w:p>
    <w:p>
      <w:pPr>
        <w:pStyle w:val="246"/>
        <w:tabs>
          <w:tab w:val="left" w:pos="863"/>
        </w:tabs>
        <w:kinsoku w:val="0"/>
        <w:overflowPunct w:val="0"/>
        <w:spacing w:before="161" w:line="362" w:lineRule="auto"/>
        <w:ind w:left="420" w:leftChars="200" w:right="316" w:firstLine="0" w:firstLineChars="0"/>
        <w:rPr>
          <w:rFonts w:ascii="Times New Roman" w:hAnsi="Times New Roman" w:cs="Times New Roman"/>
          <w:sz w:val="24"/>
        </w:rPr>
      </w:pPr>
      <w:r>
        <w:rPr>
          <w:rFonts w:ascii="Times New Roman" w:hAnsi="Times New Roman" w:cs="Times New Roman"/>
          <w:sz w:val="24"/>
        </w:rPr>
        <w:t>6、为提高事故处置队伍的协同救援水平和实战能力，检验救援体系的应急综合运作状态，提高其实战水平，应进行应急救援演练。</w:t>
      </w:r>
    </w:p>
    <w:p>
      <w:pPr>
        <w:pStyle w:val="22"/>
        <w:kinsoku w:val="0"/>
        <w:overflowPunct w:val="0"/>
        <w:spacing w:line="306" w:lineRule="exact"/>
        <w:ind w:left="716"/>
        <w:rPr>
          <w:sz w:val="24"/>
        </w:rPr>
      </w:pPr>
      <w:r>
        <w:rPr>
          <w:sz w:val="24"/>
        </w:rPr>
        <w:t>（3）风险事故应急计划</w:t>
      </w:r>
    </w:p>
    <w:p>
      <w:pPr>
        <w:pStyle w:val="22"/>
        <w:kinsoku w:val="0"/>
        <w:overflowPunct w:val="0"/>
        <w:spacing w:before="159" w:line="362" w:lineRule="auto"/>
        <w:ind w:right="317" w:firstLine="480"/>
        <w:rPr>
          <w:spacing w:val="-4"/>
          <w:sz w:val="24"/>
        </w:rPr>
      </w:pPr>
      <w:r>
        <w:rPr>
          <w:spacing w:val="-4"/>
          <w:sz w:val="24"/>
        </w:rPr>
        <w:t>必须拟定事故应急预案，以应对可能发生的应急危害事故，一旦发生事故，即可在</w:t>
      </w:r>
      <w:r>
        <w:rPr>
          <w:sz w:val="24"/>
        </w:rPr>
        <w:t>有充分准备的情况下，对事故进行积极处理。</w:t>
      </w:r>
    </w:p>
    <w:p>
      <w:pPr>
        <w:pStyle w:val="22"/>
        <w:kinsoku w:val="0"/>
        <w:overflowPunct w:val="0"/>
        <w:spacing w:before="5" w:line="362" w:lineRule="auto"/>
        <w:ind w:right="269" w:firstLine="480"/>
        <w:rPr>
          <w:sz w:val="24"/>
        </w:rPr>
      </w:pPr>
      <w:r>
        <w:rPr>
          <w:sz w:val="24"/>
        </w:rPr>
        <w:t>风险事故的应急计划包括应急状态分类、应急计划区和事故等级水平、应急防护、应急医学处理等。因此，风险事故应急计划应当包括以下内容：</w:t>
      </w:r>
    </w:p>
    <w:p>
      <w:pPr>
        <w:pStyle w:val="246"/>
        <w:tabs>
          <w:tab w:val="left" w:pos="862"/>
        </w:tabs>
        <w:kinsoku w:val="0"/>
        <w:overflowPunct w:val="0"/>
        <w:spacing w:before="5"/>
        <w:ind w:left="420" w:leftChars="200" w:firstLine="0" w:firstLineChars="0"/>
        <w:rPr>
          <w:rFonts w:ascii="Times New Roman" w:hAnsi="Times New Roman" w:cs="Times New Roman"/>
          <w:sz w:val="24"/>
        </w:rPr>
      </w:pPr>
      <w:r>
        <w:rPr>
          <w:rFonts w:ascii="Times New Roman" w:hAnsi="Times New Roman" w:cs="Times New Roman"/>
          <w:sz w:val="24"/>
        </w:rPr>
        <w:t>1、项目在生产过程中所使用以及产生的有毒化学品、危险源的概况；</w:t>
      </w:r>
    </w:p>
    <w:p>
      <w:pPr>
        <w:pStyle w:val="246"/>
        <w:tabs>
          <w:tab w:val="left" w:pos="862"/>
        </w:tabs>
        <w:kinsoku w:val="0"/>
        <w:overflowPunct w:val="0"/>
        <w:spacing w:before="160"/>
        <w:ind w:left="420" w:leftChars="200" w:firstLine="0" w:firstLineChars="0"/>
        <w:rPr>
          <w:rFonts w:ascii="Times New Roman" w:hAnsi="Times New Roman" w:cs="Times New Roman"/>
          <w:sz w:val="24"/>
        </w:rPr>
      </w:pPr>
      <w:r>
        <w:rPr>
          <w:rFonts w:ascii="Times New Roman" w:hAnsi="Times New Roman" w:cs="Times New Roman"/>
          <w:sz w:val="24"/>
        </w:rPr>
        <w:t>2、应急计划实施区域；</w:t>
      </w:r>
    </w:p>
    <w:p>
      <w:pPr>
        <w:pStyle w:val="246"/>
        <w:tabs>
          <w:tab w:val="left" w:pos="862"/>
        </w:tabs>
        <w:kinsoku w:val="0"/>
        <w:overflowPunct w:val="0"/>
        <w:spacing w:before="158"/>
        <w:ind w:left="420" w:leftChars="200" w:firstLine="0" w:firstLineChars="0"/>
        <w:rPr>
          <w:rFonts w:ascii="Times New Roman" w:hAnsi="Times New Roman" w:cs="Times New Roman"/>
          <w:sz w:val="24"/>
        </w:rPr>
      </w:pPr>
      <w:r>
        <w:rPr>
          <w:rFonts w:ascii="Times New Roman" w:hAnsi="Times New Roman" w:cs="Times New Roman"/>
          <w:sz w:val="24"/>
        </w:rPr>
        <w:t>3、应急和事故灾害控制的组织、责任、授权人；</w:t>
      </w:r>
    </w:p>
    <w:p>
      <w:pPr>
        <w:pStyle w:val="246"/>
        <w:tabs>
          <w:tab w:val="left" w:pos="862"/>
        </w:tabs>
        <w:kinsoku w:val="0"/>
        <w:overflowPunct w:val="0"/>
        <w:spacing w:before="158"/>
        <w:ind w:left="420" w:leftChars="200" w:firstLine="0" w:firstLineChars="0"/>
        <w:rPr>
          <w:rFonts w:ascii="Times New Roman" w:hAnsi="Times New Roman" w:cs="Times New Roman"/>
          <w:sz w:val="24"/>
        </w:rPr>
      </w:pPr>
      <w:r>
        <w:rPr>
          <w:rFonts w:ascii="Times New Roman" w:hAnsi="Times New Roman" w:cs="Times New Roman"/>
          <w:sz w:val="24"/>
        </w:rPr>
        <w:t>4、应急状态分类以及应急状态响应程序；</w:t>
      </w:r>
    </w:p>
    <w:p>
      <w:pPr>
        <w:pStyle w:val="246"/>
        <w:tabs>
          <w:tab w:val="left" w:pos="862"/>
        </w:tabs>
        <w:kinsoku w:val="0"/>
        <w:overflowPunct w:val="0"/>
        <w:spacing w:before="161"/>
        <w:ind w:left="420" w:leftChars="200" w:firstLine="0" w:firstLineChars="0"/>
        <w:rPr>
          <w:rFonts w:ascii="Times New Roman" w:hAnsi="Times New Roman" w:cs="Times New Roman"/>
          <w:sz w:val="24"/>
        </w:rPr>
      </w:pPr>
      <w:r>
        <w:rPr>
          <w:rFonts w:ascii="Times New Roman" w:hAnsi="Times New Roman" w:cs="Times New Roman"/>
          <w:sz w:val="24"/>
        </w:rPr>
        <w:t>5、应急设备、设施、材料和人员调动系统和程序；</w:t>
      </w:r>
    </w:p>
    <w:p>
      <w:pPr>
        <w:pStyle w:val="246"/>
        <w:tabs>
          <w:tab w:val="left" w:pos="853"/>
        </w:tabs>
        <w:kinsoku w:val="0"/>
        <w:overflowPunct w:val="0"/>
        <w:spacing w:before="160"/>
        <w:ind w:firstLine="480"/>
        <w:rPr>
          <w:rFonts w:ascii="Times New Roman" w:hAnsi="Times New Roman" w:cs="Times New Roman"/>
          <w:sz w:val="24"/>
        </w:rPr>
      </w:pPr>
      <w:r>
        <w:rPr>
          <w:rFonts w:ascii="Times New Roman" w:hAnsi="Times New Roman" w:cs="Times New Roman"/>
          <w:sz w:val="24"/>
        </w:rPr>
        <w:t>6、应急通知和与授权人、有关人员、相关方面的通讯系统和程序；</w:t>
      </w:r>
    </w:p>
    <w:p>
      <w:pPr>
        <w:pStyle w:val="246"/>
        <w:tabs>
          <w:tab w:val="left" w:pos="853"/>
        </w:tabs>
        <w:kinsoku w:val="0"/>
        <w:overflowPunct w:val="0"/>
        <w:spacing w:before="159"/>
        <w:ind w:firstLine="480"/>
        <w:rPr>
          <w:rFonts w:ascii="Times New Roman" w:hAnsi="Times New Roman" w:cs="Times New Roman"/>
          <w:sz w:val="24"/>
        </w:rPr>
      </w:pPr>
      <w:r>
        <w:rPr>
          <w:rFonts w:ascii="Times New Roman" w:hAnsi="Times New Roman" w:cs="Times New Roman"/>
          <w:sz w:val="24"/>
        </w:rPr>
        <w:t>7、应急环境监测和事故环境影响评价；</w:t>
      </w:r>
    </w:p>
    <w:p>
      <w:pPr>
        <w:pStyle w:val="246"/>
        <w:tabs>
          <w:tab w:val="left" w:pos="853"/>
        </w:tabs>
        <w:kinsoku w:val="0"/>
        <w:overflowPunct w:val="0"/>
        <w:spacing w:before="160"/>
        <w:ind w:firstLine="480"/>
        <w:rPr>
          <w:rFonts w:ascii="Times New Roman" w:hAnsi="Times New Roman" w:cs="Times New Roman"/>
          <w:sz w:val="24"/>
        </w:rPr>
      </w:pPr>
      <w:r>
        <w:rPr>
          <w:rFonts w:ascii="Times New Roman" w:hAnsi="Times New Roman" w:cs="Times New Roman"/>
          <w:sz w:val="24"/>
        </w:rPr>
        <w:t>8、应急防护措施，清除泄漏物的措施、方法和使用器材；</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9、应急人员接触计量控制、人员撤离、医疗救助与公众健康保证的系统和程序；</w:t>
      </w:r>
    </w:p>
    <w:p>
      <w:pPr>
        <w:pStyle w:val="246"/>
        <w:tabs>
          <w:tab w:val="left" w:pos="853"/>
        </w:tabs>
        <w:kinsoku w:val="0"/>
        <w:overflowPunct w:val="0"/>
        <w:spacing w:before="161"/>
        <w:ind w:firstLine="480"/>
        <w:rPr>
          <w:rFonts w:ascii="Times New Roman" w:hAnsi="Times New Roman" w:cs="Times New Roman"/>
          <w:sz w:val="24"/>
        </w:rPr>
      </w:pPr>
      <w:r>
        <w:rPr>
          <w:rFonts w:ascii="Times New Roman" w:hAnsi="Times New Roman" w:cs="Times New Roman"/>
          <w:sz w:val="24"/>
        </w:rPr>
        <w:t>10、应急状态终止与事故影响的恢复措施；</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11、应急人员培训、演练和试验应急系统的程序；</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12、应急事故的公众教育以及事故信息公布程序；</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13、调动第三方资源进行应急支持的安排和程序；</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14、事故的记录和报告程序；</w:t>
      </w:r>
    </w:p>
    <w:p>
      <w:pPr>
        <w:pStyle w:val="22"/>
        <w:kinsoku w:val="0"/>
        <w:overflowPunct w:val="0"/>
        <w:spacing w:before="80"/>
        <w:ind w:firstLine="720" w:firstLineChars="300"/>
        <w:rPr>
          <w:sz w:val="24"/>
        </w:rPr>
      </w:pPr>
      <w:r>
        <w:rPr>
          <w:sz w:val="24"/>
        </w:rPr>
        <w:t>（4）一旦发生风险事故</w:t>
      </w:r>
    </w:p>
    <w:p>
      <w:pPr>
        <w:pStyle w:val="22"/>
        <w:kinsoku w:val="0"/>
        <w:overflowPunct w:val="0"/>
        <w:spacing w:before="158" w:line="364" w:lineRule="auto"/>
        <w:ind w:right="269" w:firstLine="480"/>
        <w:rPr>
          <w:sz w:val="24"/>
        </w:rPr>
      </w:pPr>
      <w:r>
        <w:rPr>
          <w:sz w:val="24"/>
        </w:rPr>
        <w:t>建立、完善应急通信系统，在应急工作中确保应急通信畅通，一旦发生风险事</w:t>
      </w:r>
      <w:r>
        <w:rPr>
          <w:spacing w:val="-7"/>
          <w:sz w:val="24"/>
        </w:rPr>
        <w:t>故，在最短</w:t>
      </w:r>
      <w:r>
        <w:rPr>
          <w:spacing w:val="-2"/>
          <w:sz w:val="24"/>
        </w:rPr>
        <w:t>的时间内与厂内应急部门取得联系并启动应急系统，根据事故情况确定疏散下风向</w:t>
      </w:r>
      <w:r>
        <w:rPr>
          <w:spacing w:val="-7"/>
          <w:sz w:val="24"/>
        </w:rPr>
        <w:t>的人群。一旦发生泄漏应及时堵漏并切断一切热源及火种，避免因泄漏带来燃烧等</w:t>
      </w:r>
      <w:r>
        <w:rPr>
          <w:spacing w:val="-9"/>
          <w:sz w:val="24"/>
        </w:rPr>
        <w:t>安全风险。</w:t>
      </w:r>
    </w:p>
    <w:p>
      <w:pPr>
        <w:pStyle w:val="6"/>
        <w:numPr>
          <w:ilvl w:val="1"/>
          <w:numId w:val="0"/>
        </w:numPr>
        <w:spacing w:before="120" w:after="120"/>
      </w:pPr>
      <w:bookmarkStart w:id="437" w:name="_Toc28557"/>
      <w:r>
        <w:t>8.4 风险评价结论</w:t>
      </w:r>
      <w:bookmarkEnd w:id="437"/>
    </w:p>
    <w:p>
      <w:pPr>
        <w:pStyle w:val="5"/>
        <w:ind w:firstLine="480"/>
        <w:rPr>
          <w:rFonts w:ascii="Times New Roman" w:hAnsi="Times New Roman" w:cs="Times New Roman"/>
        </w:rPr>
      </w:pPr>
      <w:r>
        <w:rPr>
          <w:rFonts w:ascii="Times New Roman" w:hAnsi="Times New Roman" w:cs="Times New Roman"/>
        </w:rPr>
        <w:t>根据以上分析，拟建项目主要的风险事故类型为废气处理设施失效的事故排放</w:t>
      </w:r>
      <w:r>
        <w:rPr>
          <w:rFonts w:hint="eastAsia" w:ascii="Times New Roman" w:hAnsi="Times New Roman" w:cs="Times New Roman"/>
        </w:rPr>
        <w:t>及油泥泄露</w:t>
      </w:r>
      <w:r>
        <w:rPr>
          <w:rFonts w:ascii="Times New Roman" w:hAnsi="Times New Roman" w:cs="Times New Roman"/>
        </w:rPr>
        <w:t xml:space="preserve">。通过建立完善的企业事故防范和应急体系，做好企业联防联动，本项目发生风险事故的几率很小，其影响危害可控制在厂区内，不会对区域环境造成无法接受的不良的影响，其环境风险水平在可接受水平范围内。 </w:t>
      </w:r>
    </w:p>
    <w:bookmarkEnd w:id="370"/>
    <w:bookmarkEnd w:id="371"/>
    <w:bookmarkEnd w:id="372"/>
    <w:bookmarkEnd w:id="373"/>
    <w:bookmarkEnd w:id="374"/>
    <w:bookmarkEnd w:id="375"/>
    <w:p>
      <w:pPr>
        <w:spacing w:line="440" w:lineRule="exact"/>
        <w:rPr>
          <w:rFonts w:ascii="Times New Roman" w:hAnsi="Times New Roman"/>
        </w:rPr>
        <w:sectPr>
          <w:headerReference r:id="rId14" w:type="default"/>
          <w:footerReference r:id="rId15" w:type="default"/>
          <w:pgSz w:w="11907" w:h="16840"/>
          <w:pgMar w:top="1474" w:right="1531" w:bottom="1418" w:left="1474" w:header="964" w:footer="992" w:gutter="0"/>
          <w:cols w:space="720" w:num="1"/>
          <w:docGrid w:linePitch="312" w:charSpace="0"/>
        </w:sectPr>
      </w:pPr>
      <w:bookmarkStart w:id="438" w:name="_Toc280188872"/>
    </w:p>
    <w:bookmarkEnd w:id="438"/>
    <w:p>
      <w:pPr>
        <w:pStyle w:val="4"/>
        <w:numPr>
          <w:ilvl w:val="0"/>
          <w:numId w:val="0"/>
        </w:numPr>
        <w:tabs>
          <w:tab w:val="clear" w:pos="0"/>
          <w:tab w:val="clear" w:pos="420"/>
          <w:tab w:val="clear" w:pos="3332"/>
        </w:tabs>
      </w:pPr>
      <w:bookmarkStart w:id="439" w:name="_Toc32315"/>
      <w:bookmarkStart w:id="440" w:name="_Toc351971033"/>
      <w:bookmarkStart w:id="441" w:name="_Toc27447"/>
      <w:bookmarkStart w:id="442" w:name="_Toc403223316"/>
      <w:bookmarkStart w:id="443" w:name="_Toc181686482"/>
      <w:bookmarkStart w:id="444" w:name="_Toc180808318"/>
      <w:bookmarkStart w:id="445" w:name="_Toc181015500"/>
      <w:bookmarkStart w:id="446" w:name="_Toc5614"/>
      <w:bookmarkStart w:id="447" w:name="_Toc213667816"/>
      <w:bookmarkStart w:id="448" w:name="_Toc182638516"/>
      <w:bookmarkStart w:id="449" w:name="_Toc13590"/>
      <w:r>
        <w:t>9. 环境经济损益分析</w:t>
      </w:r>
      <w:bookmarkEnd w:id="439"/>
    </w:p>
    <w:p>
      <w:pPr>
        <w:pStyle w:val="6"/>
        <w:numPr>
          <w:ilvl w:val="1"/>
          <w:numId w:val="0"/>
        </w:numPr>
        <w:spacing w:before="120" w:after="120"/>
        <w:textAlignment w:val="baseline"/>
        <w:rPr>
          <w:kern w:val="0"/>
          <w:sz w:val="28"/>
          <w:szCs w:val="28"/>
        </w:rPr>
      </w:pPr>
      <w:bookmarkStart w:id="450" w:name="_Toc483138955"/>
      <w:bookmarkStart w:id="451" w:name="_Toc421699236"/>
      <w:bookmarkStart w:id="452" w:name="_Toc472090710"/>
      <w:bookmarkStart w:id="453" w:name="_Toc2569"/>
      <w:bookmarkStart w:id="454" w:name="_Toc25626"/>
      <w:bookmarkStart w:id="455" w:name="_Toc15197"/>
      <w:bookmarkStart w:id="456" w:name="_Toc5078"/>
      <w:bookmarkStart w:id="457" w:name="_Toc8299"/>
      <w:bookmarkStart w:id="458" w:name="_Toc485726225"/>
      <w:bookmarkStart w:id="459" w:name="_Toc486403398"/>
      <w:bookmarkStart w:id="460" w:name="_Toc434387528"/>
      <w:r>
        <w:rPr>
          <w:kern w:val="0"/>
          <w:sz w:val="28"/>
          <w:szCs w:val="28"/>
        </w:rPr>
        <w:t>9.1</w:t>
      </w:r>
      <w:bookmarkEnd w:id="450"/>
      <w:bookmarkEnd w:id="451"/>
      <w:bookmarkEnd w:id="452"/>
      <w:r>
        <w:rPr>
          <w:kern w:val="0"/>
          <w:sz w:val="28"/>
          <w:szCs w:val="28"/>
        </w:rPr>
        <w:t>环境效益</w:t>
      </w:r>
      <w:bookmarkEnd w:id="453"/>
      <w:bookmarkEnd w:id="454"/>
      <w:bookmarkEnd w:id="455"/>
      <w:bookmarkEnd w:id="456"/>
      <w:bookmarkEnd w:id="457"/>
      <w:bookmarkEnd w:id="458"/>
      <w:bookmarkEnd w:id="459"/>
    </w:p>
    <w:p>
      <w:pPr>
        <w:spacing w:line="360" w:lineRule="auto"/>
        <w:outlineLvl w:val="2"/>
        <w:rPr>
          <w:rFonts w:ascii="Times New Roman" w:hAnsi="Times New Roman"/>
          <w:b/>
          <w:sz w:val="24"/>
          <w:szCs w:val="24"/>
        </w:rPr>
      </w:pPr>
      <w:bookmarkStart w:id="461" w:name="_Toc1270"/>
      <w:bookmarkStart w:id="462" w:name="_Toc31525"/>
      <w:bookmarkStart w:id="463" w:name="_Toc728"/>
      <w:bookmarkStart w:id="464" w:name="_Toc486403399"/>
      <w:bookmarkStart w:id="465" w:name="_Toc21647"/>
      <w:bookmarkStart w:id="466" w:name="_Toc485726226"/>
      <w:bookmarkStart w:id="467" w:name="_Toc302983524"/>
      <w:bookmarkStart w:id="468" w:name="_Toc302836512"/>
      <w:bookmarkStart w:id="469" w:name="_Toc303006377"/>
      <w:bookmarkStart w:id="470" w:name="_Toc297883111"/>
      <w:r>
        <w:rPr>
          <w:rFonts w:ascii="Times New Roman" w:hAnsi="Times New Roman"/>
          <w:b/>
          <w:sz w:val="24"/>
          <w:szCs w:val="24"/>
        </w:rPr>
        <w:t>9.1.1环保投资估算</w:t>
      </w:r>
      <w:bookmarkEnd w:id="461"/>
      <w:bookmarkEnd w:id="462"/>
      <w:bookmarkEnd w:id="463"/>
      <w:bookmarkEnd w:id="464"/>
      <w:bookmarkEnd w:id="465"/>
      <w:bookmarkEnd w:id="466"/>
    </w:p>
    <w:p>
      <w:pPr>
        <w:pStyle w:val="259"/>
        <w:ind w:left="420" w:firstLine="480" w:firstLineChars="0"/>
        <w:rPr>
          <w:rFonts w:ascii="Times New Roman" w:hAnsi="Times New Roman" w:cs="Times New Roman"/>
          <w:lang w:val="zh-CN"/>
        </w:rPr>
      </w:pPr>
      <w:r>
        <w:rPr>
          <w:rFonts w:ascii="Times New Roman" w:hAnsi="Times New Roman" w:cs="Times New Roman"/>
          <w:szCs w:val="24"/>
        </w:rPr>
        <w:t>《建设项目环境保护设计规定》第六十三条指出：“凡属于污染治理和保护环境所需的装置、设备、监测手段和工程设施等均属于环境保护设施”、“凡有环境保护设施的建设项目均应列出环境保护设施的投资概算”。据此规定，本工程废气处置、废水处理均依托现有设施，亦无需新增生产设施，其投资主要用于风险、环境管理及监测。</w:t>
      </w:r>
      <w:r>
        <w:rPr>
          <w:rFonts w:ascii="Times New Roman" w:hAnsi="Times New Roman" w:cs="Times New Roman"/>
          <w:lang w:val="zh-CN"/>
        </w:rPr>
        <w:t>项目总投资</w:t>
      </w:r>
      <w:r>
        <w:rPr>
          <w:rFonts w:ascii="Times New Roman" w:hAnsi="Times New Roman" w:cs="Times New Roman"/>
        </w:rPr>
        <w:t>90.01万元</w:t>
      </w:r>
      <w:r>
        <w:rPr>
          <w:rFonts w:ascii="Times New Roman" w:hAnsi="Times New Roman" w:cs="Times New Roman"/>
          <w:lang w:val="zh-CN"/>
        </w:rPr>
        <w:t>，用于环境保护方面的投资为</w:t>
      </w:r>
      <w:r>
        <w:rPr>
          <w:rFonts w:ascii="Times New Roman" w:hAnsi="Times New Roman" w:cs="Times New Roman"/>
        </w:rPr>
        <w:t>90.01</w:t>
      </w:r>
      <w:r>
        <w:rPr>
          <w:rFonts w:ascii="Times New Roman" w:hAnsi="Times New Roman" w:cs="Times New Roman"/>
          <w:lang w:val="zh-CN"/>
        </w:rPr>
        <w:t>万元，占项目总投资的100%，本项目本身是一个减排的环保项目，项目投资均为环保投资。项目环保投资详见下表。</w:t>
      </w:r>
    </w:p>
    <w:p>
      <w:pPr>
        <w:spacing w:line="360" w:lineRule="auto"/>
        <w:ind w:firstLine="480"/>
        <w:jc w:val="center"/>
        <w:rPr>
          <w:rFonts w:ascii="Times New Roman" w:hAnsi="Times New Roman"/>
          <w:b/>
          <w:bCs/>
          <w:sz w:val="24"/>
          <w:szCs w:val="32"/>
          <w:lang w:val="zh-CN"/>
        </w:rPr>
      </w:pPr>
    </w:p>
    <w:p>
      <w:pPr>
        <w:spacing w:line="360" w:lineRule="auto"/>
        <w:ind w:firstLine="480"/>
        <w:jc w:val="center"/>
        <w:rPr>
          <w:rFonts w:ascii="Times New Roman" w:hAnsi="Times New Roman"/>
          <w:sz w:val="24"/>
          <w:szCs w:val="24"/>
          <w:lang w:val="zh-CN"/>
        </w:rPr>
      </w:pPr>
      <w:r>
        <w:rPr>
          <w:rFonts w:ascii="Times New Roman" w:hAnsi="Times New Roman"/>
          <w:b/>
          <w:bCs/>
          <w:sz w:val="24"/>
          <w:szCs w:val="32"/>
          <w:lang w:val="zh-CN"/>
        </w:rPr>
        <w:t xml:space="preserve">表 </w:t>
      </w:r>
      <w:r>
        <w:rPr>
          <w:rFonts w:ascii="Times New Roman" w:hAnsi="Times New Roman"/>
          <w:b/>
          <w:bCs/>
          <w:sz w:val="24"/>
          <w:szCs w:val="32"/>
        </w:rPr>
        <w:t>9</w:t>
      </w:r>
      <w:r>
        <w:rPr>
          <w:rFonts w:ascii="Times New Roman" w:hAnsi="Times New Roman"/>
          <w:b/>
          <w:bCs/>
          <w:sz w:val="24"/>
          <w:szCs w:val="32"/>
          <w:lang w:val="zh-CN"/>
        </w:rPr>
        <w:t>.</w:t>
      </w:r>
      <w:r>
        <w:rPr>
          <w:rFonts w:ascii="Times New Roman" w:hAnsi="Times New Roman"/>
          <w:b/>
          <w:bCs/>
          <w:sz w:val="24"/>
          <w:szCs w:val="32"/>
        </w:rPr>
        <w:t>1.1</w:t>
      </w:r>
      <w:r>
        <w:rPr>
          <w:rFonts w:ascii="Times New Roman" w:hAnsi="Times New Roman"/>
          <w:b/>
          <w:bCs/>
          <w:sz w:val="24"/>
          <w:szCs w:val="32"/>
          <w:lang w:val="zh-CN"/>
        </w:rPr>
        <w:t>-1</w:t>
      </w:r>
      <w:r>
        <w:rPr>
          <w:rFonts w:ascii="Times New Roman" w:hAnsi="Times New Roman"/>
          <w:b/>
          <w:bCs/>
          <w:sz w:val="24"/>
          <w:szCs w:val="32"/>
          <w:lang w:val="zh-CN"/>
        </w:rPr>
        <w:tab/>
      </w:r>
      <w:r>
        <w:rPr>
          <w:rFonts w:ascii="Times New Roman" w:hAnsi="Times New Roman"/>
          <w:b/>
          <w:bCs/>
          <w:sz w:val="24"/>
          <w:szCs w:val="32"/>
          <w:lang w:val="zh-CN"/>
        </w:rPr>
        <w:t>本项目环境保护投资</w:t>
      </w:r>
    </w:p>
    <w:tbl>
      <w:tblPr>
        <w:tblStyle w:val="45"/>
        <w:tblW w:w="90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590"/>
        <w:gridCol w:w="4369"/>
        <w:gridCol w:w="911"/>
        <w:gridCol w:w="1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2" w:type="dxa"/>
            <w:tcBorders>
              <w:tl2br w:val="nil"/>
              <w:tr2bl w:val="nil"/>
            </w:tcBorders>
            <w:vAlign w:val="center"/>
          </w:tcPr>
          <w:p>
            <w:pPr>
              <w:jc w:val="center"/>
              <w:rPr>
                <w:rFonts w:ascii="Times New Roman" w:hAnsi="Times New Roman"/>
                <w:lang w:val="zh-CN"/>
              </w:rPr>
            </w:pPr>
            <w:r>
              <w:rPr>
                <w:rFonts w:ascii="Times New Roman" w:hAnsi="Times New Roman"/>
                <w:lang w:val="zh-CN"/>
              </w:rPr>
              <w:t>类别</w:t>
            </w:r>
          </w:p>
        </w:tc>
        <w:tc>
          <w:tcPr>
            <w:tcW w:w="1590" w:type="dxa"/>
            <w:tcBorders>
              <w:tl2br w:val="nil"/>
              <w:tr2bl w:val="nil"/>
            </w:tcBorders>
            <w:vAlign w:val="center"/>
          </w:tcPr>
          <w:p>
            <w:pPr>
              <w:jc w:val="center"/>
              <w:rPr>
                <w:rFonts w:ascii="Times New Roman" w:hAnsi="Times New Roman"/>
                <w:lang w:val="zh-CN"/>
              </w:rPr>
            </w:pPr>
            <w:r>
              <w:rPr>
                <w:rFonts w:ascii="Times New Roman" w:hAnsi="Times New Roman"/>
                <w:lang w:val="zh-CN"/>
              </w:rPr>
              <w:t>污染源</w:t>
            </w:r>
          </w:p>
        </w:tc>
        <w:tc>
          <w:tcPr>
            <w:tcW w:w="4369" w:type="dxa"/>
            <w:tcBorders>
              <w:tl2br w:val="nil"/>
              <w:tr2bl w:val="nil"/>
            </w:tcBorders>
            <w:vAlign w:val="center"/>
          </w:tcPr>
          <w:p>
            <w:pPr>
              <w:jc w:val="center"/>
              <w:rPr>
                <w:rFonts w:ascii="Times New Roman" w:hAnsi="Times New Roman"/>
                <w:lang w:val="zh-CN"/>
              </w:rPr>
            </w:pPr>
            <w:r>
              <w:rPr>
                <w:rFonts w:ascii="Times New Roman" w:hAnsi="Times New Roman"/>
                <w:lang w:val="zh-CN"/>
              </w:rPr>
              <w:t>治理措施</w:t>
            </w:r>
          </w:p>
        </w:tc>
        <w:tc>
          <w:tcPr>
            <w:tcW w:w="911" w:type="dxa"/>
            <w:tcBorders>
              <w:tl2br w:val="nil"/>
              <w:tr2bl w:val="nil"/>
            </w:tcBorders>
            <w:vAlign w:val="center"/>
          </w:tcPr>
          <w:p>
            <w:pPr>
              <w:jc w:val="center"/>
              <w:rPr>
                <w:rFonts w:ascii="Times New Roman" w:hAnsi="Times New Roman"/>
                <w:lang w:val="zh-CN"/>
              </w:rPr>
            </w:pPr>
            <w:r>
              <w:rPr>
                <w:rFonts w:ascii="Times New Roman" w:hAnsi="Times New Roman"/>
                <w:lang w:val="zh-CN"/>
              </w:rPr>
              <w:t>投资</w:t>
            </w:r>
          </w:p>
          <w:p>
            <w:pPr>
              <w:jc w:val="center"/>
              <w:rPr>
                <w:rFonts w:ascii="Times New Roman" w:hAnsi="Times New Roman"/>
                <w:lang w:val="zh-CN"/>
              </w:rPr>
            </w:pPr>
            <w:r>
              <w:rPr>
                <w:rFonts w:ascii="Times New Roman" w:hAnsi="Times New Roman"/>
                <w:lang w:val="zh-CN"/>
              </w:rPr>
              <w:t>（万元）</w:t>
            </w:r>
          </w:p>
        </w:tc>
        <w:tc>
          <w:tcPr>
            <w:tcW w:w="1392" w:type="dxa"/>
            <w:tcBorders>
              <w:tl2br w:val="nil"/>
              <w:tr2bl w:val="nil"/>
            </w:tcBorders>
            <w:vAlign w:val="center"/>
          </w:tcPr>
          <w:p>
            <w:pPr>
              <w:jc w:val="center"/>
              <w:rPr>
                <w:rFonts w:ascii="Times New Roman" w:hAnsi="Times New Roman"/>
                <w:lang w:val="zh-CN"/>
              </w:rPr>
            </w:pPr>
            <w:r>
              <w:rPr>
                <w:rFonts w:ascii="Times New Roman" w:hAnsi="Times New Roman"/>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2352" w:type="dxa"/>
            <w:gridSpan w:val="2"/>
            <w:tcBorders>
              <w:tl2br w:val="nil"/>
              <w:tr2bl w:val="nil"/>
            </w:tcBorders>
            <w:vAlign w:val="center"/>
          </w:tcPr>
          <w:p>
            <w:pPr>
              <w:jc w:val="center"/>
              <w:rPr>
                <w:rFonts w:ascii="Times New Roman" w:hAnsi="Times New Roman"/>
                <w:lang w:val="zh-CN"/>
              </w:rPr>
            </w:pPr>
            <w:r>
              <w:rPr>
                <w:rFonts w:ascii="Times New Roman" w:hAnsi="Times New Roman"/>
                <w:lang w:val="zh-CN"/>
              </w:rPr>
              <w:t>泵输系统改造费用</w:t>
            </w:r>
          </w:p>
        </w:tc>
        <w:tc>
          <w:tcPr>
            <w:tcW w:w="4369" w:type="dxa"/>
            <w:tcBorders>
              <w:tl2br w:val="nil"/>
              <w:tr2bl w:val="nil"/>
            </w:tcBorders>
            <w:vAlign w:val="center"/>
          </w:tcPr>
          <w:p>
            <w:pPr>
              <w:jc w:val="center"/>
              <w:rPr>
                <w:rFonts w:ascii="Times New Roman" w:hAnsi="Times New Roman"/>
                <w:lang w:val="zh-CN"/>
              </w:rPr>
            </w:pPr>
            <w:r>
              <w:rPr>
                <w:rFonts w:ascii="Times New Roman" w:hAnsi="Times New Roman"/>
              </w:rPr>
              <w:t>直接处理油泥浮渣</w:t>
            </w:r>
          </w:p>
        </w:tc>
        <w:tc>
          <w:tcPr>
            <w:tcW w:w="911" w:type="dxa"/>
            <w:tcBorders>
              <w:tl2br w:val="nil"/>
              <w:tr2bl w:val="nil"/>
            </w:tcBorders>
            <w:vAlign w:val="center"/>
          </w:tcPr>
          <w:p>
            <w:pPr>
              <w:jc w:val="center"/>
              <w:rPr>
                <w:rFonts w:ascii="Times New Roman" w:hAnsi="Times New Roman"/>
              </w:rPr>
            </w:pPr>
            <w:r>
              <w:rPr>
                <w:rFonts w:ascii="Times New Roman" w:hAnsi="Times New Roman"/>
              </w:rPr>
              <w:t>78</w:t>
            </w:r>
          </w:p>
        </w:tc>
        <w:tc>
          <w:tcPr>
            <w:tcW w:w="1392" w:type="dxa"/>
            <w:tcBorders>
              <w:tl2br w:val="nil"/>
              <w:tr2bl w:val="nil"/>
            </w:tcBorders>
            <w:vAlign w:val="center"/>
          </w:tcPr>
          <w:p>
            <w:pPr>
              <w:jc w:val="center"/>
              <w:rPr>
                <w:rFonts w:ascii="Times New Roman" w:hAnsi="Times New Roman"/>
              </w:rPr>
            </w:pPr>
            <w:r>
              <w:rPr>
                <w:rFonts w:ascii="Times New Roman" w:hAnsi="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352" w:type="dxa"/>
            <w:gridSpan w:val="2"/>
            <w:tcBorders>
              <w:tl2br w:val="nil"/>
              <w:tr2bl w:val="nil"/>
            </w:tcBorders>
            <w:vAlign w:val="center"/>
          </w:tcPr>
          <w:p>
            <w:pPr>
              <w:jc w:val="center"/>
              <w:rPr>
                <w:rFonts w:ascii="Times New Roman" w:hAnsi="Times New Roman"/>
                <w:lang w:val="zh-CN"/>
              </w:rPr>
            </w:pPr>
            <w:r>
              <w:rPr>
                <w:rFonts w:ascii="Times New Roman" w:hAnsi="Times New Roman"/>
                <w:lang w:val="zh-CN"/>
              </w:rPr>
              <w:t>风险</w:t>
            </w:r>
          </w:p>
        </w:tc>
        <w:tc>
          <w:tcPr>
            <w:tcW w:w="4369" w:type="dxa"/>
            <w:tcBorders>
              <w:tl2br w:val="nil"/>
              <w:tr2bl w:val="nil"/>
            </w:tcBorders>
            <w:vAlign w:val="center"/>
          </w:tcPr>
          <w:p>
            <w:pPr>
              <w:jc w:val="center"/>
              <w:rPr>
                <w:rFonts w:ascii="Times New Roman" w:hAnsi="Times New Roman"/>
                <w:lang w:val="zh-CN"/>
              </w:rPr>
            </w:pPr>
            <w:r>
              <w:rPr>
                <w:rFonts w:ascii="Times New Roman" w:hAnsi="Times New Roman"/>
                <w:lang w:val="zh-CN"/>
              </w:rPr>
              <w:t>项目风险管理等纳入全厂风险应急管理系统</w:t>
            </w:r>
          </w:p>
        </w:tc>
        <w:tc>
          <w:tcPr>
            <w:tcW w:w="911" w:type="dxa"/>
            <w:tcBorders>
              <w:tl2br w:val="nil"/>
              <w:tr2bl w:val="nil"/>
            </w:tcBorders>
            <w:vAlign w:val="center"/>
          </w:tcPr>
          <w:p>
            <w:pPr>
              <w:jc w:val="center"/>
              <w:rPr>
                <w:rFonts w:ascii="Times New Roman" w:hAnsi="Times New Roman"/>
              </w:rPr>
            </w:pPr>
            <w:r>
              <w:rPr>
                <w:rFonts w:ascii="Times New Roman" w:hAnsi="Times New Roman"/>
              </w:rPr>
              <w:t>4</w:t>
            </w:r>
          </w:p>
        </w:tc>
        <w:tc>
          <w:tcPr>
            <w:tcW w:w="1392" w:type="dxa"/>
            <w:tcBorders>
              <w:tl2br w:val="nil"/>
              <w:tr2bl w:val="nil"/>
            </w:tcBorders>
            <w:vAlign w:val="center"/>
          </w:tcPr>
          <w:p>
            <w:pPr>
              <w:jc w:val="center"/>
              <w:rPr>
                <w:rFonts w:ascii="Times New Roman" w:hAnsi="Times New Roman"/>
                <w:lang w:val="zh-CN"/>
              </w:rPr>
            </w:pPr>
            <w:r>
              <w:rPr>
                <w:rFonts w:ascii="Times New Roman" w:hAnsi="Times New Roman"/>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52" w:type="dxa"/>
            <w:gridSpan w:val="2"/>
            <w:tcBorders>
              <w:tl2br w:val="nil"/>
              <w:tr2bl w:val="nil"/>
            </w:tcBorders>
            <w:vAlign w:val="center"/>
          </w:tcPr>
          <w:p>
            <w:pPr>
              <w:jc w:val="center"/>
              <w:rPr>
                <w:rFonts w:ascii="Times New Roman" w:hAnsi="Times New Roman"/>
                <w:lang w:val="zh-CN"/>
              </w:rPr>
            </w:pPr>
            <w:r>
              <w:rPr>
                <w:rFonts w:ascii="Times New Roman" w:hAnsi="Times New Roman"/>
                <w:lang w:val="zh-CN"/>
              </w:rPr>
              <w:t>环境管理及监测</w:t>
            </w:r>
          </w:p>
        </w:tc>
        <w:tc>
          <w:tcPr>
            <w:tcW w:w="4369" w:type="dxa"/>
            <w:tcBorders>
              <w:tl2br w:val="nil"/>
              <w:tr2bl w:val="nil"/>
            </w:tcBorders>
            <w:vAlign w:val="center"/>
          </w:tcPr>
          <w:p>
            <w:pPr>
              <w:jc w:val="center"/>
              <w:rPr>
                <w:rFonts w:ascii="Times New Roman" w:hAnsi="Times New Roman"/>
                <w:lang w:val="zh-CN"/>
              </w:rPr>
            </w:pPr>
            <w:r>
              <w:rPr>
                <w:rFonts w:ascii="Times New Roman" w:hAnsi="Times New Roman"/>
                <w:lang w:val="zh-CN"/>
              </w:rPr>
              <w:t>大气、废水等各项污染物的监测</w:t>
            </w:r>
          </w:p>
        </w:tc>
        <w:tc>
          <w:tcPr>
            <w:tcW w:w="911" w:type="dxa"/>
            <w:tcBorders>
              <w:tl2br w:val="nil"/>
              <w:tr2bl w:val="nil"/>
            </w:tcBorders>
            <w:vAlign w:val="center"/>
          </w:tcPr>
          <w:p>
            <w:pPr>
              <w:jc w:val="center"/>
              <w:rPr>
                <w:rFonts w:ascii="Times New Roman" w:hAnsi="Times New Roman"/>
              </w:rPr>
            </w:pPr>
            <w:r>
              <w:rPr>
                <w:rFonts w:ascii="Times New Roman" w:hAnsi="Times New Roman"/>
              </w:rPr>
              <w:t>8.01</w:t>
            </w:r>
          </w:p>
        </w:tc>
        <w:tc>
          <w:tcPr>
            <w:tcW w:w="1392" w:type="dxa"/>
            <w:tcBorders>
              <w:tl2br w:val="nil"/>
              <w:tr2bl w:val="nil"/>
            </w:tcBorders>
            <w:vAlign w:val="center"/>
          </w:tcPr>
          <w:p>
            <w:pPr>
              <w:jc w:val="center"/>
              <w:rPr>
                <w:rFonts w:ascii="Times New Roman" w:hAnsi="Times New Roman"/>
                <w:lang w:val="zh-CN"/>
              </w:rPr>
            </w:pPr>
            <w:r>
              <w:rPr>
                <w:rFonts w:ascii="Times New Roman" w:hAnsi="Times New Roman"/>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6721" w:type="dxa"/>
            <w:gridSpan w:val="3"/>
            <w:tcBorders>
              <w:tl2br w:val="nil"/>
              <w:tr2bl w:val="nil"/>
            </w:tcBorders>
            <w:vAlign w:val="center"/>
          </w:tcPr>
          <w:p>
            <w:pPr>
              <w:jc w:val="center"/>
              <w:rPr>
                <w:rFonts w:ascii="Times New Roman" w:hAnsi="Times New Roman"/>
                <w:lang w:val="zh-CN"/>
              </w:rPr>
            </w:pPr>
            <w:r>
              <w:rPr>
                <w:rFonts w:ascii="Times New Roman" w:hAnsi="Times New Roman"/>
                <w:lang w:val="zh-CN"/>
              </w:rPr>
              <w:t>合计</w:t>
            </w:r>
          </w:p>
        </w:tc>
        <w:tc>
          <w:tcPr>
            <w:tcW w:w="911" w:type="dxa"/>
            <w:tcBorders>
              <w:tl2br w:val="nil"/>
              <w:tr2bl w:val="nil"/>
            </w:tcBorders>
            <w:vAlign w:val="center"/>
          </w:tcPr>
          <w:p>
            <w:pPr>
              <w:jc w:val="center"/>
              <w:rPr>
                <w:rFonts w:ascii="Times New Roman" w:hAnsi="Times New Roman"/>
              </w:rPr>
            </w:pPr>
            <w:r>
              <w:rPr>
                <w:rFonts w:ascii="Times New Roman" w:hAnsi="Times New Roman"/>
              </w:rPr>
              <w:t>90.01</w:t>
            </w:r>
          </w:p>
        </w:tc>
        <w:tc>
          <w:tcPr>
            <w:tcW w:w="1392" w:type="dxa"/>
            <w:tcBorders>
              <w:tl2br w:val="nil"/>
              <w:tr2bl w:val="nil"/>
            </w:tcBorders>
            <w:vAlign w:val="center"/>
          </w:tcPr>
          <w:p>
            <w:pPr>
              <w:jc w:val="center"/>
              <w:rPr>
                <w:rFonts w:ascii="Times New Roman" w:hAnsi="Times New Roman"/>
                <w:lang w:val="zh-CN"/>
              </w:rPr>
            </w:pPr>
          </w:p>
        </w:tc>
      </w:tr>
    </w:tbl>
    <w:p>
      <w:pPr>
        <w:spacing w:line="360" w:lineRule="auto"/>
        <w:outlineLvl w:val="2"/>
        <w:rPr>
          <w:rFonts w:ascii="Times New Roman" w:hAnsi="Times New Roman"/>
          <w:b/>
          <w:sz w:val="24"/>
          <w:szCs w:val="24"/>
        </w:rPr>
      </w:pPr>
      <w:bookmarkStart w:id="471" w:name="_Toc485726230"/>
      <w:bookmarkStart w:id="472" w:name="_Toc486403400"/>
      <w:bookmarkStart w:id="473" w:name="_Toc31620"/>
      <w:bookmarkStart w:id="474" w:name="_Toc2486"/>
      <w:bookmarkStart w:id="475" w:name="_Toc6431"/>
      <w:bookmarkStart w:id="476" w:name="_Toc28192"/>
      <w:bookmarkStart w:id="477" w:name="_Toc319689914"/>
      <w:bookmarkStart w:id="478" w:name="_Toc311019989"/>
      <w:bookmarkStart w:id="479" w:name="_Toc333063813"/>
      <w:bookmarkStart w:id="480" w:name="_Toc322967473"/>
      <w:bookmarkStart w:id="481" w:name="_Toc333063906"/>
      <w:r>
        <w:rPr>
          <w:rFonts w:ascii="Times New Roman" w:hAnsi="Times New Roman"/>
          <w:b/>
          <w:sz w:val="24"/>
          <w:szCs w:val="24"/>
        </w:rPr>
        <w:t>9.1.2环境效益</w:t>
      </w:r>
      <w:bookmarkEnd w:id="471"/>
      <w:bookmarkEnd w:id="472"/>
      <w:bookmarkEnd w:id="473"/>
      <w:bookmarkEnd w:id="474"/>
      <w:bookmarkEnd w:id="475"/>
      <w:bookmarkEnd w:id="476"/>
      <w:r>
        <w:rPr>
          <w:rFonts w:ascii="Times New Roman" w:hAnsi="Times New Roman"/>
          <w:b/>
          <w:sz w:val="24"/>
          <w:szCs w:val="24"/>
        </w:rPr>
        <w:t xml:space="preserve"> </w:t>
      </w:r>
    </w:p>
    <w:p>
      <w:pPr>
        <w:spacing w:line="360" w:lineRule="auto"/>
        <w:ind w:firstLine="480" w:firstLineChars="200"/>
        <w:rPr>
          <w:rFonts w:ascii="Times New Roman" w:hAnsi="Times New Roman"/>
          <w:sz w:val="24"/>
          <w:szCs w:val="24"/>
        </w:rPr>
      </w:pPr>
      <w:r>
        <w:rPr>
          <w:rFonts w:ascii="Times New Roman" w:hAnsi="Times New Roman"/>
          <w:sz w:val="24"/>
        </w:rPr>
        <w:t>石化行业污水处理过程中产生的隔油池底泥、浮渣及剩余活性污泥，属于危险废物HW08，处理难度大，费用高，实施减量化、无害化和资源化已成为整个行业关注的课题，目前大部分企业进行减量化处理后作为危险废物外委处理。本项目利用现有设施处置油泥浮渣，可以保证处置过程产生的各项污染物达标排放，消除了油泥浮渣这一危险废物对环境的巨大不利影响，</w:t>
      </w:r>
      <w:r>
        <w:rPr>
          <w:rFonts w:ascii="Times New Roman" w:hAnsi="Times New Roman"/>
          <w:sz w:val="24"/>
          <w:szCs w:val="24"/>
        </w:rPr>
        <w:t>由此可见，本工程具有巨大的环境效应。</w:t>
      </w:r>
    </w:p>
    <w:p>
      <w:pPr>
        <w:spacing w:line="360" w:lineRule="auto"/>
        <w:rPr>
          <w:rFonts w:ascii="Times New Roman" w:hAnsi="Times New Roman"/>
          <w:sz w:val="24"/>
          <w:szCs w:val="24"/>
        </w:rPr>
      </w:pPr>
    </w:p>
    <w:p>
      <w:pPr>
        <w:pStyle w:val="6"/>
        <w:numPr>
          <w:ilvl w:val="1"/>
          <w:numId w:val="0"/>
        </w:numPr>
        <w:spacing w:before="120" w:after="120"/>
        <w:textAlignment w:val="baseline"/>
        <w:rPr>
          <w:kern w:val="0"/>
          <w:sz w:val="28"/>
          <w:szCs w:val="28"/>
        </w:rPr>
      </w:pPr>
      <w:bookmarkStart w:id="482" w:name="_Toc30869"/>
      <w:bookmarkStart w:id="483" w:name="_Toc14219"/>
      <w:bookmarkStart w:id="484" w:name="_Toc14794"/>
      <w:bookmarkStart w:id="485" w:name="_Toc19518"/>
      <w:bookmarkStart w:id="486" w:name="_Toc485726231"/>
      <w:bookmarkStart w:id="487" w:name="_Toc8449"/>
      <w:bookmarkStart w:id="488" w:name="_Toc486403401"/>
      <w:r>
        <w:rPr>
          <w:kern w:val="0"/>
          <w:sz w:val="28"/>
          <w:szCs w:val="28"/>
        </w:rPr>
        <w:t>9.2社会效益</w:t>
      </w:r>
      <w:bookmarkEnd w:id="482"/>
      <w:bookmarkEnd w:id="483"/>
      <w:bookmarkEnd w:id="484"/>
      <w:bookmarkEnd w:id="485"/>
      <w:bookmarkEnd w:id="486"/>
      <w:bookmarkEnd w:id="487"/>
      <w:bookmarkEnd w:id="488"/>
      <w:r>
        <w:rPr>
          <w:kern w:val="0"/>
          <w:sz w:val="28"/>
          <w:szCs w:val="28"/>
        </w:rPr>
        <w:t xml:space="preserve"> </w:t>
      </w:r>
    </w:p>
    <w:p>
      <w:pPr>
        <w:spacing w:line="360" w:lineRule="auto"/>
        <w:ind w:firstLine="480" w:firstLineChars="200"/>
        <w:rPr>
          <w:rFonts w:ascii="Times New Roman" w:hAnsi="Times New Roman"/>
          <w:sz w:val="24"/>
          <w:szCs w:val="24"/>
        </w:rPr>
      </w:pPr>
      <w:r>
        <w:rPr>
          <w:rFonts w:ascii="Times New Roman" w:hAnsi="Times New Roman"/>
          <w:sz w:val="24"/>
          <w:szCs w:val="24"/>
        </w:rPr>
        <w:t>本工程的社会效益是显而易见的。油泥浮渣处理难度大，费用高，实施减量化、无害化和资源化已成为整个行业关注的课题。本项目的实施可有效减少油泥的外排，实现资源的综合利用；并为当地带来就业机会，有利于构建和谐社会。</w:t>
      </w:r>
      <w:bookmarkEnd w:id="467"/>
      <w:bookmarkEnd w:id="468"/>
      <w:bookmarkEnd w:id="469"/>
      <w:bookmarkEnd w:id="470"/>
      <w:bookmarkEnd w:id="477"/>
      <w:bookmarkEnd w:id="478"/>
      <w:bookmarkEnd w:id="479"/>
      <w:bookmarkEnd w:id="480"/>
      <w:bookmarkEnd w:id="481"/>
    </w:p>
    <w:p>
      <w:pPr>
        <w:pStyle w:val="6"/>
        <w:numPr>
          <w:ilvl w:val="1"/>
          <w:numId w:val="0"/>
        </w:numPr>
        <w:spacing w:before="120" w:after="120"/>
        <w:textAlignment w:val="baseline"/>
        <w:rPr>
          <w:kern w:val="0"/>
          <w:sz w:val="28"/>
          <w:szCs w:val="28"/>
        </w:rPr>
      </w:pPr>
      <w:bookmarkStart w:id="489" w:name="_Toc485726232"/>
      <w:bookmarkStart w:id="490" w:name="_Toc18145"/>
      <w:bookmarkStart w:id="491" w:name="_Toc17906"/>
      <w:bookmarkStart w:id="492" w:name="_Toc2094"/>
      <w:bookmarkStart w:id="493" w:name="_Toc27614"/>
      <w:bookmarkStart w:id="494" w:name="_Toc486403402"/>
      <w:bookmarkStart w:id="495" w:name="_Toc20824"/>
      <w:r>
        <w:rPr>
          <w:kern w:val="0"/>
          <w:sz w:val="28"/>
          <w:szCs w:val="28"/>
        </w:rPr>
        <w:t>9.3经济效益</w:t>
      </w:r>
      <w:bookmarkEnd w:id="489"/>
      <w:bookmarkEnd w:id="490"/>
      <w:bookmarkEnd w:id="491"/>
      <w:bookmarkEnd w:id="492"/>
      <w:bookmarkEnd w:id="493"/>
      <w:bookmarkEnd w:id="494"/>
      <w:bookmarkEnd w:id="495"/>
      <w:r>
        <w:rPr>
          <w:kern w:val="0"/>
          <w:sz w:val="28"/>
          <w:szCs w:val="28"/>
        </w:rPr>
        <w:t xml:space="preserve"> </w:t>
      </w:r>
    </w:p>
    <w:p>
      <w:pPr>
        <w:spacing w:line="360" w:lineRule="auto"/>
        <w:outlineLvl w:val="2"/>
        <w:rPr>
          <w:rFonts w:ascii="Times New Roman" w:hAnsi="Times New Roman"/>
          <w:b/>
          <w:sz w:val="24"/>
          <w:szCs w:val="24"/>
        </w:rPr>
      </w:pPr>
      <w:bookmarkStart w:id="496" w:name="_Toc4811"/>
      <w:bookmarkStart w:id="497" w:name="_Toc485726228"/>
      <w:bookmarkStart w:id="498" w:name="_Toc6068"/>
      <w:bookmarkStart w:id="499" w:name="_Toc25481"/>
      <w:bookmarkStart w:id="500" w:name="_Toc11007"/>
      <w:bookmarkStart w:id="501" w:name="_Toc486403403"/>
      <w:r>
        <w:rPr>
          <w:rFonts w:ascii="Times New Roman" w:hAnsi="Times New Roman"/>
          <w:b/>
          <w:sz w:val="24"/>
          <w:szCs w:val="24"/>
        </w:rPr>
        <w:t>9.3.1工程环境收益估算</w:t>
      </w:r>
      <w:bookmarkEnd w:id="496"/>
      <w:bookmarkEnd w:id="497"/>
      <w:bookmarkEnd w:id="498"/>
      <w:bookmarkEnd w:id="499"/>
      <w:bookmarkEnd w:id="500"/>
      <w:bookmarkEnd w:id="501"/>
    </w:p>
    <w:p>
      <w:pPr>
        <w:spacing w:line="360" w:lineRule="auto"/>
        <w:ind w:firstLine="480" w:firstLineChars="200"/>
        <w:rPr>
          <w:rFonts w:ascii="Times New Roman" w:hAnsi="Times New Roman"/>
          <w:sz w:val="24"/>
          <w:szCs w:val="24"/>
        </w:rPr>
      </w:pPr>
      <w:r>
        <w:rPr>
          <w:rFonts w:ascii="Times New Roman" w:hAnsi="Times New Roman"/>
          <w:sz w:val="24"/>
          <w:szCs w:val="24"/>
        </w:rPr>
        <w:t>工程环境收益主要从减少本厂区油泥浮渣委托其他单位处置费用，本工程环保工程主要收益见下表。</w:t>
      </w:r>
    </w:p>
    <w:p>
      <w:pPr>
        <w:jc w:val="center"/>
        <w:rPr>
          <w:rFonts w:ascii="Times New Roman" w:hAnsi="Times New Roman"/>
          <w:b/>
          <w:bCs/>
          <w:sz w:val="24"/>
          <w:szCs w:val="24"/>
        </w:rPr>
      </w:pPr>
      <w:r>
        <w:rPr>
          <w:rFonts w:ascii="Times New Roman" w:hAnsi="Times New Roman"/>
          <w:b/>
          <w:bCs/>
          <w:sz w:val="24"/>
          <w:szCs w:val="24"/>
        </w:rPr>
        <w:t>表9.3.1-1   工程环境收益估算一览表</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5930"/>
        <w:gridCol w:w="2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0" w:type="dxa"/>
            <w:vAlign w:val="center"/>
          </w:tcPr>
          <w:p>
            <w:pPr>
              <w:jc w:val="center"/>
              <w:rPr>
                <w:rFonts w:ascii="Times New Roman" w:hAnsi="Times New Roman"/>
                <w:b/>
                <w:bCs/>
                <w:szCs w:val="21"/>
              </w:rPr>
            </w:pPr>
            <w:r>
              <w:rPr>
                <w:rFonts w:ascii="Times New Roman" w:hAnsi="Times New Roman"/>
                <w:b/>
                <w:bCs/>
                <w:szCs w:val="21"/>
              </w:rPr>
              <w:t>序号</w:t>
            </w:r>
          </w:p>
        </w:tc>
        <w:tc>
          <w:tcPr>
            <w:tcW w:w="5930" w:type="dxa"/>
            <w:vAlign w:val="center"/>
          </w:tcPr>
          <w:p>
            <w:pPr>
              <w:jc w:val="center"/>
              <w:rPr>
                <w:rFonts w:ascii="Times New Roman" w:hAnsi="Times New Roman"/>
                <w:b/>
                <w:bCs/>
                <w:szCs w:val="21"/>
              </w:rPr>
            </w:pPr>
            <w:r>
              <w:rPr>
                <w:rFonts w:ascii="Times New Roman" w:hAnsi="Times New Roman"/>
                <w:b/>
                <w:bCs/>
                <w:szCs w:val="21"/>
              </w:rPr>
              <w:t>项目</w:t>
            </w:r>
          </w:p>
        </w:tc>
        <w:tc>
          <w:tcPr>
            <w:tcW w:w="2167" w:type="dxa"/>
            <w:vAlign w:val="center"/>
          </w:tcPr>
          <w:p>
            <w:pPr>
              <w:jc w:val="center"/>
              <w:rPr>
                <w:rFonts w:ascii="Times New Roman" w:hAnsi="Times New Roman"/>
                <w:b/>
                <w:bCs/>
                <w:szCs w:val="21"/>
              </w:rPr>
            </w:pPr>
            <w:r>
              <w:rPr>
                <w:rFonts w:ascii="Times New Roman" w:hAnsi="Times New Roman"/>
                <w:b/>
                <w:bCs/>
                <w:szCs w:val="21"/>
              </w:rPr>
              <w:t>环保收益(万元/年)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0" w:type="dxa"/>
            <w:vAlign w:val="center"/>
          </w:tcPr>
          <w:p>
            <w:pPr>
              <w:jc w:val="center"/>
              <w:rPr>
                <w:rFonts w:ascii="Times New Roman" w:hAnsi="Times New Roman"/>
                <w:szCs w:val="21"/>
              </w:rPr>
            </w:pPr>
            <w:r>
              <w:rPr>
                <w:rFonts w:ascii="Times New Roman" w:hAnsi="Times New Roman"/>
                <w:szCs w:val="21"/>
              </w:rPr>
              <w:t>1</w:t>
            </w:r>
          </w:p>
        </w:tc>
        <w:tc>
          <w:tcPr>
            <w:tcW w:w="5930" w:type="dxa"/>
            <w:vAlign w:val="center"/>
          </w:tcPr>
          <w:p>
            <w:pPr>
              <w:jc w:val="center"/>
              <w:rPr>
                <w:rFonts w:ascii="Times New Roman" w:hAnsi="Times New Roman"/>
                <w:szCs w:val="21"/>
              </w:rPr>
            </w:pPr>
            <w:r>
              <w:rPr>
                <w:rFonts w:ascii="Times New Roman" w:hAnsi="Times New Roman"/>
                <w:szCs w:val="21"/>
              </w:rPr>
              <w:t>减少本厂区油泥浮渣委托其他单位处置费用（按3000元/t计算）</w:t>
            </w:r>
          </w:p>
        </w:tc>
        <w:tc>
          <w:tcPr>
            <w:tcW w:w="2167" w:type="dxa"/>
            <w:vAlign w:val="center"/>
          </w:tcPr>
          <w:p>
            <w:pPr>
              <w:jc w:val="center"/>
              <w:rPr>
                <w:rFonts w:ascii="Times New Roman" w:hAnsi="Times New Roman"/>
                <w:szCs w:val="21"/>
              </w:rPr>
            </w:pPr>
            <w:r>
              <w:rPr>
                <w:rFonts w:ascii="Times New Roman" w:hAnsi="Times New Roman"/>
                <w:szCs w:val="21"/>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0" w:type="dxa"/>
            <w:vAlign w:val="center"/>
          </w:tcPr>
          <w:p>
            <w:pPr>
              <w:jc w:val="center"/>
              <w:rPr>
                <w:rFonts w:ascii="Times New Roman" w:hAnsi="Times New Roman"/>
                <w:szCs w:val="21"/>
              </w:rPr>
            </w:pPr>
            <w:r>
              <w:rPr>
                <w:rFonts w:ascii="Times New Roman" w:hAnsi="Times New Roman"/>
                <w:szCs w:val="21"/>
              </w:rPr>
              <w:t>2</w:t>
            </w:r>
          </w:p>
        </w:tc>
        <w:tc>
          <w:tcPr>
            <w:tcW w:w="5930" w:type="dxa"/>
            <w:vAlign w:val="center"/>
          </w:tcPr>
          <w:p>
            <w:pPr>
              <w:jc w:val="center"/>
              <w:rPr>
                <w:rFonts w:ascii="Times New Roman" w:hAnsi="Times New Roman"/>
                <w:szCs w:val="21"/>
              </w:rPr>
            </w:pPr>
            <w:r>
              <w:rPr>
                <w:rFonts w:ascii="Times New Roman" w:hAnsi="Times New Roman"/>
                <w:szCs w:val="21"/>
              </w:rPr>
              <w:t>油泥资源化利用，每年可替代煤用量730吨，（按500元/ t计算）</w:t>
            </w:r>
          </w:p>
        </w:tc>
        <w:tc>
          <w:tcPr>
            <w:tcW w:w="2167" w:type="dxa"/>
            <w:vAlign w:val="center"/>
          </w:tcPr>
          <w:p>
            <w:pPr>
              <w:jc w:val="center"/>
              <w:rPr>
                <w:rFonts w:ascii="Times New Roman" w:hAnsi="Times New Roman"/>
                <w:szCs w:val="21"/>
              </w:rPr>
            </w:pPr>
            <w:r>
              <w:rPr>
                <w:rFonts w:ascii="Times New Roman" w:hAnsi="Times New Roman"/>
                <w:szCs w:val="21"/>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60" w:type="dxa"/>
            <w:gridSpan w:val="2"/>
            <w:vAlign w:val="center"/>
          </w:tcPr>
          <w:p>
            <w:pPr>
              <w:jc w:val="center"/>
              <w:rPr>
                <w:rFonts w:ascii="Times New Roman" w:hAnsi="Times New Roman"/>
                <w:szCs w:val="21"/>
              </w:rPr>
            </w:pPr>
            <w:r>
              <w:rPr>
                <w:rFonts w:ascii="Times New Roman" w:hAnsi="Times New Roman"/>
                <w:szCs w:val="21"/>
              </w:rPr>
              <w:t>合计</w:t>
            </w:r>
          </w:p>
        </w:tc>
        <w:tc>
          <w:tcPr>
            <w:tcW w:w="2167" w:type="dxa"/>
            <w:vAlign w:val="center"/>
          </w:tcPr>
          <w:p>
            <w:pPr>
              <w:jc w:val="center"/>
              <w:rPr>
                <w:rFonts w:ascii="Times New Roman" w:hAnsi="Times New Roman"/>
                <w:szCs w:val="21"/>
              </w:rPr>
            </w:pPr>
            <w:r>
              <w:rPr>
                <w:rFonts w:ascii="Times New Roman" w:hAnsi="Times New Roman"/>
                <w:szCs w:val="21"/>
              </w:rPr>
              <w:t>3636.5</w:t>
            </w:r>
          </w:p>
        </w:tc>
      </w:tr>
    </w:tbl>
    <w:p>
      <w:pPr>
        <w:spacing w:line="360" w:lineRule="auto"/>
        <w:jc w:val="left"/>
        <w:rPr>
          <w:rFonts w:ascii="Times New Roman" w:hAnsi="Times New Roman"/>
          <w:sz w:val="24"/>
          <w:szCs w:val="24"/>
        </w:rPr>
      </w:pPr>
    </w:p>
    <w:p>
      <w:pPr>
        <w:spacing w:line="360" w:lineRule="auto"/>
        <w:outlineLvl w:val="2"/>
        <w:rPr>
          <w:rFonts w:ascii="Times New Roman" w:hAnsi="Times New Roman"/>
          <w:b/>
          <w:sz w:val="24"/>
          <w:szCs w:val="24"/>
        </w:rPr>
      </w:pPr>
      <w:bookmarkStart w:id="502" w:name="_Toc486403404"/>
      <w:bookmarkStart w:id="503" w:name="_Toc25828"/>
      <w:bookmarkStart w:id="504" w:name="_Toc485726229"/>
      <w:bookmarkStart w:id="505" w:name="_Toc14019"/>
      <w:bookmarkStart w:id="506" w:name="_Toc3248"/>
      <w:bookmarkStart w:id="507" w:name="_Toc11744"/>
      <w:r>
        <w:rPr>
          <w:rFonts w:ascii="Times New Roman" w:hAnsi="Times New Roman"/>
          <w:b/>
          <w:sz w:val="24"/>
          <w:szCs w:val="24"/>
        </w:rPr>
        <w:t>9.3.2环境经济损益指标分析</w:t>
      </w:r>
      <w:bookmarkEnd w:id="502"/>
      <w:bookmarkEnd w:id="503"/>
      <w:bookmarkEnd w:id="504"/>
      <w:bookmarkEnd w:id="505"/>
      <w:bookmarkEnd w:id="506"/>
      <w:bookmarkEnd w:id="507"/>
    </w:p>
    <w:p>
      <w:pPr>
        <w:spacing w:line="360" w:lineRule="auto"/>
        <w:ind w:firstLine="480" w:firstLineChars="200"/>
        <w:rPr>
          <w:rFonts w:ascii="Times New Roman" w:hAnsi="Times New Roman"/>
          <w:sz w:val="24"/>
          <w:szCs w:val="24"/>
        </w:rPr>
      </w:pPr>
      <w:r>
        <w:rPr>
          <w:rFonts w:ascii="Times New Roman" w:hAnsi="Times New Roman"/>
          <w:sz w:val="24"/>
          <w:szCs w:val="24"/>
        </w:rPr>
        <w:t>本评价主要从环境保护投资比例系数、环境经济损益系数两项指标来进行环境经济损益分析。</w:t>
      </w:r>
    </w:p>
    <w:p>
      <w:pPr>
        <w:spacing w:line="360" w:lineRule="auto"/>
        <w:ind w:firstLine="482" w:firstLineChars="200"/>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 1 \* GB2 </w:instrText>
      </w:r>
      <w:r>
        <w:rPr>
          <w:rFonts w:ascii="Times New Roman" w:hAnsi="Times New Roman"/>
          <w:b/>
          <w:sz w:val="24"/>
          <w:szCs w:val="24"/>
        </w:rPr>
        <w:fldChar w:fldCharType="separate"/>
      </w:r>
      <w:r>
        <w:rPr>
          <w:rFonts w:ascii="Times New Roman" w:hAnsi="Times New Roman"/>
          <w:b/>
          <w:sz w:val="24"/>
          <w:szCs w:val="24"/>
        </w:rPr>
        <w:t>⑴</w:t>
      </w:r>
      <w:r>
        <w:rPr>
          <w:rFonts w:ascii="Times New Roman" w:hAnsi="Times New Roman"/>
          <w:b/>
          <w:sz w:val="24"/>
          <w:szCs w:val="24"/>
        </w:rPr>
        <w:fldChar w:fldCharType="end"/>
      </w:r>
      <w:r>
        <w:rPr>
          <w:rFonts w:ascii="Times New Roman" w:hAnsi="Times New Roman"/>
          <w:b/>
          <w:sz w:val="24"/>
          <w:szCs w:val="24"/>
        </w:rPr>
        <w:t>环保投资比例系数</w:t>
      </w:r>
    </w:p>
    <w:p>
      <w:pPr>
        <w:spacing w:line="360" w:lineRule="auto"/>
        <w:ind w:firstLine="480" w:firstLineChars="200"/>
        <w:rPr>
          <w:rFonts w:ascii="Times New Roman" w:hAnsi="Times New Roman"/>
          <w:sz w:val="24"/>
          <w:szCs w:val="24"/>
        </w:rPr>
      </w:pPr>
      <w:r>
        <w:rPr>
          <w:rFonts w:ascii="Times New Roman" w:hAnsi="Times New Roman"/>
          <w:sz w:val="24"/>
          <w:szCs w:val="24"/>
        </w:rPr>
        <w:t>环保投资比例系数是指环保建设投资与企业建设总投资的比值，它体现了企业对环保工作的重视程度。</w:t>
      </w:r>
    </w:p>
    <w:p>
      <w:pPr>
        <w:spacing w:line="360" w:lineRule="auto"/>
        <w:jc w:val="center"/>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Z</w:t>
      </w:r>
      <w:r>
        <w:rPr>
          <w:rFonts w:ascii="Times New Roman" w:hAnsi="Times New Roman"/>
          <w:sz w:val="24"/>
          <w:szCs w:val="24"/>
        </w:rPr>
        <w:t>=（E</w:t>
      </w:r>
      <w:r>
        <w:rPr>
          <w:rFonts w:ascii="Times New Roman" w:hAnsi="Times New Roman"/>
          <w:sz w:val="24"/>
          <w:szCs w:val="24"/>
          <w:vertAlign w:val="subscript"/>
        </w:rPr>
        <w:t>O</w:t>
      </w:r>
      <w:r>
        <w:rPr>
          <w:rFonts w:ascii="Times New Roman" w:hAnsi="Times New Roman"/>
          <w:sz w:val="24"/>
          <w:szCs w:val="24"/>
        </w:rPr>
        <w:t>/E</w:t>
      </w:r>
      <w:r>
        <w:rPr>
          <w:rFonts w:ascii="Times New Roman" w:hAnsi="Times New Roman"/>
          <w:sz w:val="24"/>
          <w:szCs w:val="24"/>
          <w:vertAlign w:val="subscript"/>
        </w:rPr>
        <w:t>R</w:t>
      </w:r>
      <w:r>
        <w:rPr>
          <w:rFonts w:ascii="Times New Roman" w:hAnsi="Times New Roman"/>
          <w:sz w:val="24"/>
          <w:szCs w:val="24"/>
        </w:rPr>
        <w:t>）×100%</w:t>
      </w:r>
    </w:p>
    <w:p>
      <w:pPr>
        <w:spacing w:line="360" w:lineRule="auto"/>
        <w:ind w:firstLine="480" w:firstLineChars="200"/>
        <w:rPr>
          <w:rFonts w:ascii="Times New Roman" w:hAnsi="Times New Roman"/>
          <w:sz w:val="24"/>
          <w:szCs w:val="24"/>
        </w:rPr>
      </w:pPr>
      <w:r>
        <w:rPr>
          <w:rFonts w:ascii="Times New Roman" w:hAnsi="Times New Roman"/>
          <w:sz w:val="24"/>
          <w:szCs w:val="24"/>
        </w:rPr>
        <w:t>式中：E</w:t>
      </w:r>
      <w:r>
        <w:rPr>
          <w:rFonts w:ascii="Times New Roman" w:hAnsi="Times New Roman"/>
          <w:sz w:val="24"/>
          <w:szCs w:val="24"/>
          <w:vertAlign w:val="subscript"/>
        </w:rPr>
        <w:t>O</w:t>
      </w:r>
      <w:r>
        <w:rPr>
          <w:rFonts w:ascii="Times New Roman" w:hAnsi="Times New Roman"/>
          <w:sz w:val="24"/>
          <w:szCs w:val="24"/>
        </w:rPr>
        <w:t>——环保建设投资，万元</w:t>
      </w:r>
    </w:p>
    <w:p>
      <w:pPr>
        <w:spacing w:line="360" w:lineRule="auto"/>
        <w:ind w:firstLine="1200" w:firstLineChars="5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R</w:t>
      </w:r>
      <w:r>
        <w:rPr>
          <w:rFonts w:ascii="Times New Roman" w:hAnsi="Times New Roman"/>
          <w:sz w:val="24"/>
          <w:szCs w:val="24"/>
        </w:rPr>
        <w:t>——企业建设总投资，万元</w:t>
      </w:r>
    </w:p>
    <w:p>
      <w:pPr>
        <w:spacing w:line="360" w:lineRule="auto"/>
        <w:ind w:firstLine="480" w:firstLineChars="200"/>
        <w:rPr>
          <w:rFonts w:ascii="Times New Roman" w:hAnsi="Times New Roman"/>
          <w:sz w:val="24"/>
          <w:szCs w:val="24"/>
        </w:rPr>
      </w:pPr>
      <w:r>
        <w:rPr>
          <w:rFonts w:ascii="Times New Roman" w:hAnsi="Times New Roman"/>
          <w:sz w:val="24"/>
          <w:szCs w:val="24"/>
        </w:rPr>
        <w:t>工程总投资（静态）约90.01万元，均属环保投资。本工程大幅度地减少了油泥外排量，减轻了对周围环境的影响，因此总的来说，该项目的环保投资系数是合适的。</w:t>
      </w:r>
    </w:p>
    <w:p>
      <w:pPr>
        <w:spacing w:line="360" w:lineRule="auto"/>
        <w:ind w:firstLine="482" w:firstLineChars="200"/>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 2 \* GB2 </w:instrText>
      </w:r>
      <w:r>
        <w:rPr>
          <w:rFonts w:ascii="Times New Roman" w:hAnsi="Times New Roman"/>
          <w:b/>
          <w:sz w:val="24"/>
          <w:szCs w:val="24"/>
        </w:rPr>
        <w:fldChar w:fldCharType="separate"/>
      </w:r>
      <w:r>
        <w:rPr>
          <w:rFonts w:ascii="Times New Roman" w:hAnsi="Times New Roman"/>
          <w:b/>
          <w:sz w:val="24"/>
          <w:szCs w:val="24"/>
        </w:rPr>
        <w:t>⑵</w:t>
      </w:r>
      <w:r>
        <w:rPr>
          <w:rFonts w:ascii="Times New Roman" w:hAnsi="Times New Roman"/>
          <w:b/>
          <w:sz w:val="24"/>
          <w:szCs w:val="24"/>
        </w:rPr>
        <w:fldChar w:fldCharType="end"/>
      </w:r>
      <w:r>
        <w:rPr>
          <w:rFonts w:ascii="Times New Roman" w:hAnsi="Times New Roman"/>
          <w:b/>
          <w:sz w:val="24"/>
          <w:szCs w:val="24"/>
        </w:rPr>
        <w:t>环境经济效益系数</w:t>
      </w:r>
    </w:p>
    <w:p>
      <w:pPr>
        <w:spacing w:line="360" w:lineRule="auto"/>
        <w:ind w:firstLine="480" w:firstLineChars="200"/>
        <w:rPr>
          <w:rFonts w:ascii="Times New Roman" w:hAnsi="Times New Roman"/>
          <w:sz w:val="24"/>
          <w:szCs w:val="24"/>
        </w:rPr>
      </w:pPr>
      <w:r>
        <w:rPr>
          <w:rFonts w:ascii="Times New Roman" w:hAnsi="Times New Roman"/>
          <w:sz w:val="24"/>
          <w:szCs w:val="24"/>
        </w:rPr>
        <w:t>环境经济效益系数J x 是指因有效的环境保护措施而挽回的经济价值与环境保护费用之比，其表达式为：</w:t>
      </w:r>
    </w:p>
    <w:p>
      <w:pPr>
        <w:spacing w:line="360" w:lineRule="auto"/>
        <w:jc w:val="center"/>
        <w:rPr>
          <w:rFonts w:ascii="Times New Roman" w:hAnsi="Times New Roman"/>
          <w:sz w:val="24"/>
          <w:szCs w:val="24"/>
        </w:rPr>
      </w:pPr>
      <w:r>
        <w:rPr>
          <w:rFonts w:ascii="Times New Roman" w:hAnsi="Times New Roman"/>
          <w:sz w:val="24"/>
          <w:szCs w:val="24"/>
        </w:rPr>
        <w:t>Jx =Ei/Ez</w:t>
      </w:r>
    </w:p>
    <w:p>
      <w:pPr>
        <w:spacing w:line="360" w:lineRule="auto"/>
        <w:ind w:firstLine="480" w:firstLineChars="200"/>
        <w:rPr>
          <w:rFonts w:ascii="Times New Roman" w:hAnsi="Times New Roman"/>
          <w:sz w:val="24"/>
          <w:szCs w:val="24"/>
        </w:rPr>
      </w:pPr>
      <w:r>
        <w:rPr>
          <w:rFonts w:ascii="Times New Roman" w:hAnsi="Times New Roman"/>
          <w:sz w:val="24"/>
          <w:szCs w:val="24"/>
        </w:rPr>
        <w:t>式中：Ei——每年环保措施挽回的经济效益，万元</w:t>
      </w:r>
    </w:p>
    <w:p>
      <w:pPr>
        <w:spacing w:line="360" w:lineRule="auto"/>
        <w:ind w:firstLine="1200" w:firstLineChars="500"/>
        <w:rPr>
          <w:rFonts w:ascii="Times New Roman" w:hAnsi="Times New Roman"/>
          <w:sz w:val="24"/>
          <w:szCs w:val="24"/>
        </w:rPr>
      </w:pPr>
      <w:r>
        <w:rPr>
          <w:rFonts w:ascii="Times New Roman" w:hAnsi="Times New Roman"/>
          <w:sz w:val="24"/>
          <w:szCs w:val="24"/>
        </w:rPr>
        <w:t>Ez——年环保运行费用，万元</w:t>
      </w:r>
    </w:p>
    <w:p>
      <w:pPr>
        <w:spacing w:line="360" w:lineRule="auto"/>
        <w:ind w:firstLine="480" w:firstLineChars="200"/>
        <w:rPr>
          <w:rFonts w:ascii="Times New Roman" w:hAnsi="Times New Roman"/>
          <w:sz w:val="24"/>
          <w:szCs w:val="24"/>
        </w:rPr>
      </w:pPr>
      <w:r>
        <w:rPr>
          <w:rFonts w:ascii="Times New Roman" w:hAnsi="Times New Roman"/>
          <w:sz w:val="24"/>
          <w:szCs w:val="24"/>
        </w:rPr>
        <w:t>工程每年环境经济效益为3636.5万元，年环保运行费用为45万元，则环境经济效益系数为80.8。项目经济效益显著。</w:t>
      </w:r>
    </w:p>
    <w:bookmarkEnd w:id="460"/>
    <w:p>
      <w:pPr>
        <w:rPr>
          <w:rFonts w:ascii="Times New Roman" w:hAnsi="Times New Roman"/>
        </w:rPr>
      </w:pPr>
    </w:p>
    <w:bookmarkEnd w:id="440"/>
    <w:bookmarkEnd w:id="441"/>
    <w:bookmarkEnd w:id="442"/>
    <w:bookmarkEnd w:id="443"/>
    <w:bookmarkEnd w:id="444"/>
    <w:bookmarkEnd w:id="445"/>
    <w:bookmarkEnd w:id="446"/>
    <w:bookmarkEnd w:id="447"/>
    <w:bookmarkEnd w:id="448"/>
    <w:bookmarkEnd w:id="449"/>
    <w:p>
      <w:pPr>
        <w:pStyle w:val="4"/>
        <w:numPr>
          <w:ilvl w:val="0"/>
          <w:numId w:val="0"/>
        </w:numPr>
        <w:tabs>
          <w:tab w:val="clear" w:pos="0"/>
        </w:tabs>
      </w:pPr>
      <w:bookmarkStart w:id="508" w:name="第八章__环境管理与监测计划"/>
      <w:bookmarkEnd w:id="508"/>
      <w:bookmarkStart w:id="509" w:name="_Toc351971038"/>
      <w:bookmarkStart w:id="510" w:name="_Toc182638521"/>
      <w:bookmarkStart w:id="511" w:name="_Toc180808320"/>
      <w:bookmarkStart w:id="512" w:name="_Toc213667821"/>
      <w:bookmarkStart w:id="513" w:name="_Toc28002"/>
      <w:bookmarkStart w:id="514" w:name="_Toc181015506"/>
      <w:bookmarkStart w:id="515" w:name="_Toc403223321"/>
      <w:bookmarkStart w:id="516" w:name="_Toc181686488"/>
      <w:bookmarkStart w:id="517" w:name="_Toc280188892"/>
      <w:r>
        <w:t>10.</w:t>
      </w:r>
      <w:bookmarkStart w:id="518" w:name="_Toc30451"/>
      <w:bookmarkStart w:id="519" w:name="_Toc27332"/>
      <w:bookmarkStart w:id="520" w:name="_Toc3681"/>
      <w:r>
        <w:t xml:space="preserve"> 环境管理与监测计划</w:t>
      </w:r>
      <w:bookmarkEnd w:id="509"/>
      <w:bookmarkEnd w:id="510"/>
      <w:bookmarkEnd w:id="511"/>
      <w:bookmarkEnd w:id="512"/>
      <w:bookmarkEnd w:id="513"/>
      <w:bookmarkEnd w:id="514"/>
      <w:bookmarkEnd w:id="515"/>
      <w:bookmarkEnd w:id="516"/>
      <w:bookmarkEnd w:id="518"/>
      <w:bookmarkEnd w:id="519"/>
      <w:bookmarkEnd w:id="520"/>
    </w:p>
    <w:p>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与监测实施计划。</w:t>
      </w:r>
    </w:p>
    <w:p>
      <w:pPr>
        <w:pStyle w:val="6"/>
        <w:numPr>
          <w:ilvl w:val="1"/>
          <w:numId w:val="0"/>
        </w:numPr>
        <w:spacing w:before="120" w:after="120"/>
      </w:pPr>
      <w:bookmarkStart w:id="521" w:name="_Toc160145978"/>
      <w:bookmarkStart w:id="522" w:name="_Toc162857337"/>
      <w:bookmarkStart w:id="523" w:name="_Toc160615899"/>
      <w:bookmarkStart w:id="524" w:name="_Toc351971039"/>
      <w:bookmarkStart w:id="525" w:name="_Toc164000636"/>
      <w:bookmarkStart w:id="526" w:name="_Toc162864545"/>
      <w:bookmarkStart w:id="527" w:name="_Toc160508035"/>
      <w:bookmarkStart w:id="528" w:name="_Toc2144"/>
      <w:bookmarkStart w:id="529" w:name="_Toc181015507"/>
      <w:bookmarkStart w:id="530" w:name="_Toc181686489"/>
      <w:bookmarkStart w:id="531" w:name="_Toc162858756"/>
      <w:bookmarkStart w:id="532" w:name="_Toc180808321"/>
      <w:bookmarkStart w:id="533" w:name="_Toc213667822"/>
      <w:bookmarkStart w:id="534" w:name="_Toc403223322"/>
      <w:bookmarkStart w:id="535" w:name="_Toc8531"/>
      <w:bookmarkStart w:id="536" w:name="_Toc27878"/>
      <w:bookmarkStart w:id="537" w:name="_Toc161056745"/>
      <w:bookmarkStart w:id="538" w:name="_Toc162859024"/>
      <w:bookmarkStart w:id="539" w:name="_Toc1899"/>
      <w:bookmarkStart w:id="540" w:name="_Toc182638522"/>
      <w:bookmarkStart w:id="541" w:name="_Toc162858938"/>
      <w:r>
        <w:t>10.1 环境保护管理</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spacing w:line="360" w:lineRule="auto"/>
        <w:ind w:firstLine="482"/>
        <w:rPr>
          <w:rFonts w:ascii="Times New Roman" w:hAnsi="Times New Roman"/>
          <w:kern w:val="0"/>
          <w:sz w:val="24"/>
          <w:szCs w:val="24"/>
        </w:rPr>
      </w:pPr>
      <w:r>
        <w:rPr>
          <w:rFonts w:ascii="Times New Roman" w:hAnsi="Times New Roman"/>
          <w:kern w:val="0"/>
          <w:sz w:val="24"/>
          <w:szCs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pPr>
        <w:pStyle w:val="7"/>
        <w:numPr>
          <w:ilvl w:val="2"/>
          <w:numId w:val="0"/>
        </w:numPr>
        <w:spacing w:before="120" w:after="120"/>
      </w:pPr>
      <w:bookmarkStart w:id="542" w:name="_Toc5735"/>
      <w:bookmarkStart w:id="543" w:name="_Toc867"/>
      <w:bookmarkStart w:id="544" w:name="_Toc21514"/>
      <w:r>
        <w:t>10.1.1 环保管理机构的设置</w:t>
      </w:r>
      <w:bookmarkEnd w:id="542"/>
      <w:bookmarkEnd w:id="543"/>
      <w:bookmarkEnd w:id="544"/>
    </w:p>
    <w:p>
      <w:pPr>
        <w:pStyle w:val="22"/>
        <w:spacing w:before="185"/>
        <w:ind w:firstLine="480" w:firstLineChars="200"/>
        <w:rPr>
          <w:kern w:val="0"/>
          <w:sz w:val="24"/>
          <w:szCs w:val="24"/>
        </w:rPr>
      </w:pPr>
      <w:bookmarkStart w:id="545" w:name="_Toc428"/>
      <w:bookmarkStart w:id="546" w:name="_Toc16745"/>
      <w:r>
        <w:rPr>
          <w:kern w:val="0"/>
          <w:sz w:val="24"/>
          <w:szCs w:val="24"/>
        </w:rPr>
        <w:t>长岭分公司的环境管理体制实行公司领导下环境保护责任制，具体管理体系如下：</w:t>
      </w:r>
    </w:p>
    <w:p>
      <w:pPr>
        <w:pStyle w:val="22"/>
        <w:spacing w:before="4"/>
        <w:rPr>
          <w:sz w:val="18"/>
        </w:rPr>
      </w:pPr>
      <w:r>
        <mc:AlternateContent>
          <mc:Choice Requires="wpg">
            <w:drawing>
              <wp:anchor distT="0" distB="0" distL="0" distR="0" simplePos="0" relativeHeight="251636736" behindDoc="0" locked="0" layoutInCell="1" allowOverlap="1">
                <wp:simplePos x="0" y="0"/>
                <wp:positionH relativeFrom="page">
                  <wp:posOffset>2245360</wp:posOffset>
                </wp:positionH>
                <wp:positionV relativeFrom="paragraph">
                  <wp:posOffset>173990</wp:posOffset>
                </wp:positionV>
                <wp:extent cx="3506470" cy="2244090"/>
                <wp:effectExtent l="0" t="0" r="0" b="3810"/>
                <wp:wrapTopAndBottom/>
                <wp:docPr id="1085" name="组合 112"/>
                <wp:cNvGraphicFramePr/>
                <a:graphic xmlns:a="http://schemas.openxmlformats.org/drawingml/2006/main">
                  <a:graphicData uri="http://schemas.microsoft.com/office/word/2010/wordprocessingGroup">
                    <wpg:wgp>
                      <wpg:cNvGrpSpPr/>
                      <wpg:grpSpPr>
                        <a:xfrm>
                          <a:off x="0" y="0"/>
                          <a:ext cx="3506470" cy="2244090"/>
                          <a:chOff x="3536" y="274"/>
                          <a:chExt cx="5522" cy="3534"/>
                        </a:xfrm>
                      </wpg:grpSpPr>
                      <wps:wsp>
                        <wps:cNvPr id="19" name="任意多边形 19"/>
                        <wps:cNvSpPr/>
                        <wps:spPr>
                          <a:xfrm>
                            <a:off x="3869" y="1274"/>
                            <a:ext cx="1920" cy="488"/>
                          </a:xfrm>
                          <a:custGeom>
                            <a:avLst/>
                            <a:gdLst/>
                            <a:ahLst/>
                            <a:cxnLst/>
                            <a:rect l="l" t="t" r="r" b="b"/>
                            <a:pathLst>
                              <a:path w="1920" h="488">
                                <a:moveTo>
                                  <a:pt x="1920" y="488"/>
                                </a:moveTo>
                                <a:lnTo>
                                  <a:pt x="0" y="488"/>
                                </a:lnTo>
                                <a:lnTo>
                                  <a:pt x="0" y="0"/>
                                </a:lnTo>
                                <a:lnTo>
                                  <a:pt x="1920" y="0"/>
                                </a:lnTo>
                                <a:lnTo>
                                  <a:pt x="1920" y="8"/>
                                </a:lnTo>
                                <a:lnTo>
                                  <a:pt x="15" y="8"/>
                                </a:lnTo>
                                <a:lnTo>
                                  <a:pt x="8" y="15"/>
                                </a:lnTo>
                                <a:lnTo>
                                  <a:pt x="15" y="15"/>
                                </a:lnTo>
                                <a:lnTo>
                                  <a:pt x="15" y="473"/>
                                </a:lnTo>
                                <a:lnTo>
                                  <a:pt x="8" y="473"/>
                                </a:lnTo>
                                <a:lnTo>
                                  <a:pt x="15" y="481"/>
                                </a:lnTo>
                                <a:lnTo>
                                  <a:pt x="1920" y="481"/>
                                </a:lnTo>
                                <a:lnTo>
                                  <a:pt x="1920" y="488"/>
                                </a:lnTo>
                                <a:close/>
                                <a:moveTo>
                                  <a:pt x="15" y="15"/>
                                </a:moveTo>
                                <a:lnTo>
                                  <a:pt x="8" y="15"/>
                                </a:lnTo>
                                <a:lnTo>
                                  <a:pt x="15" y="8"/>
                                </a:lnTo>
                                <a:lnTo>
                                  <a:pt x="15" y="15"/>
                                </a:lnTo>
                                <a:close/>
                                <a:moveTo>
                                  <a:pt x="1905" y="15"/>
                                </a:moveTo>
                                <a:lnTo>
                                  <a:pt x="15" y="15"/>
                                </a:lnTo>
                                <a:lnTo>
                                  <a:pt x="15" y="8"/>
                                </a:lnTo>
                                <a:lnTo>
                                  <a:pt x="1905" y="8"/>
                                </a:lnTo>
                                <a:lnTo>
                                  <a:pt x="1905" y="15"/>
                                </a:lnTo>
                                <a:close/>
                                <a:moveTo>
                                  <a:pt x="1905" y="481"/>
                                </a:moveTo>
                                <a:lnTo>
                                  <a:pt x="1905" y="8"/>
                                </a:lnTo>
                                <a:lnTo>
                                  <a:pt x="1913" y="15"/>
                                </a:lnTo>
                                <a:lnTo>
                                  <a:pt x="1920" y="15"/>
                                </a:lnTo>
                                <a:lnTo>
                                  <a:pt x="1920" y="473"/>
                                </a:lnTo>
                                <a:lnTo>
                                  <a:pt x="1913" y="473"/>
                                </a:lnTo>
                                <a:lnTo>
                                  <a:pt x="1905" y="481"/>
                                </a:lnTo>
                                <a:close/>
                                <a:moveTo>
                                  <a:pt x="1920" y="15"/>
                                </a:moveTo>
                                <a:lnTo>
                                  <a:pt x="1913" y="15"/>
                                </a:lnTo>
                                <a:lnTo>
                                  <a:pt x="1905" y="8"/>
                                </a:lnTo>
                                <a:lnTo>
                                  <a:pt x="1920" y="8"/>
                                </a:lnTo>
                                <a:lnTo>
                                  <a:pt x="1920" y="15"/>
                                </a:lnTo>
                                <a:close/>
                                <a:moveTo>
                                  <a:pt x="15" y="481"/>
                                </a:moveTo>
                                <a:lnTo>
                                  <a:pt x="8" y="473"/>
                                </a:lnTo>
                                <a:lnTo>
                                  <a:pt x="15" y="473"/>
                                </a:lnTo>
                                <a:lnTo>
                                  <a:pt x="15" y="481"/>
                                </a:lnTo>
                                <a:close/>
                                <a:moveTo>
                                  <a:pt x="1905" y="481"/>
                                </a:moveTo>
                                <a:lnTo>
                                  <a:pt x="15" y="481"/>
                                </a:lnTo>
                                <a:lnTo>
                                  <a:pt x="15" y="473"/>
                                </a:lnTo>
                                <a:lnTo>
                                  <a:pt x="1905" y="473"/>
                                </a:lnTo>
                                <a:lnTo>
                                  <a:pt x="1905" y="481"/>
                                </a:lnTo>
                                <a:close/>
                                <a:moveTo>
                                  <a:pt x="1920" y="481"/>
                                </a:moveTo>
                                <a:lnTo>
                                  <a:pt x="1905" y="481"/>
                                </a:lnTo>
                                <a:lnTo>
                                  <a:pt x="1913" y="473"/>
                                </a:lnTo>
                                <a:lnTo>
                                  <a:pt x="1920" y="473"/>
                                </a:lnTo>
                                <a:lnTo>
                                  <a:pt x="1920" y="481"/>
                                </a:lnTo>
                                <a:close/>
                              </a:path>
                            </a:pathLst>
                          </a:custGeom>
                          <a:solidFill>
                            <a:srgbClr val="000000"/>
                          </a:solidFill>
                          <a:ln>
                            <a:noFill/>
                          </a:ln>
                        </wps:spPr>
                        <wps:bodyPr/>
                      </wps:wsp>
                      <wps:wsp>
                        <wps:cNvPr id="20" name="任意多边形 20"/>
                        <wps:cNvSpPr/>
                        <wps:spPr>
                          <a:xfrm>
                            <a:off x="3848" y="274"/>
                            <a:ext cx="1948" cy="526"/>
                          </a:xfrm>
                          <a:custGeom>
                            <a:avLst/>
                            <a:gdLst/>
                            <a:ahLst/>
                            <a:cxnLst/>
                            <a:rect l="l" t="t" r="r" b="b"/>
                            <a:pathLst>
                              <a:path w="1948" h="526">
                                <a:moveTo>
                                  <a:pt x="1948" y="526"/>
                                </a:moveTo>
                                <a:lnTo>
                                  <a:pt x="0" y="526"/>
                                </a:lnTo>
                                <a:lnTo>
                                  <a:pt x="0" y="0"/>
                                </a:lnTo>
                                <a:lnTo>
                                  <a:pt x="1948" y="0"/>
                                </a:lnTo>
                                <a:lnTo>
                                  <a:pt x="1948" y="8"/>
                                </a:lnTo>
                                <a:lnTo>
                                  <a:pt x="15" y="8"/>
                                </a:lnTo>
                                <a:lnTo>
                                  <a:pt x="8" y="15"/>
                                </a:lnTo>
                                <a:lnTo>
                                  <a:pt x="15" y="15"/>
                                </a:lnTo>
                                <a:lnTo>
                                  <a:pt x="15" y="511"/>
                                </a:lnTo>
                                <a:lnTo>
                                  <a:pt x="8" y="511"/>
                                </a:lnTo>
                                <a:lnTo>
                                  <a:pt x="15" y="519"/>
                                </a:lnTo>
                                <a:lnTo>
                                  <a:pt x="1948" y="519"/>
                                </a:lnTo>
                                <a:lnTo>
                                  <a:pt x="1948" y="526"/>
                                </a:lnTo>
                                <a:close/>
                                <a:moveTo>
                                  <a:pt x="15" y="15"/>
                                </a:moveTo>
                                <a:lnTo>
                                  <a:pt x="8" y="15"/>
                                </a:lnTo>
                                <a:lnTo>
                                  <a:pt x="15" y="8"/>
                                </a:lnTo>
                                <a:lnTo>
                                  <a:pt x="15" y="15"/>
                                </a:lnTo>
                                <a:close/>
                                <a:moveTo>
                                  <a:pt x="1933" y="15"/>
                                </a:moveTo>
                                <a:lnTo>
                                  <a:pt x="15" y="15"/>
                                </a:lnTo>
                                <a:lnTo>
                                  <a:pt x="15" y="8"/>
                                </a:lnTo>
                                <a:lnTo>
                                  <a:pt x="1933" y="8"/>
                                </a:lnTo>
                                <a:lnTo>
                                  <a:pt x="1933" y="15"/>
                                </a:lnTo>
                                <a:close/>
                                <a:moveTo>
                                  <a:pt x="1933" y="519"/>
                                </a:moveTo>
                                <a:lnTo>
                                  <a:pt x="1933" y="8"/>
                                </a:lnTo>
                                <a:lnTo>
                                  <a:pt x="1941" y="15"/>
                                </a:lnTo>
                                <a:lnTo>
                                  <a:pt x="1948" y="15"/>
                                </a:lnTo>
                                <a:lnTo>
                                  <a:pt x="1948" y="511"/>
                                </a:lnTo>
                                <a:lnTo>
                                  <a:pt x="1941" y="511"/>
                                </a:lnTo>
                                <a:lnTo>
                                  <a:pt x="1933" y="519"/>
                                </a:lnTo>
                                <a:close/>
                                <a:moveTo>
                                  <a:pt x="1948" y="15"/>
                                </a:moveTo>
                                <a:lnTo>
                                  <a:pt x="1941" y="15"/>
                                </a:lnTo>
                                <a:lnTo>
                                  <a:pt x="1933" y="8"/>
                                </a:lnTo>
                                <a:lnTo>
                                  <a:pt x="1948" y="8"/>
                                </a:lnTo>
                                <a:lnTo>
                                  <a:pt x="1948" y="15"/>
                                </a:lnTo>
                                <a:close/>
                                <a:moveTo>
                                  <a:pt x="15" y="519"/>
                                </a:moveTo>
                                <a:lnTo>
                                  <a:pt x="8" y="511"/>
                                </a:lnTo>
                                <a:lnTo>
                                  <a:pt x="15" y="511"/>
                                </a:lnTo>
                                <a:lnTo>
                                  <a:pt x="15" y="519"/>
                                </a:lnTo>
                                <a:close/>
                                <a:moveTo>
                                  <a:pt x="1933" y="519"/>
                                </a:moveTo>
                                <a:lnTo>
                                  <a:pt x="15" y="519"/>
                                </a:lnTo>
                                <a:lnTo>
                                  <a:pt x="15" y="511"/>
                                </a:lnTo>
                                <a:lnTo>
                                  <a:pt x="1933" y="511"/>
                                </a:lnTo>
                                <a:lnTo>
                                  <a:pt x="1933" y="519"/>
                                </a:lnTo>
                                <a:close/>
                                <a:moveTo>
                                  <a:pt x="1948" y="519"/>
                                </a:moveTo>
                                <a:lnTo>
                                  <a:pt x="1933" y="519"/>
                                </a:lnTo>
                                <a:lnTo>
                                  <a:pt x="1941" y="511"/>
                                </a:lnTo>
                                <a:lnTo>
                                  <a:pt x="1948" y="511"/>
                                </a:lnTo>
                                <a:lnTo>
                                  <a:pt x="1948" y="519"/>
                                </a:lnTo>
                                <a:close/>
                              </a:path>
                            </a:pathLst>
                          </a:custGeom>
                          <a:solidFill>
                            <a:srgbClr val="000000"/>
                          </a:solidFill>
                          <a:ln>
                            <a:noFill/>
                          </a:ln>
                        </wps:spPr>
                        <wps:bodyPr/>
                      </wps:wsp>
                      <wps:wsp>
                        <wps:cNvPr id="21" name="任意多边形 21"/>
                        <wps:cNvSpPr/>
                        <wps:spPr>
                          <a:xfrm>
                            <a:off x="4764" y="780"/>
                            <a:ext cx="120" cy="469"/>
                          </a:xfrm>
                          <a:custGeom>
                            <a:avLst/>
                            <a:gdLst/>
                            <a:ahLst/>
                            <a:cxnLst/>
                            <a:rect l="l" t="t" r="r" b="b"/>
                            <a:pathLst>
                              <a:path w="120" h="469">
                                <a:moveTo>
                                  <a:pt x="52" y="348"/>
                                </a:moveTo>
                                <a:lnTo>
                                  <a:pt x="51" y="0"/>
                                </a:lnTo>
                                <a:lnTo>
                                  <a:pt x="66" y="0"/>
                                </a:lnTo>
                                <a:lnTo>
                                  <a:pt x="67" y="348"/>
                                </a:lnTo>
                                <a:lnTo>
                                  <a:pt x="52" y="348"/>
                                </a:lnTo>
                                <a:close/>
                                <a:moveTo>
                                  <a:pt x="105" y="378"/>
                                </a:moveTo>
                                <a:lnTo>
                                  <a:pt x="52" y="378"/>
                                </a:lnTo>
                                <a:lnTo>
                                  <a:pt x="67" y="378"/>
                                </a:lnTo>
                                <a:lnTo>
                                  <a:pt x="67" y="348"/>
                                </a:lnTo>
                                <a:lnTo>
                                  <a:pt x="120" y="348"/>
                                </a:lnTo>
                                <a:lnTo>
                                  <a:pt x="105" y="378"/>
                                </a:lnTo>
                                <a:close/>
                                <a:moveTo>
                                  <a:pt x="52" y="378"/>
                                </a:moveTo>
                                <a:lnTo>
                                  <a:pt x="52" y="348"/>
                                </a:lnTo>
                                <a:lnTo>
                                  <a:pt x="67" y="348"/>
                                </a:lnTo>
                                <a:lnTo>
                                  <a:pt x="67" y="378"/>
                                </a:lnTo>
                                <a:lnTo>
                                  <a:pt x="52" y="378"/>
                                </a:lnTo>
                                <a:close/>
                                <a:moveTo>
                                  <a:pt x="60" y="468"/>
                                </a:moveTo>
                                <a:lnTo>
                                  <a:pt x="0" y="348"/>
                                </a:lnTo>
                                <a:lnTo>
                                  <a:pt x="52" y="348"/>
                                </a:lnTo>
                                <a:lnTo>
                                  <a:pt x="52" y="378"/>
                                </a:lnTo>
                                <a:lnTo>
                                  <a:pt x="105" y="378"/>
                                </a:lnTo>
                                <a:lnTo>
                                  <a:pt x="60" y="468"/>
                                </a:lnTo>
                                <a:close/>
                              </a:path>
                            </a:pathLst>
                          </a:custGeom>
                          <a:solidFill>
                            <a:srgbClr val="000000"/>
                          </a:solidFill>
                          <a:ln>
                            <a:noFill/>
                          </a:ln>
                        </wps:spPr>
                        <wps:bodyPr/>
                      </wps:wsp>
                      <wps:wsp>
                        <wps:cNvPr id="22" name="任意多边形 22"/>
                        <wps:cNvSpPr/>
                        <wps:spPr>
                          <a:xfrm>
                            <a:off x="4768" y="1750"/>
                            <a:ext cx="120" cy="591"/>
                          </a:xfrm>
                          <a:custGeom>
                            <a:avLst/>
                            <a:gdLst/>
                            <a:ahLst/>
                            <a:cxnLst/>
                            <a:rect l="l" t="t" r="r" b="b"/>
                            <a:pathLst>
                              <a:path w="120" h="591">
                                <a:moveTo>
                                  <a:pt x="52" y="470"/>
                                </a:moveTo>
                                <a:lnTo>
                                  <a:pt x="51" y="0"/>
                                </a:lnTo>
                                <a:lnTo>
                                  <a:pt x="66" y="0"/>
                                </a:lnTo>
                                <a:lnTo>
                                  <a:pt x="67" y="470"/>
                                </a:lnTo>
                                <a:lnTo>
                                  <a:pt x="52" y="470"/>
                                </a:lnTo>
                                <a:close/>
                                <a:moveTo>
                                  <a:pt x="105" y="500"/>
                                </a:moveTo>
                                <a:lnTo>
                                  <a:pt x="52" y="500"/>
                                </a:lnTo>
                                <a:lnTo>
                                  <a:pt x="67" y="500"/>
                                </a:lnTo>
                                <a:lnTo>
                                  <a:pt x="67" y="470"/>
                                </a:lnTo>
                                <a:lnTo>
                                  <a:pt x="120" y="470"/>
                                </a:lnTo>
                                <a:lnTo>
                                  <a:pt x="105" y="500"/>
                                </a:lnTo>
                                <a:close/>
                                <a:moveTo>
                                  <a:pt x="52" y="500"/>
                                </a:moveTo>
                                <a:lnTo>
                                  <a:pt x="52" y="470"/>
                                </a:lnTo>
                                <a:lnTo>
                                  <a:pt x="67" y="470"/>
                                </a:lnTo>
                                <a:lnTo>
                                  <a:pt x="67" y="500"/>
                                </a:lnTo>
                                <a:lnTo>
                                  <a:pt x="52" y="500"/>
                                </a:lnTo>
                                <a:close/>
                                <a:moveTo>
                                  <a:pt x="60" y="590"/>
                                </a:moveTo>
                                <a:lnTo>
                                  <a:pt x="0" y="470"/>
                                </a:lnTo>
                                <a:lnTo>
                                  <a:pt x="52" y="470"/>
                                </a:lnTo>
                                <a:lnTo>
                                  <a:pt x="52" y="500"/>
                                </a:lnTo>
                                <a:lnTo>
                                  <a:pt x="105" y="500"/>
                                </a:lnTo>
                                <a:lnTo>
                                  <a:pt x="60" y="590"/>
                                </a:lnTo>
                                <a:close/>
                              </a:path>
                            </a:pathLst>
                          </a:custGeom>
                          <a:solidFill>
                            <a:srgbClr val="000000"/>
                          </a:solidFill>
                          <a:ln>
                            <a:noFill/>
                          </a:ln>
                        </wps:spPr>
                        <wps:bodyPr/>
                      </wps:wsp>
                      <wps:wsp>
                        <wps:cNvPr id="23" name="任意多边形 23"/>
                        <wps:cNvSpPr/>
                        <wps:spPr>
                          <a:xfrm>
                            <a:off x="6569" y="2316"/>
                            <a:ext cx="2342" cy="483"/>
                          </a:xfrm>
                          <a:custGeom>
                            <a:avLst/>
                            <a:gdLst/>
                            <a:ahLst/>
                            <a:cxnLst/>
                            <a:rect l="l" t="t" r="r" b="b"/>
                            <a:pathLst>
                              <a:path w="2342" h="483">
                                <a:moveTo>
                                  <a:pt x="2342" y="483"/>
                                </a:moveTo>
                                <a:lnTo>
                                  <a:pt x="0" y="483"/>
                                </a:lnTo>
                                <a:lnTo>
                                  <a:pt x="0" y="0"/>
                                </a:lnTo>
                                <a:lnTo>
                                  <a:pt x="2342" y="0"/>
                                </a:lnTo>
                                <a:lnTo>
                                  <a:pt x="2342" y="8"/>
                                </a:lnTo>
                                <a:lnTo>
                                  <a:pt x="15" y="8"/>
                                </a:lnTo>
                                <a:lnTo>
                                  <a:pt x="8" y="15"/>
                                </a:lnTo>
                                <a:lnTo>
                                  <a:pt x="15" y="15"/>
                                </a:lnTo>
                                <a:lnTo>
                                  <a:pt x="15" y="468"/>
                                </a:lnTo>
                                <a:lnTo>
                                  <a:pt x="8" y="468"/>
                                </a:lnTo>
                                <a:lnTo>
                                  <a:pt x="15" y="476"/>
                                </a:lnTo>
                                <a:lnTo>
                                  <a:pt x="2342" y="476"/>
                                </a:lnTo>
                                <a:lnTo>
                                  <a:pt x="2342" y="483"/>
                                </a:lnTo>
                                <a:close/>
                                <a:moveTo>
                                  <a:pt x="15" y="15"/>
                                </a:moveTo>
                                <a:lnTo>
                                  <a:pt x="8" y="15"/>
                                </a:lnTo>
                                <a:lnTo>
                                  <a:pt x="15" y="8"/>
                                </a:lnTo>
                                <a:lnTo>
                                  <a:pt x="15" y="15"/>
                                </a:lnTo>
                                <a:close/>
                                <a:moveTo>
                                  <a:pt x="2327" y="15"/>
                                </a:moveTo>
                                <a:lnTo>
                                  <a:pt x="15" y="15"/>
                                </a:lnTo>
                                <a:lnTo>
                                  <a:pt x="15" y="8"/>
                                </a:lnTo>
                                <a:lnTo>
                                  <a:pt x="2327" y="8"/>
                                </a:lnTo>
                                <a:lnTo>
                                  <a:pt x="2327" y="15"/>
                                </a:lnTo>
                                <a:close/>
                                <a:moveTo>
                                  <a:pt x="2327" y="476"/>
                                </a:moveTo>
                                <a:lnTo>
                                  <a:pt x="2327" y="8"/>
                                </a:lnTo>
                                <a:lnTo>
                                  <a:pt x="2335" y="15"/>
                                </a:lnTo>
                                <a:lnTo>
                                  <a:pt x="2342" y="15"/>
                                </a:lnTo>
                                <a:lnTo>
                                  <a:pt x="2342" y="468"/>
                                </a:lnTo>
                                <a:lnTo>
                                  <a:pt x="2335" y="468"/>
                                </a:lnTo>
                                <a:lnTo>
                                  <a:pt x="2327" y="476"/>
                                </a:lnTo>
                                <a:close/>
                                <a:moveTo>
                                  <a:pt x="2342" y="15"/>
                                </a:moveTo>
                                <a:lnTo>
                                  <a:pt x="2335" y="15"/>
                                </a:lnTo>
                                <a:lnTo>
                                  <a:pt x="2327" y="8"/>
                                </a:lnTo>
                                <a:lnTo>
                                  <a:pt x="2342" y="8"/>
                                </a:lnTo>
                                <a:lnTo>
                                  <a:pt x="2342" y="15"/>
                                </a:lnTo>
                                <a:close/>
                                <a:moveTo>
                                  <a:pt x="15" y="476"/>
                                </a:moveTo>
                                <a:lnTo>
                                  <a:pt x="8" y="468"/>
                                </a:lnTo>
                                <a:lnTo>
                                  <a:pt x="15" y="468"/>
                                </a:lnTo>
                                <a:lnTo>
                                  <a:pt x="15" y="476"/>
                                </a:lnTo>
                                <a:close/>
                                <a:moveTo>
                                  <a:pt x="2327" y="476"/>
                                </a:moveTo>
                                <a:lnTo>
                                  <a:pt x="15" y="476"/>
                                </a:lnTo>
                                <a:lnTo>
                                  <a:pt x="15" y="468"/>
                                </a:lnTo>
                                <a:lnTo>
                                  <a:pt x="2327" y="468"/>
                                </a:lnTo>
                                <a:lnTo>
                                  <a:pt x="2327" y="476"/>
                                </a:lnTo>
                                <a:close/>
                                <a:moveTo>
                                  <a:pt x="2342" y="476"/>
                                </a:moveTo>
                                <a:lnTo>
                                  <a:pt x="2327" y="476"/>
                                </a:lnTo>
                                <a:lnTo>
                                  <a:pt x="2335" y="468"/>
                                </a:lnTo>
                                <a:lnTo>
                                  <a:pt x="2342" y="468"/>
                                </a:lnTo>
                                <a:lnTo>
                                  <a:pt x="2342" y="476"/>
                                </a:lnTo>
                                <a:close/>
                              </a:path>
                            </a:pathLst>
                          </a:custGeom>
                          <a:solidFill>
                            <a:srgbClr val="000000"/>
                          </a:solidFill>
                          <a:ln>
                            <a:noFill/>
                          </a:ln>
                        </wps:spPr>
                        <wps:bodyPr/>
                      </wps:wsp>
                      <wps:wsp>
                        <wps:cNvPr id="24" name="任意多边形 24"/>
                        <wps:cNvSpPr/>
                        <wps:spPr>
                          <a:xfrm>
                            <a:off x="5806" y="2522"/>
                            <a:ext cx="721" cy="120"/>
                          </a:xfrm>
                          <a:custGeom>
                            <a:avLst/>
                            <a:gdLst/>
                            <a:ahLst/>
                            <a:cxnLst/>
                            <a:rect l="l" t="t" r="r" b="b"/>
                            <a:pathLst>
                              <a:path w="721"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20" y="51"/>
                                </a:lnTo>
                                <a:lnTo>
                                  <a:pt x="720"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wps:wsp>
                      <wps:wsp>
                        <wps:cNvPr id="25" name="任意多边形 25"/>
                        <wps:cNvSpPr/>
                        <wps:spPr>
                          <a:xfrm>
                            <a:off x="4778" y="2845"/>
                            <a:ext cx="120" cy="469"/>
                          </a:xfrm>
                          <a:custGeom>
                            <a:avLst/>
                            <a:gdLst/>
                            <a:ahLst/>
                            <a:cxnLst/>
                            <a:rect l="l" t="t" r="r" b="b"/>
                            <a:pathLst>
                              <a:path w="120" h="469">
                                <a:moveTo>
                                  <a:pt x="52" y="348"/>
                                </a:moveTo>
                                <a:lnTo>
                                  <a:pt x="51" y="0"/>
                                </a:lnTo>
                                <a:lnTo>
                                  <a:pt x="66" y="0"/>
                                </a:lnTo>
                                <a:lnTo>
                                  <a:pt x="67" y="348"/>
                                </a:lnTo>
                                <a:lnTo>
                                  <a:pt x="52" y="348"/>
                                </a:lnTo>
                                <a:close/>
                                <a:moveTo>
                                  <a:pt x="105" y="378"/>
                                </a:moveTo>
                                <a:lnTo>
                                  <a:pt x="52" y="378"/>
                                </a:lnTo>
                                <a:lnTo>
                                  <a:pt x="67" y="378"/>
                                </a:lnTo>
                                <a:lnTo>
                                  <a:pt x="67" y="348"/>
                                </a:lnTo>
                                <a:lnTo>
                                  <a:pt x="120" y="348"/>
                                </a:lnTo>
                                <a:lnTo>
                                  <a:pt x="105" y="378"/>
                                </a:lnTo>
                                <a:close/>
                                <a:moveTo>
                                  <a:pt x="52" y="378"/>
                                </a:moveTo>
                                <a:lnTo>
                                  <a:pt x="52" y="348"/>
                                </a:lnTo>
                                <a:lnTo>
                                  <a:pt x="67" y="348"/>
                                </a:lnTo>
                                <a:lnTo>
                                  <a:pt x="67" y="378"/>
                                </a:lnTo>
                                <a:lnTo>
                                  <a:pt x="52" y="378"/>
                                </a:lnTo>
                                <a:close/>
                                <a:moveTo>
                                  <a:pt x="60" y="468"/>
                                </a:moveTo>
                                <a:lnTo>
                                  <a:pt x="0" y="348"/>
                                </a:lnTo>
                                <a:lnTo>
                                  <a:pt x="52" y="348"/>
                                </a:lnTo>
                                <a:lnTo>
                                  <a:pt x="52" y="378"/>
                                </a:lnTo>
                                <a:lnTo>
                                  <a:pt x="105" y="378"/>
                                </a:lnTo>
                                <a:lnTo>
                                  <a:pt x="60" y="468"/>
                                </a:lnTo>
                                <a:close/>
                              </a:path>
                            </a:pathLst>
                          </a:custGeom>
                          <a:solidFill>
                            <a:srgbClr val="000000"/>
                          </a:solidFill>
                          <a:ln>
                            <a:noFill/>
                          </a:ln>
                        </wps:spPr>
                        <wps:bodyPr/>
                      </wps:wsp>
                      <wps:wsp>
                        <wps:cNvPr id="26" name="任意多边形 26"/>
                        <wps:cNvSpPr/>
                        <wps:spPr>
                          <a:xfrm>
                            <a:off x="3869" y="2333"/>
                            <a:ext cx="1920" cy="488"/>
                          </a:xfrm>
                          <a:custGeom>
                            <a:avLst/>
                            <a:gdLst/>
                            <a:ahLst/>
                            <a:cxnLst/>
                            <a:rect l="l" t="t" r="r" b="b"/>
                            <a:pathLst>
                              <a:path w="1920" h="488">
                                <a:moveTo>
                                  <a:pt x="1920" y="488"/>
                                </a:moveTo>
                                <a:lnTo>
                                  <a:pt x="0" y="488"/>
                                </a:lnTo>
                                <a:lnTo>
                                  <a:pt x="0" y="0"/>
                                </a:lnTo>
                                <a:lnTo>
                                  <a:pt x="1920" y="0"/>
                                </a:lnTo>
                                <a:lnTo>
                                  <a:pt x="1920" y="8"/>
                                </a:lnTo>
                                <a:lnTo>
                                  <a:pt x="15" y="8"/>
                                </a:lnTo>
                                <a:lnTo>
                                  <a:pt x="8" y="15"/>
                                </a:lnTo>
                                <a:lnTo>
                                  <a:pt x="15" y="15"/>
                                </a:lnTo>
                                <a:lnTo>
                                  <a:pt x="15" y="473"/>
                                </a:lnTo>
                                <a:lnTo>
                                  <a:pt x="8" y="473"/>
                                </a:lnTo>
                                <a:lnTo>
                                  <a:pt x="15" y="481"/>
                                </a:lnTo>
                                <a:lnTo>
                                  <a:pt x="1920" y="481"/>
                                </a:lnTo>
                                <a:lnTo>
                                  <a:pt x="1920" y="488"/>
                                </a:lnTo>
                                <a:close/>
                                <a:moveTo>
                                  <a:pt x="15" y="15"/>
                                </a:moveTo>
                                <a:lnTo>
                                  <a:pt x="8" y="15"/>
                                </a:lnTo>
                                <a:lnTo>
                                  <a:pt x="15" y="8"/>
                                </a:lnTo>
                                <a:lnTo>
                                  <a:pt x="15" y="15"/>
                                </a:lnTo>
                                <a:close/>
                                <a:moveTo>
                                  <a:pt x="1905" y="15"/>
                                </a:moveTo>
                                <a:lnTo>
                                  <a:pt x="15" y="15"/>
                                </a:lnTo>
                                <a:lnTo>
                                  <a:pt x="15" y="8"/>
                                </a:lnTo>
                                <a:lnTo>
                                  <a:pt x="1905" y="8"/>
                                </a:lnTo>
                                <a:lnTo>
                                  <a:pt x="1905" y="15"/>
                                </a:lnTo>
                                <a:close/>
                                <a:moveTo>
                                  <a:pt x="1905" y="481"/>
                                </a:moveTo>
                                <a:lnTo>
                                  <a:pt x="1905" y="8"/>
                                </a:lnTo>
                                <a:lnTo>
                                  <a:pt x="1913" y="15"/>
                                </a:lnTo>
                                <a:lnTo>
                                  <a:pt x="1920" y="15"/>
                                </a:lnTo>
                                <a:lnTo>
                                  <a:pt x="1920" y="473"/>
                                </a:lnTo>
                                <a:lnTo>
                                  <a:pt x="1913" y="473"/>
                                </a:lnTo>
                                <a:lnTo>
                                  <a:pt x="1905" y="481"/>
                                </a:lnTo>
                                <a:close/>
                                <a:moveTo>
                                  <a:pt x="1920" y="15"/>
                                </a:moveTo>
                                <a:lnTo>
                                  <a:pt x="1913" y="15"/>
                                </a:lnTo>
                                <a:lnTo>
                                  <a:pt x="1905" y="8"/>
                                </a:lnTo>
                                <a:lnTo>
                                  <a:pt x="1920" y="8"/>
                                </a:lnTo>
                                <a:lnTo>
                                  <a:pt x="1920" y="15"/>
                                </a:lnTo>
                                <a:close/>
                                <a:moveTo>
                                  <a:pt x="15" y="481"/>
                                </a:moveTo>
                                <a:lnTo>
                                  <a:pt x="8" y="473"/>
                                </a:lnTo>
                                <a:lnTo>
                                  <a:pt x="15" y="473"/>
                                </a:lnTo>
                                <a:lnTo>
                                  <a:pt x="15" y="481"/>
                                </a:lnTo>
                                <a:close/>
                                <a:moveTo>
                                  <a:pt x="1905" y="481"/>
                                </a:moveTo>
                                <a:lnTo>
                                  <a:pt x="15" y="481"/>
                                </a:lnTo>
                                <a:lnTo>
                                  <a:pt x="15" y="473"/>
                                </a:lnTo>
                                <a:lnTo>
                                  <a:pt x="1905" y="473"/>
                                </a:lnTo>
                                <a:lnTo>
                                  <a:pt x="1905" y="481"/>
                                </a:lnTo>
                                <a:close/>
                                <a:moveTo>
                                  <a:pt x="1920" y="481"/>
                                </a:moveTo>
                                <a:lnTo>
                                  <a:pt x="1905" y="481"/>
                                </a:lnTo>
                                <a:lnTo>
                                  <a:pt x="1913" y="473"/>
                                </a:lnTo>
                                <a:lnTo>
                                  <a:pt x="1920" y="473"/>
                                </a:lnTo>
                                <a:lnTo>
                                  <a:pt x="1920" y="481"/>
                                </a:lnTo>
                                <a:close/>
                              </a:path>
                            </a:pathLst>
                          </a:custGeom>
                          <a:solidFill>
                            <a:srgbClr val="000000"/>
                          </a:solidFill>
                          <a:ln>
                            <a:noFill/>
                          </a:ln>
                        </wps:spPr>
                        <wps:bodyPr/>
                      </wps:wsp>
                      <wps:wsp>
                        <wps:cNvPr id="29" name="任意多边形 29"/>
                        <wps:cNvSpPr/>
                        <wps:spPr>
                          <a:xfrm>
                            <a:off x="3536" y="3320"/>
                            <a:ext cx="2637" cy="488"/>
                          </a:xfrm>
                          <a:custGeom>
                            <a:avLst/>
                            <a:gdLst/>
                            <a:ahLst/>
                            <a:cxnLst/>
                            <a:rect l="l" t="t" r="r" b="b"/>
                            <a:pathLst>
                              <a:path w="2637" h="488">
                                <a:moveTo>
                                  <a:pt x="2637" y="488"/>
                                </a:moveTo>
                                <a:lnTo>
                                  <a:pt x="0" y="488"/>
                                </a:lnTo>
                                <a:lnTo>
                                  <a:pt x="0" y="0"/>
                                </a:lnTo>
                                <a:lnTo>
                                  <a:pt x="2637" y="0"/>
                                </a:lnTo>
                                <a:lnTo>
                                  <a:pt x="2637" y="8"/>
                                </a:lnTo>
                                <a:lnTo>
                                  <a:pt x="15" y="8"/>
                                </a:lnTo>
                                <a:lnTo>
                                  <a:pt x="8" y="15"/>
                                </a:lnTo>
                                <a:lnTo>
                                  <a:pt x="15" y="15"/>
                                </a:lnTo>
                                <a:lnTo>
                                  <a:pt x="15" y="473"/>
                                </a:lnTo>
                                <a:lnTo>
                                  <a:pt x="8" y="473"/>
                                </a:lnTo>
                                <a:lnTo>
                                  <a:pt x="15" y="481"/>
                                </a:lnTo>
                                <a:lnTo>
                                  <a:pt x="2637" y="481"/>
                                </a:lnTo>
                                <a:lnTo>
                                  <a:pt x="2637" y="488"/>
                                </a:lnTo>
                                <a:close/>
                                <a:moveTo>
                                  <a:pt x="15" y="15"/>
                                </a:moveTo>
                                <a:lnTo>
                                  <a:pt x="8" y="15"/>
                                </a:lnTo>
                                <a:lnTo>
                                  <a:pt x="15" y="8"/>
                                </a:lnTo>
                                <a:lnTo>
                                  <a:pt x="15" y="15"/>
                                </a:lnTo>
                                <a:close/>
                                <a:moveTo>
                                  <a:pt x="2622" y="15"/>
                                </a:moveTo>
                                <a:lnTo>
                                  <a:pt x="15" y="15"/>
                                </a:lnTo>
                                <a:lnTo>
                                  <a:pt x="15" y="8"/>
                                </a:lnTo>
                                <a:lnTo>
                                  <a:pt x="2622" y="8"/>
                                </a:lnTo>
                                <a:lnTo>
                                  <a:pt x="2622" y="15"/>
                                </a:lnTo>
                                <a:close/>
                                <a:moveTo>
                                  <a:pt x="2622" y="481"/>
                                </a:moveTo>
                                <a:lnTo>
                                  <a:pt x="2622" y="8"/>
                                </a:lnTo>
                                <a:lnTo>
                                  <a:pt x="2630" y="15"/>
                                </a:lnTo>
                                <a:lnTo>
                                  <a:pt x="2637" y="15"/>
                                </a:lnTo>
                                <a:lnTo>
                                  <a:pt x="2637" y="473"/>
                                </a:lnTo>
                                <a:lnTo>
                                  <a:pt x="2630" y="473"/>
                                </a:lnTo>
                                <a:lnTo>
                                  <a:pt x="2622" y="481"/>
                                </a:lnTo>
                                <a:close/>
                                <a:moveTo>
                                  <a:pt x="2637" y="15"/>
                                </a:moveTo>
                                <a:lnTo>
                                  <a:pt x="2630" y="15"/>
                                </a:lnTo>
                                <a:lnTo>
                                  <a:pt x="2622" y="8"/>
                                </a:lnTo>
                                <a:lnTo>
                                  <a:pt x="2637" y="8"/>
                                </a:lnTo>
                                <a:lnTo>
                                  <a:pt x="2637" y="15"/>
                                </a:lnTo>
                                <a:close/>
                                <a:moveTo>
                                  <a:pt x="15" y="481"/>
                                </a:moveTo>
                                <a:lnTo>
                                  <a:pt x="8" y="473"/>
                                </a:lnTo>
                                <a:lnTo>
                                  <a:pt x="15" y="473"/>
                                </a:lnTo>
                                <a:lnTo>
                                  <a:pt x="15" y="481"/>
                                </a:lnTo>
                                <a:close/>
                                <a:moveTo>
                                  <a:pt x="2622" y="481"/>
                                </a:moveTo>
                                <a:lnTo>
                                  <a:pt x="15" y="481"/>
                                </a:lnTo>
                                <a:lnTo>
                                  <a:pt x="15" y="473"/>
                                </a:lnTo>
                                <a:lnTo>
                                  <a:pt x="2622" y="473"/>
                                </a:lnTo>
                                <a:lnTo>
                                  <a:pt x="2622" y="481"/>
                                </a:lnTo>
                                <a:close/>
                                <a:moveTo>
                                  <a:pt x="2637" y="481"/>
                                </a:moveTo>
                                <a:lnTo>
                                  <a:pt x="2622" y="481"/>
                                </a:lnTo>
                                <a:lnTo>
                                  <a:pt x="2630" y="473"/>
                                </a:lnTo>
                                <a:lnTo>
                                  <a:pt x="2637" y="473"/>
                                </a:lnTo>
                                <a:lnTo>
                                  <a:pt x="2637" y="481"/>
                                </a:lnTo>
                                <a:close/>
                              </a:path>
                            </a:pathLst>
                          </a:custGeom>
                          <a:solidFill>
                            <a:srgbClr val="000000"/>
                          </a:solidFill>
                          <a:ln>
                            <a:noFill/>
                          </a:ln>
                        </wps:spPr>
                        <wps:bodyPr/>
                      </wps:wsp>
                      <wps:wsp>
                        <wps:cNvPr id="30" name="矩形 30"/>
                        <wps:cNvSpPr/>
                        <wps:spPr>
                          <a:xfrm>
                            <a:off x="4461" y="398"/>
                            <a:ext cx="740" cy="240"/>
                          </a:xfrm>
                          <a:prstGeom prst="rect">
                            <a:avLst/>
                          </a:prstGeom>
                          <a:ln>
                            <a:noFill/>
                          </a:ln>
                        </wps:spPr>
                        <wps:txbx>
                          <w:txbxContent>
                            <w:p>
                              <w:pPr>
                                <w:spacing w:line="240" w:lineRule="exact"/>
                                <w:jc w:val="left"/>
                                <w:rPr>
                                  <w:sz w:val="24"/>
                                </w:rPr>
                              </w:pPr>
                              <w:r>
                                <w:rPr>
                                  <w:sz w:val="24"/>
                                </w:rPr>
                                <w:t>总经理</w:t>
                              </w:r>
                            </w:p>
                          </w:txbxContent>
                        </wps:txbx>
                        <wps:bodyPr lIns="0" tIns="0" rIns="0" bIns="0" upright="1"/>
                      </wps:wsp>
                      <wps:wsp>
                        <wps:cNvPr id="31" name="矩形 31"/>
                        <wps:cNvSpPr/>
                        <wps:spPr>
                          <a:xfrm>
                            <a:off x="4348" y="1397"/>
                            <a:ext cx="980" cy="240"/>
                          </a:xfrm>
                          <a:prstGeom prst="rect">
                            <a:avLst/>
                          </a:prstGeom>
                          <a:ln>
                            <a:noFill/>
                          </a:ln>
                        </wps:spPr>
                        <wps:txbx>
                          <w:txbxContent>
                            <w:p>
                              <w:pPr>
                                <w:spacing w:line="240" w:lineRule="exact"/>
                                <w:jc w:val="left"/>
                                <w:rPr>
                                  <w:sz w:val="24"/>
                                </w:rPr>
                              </w:pPr>
                              <w:r>
                                <w:rPr>
                                  <w:sz w:val="24"/>
                                </w:rPr>
                                <w:t>副总经理</w:t>
                              </w:r>
                            </w:p>
                          </w:txbxContent>
                        </wps:txbx>
                        <wps:bodyPr lIns="0" tIns="0" rIns="0" bIns="0" upright="1"/>
                      </wps:wsp>
                      <wps:wsp>
                        <wps:cNvPr id="32" name="矩形 32"/>
                        <wps:cNvSpPr/>
                        <wps:spPr>
                          <a:xfrm>
                            <a:off x="4269" y="2455"/>
                            <a:ext cx="1220" cy="240"/>
                          </a:xfrm>
                          <a:prstGeom prst="rect">
                            <a:avLst/>
                          </a:prstGeom>
                          <a:ln>
                            <a:noFill/>
                          </a:ln>
                        </wps:spPr>
                        <wps:txbx>
                          <w:txbxContent>
                            <w:p>
                              <w:pPr>
                                <w:spacing w:line="240" w:lineRule="exact"/>
                                <w:jc w:val="left"/>
                                <w:rPr>
                                  <w:sz w:val="24"/>
                                </w:rPr>
                              </w:pPr>
                              <w:r>
                                <w:rPr>
                                  <w:sz w:val="24"/>
                                </w:rPr>
                                <w:t>安全环保处</w:t>
                              </w:r>
                            </w:p>
                          </w:txbxContent>
                        </wps:txbx>
                        <wps:bodyPr lIns="0" tIns="0" rIns="0" bIns="0" upright="1"/>
                      </wps:wsp>
                      <wps:wsp>
                        <wps:cNvPr id="33" name="矩形 33"/>
                        <wps:cNvSpPr/>
                        <wps:spPr>
                          <a:xfrm>
                            <a:off x="6680" y="2438"/>
                            <a:ext cx="2378" cy="240"/>
                          </a:xfrm>
                          <a:prstGeom prst="rect">
                            <a:avLst/>
                          </a:prstGeom>
                          <a:ln>
                            <a:noFill/>
                          </a:ln>
                        </wps:spPr>
                        <wps:txbx>
                          <w:txbxContent>
                            <w:p>
                              <w:pPr>
                                <w:spacing w:line="240" w:lineRule="exact"/>
                                <w:jc w:val="left"/>
                                <w:rPr>
                                  <w:sz w:val="24"/>
                                </w:rPr>
                              </w:pPr>
                              <w:r>
                                <w:rPr>
                                  <w:rFonts w:hint="eastAsia"/>
                                  <w:sz w:val="24"/>
                                </w:rPr>
                                <w:t>岳阳市生态环境局</w:t>
                              </w:r>
                            </w:p>
                          </w:txbxContent>
                        </wps:txbx>
                        <wps:bodyPr lIns="0" tIns="0" rIns="0" bIns="0" upright="1"/>
                      </wps:wsp>
                      <wps:wsp>
                        <wps:cNvPr id="34" name="矩形 34"/>
                        <wps:cNvSpPr/>
                        <wps:spPr>
                          <a:xfrm>
                            <a:off x="3936" y="3444"/>
                            <a:ext cx="1940" cy="240"/>
                          </a:xfrm>
                          <a:prstGeom prst="rect">
                            <a:avLst/>
                          </a:prstGeom>
                          <a:ln>
                            <a:noFill/>
                          </a:ln>
                        </wps:spPr>
                        <wps:txbx>
                          <w:txbxContent>
                            <w:p>
                              <w:pPr>
                                <w:spacing w:line="240" w:lineRule="exact"/>
                                <w:jc w:val="left"/>
                                <w:rPr>
                                  <w:sz w:val="24"/>
                                </w:rPr>
                              </w:pPr>
                              <w:r>
                                <w:rPr>
                                  <w:sz w:val="24"/>
                                </w:rPr>
                                <w:t>车间专职环保人员</w:t>
                              </w:r>
                            </w:p>
                          </w:txbxContent>
                        </wps:txbx>
                        <wps:bodyPr lIns="0" tIns="0" rIns="0" bIns="0" upright="1"/>
                      </wps:wsp>
                    </wpg:wgp>
                  </a:graphicData>
                </a:graphic>
              </wp:anchor>
            </w:drawing>
          </mc:Choice>
          <mc:Fallback>
            <w:pict>
              <v:group id="组合 112" o:spid="_x0000_s1026" o:spt="203" style="position:absolute;left:0pt;margin-left:176.8pt;margin-top:13.7pt;height:176.7pt;width:276.1pt;mso-position-horizontal-relative:page;mso-wrap-distance-bottom:0pt;mso-wrap-distance-top:0pt;z-index:251636736;mso-width-relative:page;mso-height-relative:page;" coordorigin="3536,274" coordsize="5522,3534" o:gfxdata="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">
                <o:lock v:ext="edit" aspectratio="f"/>
                <v:shape id="_x0000_s1026" o:spid="_x0000_s1026" o:spt="100" style="position:absolute;left:3869;top:1274;height:488;width:1920;" fillcolor="#000000" filled="t" stroked="f" coordsize="1920,488" o:gfxdata="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Fu74A&#10;AADbAAAADwAAAAAAAAABACAAAAAiAAAAZHJzL2Rvd25yZXYueG1sUEsBAhQAFAAAAAgAh07iQDMv&#10;BZ47AAAAOQAAABAAAAAAAAAAAQAgAAAADQEAAGRycy9zaGFwZXhtbC54bWxQSwUGAAAAAAYABgBb&#10;AQAAtwMAAAAA&#10;" path="m1920,488l0,488,0,0,1920,0,1920,8,15,8,8,15,15,15,15,473,8,473,15,481,1920,481,1920,488xm15,15l8,15,15,8,15,15xm1905,15l15,15,15,8,1905,8,1905,15xm1905,481l1905,8,1913,15,1920,15,1920,473,1913,473,1905,481xm1920,15l1913,15,1905,8,1920,8,1920,15xm15,481l8,473,15,473,15,481xm1905,481l15,481,15,473,1905,473,1905,481xm1920,481l1905,481,1913,473,1920,473,1920,481xe">
                  <v:fill on="t" focussize="0,0"/>
                  <v:stroke on="f"/>
                  <v:imagedata o:title=""/>
                  <o:lock v:ext="edit" aspectratio="f"/>
                </v:shape>
                <v:shape id="_x0000_s1026" o:spid="_x0000_s1026" o:spt="100" style="position:absolute;left:3848;top:274;height:526;width:1948;" fillcolor="#000000" filled="t" stroked="f" coordsize="1948,526" o:gfxdata="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u7CrsAAADb&#10;AAAADwAAAAAAAAABACAAAAAiAAAAZHJzL2Rvd25yZXYueG1sUEsBAhQAFAAAAAgAh07iQDMvBZ47&#10;AAAAOQAAABAAAAAAAAAAAQAgAAAACgEAAGRycy9zaGFwZXhtbC54bWxQSwUGAAAAAAYABgBbAQAA&#10;tAMAAAAA&#10;" path="m1948,526l0,526,0,0,1948,0,1948,8,15,8,8,15,15,15,15,511,8,511,15,519,1948,519,1948,526xm15,15l8,15,15,8,15,15xm1933,15l15,15,15,8,1933,8,1933,15xm1933,519l1933,8,1941,15,1948,15,1948,511,1941,511,1933,519xm1948,15l1941,15,1933,8,1948,8,1948,15xm15,519l8,511,15,511,15,519xm1933,519l15,519,15,511,1933,511,1933,519xm1948,519l1933,519,1941,511,1948,511,1948,519xe">
                  <v:fill on="t" focussize="0,0"/>
                  <v:stroke on="f"/>
                  <v:imagedata o:title=""/>
                  <o:lock v:ext="edit" aspectratio="f"/>
                </v:shape>
                <v:shape id="_x0000_s1026" o:spid="_x0000_s1026" o:spt="100" style="position:absolute;left:4764;top:780;height:469;width:120;" fillcolor="#000000" filled="t" stroked="f" coordsize="120,469" o:gfxdata="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zFH&#10;wAAAANsAAAAPAAAAAAAAAAEAIAAAACIAAABkcnMvZG93bnJldi54bWxQSwECFAAUAAAACACHTuJA&#10;My8FnjsAAAA5AAAAEAAAAAAAAAABACAAAAAPAQAAZHJzL3NoYXBleG1sLnhtbFBLBQYAAAAABgAG&#10;AFsBAAC5AwAAAAA=&#10;" path="m52,348l51,0,66,0,67,348,52,348xm105,378l52,378,67,378,67,348,120,348,105,378xm52,378l52,348,67,348,67,378,52,378xm60,468l0,348,52,348,52,378,105,378,60,468xe">
                  <v:fill on="t" focussize="0,0"/>
                  <v:stroke on="f"/>
                  <v:imagedata o:title=""/>
                  <o:lock v:ext="edit" aspectratio="f"/>
                </v:shape>
                <v:shape id="_x0000_s1026" o:spid="_x0000_s1026" o:spt="100" style="position:absolute;left:4768;top:1750;height:591;width:120;" fillcolor="#000000" filled="t" stroked="f" coordsize="120,591" o:gfxdata="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WX0y/&#10;AAAA2wAAAA8AAAAAAAAAAQAgAAAAIgAAAGRycy9kb3ducmV2LnhtbFBLAQIUABQAAAAIAIdO4kAz&#10;LwWeOwAAADkAAAAQAAAAAAAAAAEAIAAAAA4BAABkcnMvc2hhcGV4bWwueG1sUEsFBgAAAAAGAAYA&#10;WwEAALgDAAAAAA==&#10;" path="m52,470l51,0,66,0,67,470,52,470xm105,500l52,500,67,500,67,470,120,470,105,500xm52,500l52,470,67,470,67,500,52,500xm60,590l0,470,52,470,52,500,105,500,60,590xe">
                  <v:fill on="t" focussize="0,0"/>
                  <v:stroke on="f"/>
                  <v:imagedata o:title=""/>
                  <o:lock v:ext="edit" aspectratio="f"/>
                </v:shape>
                <v:shape id="_x0000_s1026" o:spid="_x0000_s1026" o:spt="100" style="position:absolute;left:6569;top:2316;height:483;width:2342;" fillcolor="#000000" filled="t" stroked="f" coordsize="2342,483" o:gfxdata="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BgBm8AAAA&#10;2wAAAA8AAAAAAAAAAQAgAAAAIgAAAGRycy9kb3ducmV2LnhtbFBLAQIUABQAAAAIAIdO4kAzLwWe&#10;OwAAADkAAAAQAAAAAAAAAAEAIAAAAAsBAABkcnMvc2hhcGV4bWwueG1sUEsFBgAAAAAGAAYAWwEA&#10;ALUDAAAAAA==&#10;" path="m2342,483l0,483,0,0,2342,0,2342,8,15,8,8,15,15,15,15,468,8,468,15,476,2342,476,2342,483xm15,15l8,15,15,8,15,15xm2327,15l15,15,15,8,2327,8,2327,15xm2327,476l2327,8,2335,15,2342,15,2342,468,2335,468,2327,476xm2342,15l2335,15,2327,8,2342,8,2342,15xm15,476l8,468,15,468,15,476xm2327,476l15,476,15,468,2327,468,2327,476xm2342,476l2327,476,2335,468,2342,468,2342,476xe">
                  <v:fill on="t" focussize="0,0"/>
                  <v:stroke on="f"/>
                  <v:imagedata o:title=""/>
                  <o:lock v:ext="edit" aspectratio="f"/>
                </v:shape>
                <v:shape id="_x0000_s1026" o:spid="_x0000_s1026" o:spt="100" style="position:absolute;left:5806;top:2522;height:120;width:721;" fillcolor="#000000" filled="t" stroked="f" coordsize="721,120" o:gfxdata="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464vQAA&#10;ANsAAAAPAAAAAAAAAAEAIAAAACIAAABkcnMvZG93bnJldi54bWxQSwECFAAUAAAACACHTuJAMy8F&#10;njsAAAA5AAAAEAAAAAAAAAABACAAAAAMAQAAZHJzL3NoYXBleG1sLnhtbFBLBQYAAAAABgAGAFsB&#10;AAC2AwAAAAA=&#10;" path="m120,120l0,60,120,0,120,52,90,52,90,67,120,67,120,120xm120,67l120,52,720,51,720,66,120,67xm90,67l90,52,120,52,120,67,90,67xm120,67l90,67,120,67,120,67xe">
                  <v:fill on="t" focussize="0,0"/>
                  <v:stroke on="f"/>
                  <v:imagedata o:title=""/>
                  <o:lock v:ext="edit" aspectratio="f"/>
                </v:shape>
                <v:shape id="_x0000_s1026" o:spid="_x0000_s1026" o:spt="100" style="position:absolute;left:4778;top:2845;height:469;width:120;" fillcolor="#000000" filled="t" stroked="f" coordsize="120,469" o:gfxdata="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kN0S/&#10;AAAA2wAAAA8AAAAAAAAAAQAgAAAAIgAAAGRycy9kb3ducmV2LnhtbFBLAQIUABQAAAAIAIdO4kAz&#10;LwWeOwAAADkAAAAQAAAAAAAAAAEAIAAAAA4BAABkcnMvc2hhcGV4bWwueG1sUEsFBgAAAAAGAAYA&#10;WwEAALgDAAAAAA==&#10;" path="m52,348l51,0,66,0,67,348,52,348xm105,378l52,378,67,378,67,348,120,348,105,378xm52,378l52,348,67,348,67,378,52,378xm60,468l0,348,52,348,52,378,105,378,60,468xe">
                  <v:fill on="t" focussize="0,0"/>
                  <v:stroke on="f"/>
                  <v:imagedata o:title=""/>
                  <o:lock v:ext="edit" aspectratio="f"/>
                </v:shape>
                <v:shape id="_x0000_s1026" o:spid="_x0000_s1026" o:spt="100" style="position:absolute;left:3869;top:2333;height:488;width:1920;" fillcolor="#000000" filled="t" stroked="f" coordsize="1920,488" o:gfxdata="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dt0vQAA&#10;ANsAAAAPAAAAAAAAAAEAIAAAACIAAABkcnMvZG93bnJldi54bWxQSwECFAAUAAAACACHTuJAMy8F&#10;njsAAAA5AAAAEAAAAAAAAAABACAAAAAMAQAAZHJzL3NoYXBleG1sLnhtbFBLBQYAAAAABgAGAFsB&#10;AAC2AwAAAAA=&#10;" path="m1920,488l0,488,0,0,1920,0,1920,8,15,8,8,15,15,15,15,473,8,473,15,481,1920,481,1920,488xm15,15l8,15,15,8,15,15xm1905,15l15,15,15,8,1905,8,1905,15xm1905,481l1905,8,1913,15,1920,15,1920,473,1913,473,1905,481xm1920,15l1913,15,1905,8,1920,8,1920,15xm15,481l8,473,15,473,15,481xm1905,481l15,481,15,473,1905,473,1905,481xm1920,481l1905,481,1913,473,1920,473,1920,481xe">
                  <v:fill on="t" focussize="0,0"/>
                  <v:stroke on="f"/>
                  <v:imagedata o:title=""/>
                  <o:lock v:ext="edit" aspectratio="f"/>
                </v:shape>
                <v:shape id="_x0000_s1026" o:spid="_x0000_s1026" o:spt="100" style="position:absolute;left:3536;top:3320;height:488;width:2637;" fillcolor="#000000" filled="t" stroked="f" coordsize="2637,488" o:gfxdata="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oN+i8AAAA&#10;2wAAAA8AAAAAAAAAAQAgAAAAIgAAAGRycy9kb3ducmV2LnhtbFBLAQIUABQAAAAIAIdO4kAzLwWe&#10;OwAAADkAAAAQAAAAAAAAAAEAIAAAAAsBAABkcnMvc2hhcGV4bWwueG1sUEsFBgAAAAAGAAYAWwEA&#10;ALUDAAAAAA==&#10;" path="m2637,488l0,488,0,0,2637,0,2637,8,15,8,8,15,15,15,15,473,8,473,15,481,2637,481,2637,488xm15,15l8,15,15,8,15,15xm2622,15l15,15,15,8,2622,8,2622,15xm2622,481l2622,8,2630,15,2637,15,2637,473,2630,473,2622,481xm2637,15l2630,15,2622,8,2637,8,2637,15xm15,481l8,473,15,473,15,481xm2622,481l15,481,15,473,2622,473,2622,481xm2637,481l2622,481,2630,473,2637,473,2637,481xe">
                  <v:fill on="t" focussize="0,0"/>
                  <v:stroke on="f"/>
                  <v:imagedata o:title=""/>
                  <o:lock v:ext="edit" aspectratio="f"/>
                </v:shape>
                <v:rect id="_x0000_s1026" o:spid="_x0000_s1026" o:spt="1" style="position:absolute;left:4461;top:398;height:240;width:740;"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40" w:lineRule="exact"/>
                          <w:jc w:val="left"/>
                          <w:rPr>
                            <w:sz w:val="24"/>
                          </w:rPr>
                        </w:pPr>
                        <w:r>
                          <w:rPr>
                            <w:sz w:val="24"/>
                          </w:rPr>
                          <w:t>总经理</w:t>
                        </w:r>
                      </w:p>
                    </w:txbxContent>
                  </v:textbox>
                </v:rect>
                <v:rect id="_x0000_s1026" o:spid="_x0000_s1026" o:spt="1" style="position:absolute;left:4348;top:1397;height:240;width:980;"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jc w:val="left"/>
                          <w:rPr>
                            <w:sz w:val="24"/>
                          </w:rPr>
                        </w:pPr>
                        <w:r>
                          <w:rPr>
                            <w:sz w:val="24"/>
                          </w:rPr>
                          <w:t>副总经理</w:t>
                        </w:r>
                      </w:p>
                    </w:txbxContent>
                  </v:textbox>
                </v:rect>
                <v:rect id="_x0000_s1026" o:spid="_x0000_s1026" o:spt="1" style="position:absolute;left:4269;top:2455;height:240;width:1220;"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jc w:val="left"/>
                          <w:rPr>
                            <w:sz w:val="24"/>
                          </w:rPr>
                        </w:pPr>
                        <w:r>
                          <w:rPr>
                            <w:sz w:val="24"/>
                          </w:rPr>
                          <w:t>安全环保处</w:t>
                        </w:r>
                      </w:p>
                    </w:txbxContent>
                  </v:textbox>
                </v:rect>
                <v:rect id="_x0000_s1026" o:spid="_x0000_s1026" o:spt="1" style="position:absolute;left:6680;top:2438;height:240;width:2378;"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jc w:val="left"/>
                          <w:rPr>
                            <w:sz w:val="24"/>
                          </w:rPr>
                        </w:pPr>
                        <w:r>
                          <w:rPr>
                            <w:rFonts w:hint="eastAsia"/>
                            <w:sz w:val="24"/>
                          </w:rPr>
                          <w:t>岳阳市生态环境局</w:t>
                        </w:r>
                      </w:p>
                    </w:txbxContent>
                  </v:textbox>
                </v:rect>
                <v:rect id="_x0000_s1026" o:spid="_x0000_s1026" o:spt="1" style="position:absolute;left:3936;top:3444;height:240;width:1940;"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jc w:val="left"/>
                          <w:rPr>
                            <w:sz w:val="24"/>
                          </w:rPr>
                        </w:pPr>
                        <w:r>
                          <w:rPr>
                            <w:sz w:val="24"/>
                          </w:rPr>
                          <w:t>车间专职环保人员</w:t>
                        </w:r>
                      </w:p>
                    </w:txbxContent>
                  </v:textbox>
                </v:rect>
                <w10:wrap type="topAndBottom"/>
              </v:group>
            </w:pict>
          </mc:Fallback>
        </mc:AlternateContent>
      </w:r>
    </w:p>
    <w:p>
      <w:pPr>
        <w:pStyle w:val="22"/>
        <w:spacing w:before="11"/>
        <w:rPr>
          <w:sz w:val="22"/>
        </w:rPr>
      </w:pPr>
    </w:p>
    <w:p>
      <w:pPr>
        <w:pStyle w:val="22"/>
        <w:jc w:val="center"/>
      </w:pPr>
      <w:r>
        <w:rPr>
          <w:b/>
          <w:bCs/>
          <w:sz w:val="24"/>
          <w:szCs w:val="32"/>
          <w:lang w:val="zh-CN"/>
        </w:rPr>
        <w:t xml:space="preserve">图 </w:t>
      </w:r>
      <w:r>
        <w:rPr>
          <w:b/>
          <w:bCs/>
          <w:sz w:val="24"/>
          <w:szCs w:val="32"/>
        </w:rPr>
        <w:t>10.1</w:t>
      </w:r>
      <w:r>
        <w:rPr>
          <w:b/>
          <w:bCs/>
          <w:sz w:val="24"/>
          <w:szCs w:val="32"/>
          <w:lang w:val="zh-CN"/>
        </w:rPr>
        <w:t>-1  中国石化有限公司长岭分公司环境保护机构</w:t>
      </w:r>
    </w:p>
    <w:p>
      <w:pPr>
        <w:pStyle w:val="259"/>
        <w:ind w:firstLine="560" w:firstLineChars="0"/>
        <w:rPr>
          <w:rFonts w:ascii="Times New Roman" w:hAnsi="Times New Roman" w:cs="Times New Roman"/>
          <w:szCs w:val="24"/>
        </w:rPr>
      </w:pPr>
      <w:bookmarkStart w:id="547" w:name="_Toc2780"/>
      <w:bookmarkStart w:id="548" w:name="_Toc6978"/>
      <w:bookmarkStart w:id="549" w:name="_Toc4139"/>
      <w:bookmarkStart w:id="550" w:name="_Toc15129"/>
      <w:r>
        <w:rPr>
          <w:rFonts w:ascii="Times New Roman" w:hAnsi="Times New Roman" w:cs="Times New Roman"/>
          <w:szCs w:val="24"/>
        </w:rPr>
        <w:t>长岭分公司的环境管理体制实行公司领导下环境保护责任制，第一级是公司总经理，负责环保总体工作；第二级是主管副总经理，主管全公司的环境保护工作；第三级是公司安环部门，执行公司环境保护的职能；第四级是运行部级安全环保组，执行运行部级环境保护的职能。公司级安全环保部和运行部级安全环保组均设立专职的环保管理人员，负责公司环境保护管理具体工作。</w:t>
      </w:r>
      <w:bookmarkEnd w:id="547"/>
      <w:bookmarkEnd w:id="548"/>
      <w:bookmarkEnd w:id="549"/>
      <w:bookmarkEnd w:id="550"/>
    </w:p>
    <w:p>
      <w:pPr>
        <w:pStyle w:val="22"/>
        <w:spacing w:before="80" w:line="360" w:lineRule="auto"/>
        <w:ind w:firstLine="480" w:firstLineChars="200"/>
        <w:jc w:val="left"/>
        <w:rPr>
          <w:kern w:val="0"/>
          <w:sz w:val="24"/>
          <w:szCs w:val="24"/>
        </w:rPr>
      </w:pPr>
      <w:r>
        <w:rPr>
          <w:kern w:val="0"/>
          <w:sz w:val="24"/>
          <w:szCs w:val="24"/>
        </w:rPr>
        <w:t>结合项目的特点，在项目设立专职、兼职的环保员，负责了解和协调各装置运行过程中有关的环保问题，同时在管理手段上采用计算机网络管理等先进技术。</w:t>
      </w:r>
    </w:p>
    <w:p>
      <w:pPr>
        <w:pStyle w:val="7"/>
        <w:numPr>
          <w:ilvl w:val="2"/>
          <w:numId w:val="0"/>
        </w:numPr>
        <w:spacing w:before="120" w:after="120"/>
        <w:ind w:left="142"/>
      </w:pPr>
      <w:bookmarkStart w:id="551" w:name="_Toc27711"/>
      <w:r>
        <w:t>10.1.2 环保管理机构职责</w:t>
      </w:r>
      <w:bookmarkEnd w:id="545"/>
      <w:bookmarkEnd w:id="546"/>
      <w:bookmarkEnd w:id="551"/>
    </w:p>
    <w:p>
      <w:pPr>
        <w:spacing w:line="360" w:lineRule="auto"/>
        <w:ind w:firstLine="480" w:firstLineChars="200"/>
        <w:rPr>
          <w:rFonts w:ascii="Times New Roman" w:hAnsi="Times New Roman"/>
          <w:sz w:val="24"/>
          <w:szCs w:val="24"/>
        </w:rPr>
      </w:pPr>
      <w:bookmarkStart w:id="552" w:name="_Toc22588"/>
      <w:bookmarkStart w:id="553" w:name="_Toc14953"/>
      <w:r>
        <w:rPr>
          <w:rFonts w:ascii="Times New Roman" w:hAnsi="Times New Roman"/>
          <w:sz w:val="24"/>
          <w:szCs w:val="24"/>
        </w:rPr>
        <w:t>环境管理机构主要职能是：</w:t>
      </w:r>
    </w:p>
    <w:p>
      <w:pPr>
        <w:spacing w:line="360" w:lineRule="auto"/>
        <w:ind w:firstLine="480" w:firstLineChars="200"/>
        <w:rPr>
          <w:rFonts w:ascii="Times New Roman" w:hAnsi="Times New Roman"/>
          <w:sz w:val="24"/>
          <w:szCs w:val="24"/>
        </w:rPr>
      </w:pPr>
      <w:r>
        <w:rPr>
          <w:rFonts w:ascii="Times New Roman" w:hAnsi="Times New Roman"/>
          <w:sz w:val="24"/>
          <w:szCs w:val="24"/>
        </w:rPr>
        <w:t>①贯彻执行环境保护法规和标准；</w:t>
      </w:r>
    </w:p>
    <w:p>
      <w:pPr>
        <w:spacing w:line="360" w:lineRule="auto"/>
        <w:ind w:firstLine="480" w:firstLineChars="200"/>
        <w:rPr>
          <w:rFonts w:ascii="Times New Roman" w:hAnsi="Times New Roman"/>
          <w:sz w:val="24"/>
          <w:szCs w:val="24"/>
        </w:rPr>
      </w:pPr>
      <w:r>
        <w:rPr>
          <w:rFonts w:ascii="Times New Roman" w:hAnsi="Times New Roman"/>
          <w:sz w:val="24"/>
          <w:szCs w:val="24"/>
        </w:rPr>
        <w:t>②制定并组织实施本企业的环境保护规划和计划；</w:t>
      </w:r>
    </w:p>
    <w:p>
      <w:pPr>
        <w:spacing w:line="360" w:lineRule="auto"/>
        <w:ind w:firstLine="480" w:firstLineChars="200"/>
        <w:rPr>
          <w:rFonts w:ascii="Times New Roman" w:hAnsi="Times New Roman"/>
          <w:sz w:val="24"/>
          <w:szCs w:val="24"/>
        </w:rPr>
      </w:pPr>
      <w:r>
        <w:rPr>
          <w:rFonts w:ascii="Times New Roman" w:hAnsi="Times New Roman"/>
          <w:sz w:val="24"/>
          <w:szCs w:val="24"/>
        </w:rPr>
        <w:t>③建立健全本企业的环境管理规章制度；</w:t>
      </w:r>
    </w:p>
    <w:p>
      <w:pPr>
        <w:spacing w:line="360" w:lineRule="auto"/>
        <w:ind w:firstLine="480" w:firstLineChars="200"/>
        <w:rPr>
          <w:rFonts w:ascii="Times New Roman" w:hAnsi="Times New Roman"/>
          <w:sz w:val="24"/>
          <w:szCs w:val="24"/>
        </w:rPr>
      </w:pPr>
      <w:r>
        <w:rPr>
          <w:rFonts w:ascii="Times New Roman" w:hAnsi="Times New Roman"/>
          <w:sz w:val="24"/>
          <w:szCs w:val="24"/>
        </w:rPr>
        <w:t>④监督检查环境保护设施的运行情况；</w:t>
      </w:r>
    </w:p>
    <w:p>
      <w:pPr>
        <w:spacing w:line="360" w:lineRule="auto"/>
        <w:ind w:firstLine="480" w:firstLineChars="200"/>
        <w:rPr>
          <w:rFonts w:ascii="Times New Roman" w:hAnsi="Times New Roman"/>
          <w:sz w:val="24"/>
          <w:szCs w:val="24"/>
        </w:rPr>
      </w:pPr>
      <w:r>
        <w:rPr>
          <w:rFonts w:ascii="Times New Roman" w:hAnsi="Times New Roman"/>
          <w:sz w:val="24"/>
          <w:szCs w:val="24"/>
        </w:rPr>
        <w:t>⑤组织实施企业员工的环境保护教育和培训；</w:t>
      </w:r>
    </w:p>
    <w:p>
      <w:pPr>
        <w:spacing w:line="360" w:lineRule="auto"/>
        <w:ind w:firstLine="480" w:firstLineChars="200"/>
        <w:rPr>
          <w:rFonts w:ascii="Times New Roman" w:hAnsi="Times New Roman"/>
          <w:sz w:val="24"/>
          <w:szCs w:val="24"/>
        </w:rPr>
      </w:pPr>
      <w:r>
        <w:rPr>
          <w:rFonts w:ascii="Times New Roman" w:hAnsi="Times New Roman"/>
          <w:sz w:val="24"/>
          <w:szCs w:val="24"/>
        </w:rPr>
        <w:t>⑥组织和领导全厂环境监测工作；</w:t>
      </w:r>
    </w:p>
    <w:p>
      <w:pPr>
        <w:spacing w:line="360" w:lineRule="auto"/>
        <w:ind w:firstLine="480" w:firstLineChars="200"/>
        <w:rPr>
          <w:rFonts w:ascii="Times New Roman" w:hAnsi="Times New Roman"/>
          <w:sz w:val="24"/>
          <w:szCs w:val="24"/>
        </w:rPr>
      </w:pPr>
      <w:r>
        <w:rPr>
          <w:rFonts w:ascii="Times New Roman" w:hAnsi="Times New Roman"/>
          <w:sz w:val="24"/>
          <w:szCs w:val="24"/>
        </w:rPr>
        <w:t>⑦参与调查处理污染事故和纠纷；</w:t>
      </w:r>
    </w:p>
    <w:p>
      <w:pPr>
        <w:spacing w:line="360" w:lineRule="auto"/>
        <w:ind w:firstLine="480" w:firstLineChars="200"/>
        <w:rPr>
          <w:rFonts w:ascii="Times New Roman" w:hAnsi="Times New Roman"/>
          <w:sz w:val="24"/>
          <w:szCs w:val="24"/>
        </w:rPr>
      </w:pPr>
      <w:r>
        <w:rPr>
          <w:rFonts w:ascii="Times New Roman" w:hAnsi="Times New Roman"/>
          <w:sz w:val="24"/>
          <w:szCs w:val="24"/>
        </w:rPr>
        <w:t>⑧做好环境保护的基础工作和统计工作。</w:t>
      </w:r>
    </w:p>
    <w:p>
      <w:pPr>
        <w:spacing w:line="360" w:lineRule="auto"/>
        <w:ind w:firstLine="480" w:firstLineChars="200"/>
        <w:rPr>
          <w:rFonts w:ascii="Times New Roman" w:hAnsi="Times New Roman"/>
          <w:sz w:val="24"/>
          <w:szCs w:val="24"/>
        </w:rPr>
      </w:pPr>
      <w:r>
        <w:rPr>
          <w:rFonts w:ascii="Times New Roman" w:hAnsi="Times New Roman"/>
          <w:sz w:val="24"/>
          <w:szCs w:val="24"/>
        </w:rPr>
        <w:t>为加强环境管理，项目实施后，应根据国家、地方政府以及企业上级部门颁布的各项环境保护方针、政策和法规，结合本企业的实际情况制定相应环境管理的规章制度。</w:t>
      </w:r>
    </w:p>
    <w:p>
      <w:pPr>
        <w:pStyle w:val="6"/>
        <w:numPr>
          <w:ilvl w:val="1"/>
          <w:numId w:val="0"/>
        </w:numPr>
        <w:spacing w:before="120" w:after="120"/>
      </w:pPr>
      <w:bookmarkStart w:id="554" w:name="_Toc32434"/>
      <w:r>
        <w:t>10.2 施工期的环境管理</w:t>
      </w:r>
      <w:bookmarkEnd w:id="552"/>
      <w:bookmarkEnd w:id="553"/>
      <w:bookmarkEnd w:id="554"/>
    </w:p>
    <w:p>
      <w:pPr>
        <w:spacing w:line="360" w:lineRule="auto"/>
        <w:ind w:firstLine="480" w:firstLineChars="200"/>
        <w:rPr>
          <w:rFonts w:ascii="Times New Roman" w:hAnsi="Times New Roman"/>
          <w:sz w:val="24"/>
          <w:szCs w:val="24"/>
        </w:rPr>
      </w:pPr>
      <w:r>
        <w:rPr>
          <w:rFonts w:ascii="Times New Roman" w:hAnsi="Times New Roman"/>
          <w:sz w:val="24"/>
          <w:szCs w:val="24"/>
        </w:rPr>
        <w:t>为加强施工现场管理，防止施工扬尘污染和施工噪声扰民，本评价对项目施工期环境管理提出如下要求：</w:t>
      </w:r>
    </w:p>
    <w:p>
      <w:pPr>
        <w:spacing w:line="360" w:lineRule="auto"/>
        <w:ind w:firstLine="480" w:firstLineChars="200"/>
        <w:rPr>
          <w:rFonts w:ascii="Times New Roman" w:hAnsi="Times New Roman"/>
          <w:sz w:val="24"/>
          <w:szCs w:val="24"/>
        </w:rPr>
      </w:pPr>
      <w:r>
        <w:rPr>
          <w:rFonts w:ascii="Times New Roman" w:hAnsi="Times New Roman"/>
          <w:sz w:val="24"/>
          <w:szCs w:val="24"/>
        </w:rPr>
        <w:t>（1）项目应配备1名具有环保专业知识的技术人员，专职或兼职负责施工期的环境保护工作，其主要职责如下：</w:t>
      </w:r>
    </w:p>
    <w:p>
      <w:pPr>
        <w:spacing w:line="360" w:lineRule="auto"/>
        <w:ind w:firstLine="480" w:firstLineChars="200"/>
        <w:rPr>
          <w:rFonts w:ascii="Times New Roman" w:hAnsi="Times New Roman"/>
          <w:sz w:val="24"/>
          <w:szCs w:val="24"/>
        </w:rPr>
      </w:pPr>
      <w:r>
        <w:rPr>
          <w:rFonts w:ascii="Times New Roman" w:hAnsi="Times New Roman"/>
          <w:sz w:val="24"/>
          <w:szCs w:val="24"/>
        </w:rPr>
        <w:t>①根据国家及地方政策有关施工管理条例和施工操作规范，结合本工程的特点，制定施工环境管理条例，为施工单位的施工活动提出具体要求；</w:t>
      </w:r>
    </w:p>
    <w:p>
      <w:pPr>
        <w:spacing w:line="360" w:lineRule="auto"/>
        <w:ind w:firstLine="480" w:firstLineChars="200"/>
        <w:rPr>
          <w:rFonts w:ascii="Times New Roman" w:hAnsi="Times New Roman"/>
          <w:sz w:val="24"/>
          <w:szCs w:val="24"/>
        </w:rPr>
      </w:pPr>
      <w:r>
        <w:rPr>
          <w:rFonts w:ascii="Times New Roman" w:hAnsi="Times New Roman"/>
          <w:sz w:val="24"/>
          <w:szCs w:val="24"/>
        </w:rPr>
        <w:t>②监督、检查施工单位对条例的执行情况；</w:t>
      </w:r>
    </w:p>
    <w:p>
      <w:pPr>
        <w:spacing w:line="360" w:lineRule="auto"/>
        <w:ind w:firstLine="480" w:firstLineChars="200"/>
        <w:rPr>
          <w:rFonts w:ascii="Times New Roman" w:hAnsi="Times New Roman"/>
          <w:sz w:val="24"/>
          <w:szCs w:val="24"/>
        </w:rPr>
      </w:pPr>
      <w:r>
        <w:rPr>
          <w:rFonts w:ascii="Times New Roman" w:hAnsi="Times New Roman"/>
          <w:sz w:val="24"/>
          <w:szCs w:val="24"/>
        </w:rPr>
        <w:t>③受理附近居民对施工过程中的环境保护意见，并及时与施工方协商解决；</w:t>
      </w:r>
    </w:p>
    <w:p>
      <w:pPr>
        <w:spacing w:line="360" w:lineRule="auto"/>
        <w:ind w:firstLine="480" w:firstLineChars="200"/>
        <w:rPr>
          <w:rFonts w:ascii="Times New Roman" w:hAnsi="Times New Roman"/>
          <w:sz w:val="24"/>
          <w:szCs w:val="24"/>
        </w:rPr>
      </w:pPr>
      <w:r>
        <w:rPr>
          <w:rFonts w:ascii="Times New Roman" w:hAnsi="Times New Roman"/>
          <w:sz w:val="24"/>
          <w:szCs w:val="24"/>
        </w:rPr>
        <w:t>④参与有关环境纠纷和污染事故的调查处理工作。</w:t>
      </w:r>
    </w:p>
    <w:p>
      <w:pPr>
        <w:spacing w:line="360" w:lineRule="auto"/>
        <w:ind w:firstLine="480" w:firstLineChars="200"/>
        <w:rPr>
          <w:rFonts w:ascii="Times New Roman" w:hAnsi="Times New Roman"/>
          <w:sz w:val="24"/>
          <w:szCs w:val="24"/>
        </w:rPr>
      </w:pPr>
      <w:r>
        <w:rPr>
          <w:rFonts w:ascii="Times New Roman" w:hAnsi="Times New Roman"/>
          <w:sz w:val="24"/>
          <w:szCs w:val="24"/>
        </w:rPr>
        <w:t>（2）施工单位设置一名专职或兼职环境保护人员，其主要职责为：</w:t>
      </w:r>
    </w:p>
    <w:p>
      <w:pPr>
        <w:spacing w:line="360" w:lineRule="auto"/>
        <w:ind w:firstLine="480" w:firstLineChars="200"/>
        <w:rPr>
          <w:rFonts w:ascii="Times New Roman" w:hAnsi="Times New Roman"/>
          <w:sz w:val="24"/>
          <w:szCs w:val="24"/>
        </w:rPr>
      </w:pPr>
      <w:r>
        <w:rPr>
          <w:rFonts w:ascii="Times New Roman" w:hAnsi="Times New Roman"/>
          <w:sz w:val="24"/>
          <w:szCs w:val="24"/>
        </w:rPr>
        <w:t>①按建设单位和环境影响评价要求制定文明施工计划，向当地环保行政部分提交施工阶段环境保护报告。内容应包括：工程进度、主要施工内容及方法、造成的环境影响评述以及减缓环境影响措施的落实情况；</w:t>
      </w:r>
    </w:p>
    <w:p>
      <w:pPr>
        <w:spacing w:line="360" w:lineRule="auto"/>
        <w:ind w:firstLine="480" w:firstLineChars="200"/>
        <w:rPr>
          <w:rFonts w:ascii="Times New Roman" w:hAnsi="Times New Roman"/>
          <w:sz w:val="24"/>
          <w:szCs w:val="24"/>
        </w:rPr>
      </w:pPr>
      <w:r>
        <w:rPr>
          <w:rFonts w:ascii="Times New Roman" w:hAnsi="Times New Roman"/>
          <w:sz w:val="24"/>
          <w:szCs w:val="24"/>
        </w:rPr>
        <w:t>②与业主单位环保人员一同制定本工程施工环境管理条例；</w:t>
      </w:r>
    </w:p>
    <w:p>
      <w:pPr>
        <w:spacing w:line="360" w:lineRule="auto"/>
        <w:ind w:firstLine="480" w:firstLineChars="200"/>
        <w:rPr>
          <w:rFonts w:ascii="Times New Roman" w:hAnsi="Times New Roman"/>
          <w:spacing w:val="8"/>
          <w:sz w:val="24"/>
          <w:szCs w:val="24"/>
        </w:rPr>
      </w:pPr>
      <w:r>
        <w:rPr>
          <w:rFonts w:ascii="Times New Roman" w:hAnsi="Times New Roman"/>
          <w:sz w:val="24"/>
          <w:szCs w:val="24"/>
        </w:rPr>
        <w:t>③</w:t>
      </w:r>
      <w:r>
        <w:rPr>
          <w:rFonts w:ascii="Times New Roman" w:hAnsi="Times New Roman"/>
          <w:spacing w:val="8"/>
          <w:sz w:val="24"/>
          <w:szCs w:val="24"/>
        </w:rPr>
        <w:t>定期检查施工环境管理条例实施情况，并督促有关人员进行整改；</w:t>
      </w:r>
    </w:p>
    <w:p>
      <w:pPr>
        <w:spacing w:line="360" w:lineRule="auto"/>
        <w:ind w:firstLine="480" w:firstLineChars="200"/>
        <w:rPr>
          <w:rFonts w:ascii="Times New Roman" w:hAnsi="Times New Roman"/>
          <w:sz w:val="24"/>
          <w:szCs w:val="24"/>
        </w:rPr>
      </w:pPr>
      <w:r>
        <w:rPr>
          <w:rFonts w:ascii="Times New Roman" w:hAnsi="Times New Roman"/>
          <w:sz w:val="24"/>
          <w:szCs w:val="24"/>
        </w:rPr>
        <w:t>④定期听取环保部门、建设单位和周围居民对施工污染影响的意见，以便进一步加强文明施工。</w:t>
      </w:r>
    </w:p>
    <w:p>
      <w:pPr>
        <w:pStyle w:val="6"/>
        <w:numPr>
          <w:ilvl w:val="1"/>
          <w:numId w:val="0"/>
        </w:numPr>
        <w:spacing w:before="120" w:after="120"/>
      </w:pPr>
      <w:bookmarkStart w:id="555" w:name="_Toc1041"/>
      <w:bookmarkStart w:id="556" w:name="_Toc18193"/>
      <w:bookmarkStart w:id="557" w:name="_Toc22426"/>
      <w:bookmarkStart w:id="558" w:name="_Toc1202"/>
      <w:r>
        <w:t>10.3 污染物排放管理要求</w:t>
      </w:r>
      <w:bookmarkEnd w:id="555"/>
      <w:bookmarkEnd w:id="556"/>
      <w:bookmarkEnd w:id="557"/>
      <w:bookmarkEnd w:id="558"/>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根据《建设项目环境影响评价技术导则 总纲》（HJ2.1-2016）要求，汇总本项目污染物排放管理要求如下：</w:t>
      </w:r>
    </w:p>
    <w:p>
      <w:pPr>
        <w:pStyle w:val="7"/>
        <w:numPr>
          <w:ilvl w:val="2"/>
          <w:numId w:val="0"/>
        </w:numPr>
        <w:spacing w:before="120" w:after="120"/>
      </w:pPr>
      <w:bookmarkStart w:id="559" w:name="_Toc6026"/>
      <w:bookmarkStart w:id="560" w:name="_Toc2525"/>
      <w:bookmarkStart w:id="561" w:name="_Toc19834"/>
      <w:r>
        <w:t>10.3.1 环保措施要求</w:t>
      </w:r>
      <w:bookmarkEnd w:id="559"/>
      <w:bookmarkEnd w:id="560"/>
      <w:bookmarkEnd w:id="561"/>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本项目污染物产生情况及拟采取的治理措施汇总见表9.4.1-1。</w:t>
      </w:r>
    </w:p>
    <w:p>
      <w:pPr>
        <w:pStyle w:val="18"/>
        <w:spacing w:before="120" w:beforeLines="50"/>
      </w:pPr>
      <w:r>
        <w:t xml:space="preserve">表 </w:t>
      </w:r>
      <w:r>
        <w:fldChar w:fldCharType="begin"/>
      </w:r>
      <w:r>
        <w:instrText xml:space="preserve"> STYLEREF 1 \s </w:instrText>
      </w:r>
      <w:r>
        <w:fldChar w:fldCharType="separate"/>
      </w:r>
      <w:r>
        <w:t>0</w:t>
      </w:r>
      <w:r>
        <w:fldChar w:fldCharType="end"/>
      </w:r>
      <w:r>
        <w:t>.4.1-1</w:t>
      </w:r>
      <w:r>
        <w:rPr>
          <w:bCs/>
        </w:rPr>
        <w:t xml:space="preserve">    本项目污染物及采取的治理措施汇总</w:t>
      </w:r>
    </w:p>
    <w:tbl>
      <w:tblPr>
        <w:tblStyle w:val="45"/>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19"/>
        <w:gridCol w:w="1574"/>
        <w:gridCol w:w="3067"/>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75" w:type="dxa"/>
            <w:vAlign w:val="center"/>
          </w:tcPr>
          <w:p>
            <w:pPr>
              <w:snapToGrid w:val="0"/>
              <w:jc w:val="center"/>
              <w:rPr>
                <w:rFonts w:ascii="Times New Roman" w:hAnsi="Times New Roman"/>
                <w:b/>
                <w:bCs/>
              </w:rPr>
            </w:pPr>
            <w:r>
              <w:rPr>
                <w:rFonts w:ascii="Times New Roman" w:hAnsi="Times New Roman"/>
                <w:b/>
                <w:bCs/>
              </w:rPr>
              <w:t>项目</w:t>
            </w:r>
          </w:p>
        </w:tc>
        <w:tc>
          <w:tcPr>
            <w:tcW w:w="2019" w:type="dxa"/>
            <w:vAlign w:val="center"/>
          </w:tcPr>
          <w:p>
            <w:pPr>
              <w:snapToGrid w:val="0"/>
              <w:jc w:val="center"/>
              <w:rPr>
                <w:rFonts w:ascii="Times New Roman" w:hAnsi="Times New Roman"/>
                <w:b/>
                <w:bCs/>
              </w:rPr>
            </w:pPr>
            <w:r>
              <w:rPr>
                <w:rFonts w:ascii="Times New Roman" w:hAnsi="Times New Roman"/>
                <w:b/>
                <w:bCs/>
              </w:rPr>
              <w:t>排放源</w:t>
            </w:r>
          </w:p>
        </w:tc>
        <w:tc>
          <w:tcPr>
            <w:tcW w:w="1574" w:type="dxa"/>
            <w:vAlign w:val="center"/>
          </w:tcPr>
          <w:p>
            <w:pPr>
              <w:snapToGrid w:val="0"/>
              <w:jc w:val="center"/>
              <w:rPr>
                <w:rFonts w:ascii="Times New Roman" w:hAnsi="Times New Roman"/>
                <w:b/>
                <w:bCs/>
              </w:rPr>
            </w:pPr>
            <w:r>
              <w:rPr>
                <w:rFonts w:ascii="Times New Roman" w:hAnsi="Times New Roman"/>
                <w:b/>
                <w:bCs/>
              </w:rPr>
              <w:t>主要污染物</w:t>
            </w:r>
          </w:p>
          <w:p>
            <w:pPr>
              <w:snapToGrid w:val="0"/>
              <w:jc w:val="center"/>
              <w:rPr>
                <w:rFonts w:ascii="Times New Roman" w:hAnsi="Times New Roman"/>
                <w:b/>
                <w:bCs/>
              </w:rPr>
            </w:pPr>
            <w:r>
              <w:rPr>
                <w:rFonts w:ascii="Times New Roman" w:hAnsi="Times New Roman"/>
                <w:b/>
                <w:bCs/>
              </w:rPr>
              <w:t>名称</w:t>
            </w:r>
          </w:p>
        </w:tc>
        <w:tc>
          <w:tcPr>
            <w:tcW w:w="3067" w:type="dxa"/>
            <w:vAlign w:val="center"/>
          </w:tcPr>
          <w:p>
            <w:pPr>
              <w:snapToGrid w:val="0"/>
              <w:jc w:val="center"/>
              <w:rPr>
                <w:rFonts w:ascii="Times New Roman" w:hAnsi="Times New Roman"/>
                <w:b/>
                <w:bCs/>
              </w:rPr>
            </w:pPr>
            <w:r>
              <w:rPr>
                <w:rFonts w:ascii="Times New Roman" w:hAnsi="Times New Roman"/>
                <w:b/>
                <w:bCs/>
              </w:rPr>
              <w:t>治理措施</w:t>
            </w:r>
          </w:p>
        </w:tc>
        <w:tc>
          <w:tcPr>
            <w:tcW w:w="1624" w:type="dxa"/>
            <w:vAlign w:val="center"/>
          </w:tcPr>
          <w:p>
            <w:pPr>
              <w:snapToGrid w:val="0"/>
              <w:jc w:val="center"/>
              <w:rPr>
                <w:rFonts w:ascii="Times New Roman" w:hAnsi="Times New Roman"/>
                <w:b/>
                <w:bCs/>
              </w:rPr>
            </w:pPr>
            <w:r>
              <w:rPr>
                <w:rFonts w:ascii="Times New Roman" w:hAnsi="Times New Roman"/>
                <w:b/>
                <w:bCs/>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75" w:type="dxa"/>
            <w:vAlign w:val="center"/>
          </w:tcPr>
          <w:p>
            <w:pPr>
              <w:snapToGrid w:val="0"/>
              <w:jc w:val="center"/>
              <w:rPr>
                <w:rFonts w:ascii="Times New Roman" w:hAnsi="Times New Roman"/>
              </w:rPr>
            </w:pPr>
            <w:r>
              <w:rPr>
                <w:rFonts w:ascii="Times New Roman" w:hAnsi="Times New Roman"/>
              </w:rPr>
              <w:t>废气</w:t>
            </w:r>
          </w:p>
        </w:tc>
        <w:tc>
          <w:tcPr>
            <w:tcW w:w="2019" w:type="dxa"/>
            <w:vAlign w:val="center"/>
          </w:tcPr>
          <w:p>
            <w:pPr>
              <w:snapToGrid w:val="0"/>
              <w:jc w:val="center"/>
              <w:rPr>
                <w:rFonts w:ascii="Times New Roman" w:hAnsi="Times New Roman"/>
              </w:rPr>
            </w:pPr>
            <w:r>
              <w:rPr>
                <w:rFonts w:ascii="Times New Roman" w:hAnsi="Times New Roman"/>
              </w:rPr>
              <w:t>CFB锅炉烟气</w:t>
            </w:r>
          </w:p>
        </w:tc>
        <w:tc>
          <w:tcPr>
            <w:tcW w:w="1574" w:type="dxa"/>
            <w:vAlign w:val="center"/>
          </w:tcPr>
          <w:p>
            <w:pPr>
              <w:snapToGrid w:val="0"/>
              <w:jc w:val="center"/>
              <w:rPr>
                <w:rFonts w:ascii="Times New Roman" w:hAnsi="Times New Roman"/>
              </w:rPr>
            </w:pPr>
            <w:r>
              <w:rPr>
                <w:rFonts w:ascii="Times New Roman" w:hAnsi="Times New Roman"/>
                <w:spacing w:val="-6"/>
              </w:rPr>
              <w:t>烟尘、SO</w:t>
            </w:r>
            <w:r>
              <w:rPr>
                <w:rFonts w:ascii="Times New Roman" w:hAnsi="Times New Roman"/>
                <w:spacing w:val="-6"/>
                <w:vertAlign w:val="subscript"/>
              </w:rPr>
              <w:t>2</w:t>
            </w:r>
            <w:r>
              <w:rPr>
                <w:rFonts w:ascii="Times New Roman" w:hAnsi="Times New Roman"/>
                <w:spacing w:val="-6"/>
              </w:rPr>
              <w:t>、NO</w:t>
            </w:r>
            <w:r>
              <w:rPr>
                <w:rFonts w:ascii="Times New Roman" w:hAnsi="Times New Roman"/>
                <w:spacing w:val="-6"/>
                <w:vertAlign w:val="subscript"/>
              </w:rPr>
              <w:t>X</w:t>
            </w:r>
            <w:r>
              <w:rPr>
                <w:rFonts w:ascii="Times New Roman" w:hAnsi="Times New Roman"/>
                <w:spacing w:val="-6"/>
              </w:rPr>
              <w:t>、二噁英、重金属</w:t>
            </w:r>
          </w:p>
        </w:tc>
        <w:tc>
          <w:tcPr>
            <w:tcW w:w="3067" w:type="dxa"/>
            <w:vAlign w:val="center"/>
          </w:tcPr>
          <w:p>
            <w:pPr>
              <w:snapToGrid w:val="0"/>
              <w:jc w:val="center"/>
              <w:rPr>
                <w:rFonts w:ascii="Times New Roman" w:hAnsi="Times New Roman"/>
              </w:rPr>
            </w:pPr>
            <w:r>
              <w:rPr>
                <w:rFonts w:ascii="Times New Roman" w:hAnsi="Times New Roman"/>
                <w:spacing w:val="-6"/>
              </w:rPr>
              <w:t>CFB锅炉烟气经燃烧炉炉内脱硫，SCR烟气脱硝+布袋除尘 +石灰石—石膏法湿法脱硫后排放</w:t>
            </w:r>
          </w:p>
        </w:tc>
        <w:tc>
          <w:tcPr>
            <w:tcW w:w="1624" w:type="dxa"/>
            <w:vAlign w:val="center"/>
          </w:tcPr>
          <w:p>
            <w:pPr>
              <w:snapToGrid w:val="0"/>
              <w:jc w:val="center"/>
              <w:rPr>
                <w:rFonts w:ascii="Times New Roman" w:hAnsi="Times New Roman"/>
              </w:rPr>
            </w:pPr>
            <w:r>
              <w:rPr>
                <w:rFonts w:ascii="Times New Roman" w:hAnsi="Times New Roma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trPr>
        <w:tc>
          <w:tcPr>
            <w:tcW w:w="675" w:type="dxa"/>
            <w:vMerge w:val="restart"/>
            <w:vAlign w:val="center"/>
          </w:tcPr>
          <w:p>
            <w:pPr>
              <w:snapToGrid w:val="0"/>
              <w:jc w:val="center"/>
              <w:rPr>
                <w:rFonts w:ascii="Times New Roman" w:hAnsi="Times New Roman"/>
              </w:rPr>
            </w:pPr>
            <w:r>
              <w:rPr>
                <w:rFonts w:ascii="Times New Roman" w:hAnsi="Times New Roman"/>
              </w:rPr>
              <w:t>废水</w:t>
            </w:r>
          </w:p>
        </w:tc>
        <w:tc>
          <w:tcPr>
            <w:tcW w:w="2019" w:type="dxa"/>
            <w:vAlign w:val="center"/>
          </w:tcPr>
          <w:p>
            <w:pPr>
              <w:snapToGrid w:val="0"/>
              <w:jc w:val="center"/>
              <w:rPr>
                <w:rFonts w:ascii="Times New Roman" w:hAnsi="Times New Roman"/>
              </w:rPr>
            </w:pPr>
            <w:r>
              <w:rPr>
                <w:rFonts w:ascii="Times New Roman" w:hAnsi="Times New Roman"/>
              </w:rPr>
              <w:t>CFB锅炉排污水</w:t>
            </w:r>
          </w:p>
        </w:tc>
        <w:tc>
          <w:tcPr>
            <w:tcW w:w="1574" w:type="dxa"/>
            <w:vAlign w:val="center"/>
          </w:tcPr>
          <w:p>
            <w:pPr>
              <w:spacing w:line="240" w:lineRule="exact"/>
              <w:jc w:val="center"/>
              <w:rPr>
                <w:rFonts w:ascii="Times New Roman" w:hAnsi="Times New Roman"/>
              </w:rPr>
            </w:pPr>
            <w:r>
              <w:rPr>
                <w:rFonts w:ascii="Times New Roman" w:hAnsi="Times New Roman"/>
                <w:szCs w:val="21"/>
              </w:rPr>
              <w:t>仅有少量盐分和SS</w:t>
            </w:r>
          </w:p>
        </w:tc>
        <w:tc>
          <w:tcPr>
            <w:tcW w:w="3067" w:type="dxa"/>
            <w:vMerge w:val="restart"/>
            <w:vAlign w:val="center"/>
          </w:tcPr>
          <w:p>
            <w:pPr>
              <w:snapToGrid w:val="0"/>
              <w:jc w:val="center"/>
              <w:rPr>
                <w:rFonts w:ascii="Times New Roman" w:hAnsi="Times New Roman"/>
                <w:spacing w:val="-6"/>
                <w:szCs w:val="24"/>
              </w:rPr>
            </w:pPr>
            <w:r>
              <w:rPr>
                <w:rFonts w:ascii="Times New Roman" w:hAnsi="Times New Roman"/>
              </w:rPr>
              <w:t>进污水处理厂含盐污水处理系统</w:t>
            </w:r>
          </w:p>
        </w:tc>
        <w:tc>
          <w:tcPr>
            <w:tcW w:w="1624" w:type="dxa"/>
            <w:vMerge w:val="restart"/>
            <w:vAlign w:val="center"/>
          </w:tcPr>
          <w:p>
            <w:pPr>
              <w:snapToGrid w:val="0"/>
              <w:jc w:val="center"/>
              <w:rPr>
                <w:rFonts w:ascii="Times New Roman" w:hAnsi="Times New Roman"/>
                <w:szCs w:val="24"/>
              </w:rPr>
            </w:pPr>
            <w:r>
              <w:rPr>
                <w:rFonts w:ascii="Times New Roman" w:hAnsi="Times New Roman"/>
                <w:szCs w:val="24"/>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blHeader/>
        </w:trPr>
        <w:tc>
          <w:tcPr>
            <w:tcW w:w="675" w:type="dxa"/>
            <w:vMerge w:val="continue"/>
            <w:vAlign w:val="center"/>
          </w:tcPr>
          <w:p>
            <w:pPr>
              <w:snapToGrid w:val="0"/>
              <w:jc w:val="center"/>
              <w:rPr>
                <w:rFonts w:ascii="Times New Roman" w:hAnsi="Times New Roman"/>
              </w:rPr>
            </w:pPr>
          </w:p>
        </w:tc>
        <w:tc>
          <w:tcPr>
            <w:tcW w:w="2019" w:type="dxa"/>
            <w:vAlign w:val="center"/>
          </w:tcPr>
          <w:p>
            <w:pPr>
              <w:snapToGrid w:val="0"/>
              <w:jc w:val="center"/>
              <w:rPr>
                <w:rFonts w:ascii="Times New Roman" w:hAnsi="Times New Roman"/>
              </w:rPr>
            </w:pPr>
            <w:r>
              <w:rPr>
                <w:rFonts w:ascii="Times New Roman" w:hAnsi="Times New Roman"/>
              </w:rPr>
              <w:t>CFB烟脱废水</w:t>
            </w:r>
          </w:p>
        </w:tc>
        <w:tc>
          <w:tcPr>
            <w:tcW w:w="1574" w:type="dxa"/>
            <w:vAlign w:val="center"/>
          </w:tcPr>
          <w:p>
            <w:pPr>
              <w:spacing w:line="240" w:lineRule="exact"/>
              <w:jc w:val="center"/>
              <w:rPr>
                <w:rFonts w:ascii="Times New Roman" w:hAnsi="Times New Roman"/>
                <w:szCs w:val="21"/>
              </w:rPr>
            </w:pPr>
            <w:r>
              <w:rPr>
                <w:rFonts w:ascii="Times New Roman" w:hAnsi="Times New Roman"/>
                <w:szCs w:val="21"/>
              </w:rPr>
              <w:t>COD、氨氮、SS</w:t>
            </w:r>
          </w:p>
        </w:tc>
        <w:tc>
          <w:tcPr>
            <w:tcW w:w="3067" w:type="dxa"/>
            <w:vMerge w:val="continue"/>
            <w:vAlign w:val="center"/>
          </w:tcPr>
          <w:p>
            <w:pPr>
              <w:snapToGrid w:val="0"/>
              <w:jc w:val="center"/>
              <w:rPr>
                <w:rFonts w:ascii="Times New Roman" w:hAnsi="Times New Roman"/>
                <w:spacing w:val="-6"/>
                <w:szCs w:val="24"/>
              </w:rPr>
            </w:pPr>
          </w:p>
        </w:tc>
        <w:tc>
          <w:tcPr>
            <w:tcW w:w="1624" w:type="dxa"/>
            <w:vMerge w:val="continue"/>
            <w:vAlign w:val="center"/>
          </w:tcPr>
          <w:p>
            <w:pPr>
              <w:snapToGrid w:val="0"/>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75" w:type="dxa"/>
            <w:vAlign w:val="center"/>
          </w:tcPr>
          <w:p>
            <w:pPr>
              <w:snapToGrid w:val="0"/>
              <w:jc w:val="center"/>
              <w:rPr>
                <w:rFonts w:ascii="Times New Roman" w:hAnsi="Times New Roman"/>
              </w:rPr>
            </w:pPr>
            <w:r>
              <w:rPr>
                <w:rFonts w:ascii="Times New Roman" w:hAnsi="Times New Roman"/>
              </w:rPr>
              <w:t>噪声</w:t>
            </w:r>
          </w:p>
        </w:tc>
        <w:tc>
          <w:tcPr>
            <w:tcW w:w="2019" w:type="dxa"/>
            <w:vAlign w:val="center"/>
          </w:tcPr>
          <w:p>
            <w:pPr>
              <w:snapToGrid w:val="0"/>
              <w:jc w:val="center"/>
              <w:rPr>
                <w:rFonts w:ascii="Times New Roman" w:hAnsi="Times New Roman"/>
              </w:rPr>
            </w:pPr>
            <w:r>
              <w:rPr>
                <w:rFonts w:ascii="Times New Roman" w:hAnsi="Times New Roman"/>
              </w:rPr>
              <w:t>机泵噪声</w:t>
            </w:r>
          </w:p>
        </w:tc>
        <w:tc>
          <w:tcPr>
            <w:tcW w:w="1574" w:type="dxa"/>
            <w:vAlign w:val="center"/>
          </w:tcPr>
          <w:p>
            <w:pPr>
              <w:snapToGrid w:val="0"/>
              <w:jc w:val="center"/>
              <w:rPr>
                <w:rFonts w:ascii="Times New Roman" w:hAnsi="Times New Roman"/>
              </w:rPr>
            </w:pPr>
            <w:r>
              <w:rPr>
                <w:rFonts w:ascii="Times New Roman" w:hAnsi="Times New Roman"/>
              </w:rPr>
              <w:t>昼夜等效连续A声级</w:t>
            </w:r>
          </w:p>
        </w:tc>
        <w:tc>
          <w:tcPr>
            <w:tcW w:w="3067" w:type="dxa"/>
            <w:vAlign w:val="center"/>
          </w:tcPr>
          <w:p>
            <w:pPr>
              <w:snapToGrid w:val="0"/>
              <w:jc w:val="center"/>
              <w:rPr>
                <w:rFonts w:ascii="Times New Roman" w:hAnsi="Times New Roman"/>
              </w:rPr>
            </w:pPr>
            <w:r>
              <w:rPr>
                <w:rFonts w:ascii="Times New Roman" w:hAnsi="Times New Roman"/>
              </w:rPr>
              <w:t>隔声、减震、消声</w:t>
            </w:r>
          </w:p>
        </w:tc>
        <w:tc>
          <w:tcPr>
            <w:tcW w:w="1624" w:type="dxa"/>
            <w:vAlign w:val="center"/>
          </w:tcPr>
          <w:p>
            <w:pPr>
              <w:snapToGrid w:val="0"/>
              <w:jc w:val="center"/>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75" w:type="dxa"/>
            <w:vAlign w:val="center"/>
          </w:tcPr>
          <w:p>
            <w:pPr>
              <w:jc w:val="center"/>
              <w:rPr>
                <w:rFonts w:ascii="Times New Roman" w:hAnsi="Times New Roman"/>
              </w:rPr>
            </w:pPr>
            <w:r>
              <w:rPr>
                <w:rFonts w:ascii="Times New Roman" w:hAnsi="Times New Roman"/>
              </w:rPr>
              <w:t>固体废物</w:t>
            </w:r>
          </w:p>
        </w:tc>
        <w:tc>
          <w:tcPr>
            <w:tcW w:w="2019" w:type="dxa"/>
            <w:vAlign w:val="center"/>
          </w:tcPr>
          <w:p>
            <w:pPr>
              <w:pStyle w:val="2"/>
              <w:ind w:left="0" w:leftChars="0" w:firstLine="0" w:firstLineChars="0"/>
              <w:jc w:val="center"/>
            </w:pPr>
            <w:r>
              <w:rPr>
                <w:spacing w:val="-6"/>
              </w:rPr>
              <w:t>CFB锅炉燃烧产生的炉渣、炉灰和石膏</w:t>
            </w:r>
          </w:p>
        </w:tc>
        <w:tc>
          <w:tcPr>
            <w:tcW w:w="1574" w:type="dxa"/>
            <w:vAlign w:val="center"/>
          </w:tcPr>
          <w:p>
            <w:pPr>
              <w:pStyle w:val="2"/>
              <w:ind w:left="0" w:leftChars="0" w:firstLine="420"/>
            </w:pPr>
            <w:r>
              <w:t>/</w:t>
            </w:r>
          </w:p>
        </w:tc>
        <w:tc>
          <w:tcPr>
            <w:tcW w:w="3067" w:type="dxa"/>
            <w:vAlign w:val="center"/>
          </w:tcPr>
          <w:p>
            <w:pPr>
              <w:snapToGrid w:val="0"/>
              <w:jc w:val="center"/>
              <w:rPr>
                <w:rFonts w:ascii="Times New Roman" w:hAnsi="Times New Roman"/>
                <w:szCs w:val="24"/>
              </w:rPr>
            </w:pPr>
            <w:r>
              <w:rPr>
                <w:rFonts w:ascii="Times New Roman" w:hAnsi="Times New Roman"/>
                <w:spacing w:val="-6"/>
                <w:szCs w:val="24"/>
              </w:rPr>
              <w:t>均属于一般固废，外售水泥厂综合利用</w:t>
            </w:r>
          </w:p>
        </w:tc>
        <w:tc>
          <w:tcPr>
            <w:tcW w:w="1624" w:type="dxa"/>
            <w:vAlign w:val="center"/>
          </w:tcPr>
          <w:p>
            <w:pPr>
              <w:jc w:val="center"/>
              <w:rPr>
                <w:rFonts w:ascii="Times New Roman" w:hAnsi="Times New Roman"/>
              </w:rPr>
            </w:pPr>
            <w:r>
              <w:rPr>
                <w:rFonts w:ascii="Times New Roman" w:hAnsi="Times New Roman"/>
              </w:rPr>
              <w:t>/</w:t>
            </w:r>
          </w:p>
        </w:tc>
      </w:tr>
    </w:tbl>
    <w:p>
      <w:pPr>
        <w:pStyle w:val="7"/>
        <w:numPr>
          <w:ilvl w:val="2"/>
          <w:numId w:val="0"/>
        </w:numPr>
        <w:spacing w:before="120" w:after="120"/>
        <w:ind w:left="142"/>
      </w:pPr>
      <w:bookmarkStart w:id="562" w:name="_Toc32297"/>
      <w:bookmarkStart w:id="563" w:name="_Toc5771"/>
      <w:bookmarkStart w:id="564" w:name="_Toc29067"/>
      <w:r>
        <w:t>10.3.2污染物总量控制指标分析</w:t>
      </w:r>
      <w:bookmarkEnd w:id="562"/>
      <w:bookmarkEnd w:id="563"/>
      <w:bookmarkEnd w:id="564"/>
    </w:p>
    <w:p>
      <w:pPr>
        <w:spacing w:line="360" w:lineRule="auto"/>
        <w:ind w:firstLine="420" w:firstLineChars="200"/>
        <w:jc w:val="left"/>
        <w:rPr>
          <w:rFonts w:ascii="Times New Roman" w:hAnsi="Times New Roman"/>
          <w:sz w:val="24"/>
          <w:szCs w:val="24"/>
        </w:rPr>
      </w:pPr>
      <w:r>
        <w:rPr>
          <w:rFonts w:ascii="Times New Roman" w:hAnsi="Times New Roman"/>
          <w:szCs w:val="24"/>
        </w:rPr>
        <w:t>按照《“十三五”期间全国主要污染物排放总量控制规划》，全国实行排放量控制的主要污染物有COD、氨氮、SO</w:t>
      </w:r>
      <w:r>
        <w:rPr>
          <w:rFonts w:ascii="Times New Roman" w:hAnsi="Times New Roman"/>
          <w:szCs w:val="24"/>
          <w:vertAlign w:val="subscript"/>
        </w:rPr>
        <w:t>2</w:t>
      </w:r>
      <w:r>
        <w:rPr>
          <w:rFonts w:ascii="Times New Roman" w:hAnsi="Times New Roman"/>
          <w:szCs w:val="24"/>
        </w:rPr>
        <w:t>、NO</w:t>
      </w:r>
      <w:r>
        <w:rPr>
          <w:rFonts w:ascii="Times New Roman" w:hAnsi="Times New Roman"/>
          <w:szCs w:val="24"/>
          <w:vertAlign w:val="subscript"/>
        </w:rPr>
        <w:t>X</w:t>
      </w:r>
      <w:r>
        <w:rPr>
          <w:rFonts w:ascii="Times New Roman" w:hAnsi="Times New Roman"/>
          <w:szCs w:val="24"/>
        </w:rPr>
        <w:t>、挥发性有机污染物。结合本项目的污染物特征，确定污染物排放总量控制因子为：</w:t>
      </w:r>
      <w:r>
        <w:rPr>
          <w:rFonts w:ascii="Times New Roman" w:hAnsi="Times New Roman"/>
        </w:rPr>
        <w:t>废水总量控制因子COD、氨氮，废气总量控制因子</w:t>
      </w:r>
      <w:r>
        <w:rPr>
          <w:rFonts w:ascii="Times New Roman" w:hAnsi="Times New Roman"/>
          <w:szCs w:val="24"/>
        </w:rPr>
        <w:t>SO</w:t>
      </w:r>
      <w:r>
        <w:rPr>
          <w:rFonts w:ascii="Times New Roman" w:hAnsi="Times New Roman"/>
          <w:szCs w:val="24"/>
          <w:vertAlign w:val="subscript"/>
        </w:rPr>
        <w:t>2</w:t>
      </w:r>
      <w:r>
        <w:rPr>
          <w:rFonts w:ascii="Times New Roman" w:hAnsi="Times New Roman"/>
          <w:szCs w:val="24"/>
        </w:rPr>
        <w:t>、NO</w:t>
      </w:r>
      <w:r>
        <w:rPr>
          <w:rFonts w:ascii="Times New Roman" w:hAnsi="Times New Roman"/>
          <w:szCs w:val="24"/>
          <w:vertAlign w:val="subscript"/>
        </w:rPr>
        <w:t>X</w:t>
      </w:r>
      <w:r>
        <w:rPr>
          <w:rFonts w:ascii="Times New Roman" w:hAnsi="Times New Roman"/>
          <w:szCs w:val="24"/>
        </w:rPr>
        <w:t>，项目废水主要是CFB锅炉排污水与CFB烟脱废水均进入污水处理厂含盐污水处理系统。项目废气主要为CFB锅炉烟气中SO</w:t>
      </w:r>
      <w:r>
        <w:rPr>
          <w:rFonts w:ascii="Times New Roman" w:hAnsi="Times New Roman"/>
          <w:szCs w:val="24"/>
          <w:vertAlign w:val="subscript"/>
        </w:rPr>
        <w:t>2</w:t>
      </w:r>
      <w:r>
        <w:rPr>
          <w:rFonts w:ascii="Times New Roman" w:hAnsi="Times New Roman"/>
          <w:szCs w:val="24"/>
        </w:rPr>
        <w:t>、NO</w:t>
      </w:r>
      <w:r>
        <w:rPr>
          <w:rFonts w:ascii="Times New Roman" w:hAnsi="Times New Roman"/>
          <w:szCs w:val="24"/>
          <w:vertAlign w:val="subscript"/>
        </w:rPr>
        <w:t>X</w:t>
      </w:r>
      <w:r>
        <w:rPr>
          <w:rFonts w:ascii="Times New Roman" w:hAnsi="Times New Roman"/>
        </w:rPr>
        <w:t>、二噁英、重金属。根据分析数据，项目不新增COD、氨氮、</w:t>
      </w:r>
      <w:r>
        <w:rPr>
          <w:rFonts w:ascii="Times New Roman" w:hAnsi="Times New Roman"/>
          <w:szCs w:val="24"/>
        </w:rPr>
        <w:t>NOx</w:t>
      </w:r>
      <w:r>
        <w:rPr>
          <w:rFonts w:ascii="Times New Roman" w:hAnsi="Times New Roman"/>
        </w:rPr>
        <w:t>排放量，仅新增</w:t>
      </w:r>
      <w:r>
        <w:rPr>
          <w:rFonts w:ascii="Times New Roman" w:hAnsi="Times New Roman"/>
          <w:szCs w:val="24"/>
        </w:rPr>
        <w:t>SO</w:t>
      </w:r>
      <w:r>
        <w:rPr>
          <w:rFonts w:ascii="Times New Roman" w:hAnsi="Times New Roman"/>
          <w:szCs w:val="24"/>
          <w:vertAlign w:val="subscript"/>
        </w:rPr>
        <w:t>2</w:t>
      </w:r>
      <w:r>
        <w:rPr>
          <w:rFonts w:ascii="Times New Roman" w:hAnsi="Times New Roman"/>
        </w:rPr>
        <w:t>26.19</w:t>
      </w:r>
      <w:r>
        <w:rPr>
          <w:rFonts w:ascii="Times New Roman" w:hAnsi="Times New Roman"/>
          <w:sz w:val="24"/>
          <w:szCs w:val="24"/>
        </w:rPr>
        <w:t>t/a，长岭分公司2019年SO</w:t>
      </w:r>
      <w:r>
        <w:rPr>
          <w:rFonts w:ascii="Times New Roman" w:hAnsi="Times New Roman"/>
          <w:sz w:val="24"/>
          <w:szCs w:val="24"/>
          <w:vertAlign w:val="subscript"/>
        </w:rPr>
        <w:t>2</w:t>
      </w:r>
      <w:r>
        <w:rPr>
          <w:rFonts w:ascii="Times New Roman" w:hAnsi="Times New Roman"/>
          <w:sz w:val="24"/>
          <w:szCs w:val="24"/>
        </w:rPr>
        <w:t>排放量为93.69t/a，截至2019年底，项目评价范围内无其他拟建在建污染源，本项目实施后SO</w:t>
      </w:r>
      <w:r>
        <w:rPr>
          <w:rFonts w:ascii="Times New Roman" w:hAnsi="Times New Roman"/>
          <w:sz w:val="24"/>
          <w:szCs w:val="24"/>
          <w:vertAlign w:val="subscript"/>
        </w:rPr>
        <w:t>2</w:t>
      </w:r>
      <w:r>
        <w:rPr>
          <w:rFonts w:ascii="Times New Roman" w:hAnsi="Times New Roman"/>
          <w:sz w:val="24"/>
          <w:szCs w:val="24"/>
        </w:rPr>
        <w:t>排放量为119.88t/a&lt;长岭分公司发放的排污许可证要求：</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1660t/a</w:t>
      </w:r>
      <w:r>
        <w:rPr>
          <w:rFonts w:ascii="Times New Roman" w:hAnsi="Times New Roman"/>
        </w:rPr>
        <w:t>,</w:t>
      </w:r>
      <w:r>
        <w:rPr>
          <w:rFonts w:ascii="Times New Roman" w:hAnsi="Times New Roman"/>
          <w:sz w:val="24"/>
          <w:szCs w:val="24"/>
        </w:rPr>
        <w:t>故不需要新申请总量。</w:t>
      </w:r>
    </w:p>
    <w:p>
      <w:pPr>
        <w:pStyle w:val="6"/>
        <w:numPr>
          <w:ilvl w:val="1"/>
          <w:numId w:val="0"/>
        </w:numPr>
        <w:spacing w:before="120" w:after="120"/>
      </w:pPr>
      <w:bookmarkStart w:id="565" w:name="_Toc3149"/>
      <w:bookmarkStart w:id="566" w:name="_Toc28184"/>
      <w:bookmarkStart w:id="567" w:name="_Toc21451"/>
      <w:bookmarkStart w:id="568" w:name="_Toc499217421"/>
      <w:r>
        <w:t>10.4 排污许可证制度</w:t>
      </w:r>
      <w:bookmarkEnd w:id="565"/>
      <w:bookmarkEnd w:id="566"/>
      <w:bookmarkEnd w:id="567"/>
      <w:bookmarkEnd w:id="568"/>
    </w:p>
    <w:p>
      <w:pPr>
        <w:spacing w:line="360" w:lineRule="auto"/>
        <w:ind w:firstLine="480" w:firstLineChars="200"/>
        <w:rPr>
          <w:rFonts w:ascii="Times New Roman" w:hAnsi="Times New Roman"/>
          <w:sz w:val="24"/>
        </w:rPr>
      </w:pPr>
      <w:r>
        <w:rPr>
          <w:rFonts w:ascii="Times New Roman" w:hAnsi="Times New Roman"/>
          <w:sz w:val="24"/>
        </w:rPr>
        <w:t>目前我国正在推进排污许可制度改革工作。国务院办公厅2016年11月10日颁发《国务院办公厅关于印发控制污染物排放许可制实施方案的通知》（国办发﹝2016﹞81号），指出到2020年，完成覆盖所有固定污染源的排污许可证核发工作，并建立健全企事业单位污染物排放总量控制制度，逐步实现由行政区域污染物排放总量控制向企事业单位污染物排放总量控制转变，控制的范围逐渐统一到固定污染源。</w:t>
      </w:r>
    </w:p>
    <w:p>
      <w:pPr>
        <w:spacing w:line="360" w:lineRule="auto"/>
        <w:ind w:firstLine="480" w:firstLineChars="200"/>
        <w:rPr>
          <w:rFonts w:ascii="Times New Roman" w:hAnsi="Times New Roman"/>
          <w:sz w:val="24"/>
        </w:rPr>
      </w:pPr>
      <w:r>
        <w:rPr>
          <w:rFonts w:ascii="Times New Roman" w:hAnsi="Times New Roman"/>
          <w:sz w:val="24"/>
        </w:rPr>
        <w:t>环境保护部于2016年7月15日发布《关于印发&lt;“十三五”环境影响评价改革实施方案&gt;的通知》（环环评﹝2016﹞95号）中提出：“项目环评重在落实环境质量目标管理要求，优化环保措施，强化环境风险防控，做好与排污许可的衔接。”</w:t>
      </w:r>
    </w:p>
    <w:p>
      <w:pPr>
        <w:spacing w:line="360" w:lineRule="auto"/>
        <w:ind w:firstLine="480" w:firstLineChars="200"/>
        <w:rPr>
          <w:rFonts w:ascii="Times New Roman" w:hAnsi="Times New Roman"/>
          <w:sz w:val="24"/>
        </w:rPr>
      </w:pPr>
      <w:r>
        <w:rPr>
          <w:rFonts w:ascii="Times New Roman" w:hAnsi="Times New Roman"/>
          <w:sz w:val="24"/>
        </w:rPr>
        <w:t>环境保护部办公厅于2017年11月24日印发《关于做好环境影响评价制度与排污许可证衔接相关工作的通知》（环办环评﹝2017﹞84号）中提出：“排污许可制是企事业单位生产运营期排污的法律依据，是确保环境影响评价提出的污染防治设施和措施落实落地的重要保障。”</w:t>
      </w:r>
    </w:p>
    <w:p>
      <w:pPr>
        <w:spacing w:line="360" w:lineRule="auto"/>
        <w:ind w:firstLine="510"/>
        <w:rPr>
          <w:rFonts w:ascii="Times New Roman" w:hAnsi="Times New Roman"/>
          <w:kern w:val="0"/>
          <w:sz w:val="24"/>
          <w:szCs w:val="24"/>
        </w:rPr>
      </w:pPr>
      <w:bookmarkStart w:id="569" w:name="_Toc18722"/>
      <w:bookmarkStart w:id="570" w:name="_Toc32123"/>
      <w:bookmarkStart w:id="571" w:name="_Toc21042"/>
      <w:r>
        <w:rPr>
          <w:rFonts w:ascii="Times New Roman" w:hAnsi="Times New Roman"/>
          <w:kern w:val="0"/>
          <w:sz w:val="24"/>
          <w:szCs w:val="24"/>
        </w:rPr>
        <w:t>项目仅增加少量重金属污染物，不影响公司污染物总量达到岳阳市生态环境局发放的排污许可证要求：SO</w:t>
      </w:r>
      <w:r>
        <w:rPr>
          <w:rFonts w:ascii="Times New Roman" w:hAnsi="Times New Roman"/>
          <w:kern w:val="0"/>
          <w:sz w:val="24"/>
          <w:szCs w:val="24"/>
          <w:vertAlign w:val="subscript"/>
        </w:rPr>
        <w:t>2</w:t>
      </w:r>
      <w:r>
        <w:rPr>
          <w:rFonts w:ascii="Times New Roman" w:hAnsi="Times New Roman"/>
          <w:kern w:val="0"/>
          <w:sz w:val="24"/>
          <w:szCs w:val="24"/>
        </w:rPr>
        <w:t>1660t/a，NOx2000t/a，COD263t/a，氨氮35t/a。</w:t>
      </w:r>
    </w:p>
    <w:p>
      <w:pPr>
        <w:pStyle w:val="6"/>
        <w:numPr>
          <w:ilvl w:val="1"/>
          <w:numId w:val="0"/>
        </w:numPr>
        <w:spacing w:before="120" w:after="120"/>
      </w:pPr>
      <w:r>
        <w:t>10.5 排污口规范化管理</w:t>
      </w:r>
      <w:bookmarkEnd w:id="569"/>
      <w:bookmarkEnd w:id="570"/>
      <w:bookmarkEnd w:id="571"/>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根据国家标准《环境保护图形标志—排放口（源）》和国家环保总局《排污口规范化整治要求（试行）》的技术要求，排污口的规范化要符合环境监管部门的有关要求。</w:t>
      </w:r>
    </w:p>
    <w:p>
      <w:pPr>
        <w:pStyle w:val="7"/>
        <w:numPr>
          <w:ilvl w:val="2"/>
          <w:numId w:val="0"/>
        </w:numPr>
        <w:spacing w:before="120" w:after="120"/>
      </w:pPr>
      <w:bookmarkStart w:id="572" w:name="_Toc27730"/>
      <w:r>
        <w:t>10.5.1 排污口规范化管理的基本原则</w:t>
      </w:r>
      <w:bookmarkEnd w:id="572"/>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（1）向环境排放污染物的排污口必须规范化；</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（2）根据工程的特点，考虑列入总量控制指标的污染物，排放废气、废水排污口为管理的重点；</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（3）排污口应便于采样与计量检测，便于日常现场监督检查。</w:t>
      </w:r>
    </w:p>
    <w:p>
      <w:pPr>
        <w:pStyle w:val="7"/>
        <w:numPr>
          <w:ilvl w:val="2"/>
          <w:numId w:val="0"/>
        </w:numPr>
        <w:spacing w:before="120" w:after="120"/>
      </w:pPr>
      <w:bookmarkStart w:id="573" w:name="_Toc3995"/>
      <w:r>
        <w:t>10.5.2 排污口的技术要求</w:t>
      </w:r>
      <w:bookmarkEnd w:id="573"/>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（1）污水排放的采样点设置应按《污染源监测技术规范》要求，主要设置在企业总排口、污水处理设施的进水和出水口等处。</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（2）设置规范的、便于测量流量、流速的测速段。</w:t>
      </w:r>
    </w:p>
    <w:p>
      <w:pPr>
        <w:pStyle w:val="7"/>
        <w:numPr>
          <w:ilvl w:val="2"/>
          <w:numId w:val="0"/>
        </w:numPr>
        <w:spacing w:before="120" w:after="120"/>
      </w:pPr>
      <w:bookmarkStart w:id="574" w:name="_Toc16880"/>
      <w:r>
        <w:t>10.5.3 排污口立标管理</w:t>
      </w:r>
      <w:bookmarkEnd w:id="574"/>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（1）污染物排放口，应按国家《环境保护图形标志》（15562.1-1995）与GB15562.2-1995的规定，设置国家环保总局统一制作的环境保护图形标志牌；本项目废水处理设施均应设置相应标志，并进行专人管理。</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（2）污染物排放口的环境保护图形标志牌应设置在靠近采样点的醒目处，标志牌设置高度为其上缘距地面约2m，排污口附近1m范围内有建筑物的，设平面式标志牌，无建筑物的设立式标志牌。</w:t>
      </w:r>
    </w:p>
    <w:p>
      <w:pPr>
        <w:pStyle w:val="7"/>
        <w:numPr>
          <w:ilvl w:val="2"/>
          <w:numId w:val="0"/>
        </w:numPr>
        <w:spacing w:before="120" w:after="120"/>
      </w:pPr>
      <w:bookmarkStart w:id="575" w:name="_Toc17105"/>
      <w:r>
        <w:t>10.5.4 污口建档管理</w:t>
      </w:r>
      <w:bookmarkEnd w:id="575"/>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（1）要求使用国家生态环境局统一印制的《中华人民共和国规范化排污口标志牌登记证》，并按要求填写有关内容；</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（2）根据排污口管理档案内容要求，项目建成投产后，应将主要污染物种类、数量、浓度、排放去向、达标情况及设施运行情况记录于档案。</w:t>
      </w:r>
    </w:p>
    <w:p>
      <w:pPr>
        <w:pStyle w:val="6"/>
        <w:numPr>
          <w:ilvl w:val="1"/>
          <w:numId w:val="0"/>
        </w:numPr>
        <w:tabs>
          <w:tab w:val="left" w:pos="656"/>
        </w:tabs>
        <w:spacing w:before="120" w:after="120" w:line="240" w:lineRule="auto"/>
      </w:pPr>
      <w:bookmarkStart w:id="576" w:name="_Toc29506"/>
      <w:r>
        <w:t>10.6 环境监控机构设置</w:t>
      </w:r>
      <w:bookmarkEnd w:id="576"/>
    </w:p>
    <w:p>
      <w:pPr>
        <w:pStyle w:val="22"/>
        <w:spacing w:before="185" w:line="364" w:lineRule="auto"/>
        <w:ind w:right="330" w:firstLine="465"/>
        <w:rPr>
          <w:sz w:val="24"/>
          <w:szCs w:val="24"/>
        </w:rPr>
      </w:pPr>
      <w:bookmarkStart w:id="577" w:name="_Toc162858940"/>
      <w:bookmarkStart w:id="578" w:name="_Toc181015509"/>
      <w:bookmarkStart w:id="579" w:name="_Toc164000638"/>
      <w:bookmarkStart w:id="580" w:name="_Toc160615901"/>
      <w:bookmarkStart w:id="581" w:name="_Toc351971042"/>
      <w:bookmarkStart w:id="582" w:name="_Toc162859026"/>
      <w:bookmarkStart w:id="583" w:name="_Toc162864547"/>
      <w:bookmarkStart w:id="584" w:name="_Toc181686491"/>
      <w:bookmarkStart w:id="585" w:name="_Toc160145980"/>
      <w:bookmarkStart w:id="586" w:name="_Toc160508037"/>
      <w:bookmarkStart w:id="587" w:name="_Toc11975"/>
      <w:bookmarkStart w:id="588" w:name="_Toc403223326"/>
      <w:bookmarkStart w:id="589" w:name="_Toc161056747"/>
      <w:bookmarkStart w:id="590" w:name="_Toc213667825"/>
      <w:bookmarkStart w:id="591" w:name="_Toc180808323"/>
      <w:bookmarkStart w:id="592" w:name="_Toc162857339"/>
      <w:bookmarkStart w:id="593" w:name="_Toc20738"/>
      <w:bookmarkStart w:id="594" w:name="_Toc162858758"/>
      <w:bookmarkStart w:id="595" w:name="_Toc182638524"/>
      <w:bookmarkStart w:id="596" w:name="_Toc5541"/>
      <w:r>
        <w:rPr>
          <w:sz w:val="24"/>
          <w:szCs w:val="24"/>
        </w:rPr>
        <w:t>长岭分公司下设环境监测站，负责厂区的环境监测工作，其工作用房面积、定员、仪器已符合《石油化工企业环境保护监测工作规定》三级站要求。本项目依托该监测站对日常监测负责。</w:t>
      </w:r>
    </w:p>
    <w:p>
      <w:pPr>
        <w:pStyle w:val="22"/>
        <w:spacing w:line="364" w:lineRule="auto"/>
        <w:ind w:right="191" w:firstLine="465"/>
        <w:rPr>
          <w:sz w:val="24"/>
          <w:szCs w:val="24"/>
        </w:rPr>
      </w:pPr>
      <w:r>
        <w:rPr>
          <w:sz w:val="24"/>
          <w:szCs w:val="24"/>
        </w:rPr>
        <w:t>该环境监测站主要职责和任务是：对装置生产活动中排污状况（污染源和主要污染物）、环保设施运行情况及所辖区域的主要环境要素等进行监测分析，并为环境保护管理部门及时提供有关情况和数据资料。</w:t>
      </w:r>
    </w:p>
    <w:p>
      <w:pPr>
        <w:rPr>
          <w:rFonts w:ascii="Times New Roman" w:hAnsi="Times New Roman"/>
          <w:sz w:val="2"/>
          <w:szCs w:val="2"/>
        </w:rPr>
      </w:pPr>
    </w:p>
    <w:p>
      <w:pPr>
        <w:pStyle w:val="7"/>
        <w:numPr>
          <w:ilvl w:val="2"/>
          <w:numId w:val="0"/>
        </w:numPr>
        <w:spacing w:before="120" w:after="120" w:line="240" w:lineRule="auto"/>
      </w:pPr>
      <w:bookmarkStart w:id="597" w:name="_Toc6310"/>
      <w:r>
        <w:t>10.6.1 监测计划</w:t>
      </w:r>
      <w:bookmarkEnd w:id="597"/>
    </w:p>
    <w:p>
      <w:pPr>
        <w:pStyle w:val="22"/>
        <w:spacing w:before="185" w:line="364" w:lineRule="auto"/>
        <w:ind w:right="330" w:firstLine="465"/>
        <w:rPr>
          <w:sz w:val="24"/>
          <w:szCs w:val="24"/>
        </w:rPr>
      </w:pPr>
      <w:r>
        <w:rPr>
          <w:sz w:val="24"/>
          <w:szCs w:val="24"/>
        </w:rPr>
        <w:t>本次工程建成运行后的污染源日常监测可由环境监测站实施。为了加强环境管理，较为准确客观地掌握其污染物的排放情况， 为了加强环境管理，较为准确客观地掌握其污染物的排放情况，本评价特提出环境监测计划如表 9.7.1-1。在事故或非正常工况下要增加监测频次。</w:t>
      </w:r>
    </w:p>
    <w:p>
      <w:pPr>
        <w:tabs>
          <w:tab w:val="left" w:pos="1250"/>
        </w:tabs>
        <w:spacing w:after="3" w:line="268" w:lineRule="exact"/>
        <w:ind w:left="234"/>
        <w:jc w:val="center"/>
        <w:rPr>
          <w:rFonts w:ascii="Times New Roman" w:hAnsi="Times New Roman"/>
        </w:rPr>
      </w:pPr>
    </w:p>
    <w:p>
      <w:pPr>
        <w:tabs>
          <w:tab w:val="left" w:pos="1250"/>
        </w:tabs>
        <w:spacing w:before="160" w:after="3"/>
        <w:ind w:left="234"/>
        <w:jc w:val="center"/>
        <w:rPr>
          <w:rFonts w:ascii="Times New Roman" w:hAnsi="Times New Roman"/>
          <w:b/>
          <w:bCs/>
          <w:sz w:val="24"/>
          <w:szCs w:val="24"/>
        </w:rPr>
      </w:pPr>
    </w:p>
    <w:p>
      <w:pPr>
        <w:tabs>
          <w:tab w:val="left" w:pos="1250"/>
        </w:tabs>
        <w:spacing w:before="160" w:after="3"/>
        <w:ind w:left="234"/>
        <w:jc w:val="center"/>
        <w:rPr>
          <w:rFonts w:ascii="Times New Roman" w:hAnsi="Times New Roman"/>
          <w:b/>
          <w:bCs/>
          <w:sz w:val="24"/>
          <w:szCs w:val="24"/>
        </w:rPr>
      </w:pPr>
    </w:p>
    <w:p>
      <w:pPr>
        <w:tabs>
          <w:tab w:val="left" w:pos="1250"/>
        </w:tabs>
        <w:spacing w:before="160" w:after="3"/>
        <w:ind w:left="234"/>
        <w:jc w:val="center"/>
        <w:rPr>
          <w:rFonts w:ascii="Times New Roman" w:hAnsi="Times New Roman"/>
          <w:b/>
          <w:bCs/>
          <w:sz w:val="24"/>
          <w:szCs w:val="24"/>
        </w:rPr>
      </w:pPr>
    </w:p>
    <w:p>
      <w:pPr>
        <w:tabs>
          <w:tab w:val="left" w:pos="1250"/>
        </w:tabs>
        <w:spacing w:before="160" w:after="3"/>
        <w:ind w:left="234"/>
        <w:jc w:val="center"/>
        <w:rPr>
          <w:rFonts w:ascii="Times New Roman" w:hAnsi="Times New Roman"/>
          <w:b/>
          <w:bCs/>
          <w:sz w:val="24"/>
          <w:szCs w:val="24"/>
        </w:rPr>
      </w:pPr>
      <w:r>
        <w:rPr>
          <w:rFonts w:ascii="Times New Roman" w:hAnsi="Times New Roman"/>
          <w:b/>
          <w:bCs/>
          <w:sz w:val="24"/>
          <w:szCs w:val="24"/>
        </w:rPr>
        <w:t>表 9.7.1-1</w:t>
      </w:r>
      <w:r>
        <w:rPr>
          <w:rFonts w:ascii="Times New Roman" w:hAnsi="Times New Roman"/>
          <w:b/>
          <w:bCs/>
          <w:sz w:val="24"/>
          <w:szCs w:val="24"/>
        </w:rPr>
        <w:tab/>
      </w:r>
      <w:r>
        <w:rPr>
          <w:rFonts w:ascii="Times New Roman" w:hAnsi="Times New Roman"/>
          <w:b/>
          <w:bCs/>
          <w:sz w:val="24"/>
          <w:szCs w:val="24"/>
        </w:rPr>
        <w:t>本项目污染源监测计划一览表</w:t>
      </w:r>
    </w:p>
    <w:tbl>
      <w:tblPr>
        <w:tblStyle w:val="45"/>
        <w:tblW w:w="8946" w:type="dxa"/>
        <w:tblInd w:w="285"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156"/>
        <w:gridCol w:w="2496"/>
        <w:gridCol w:w="2977"/>
        <w:gridCol w:w="1738"/>
        <w:gridCol w:w="579"/>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156" w:type="dxa"/>
            <w:tcBorders>
              <w:bottom w:val="single" w:color="000000" w:sz="6" w:space="0"/>
              <w:right w:val="single" w:color="000000" w:sz="6" w:space="0"/>
            </w:tcBorders>
            <w:vAlign w:val="center"/>
          </w:tcPr>
          <w:p>
            <w:pPr>
              <w:pStyle w:val="247"/>
              <w:spacing w:before="59"/>
              <w:ind w:left="229" w:right="192"/>
              <w:rPr>
                <w:rFonts w:eastAsia="宋体"/>
                <w:b/>
              </w:rPr>
            </w:pPr>
            <w:r>
              <w:rPr>
                <w:rFonts w:eastAsia="宋体"/>
                <w:b/>
              </w:rPr>
              <w:t>内容</w:t>
            </w:r>
          </w:p>
        </w:tc>
        <w:tc>
          <w:tcPr>
            <w:tcW w:w="2496" w:type="dxa"/>
            <w:tcBorders>
              <w:left w:val="single" w:color="000000" w:sz="6" w:space="0"/>
              <w:bottom w:val="single" w:color="000000" w:sz="6" w:space="0"/>
              <w:right w:val="single" w:color="000000" w:sz="6" w:space="0"/>
            </w:tcBorders>
            <w:vAlign w:val="center"/>
          </w:tcPr>
          <w:p>
            <w:pPr>
              <w:pStyle w:val="247"/>
              <w:spacing w:before="59"/>
              <w:ind w:left="208" w:right="178"/>
              <w:rPr>
                <w:rFonts w:eastAsia="宋体"/>
                <w:b/>
              </w:rPr>
            </w:pPr>
            <w:r>
              <w:rPr>
                <w:rFonts w:eastAsia="宋体"/>
                <w:b/>
              </w:rPr>
              <w:t>监测点</w:t>
            </w:r>
          </w:p>
        </w:tc>
        <w:tc>
          <w:tcPr>
            <w:tcW w:w="2977" w:type="dxa"/>
            <w:tcBorders>
              <w:left w:val="single" w:color="000000" w:sz="6" w:space="0"/>
              <w:bottom w:val="single" w:color="000000" w:sz="6" w:space="0"/>
              <w:right w:val="single" w:color="000000" w:sz="6" w:space="0"/>
            </w:tcBorders>
            <w:vAlign w:val="center"/>
          </w:tcPr>
          <w:p>
            <w:pPr>
              <w:pStyle w:val="247"/>
              <w:spacing w:before="59"/>
              <w:ind w:left="319" w:right="291"/>
              <w:rPr>
                <w:rFonts w:eastAsia="宋体"/>
                <w:b/>
              </w:rPr>
            </w:pPr>
            <w:r>
              <w:rPr>
                <w:rFonts w:eastAsia="宋体"/>
                <w:b/>
              </w:rPr>
              <w:t>监测项目</w:t>
            </w:r>
          </w:p>
        </w:tc>
        <w:tc>
          <w:tcPr>
            <w:tcW w:w="1738" w:type="dxa"/>
            <w:tcBorders>
              <w:left w:val="single" w:color="000000" w:sz="6" w:space="0"/>
              <w:bottom w:val="single" w:color="000000" w:sz="6" w:space="0"/>
              <w:right w:val="single" w:color="000000" w:sz="6" w:space="0"/>
            </w:tcBorders>
            <w:vAlign w:val="center"/>
          </w:tcPr>
          <w:p>
            <w:pPr>
              <w:pStyle w:val="247"/>
              <w:spacing w:before="59"/>
              <w:ind w:left="271" w:right="240"/>
              <w:rPr>
                <w:rFonts w:eastAsia="宋体"/>
                <w:b/>
              </w:rPr>
            </w:pPr>
            <w:r>
              <w:rPr>
                <w:rFonts w:eastAsia="宋体"/>
                <w:b/>
              </w:rPr>
              <w:t>监测频次</w:t>
            </w:r>
          </w:p>
        </w:tc>
        <w:tc>
          <w:tcPr>
            <w:tcW w:w="579" w:type="dxa"/>
            <w:tcBorders>
              <w:left w:val="single" w:color="000000" w:sz="6" w:space="0"/>
              <w:bottom w:val="single" w:color="000000" w:sz="6" w:space="0"/>
            </w:tcBorders>
            <w:vAlign w:val="center"/>
          </w:tcPr>
          <w:p>
            <w:pPr>
              <w:pStyle w:val="247"/>
              <w:spacing w:before="59"/>
              <w:ind w:left="0"/>
              <w:jc w:val="both"/>
              <w:rPr>
                <w:rFonts w:eastAsia="宋体"/>
                <w:b/>
              </w:rPr>
            </w:pPr>
            <w:r>
              <w:rPr>
                <w:rFonts w:eastAsia="宋体"/>
                <w:b/>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69" w:hRule="atLeast"/>
        </w:trPr>
        <w:tc>
          <w:tcPr>
            <w:tcW w:w="1156" w:type="dxa"/>
            <w:vMerge w:val="restart"/>
            <w:tcBorders>
              <w:top w:val="single" w:color="000000" w:sz="6" w:space="0"/>
              <w:right w:val="single" w:color="000000" w:sz="6" w:space="0"/>
            </w:tcBorders>
            <w:vAlign w:val="center"/>
          </w:tcPr>
          <w:p>
            <w:pPr>
              <w:pStyle w:val="247"/>
              <w:spacing w:before="118"/>
              <w:ind w:left="208" w:right="181"/>
              <w:rPr>
                <w:rFonts w:eastAsia="宋体"/>
              </w:rPr>
            </w:pPr>
            <w:r>
              <w:rPr>
                <w:rFonts w:eastAsia="宋体"/>
              </w:rPr>
              <w:t>大气</w:t>
            </w:r>
          </w:p>
        </w:tc>
        <w:tc>
          <w:tcPr>
            <w:tcW w:w="2496" w:type="dxa"/>
            <w:tcBorders>
              <w:top w:val="single" w:color="000000" w:sz="6" w:space="0"/>
              <w:left w:val="single" w:color="000000" w:sz="6" w:space="0"/>
              <w:bottom w:val="single" w:color="auto" w:sz="4" w:space="0"/>
              <w:right w:val="single" w:color="000000" w:sz="6" w:space="0"/>
            </w:tcBorders>
            <w:vAlign w:val="center"/>
          </w:tcPr>
          <w:p>
            <w:pPr>
              <w:pStyle w:val="65"/>
              <w:tabs>
                <w:tab w:val="left" w:pos="360"/>
                <w:tab w:val="left" w:pos="6300"/>
              </w:tabs>
              <w:rPr>
                <w:sz w:val="21"/>
                <w:szCs w:val="22"/>
              </w:rPr>
            </w:pPr>
            <w:r>
              <w:rPr>
                <w:rFonts w:hint="eastAsia"/>
                <w:sz w:val="21"/>
                <w:szCs w:val="22"/>
                <w:lang w:val="en-US" w:eastAsia="zh-CN"/>
              </w:rPr>
              <w:t>无组织：厂界</w:t>
            </w:r>
          </w:p>
        </w:tc>
        <w:tc>
          <w:tcPr>
            <w:tcW w:w="2977" w:type="dxa"/>
            <w:tcBorders>
              <w:top w:val="single" w:color="000000" w:sz="6" w:space="0"/>
              <w:left w:val="single" w:color="000000" w:sz="6" w:space="0"/>
              <w:bottom w:val="single" w:color="auto" w:sz="4" w:space="0"/>
              <w:right w:val="single" w:color="000000" w:sz="6" w:space="0"/>
            </w:tcBorders>
            <w:vAlign w:val="center"/>
          </w:tcPr>
          <w:p>
            <w:pPr>
              <w:pStyle w:val="65"/>
              <w:tabs>
                <w:tab w:val="left" w:pos="360"/>
                <w:tab w:val="left" w:pos="6300"/>
              </w:tabs>
              <w:rPr>
                <w:rFonts w:hint="eastAsia" w:eastAsia="宋体"/>
                <w:sz w:val="21"/>
                <w:szCs w:val="22"/>
                <w:lang w:eastAsia="zh-CN"/>
              </w:rPr>
            </w:pPr>
            <w:r>
              <w:rPr>
                <w:rFonts w:hint="eastAsia"/>
                <w:sz w:val="21"/>
                <w:szCs w:val="22"/>
                <w:lang w:val="en-US" w:eastAsia="zh-CN"/>
              </w:rPr>
              <w:t>硫化氢、氨、臭气浓度、颗粒物</w:t>
            </w:r>
          </w:p>
        </w:tc>
        <w:tc>
          <w:tcPr>
            <w:tcW w:w="1738" w:type="dxa"/>
            <w:tcBorders>
              <w:top w:val="single" w:color="000000" w:sz="6" w:space="0"/>
              <w:left w:val="single" w:color="000000" w:sz="6" w:space="0"/>
              <w:bottom w:val="single" w:color="auto" w:sz="4" w:space="0"/>
              <w:right w:val="single" w:color="000000" w:sz="6" w:space="0"/>
            </w:tcBorders>
            <w:vAlign w:val="center"/>
          </w:tcPr>
          <w:p>
            <w:pPr>
              <w:pStyle w:val="65"/>
              <w:tabs>
                <w:tab w:val="left" w:pos="360"/>
                <w:tab w:val="left" w:pos="6300"/>
              </w:tabs>
              <w:rPr>
                <w:sz w:val="21"/>
                <w:szCs w:val="22"/>
              </w:rPr>
            </w:pPr>
            <w:r>
              <w:rPr>
                <w:sz w:val="21"/>
                <w:szCs w:val="22"/>
              </w:rPr>
              <w:t>1次/半年</w:t>
            </w:r>
            <w:r>
              <w:rPr>
                <w:rFonts w:hint="eastAsia"/>
                <w:sz w:val="21"/>
                <w:szCs w:val="22"/>
                <w:lang w:eastAsia="zh-CN"/>
              </w:rPr>
              <w:t>（</w:t>
            </w:r>
            <w:r>
              <w:rPr>
                <w:rFonts w:hint="eastAsia"/>
                <w:sz w:val="21"/>
                <w:szCs w:val="22"/>
                <w:lang w:val="en-US" w:eastAsia="zh-CN"/>
              </w:rPr>
              <w:t>颗粒物：</w:t>
            </w:r>
            <w:r>
              <w:rPr>
                <w:sz w:val="21"/>
                <w:szCs w:val="22"/>
              </w:rPr>
              <w:t>1次/</w:t>
            </w:r>
            <w:r>
              <w:rPr>
                <w:rFonts w:hint="eastAsia"/>
                <w:sz w:val="21"/>
                <w:szCs w:val="22"/>
                <w:lang w:val="en-US" w:eastAsia="zh-CN"/>
              </w:rPr>
              <w:t>季度</w:t>
            </w:r>
            <w:r>
              <w:rPr>
                <w:rFonts w:hint="eastAsia"/>
                <w:sz w:val="21"/>
                <w:szCs w:val="22"/>
                <w:lang w:eastAsia="zh-CN"/>
              </w:rPr>
              <w:t>）</w:t>
            </w:r>
          </w:p>
        </w:tc>
        <w:tc>
          <w:tcPr>
            <w:tcW w:w="579" w:type="dxa"/>
            <w:vMerge w:val="restart"/>
            <w:tcBorders>
              <w:top w:val="nil"/>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07" w:hRule="atLeast"/>
        </w:trPr>
        <w:tc>
          <w:tcPr>
            <w:tcW w:w="1156" w:type="dxa"/>
            <w:vMerge w:val="continue"/>
            <w:tcBorders>
              <w:bottom w:val="single" w:color="000000" w:sz="6" w:space="0"/>
              <w:right w:val="single" w:color="000000" w:sz="6" w:space="0"/>
            </w:tcBorders>
            <w:vAlign w:val="center"/>
          </w:tcPr>
          <w:p>
            <w:pPr>
              <w:pStyle w:val="247"/>
              <w:spacing w:before="118"/>
              <w:ind w:left="208" w:right="181"/>
              <w:rPr>
                <w:rFonts w:eastAsia="宋体"/>
              </w:rPr>
            </w:pPr>
          </w:p>
        </w:tc>
        <w:tc>
          <w:tcPr>
            <w:tcW w:w="2496" w:type="dxa"/>
            <w:vMerge w:val="restart"/>
            <w:tcBorders>
              <w:top w:val="single" w:color="auto" w:sz="4" w:space="0"/>
              <w:left w:val="single" w:color="000000" w:sz="6" w:space="0"/>
              <w:right w:val="single" w:color="000000" w:sz="6" w:space="0"/>
            </w:tcBorders>
            <w:vAlign w:val="center"/>
          </w:tcPr>
          <w:p>
            <w:pPr>
              <w:pStyle w:val="65"/>
              <w:tabs>
                <w:tab w:val="left" w:pos="360"/>
                <w:tab w:val="left" w:pos="6300"/>
              </w:tabs>
              <w:rPr>
                <w:rFonts w:hint="eastAsia"/>
                <w:sz w:val="21"/>
                <w:szCs w:val="22"/>
                <w:lang w:val="en-US" w:eastAsia="zh-CN"/>
              </w:rPr>
            </w:pPr>
            <w:r>
              <w:rPr>
                <w:rFonts w:hint="eastAsia"/>
                <w:sz w:val="21"/>
                <w:szCs w:val="22"/>
                <w:lang w:val="en-US" w:eastAsia="zh-CN"/>
              </w:rPr>
              <w:t>有组织:</w:t>
            </w:r>
            <w:r>
              <w:rPr>
                <w:sz w:val="21"/>
                <w:szCs w:val="22"/>
              </w:rPr>
              <w:t>CFB锅炉</w:t>
            </w:r>
          </w:p>
        </w:tc>
        <w:tc>
          <w:tcPr>
            <w:tcW w:w="2977" w:type="dxa"/>
            <w:tcBorders>
              <w:top w:val="single" w:color="auto" w:sz="4" w:space="0"/>
              <w:left w:val="single" w:color="000000" w:sz="6" w:space="0"/>
              <w:bottom w:val="single" w:color="auto" w:sz="4" w:space="0"/>
              <w:right w:val="single" w:color="000000" w:sz="6" w:space="0"/>
            </w:tcBorders>
            <w:vAlign w:val="center"/>
          </w:tcPr>
          <w:p>
            <w:pPr>
              <w:pStyle w:val="65"/>
              <w:tabs>
                <w:tab w:val="left" w:pos="360"/>
                <w:tab w:val="left" w:pos="6300"/>
              </w:tabs>
              <w:rPr>
                <w:rFonts w:hint="default" w:eastAsia="宋体"/>
                <w:sz w:val="21"/>
                <w:szCs w:val="22"/>
                <w:lang w:val="en-US" w:eastAsia="zh-CN"/>
              </w:rPr>
            </w:pPr>
            <w:r>
              <w:rPr>
                <w:sz w:val="21"/>
                <w:szCs w:val="22"/>
              </w:rPr>
              <w:t>二噁英、</w:t>
            </w:r>
            <w:r>
              <w:rPr>
                <w:rFonts w:hint="eastAsia"/>
                <w:sz w:val="21"/>
                <w:szCs w:val="22"/>
                <w:lang w:val="en-US" w:eastAsia="zh-CN"/>
              </w:rPr>
              <w:t>镍</w:t>
            </w:r>
          </w:p>
        </w:tc>
        <w:tc>
          <w:tcPr>
            <w:tcW w:w="1738" w:type="dxa"/>
            <w:tcBorders>
              <w:top w:val="single" w:color="auto" w:sz="4" w:space="0"/>
              <w:left w:val="single" w:color="000000" w:sz="6" w:space="0"/>
              <w:bottom w:val="single" w:color="auto" w:sz="4" w:space="0"/>
              <w:right w:val="single" w:color="000000" w:sz="6" w:space="0"/>
            </w:tcBorders>
            <w:vAlign w:val="center"/>
          </w:tcPr>
          <w:p>
            <w:pPr>
              <w:pStyle w:val="65"/>
              <w:tabs>
                <w:tab w:val="left" w:pos="360"/>
                <w:tab w:val="left" w:pos="6300"/>
              </w:tabs>
              <w:rPr>
                <w:sz w:val="21"/>
                <w:szCs w:val="22"/>
              </w:rPr>
            </w:pPr>
            <w:r>
              <w:rPr>
                <w:sz w:val="21"/>
                <w:szCs w:val="22"/>
              </w:rPr>
              <w:t>1次/半年</w:t>
            </w:r>
          </w:p>
        </w:tc>
        <w:tc>
          <w:tcPr>
            <w:tcW w:w="579" w:type="dxa"/>
            <w:vMerge w:val="continue"/>
            <w:tcBorders>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83" w:hRule="atLeast"/>
        </w:trPr>
        <w:tc>
          <w:tcPr>
            <w:tcW w:w="1156" w:type="dxa"/>
            <w:vMerge w:val="continue"/>
            <w:tcBorders>
              <w:bottom w:val="single" w:color="000000" w:sz="6" w:space="0"/>
              <w:right w:val="single" w:color="000000" w:sz="6" w:space="0"/>
            </w:tcBorders>
            <w:vAlign w:val="center"/>
          </w:tcPr>
          <w:p>
            <w:pPr>
              <w:pStyle w:val="247"/>
              <w:spacing w:before="118"/>
              <w:ind w:left="208" w:right="181"/>
              <w:rPr>
                <w:rFonts w:eastAsia="宋体"/>
              </w:rPr>
            </w:pPr>
          </w:p>
        </w:tc>
        <w:tc>
          <w:tcPr>
            <w:tcW w:w="2496" w:type="dxa"/>
            <w:vMerge w:val="continue"/>
            <w:tcBorders>
              <w:left w:val="single" w:color="000000" w:sz="6" w:space="0"/>
              <w:right w:val="single" w:color="000000" w:sz="6" w:space="0"/>
            </w:tcBorders>
            <w:vAlign w:val="center"/>
          </w:tcPr>
          <w:p>
            <w:pPr>
              <w:pStyle w:val="65"/>
              <w:tabs>
                <w:tab w:val="left" w:pos="360"/>
                <w:tab w:val="left" w:pos="6300"/>
              </w:tabs>
              <w:rPr>
                <w:rFonts w:hint="eastAsia"/>
                <w:sz w:val="21"/>
                <w:szCs w:val="22"/>
                <w:lang w:val="en-US" w:eastAsia="zh-CN"/>
              </w:rPr>
            </w:pPr>
          </w:p>
        </w:tc>
        <w:tc>
          <w:tcPr>
            <w:tcW w:w="2977" w:type="dxa"/>
            <w:tcBorders>
              <w:top w:val="single" w:color="auto" w:sz="4" w:space="0"/>
              <w:left w:val="single" w:color="000000" w:sz="6" w:space="0"/>
              <w:bottom w:val="single" w:color="auto" w:sz="4" w:space="0"/>
              <w:right w:val="single" w:color="000000" w:sz="6" w:space="0"/>
            </w:tcBorders>
            <w:vAlign w:val="center"/>
          </w:tcPr>
          <w:p>
            <w:pPr>
              <w:pStyle w:val="65"/>
              <w:tabs>
                <w:tab w:val="left" w:pos="360"/>
                <w:tab w:val="left" w:pos="6300"/>
              </w:tabs>
              <w:rPr>
                <w:rFonts w:hint="eastAsia" w:eastAsia="宋体"/>
                <w:sz w:val="21"/>
                <w:szCs w:val="22"/>
                <w:lang w:val="en-US" w:eastAsia="zh-CN"/>
              </w:rPr>
            </w:pPr>
            <w:r>
              <w:rPr>
                <w:sz w:val="21"/>
                <w:szCs w:val="22"/>
              </w:rPr>
              <w:t>SO</w:t>
            </w:r>
            <w:r>
              <w:rPr>
                <w:sz w:val="21"/>
                <w:szCs w:val="22"/>
                <w:vertAlign w:val="subscript"/>
              </w:rPr>
              <w:t>2</w:t>
            </w:r>
            <w:r>
              <w:rPr>
                <w:sz w:val="21"/>
                <w:szCs w:val="22"/>
              </w:rPr>
              <w:t>、NOx、</w:t>
            </w:r>
            <w:r>
              <w:rPr>
                <w:rFonts w:hint="eastAsia"/>
                <w:sz w:val="21"/>
                <w:szCs w:val="22"/>
                <w:lang w:val="en-US" w:eastAsia="zh-CN"/>
              </w:rPr>
              <w:t>颗粒物</w:t>
            </w:r>
          </w:p>
        </w:tc>
        <w:tc>
          <w:tcPr>
            <w:tcW w:w="1738" w:type="dxa"/>
            <w:tcBorders>
              <w:top w:val="single" w:color="auto" w:sz="4" w:space="0"/>
              <w:left w:val="single" w:color="000000" w:sz="6" w:space="0"/>
              <w:bottom w:val="single" w:color="auto" w:sz="4" w:space="0"/>
              <w:right w:val="single" w:color="000000" w:sz="6" w:space="0"/>
            </w:tcBorders>
            <w:vAlign w:val="center"/>
          </w:tcPr>
          <w:p>
            <w:pPr>
              <w:pStyle w:val="65"/>
              <w:tabs>
                <w:tab w:val="left" w:pos="360"/>
                <w:tab w:val="left" w:pos="6300"/>
              </w:tabs>
              <w:rPr>
                <w:rFonts w:hint="default" w:eastAsia="宋体"/>
                <w:sz w:val="21"/>
                <w:szCs w:val="22"/>
                <w:lang w:val="en-US" w:eastAsia="zh-CN"/>
              </w:rPr>
            </w:pPr>
            <w:r>
              <w:rPr>
                <w:rFonts w:hint="eastAsia"/>
                <w:sz w:val="21"/>
                <w:szCs w:val="22"/>
                <w:lang w:val="en-US" w:eastAsia="zh-CN"/>
              </w:rPr>
              <w:t>自动监测</w:t>
            </w:r>
          </w:p>
        </w:tc>
        <w:tc>
          <w:tcPr>
            <w:tcW w:w="579" w:type="dxa"/>
            <w:vMerge w:val="continue"/>
            <w:tcBorders>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8" w:hRule="atLeast"/>
        </w:trPr>
        <w:tc>
          <w:tcPr>
            <w:tcW w:w="1156" w:type="dxa"/>
            <w:vMerge w:val="continue"/>
            <w:tcBorders>
              <w:bottom w:val="single" w:color="000000" w:sz="6" w:space="0"/>
              <w:right w:val="single" w:color="000000" w:sz="6" w:space="0"/>
            </w:tcBorders>
            <w:vAlign w:val="center"/>
          </w:tcPr>
          <w:p>
            <w:pPr>
              <w:pStyle w:val="247"/>
              <w:spacing w:before="118"/>
              <w:ind w:left="208" w:right="181"/>
              <w:rPr>
                <w:rFonts w:eastAsia="宋体"/>
              </w:rPr>
            </w:pPr>
          </w:p>
        </w:tc>
        <w:tc>
          <w:tcPr>
            <w:tcW w:w="2496" w:type="dxa"/>
            <w:vMerge w:val="continue"/>
            <w:tcBorders>
              <w:left w:val="single" w:color="000000" w:sz="6" w:space="0"/>
              <w:bottom w:val="single" w:color="000000" w:sz="6" w:space="0"/>
              <w:right w:val="single" w:color="000000" w:sz="6" w:space="0"/>
            </w:tcBorders>
            <w:vAlign w:val="center"/>
          </w:tcPr>
          <w:p>
            <w:pPr>
              <w:pStyle w:val="65"/>
              <w:tabs>
                <w:tab w:val="left" w:pos="360"/>
                <w:tab w:val="left" w:pos="6300"/>
              </w:tabs>
              <w:rPr>
                <w:rFonts w:hint="eastAsia"/>
                <w:sz w:val="21"/>
                <w:szCs w:val="22"/>
                <w:lang w:val="en-US" w:eastAsia="zh-CN"/>
              </w:rPr>
            </w:pPr>
          </w:p>
        </w:tc>
        <w:tc>
          <w:tcPr>
            <w:tcW w:w="2977" w:type="dxa"/>
            <w:tcBorders>
              <w:top w:val="single" w:color="auto" w:sz="4" w:space="0"/>
              <w:left w:val="single" w:color="000000" w:sz="6" w:space="0"/>
              <w:bottom w:val="single" w:color="000000" w:sz="6" w:space="0"/>
              <w:right w:val="single" w:color="000000" w:sz="6" w:space="0"/>
            </w:tcBorders>
            <w:vAlign w:val="center"/>
          </w:tcPr>
          <w:p>
            <w:pPr>
              <w:pStyle w:val="65"/>
              <w:tabs>
                <w:tab w:val="left" w:pos="360"/>
                <w:tab w:val="left" w:pos="6300"/>
              </w:tabs>
              <w:rPr>
                <w:rFonts w:hint="default"/>
                <w:sz w:val="21"/>
                <w:szCs w:val="22"/>
                <w:lang w:val="en-US" w:eastAsia="zh-CN"/>
              </w:rPr>
            </w:pPr>
            <w:r>
              <w:rPr>
                <w:rFonts w:hint="eastAsia"/>
                <w:sz w:val="21"/>
                <w:szCs w:val="22"/>
                <w:lang w:val="en-US" w:eastAsia="zh-CN"/>
              </w:rPr>
              <w:t>汞及其化合物、氨、林格曼黑度</w:t>
            </w:r>
          </w:p>
        </w:tc>
        <w:tc>
          <w:tcPr>
            <w:tcW w:w="1738" w:type="dxa"/>
            <w:tcBorders>
              <w:top w:val="single" w:color="auto" w:sz="4" w:space="0"/>
              <w:left w:val="single" w:color="000000" w:sz="6" w:space="0"/>
              <w:bottom w:val="single" w:color="000000" w:sz="6" w:space="0"/>
              <w:right w:val="single" w:color="000000" w:sz="6" w:space="0"/>
            </w:tcBorders>
            <w:vAlign w:val="center"/>
          </w:tcPr>
          <w:p>
            <w:pPr>
              <w:pStyle w:val="65"/>
              <w:tabs>
                <w:tab w:val="left" w:pos="360"/>
                <w:tab w:val="left" w:pos="6300"/>
              </w:tabs>
              <w:rPr>
                <w:rFonts w:hint="eastAsia" w:eastAsia="宋体"/>
                <w:sz w:val="21"/>
                <w:szCs w:val="22"/>
                <w:lang w:val="en-US" w:eastAsia="zh-CN"/>
              </w:rPr>
            </w:pPr>
            <w:r>
              <w:rPr>
                <w:rFonts w:hint="eastAsia"/>
                <w:sz w:val="21"/>
                <w:szCs w:val="22"/>
                <w:lang w:val="en-US" w:eastAsia="zh-CN"/>
              </w:rPr>
              <w:t>季度</w:t>
            </w:r>
          </w:p>
        </w:tc>
        <w:tc>
          <w:tcPr>
            <w:tcW w:w="579" w:type="dxa"/>
            <w:vMerge w:val="continue"/>
            <w:tcBorders>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1156" w:type="dxa"/>
            <w:tcBorders>
              <w:top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噪声</w:t>
            </w:r>
          </w:p>
        </w:tc>
        <w:tc>
          <w:tcPr>
            <w:tcW w:w="2496"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hint="eastAsia" w:eastAsia="宋体"/>
                <w:lang w:val="en-US" w:eastAsia="zh-CN"/>
              </w:rPr>
            </w:pPr>
            <w:r>
              <w:rPr>
                <w:rFonts w:eastAsia="宋体"/>
              </w:rPr>
              <w:t>厂界</w:t>
            </w:r>
          </w:p>
        </w:tc>
        <w:tc>
          <w:tcPr>
            <w:tcW w:w="2977"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等效连续噪声级</w:t>
            </w:r>
          </w:p>
        </w:tc>
        <w:tc>
          <w:tcPr>
            <w:tcW w:w="1738" w:type="dxa"/>
            <w:tcBorders>
              <w:top w:val="single" w:color="000000" w:sz="6" w:space="0"/>
              <w:left w:val="single" w:color="000000" w:sz="6" w:space="0"/>
              <w:bottom w:val="single" w:color="000000" w:sz="6" w:space="0"/>
              <w:right w:val="single" w:color="000000" w:sz="6" w:space="0"/>
            </w:tcBorders>
            <w:vAlign w:val="center"/>
          </w:tcPr>
          <w:p>
            <w:pPr>
              <w:spacing w:before="118"/>
              <w:ind w:left="208" w:right="181"/>
              <w:jc w:val="center"/>
              <w:rPr>
                <w:rFonts w:ascii="Times New Roman" w:hAnsi="Times New Roman"/>
              </w:rPr>
            </w:pPr>
            <w:r>
              <w:rPr>
                <w:rFonts w:ascii="Times New Roman" w:hAnsi="Times New Roman"/>
              </w:rPr>
              <w:t>1次/半年</w:t>
            </w:r>
          </w:p>
        </w:tc>
        <w:tc>
          <w:tcPr>
            <w:tcW w:w="579" w:type="dxa"/>
            <w:vMerge w:val="continue"/>
            <w:tcBorders>
              <w:top w:val="nil"/>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20" w:hRule="atLeast"/>
        </w:trPr>
        <w:tc>
          <w:tcPr>
            <w:tcW w:w="1156" w:type="dxa"/>
            <w:tcBorders>
              <w:top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土壤</w:t>
            </w:r>
          </w:p>
        </w:tc>
        <w:tc>
          <w:tcPr>
            <w:tcW w:w="2496"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bCs/>
              </w:rPr>
              <w:t>煤棚周边土壤</w:t>
            </w:r>
          </w:p>
        </w:tc>
        <w:tc>
          <w:tcPr>
            <w:tcW w:w="2977"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bCs/>
              </w:rPr>
              <w:t>镍、石油类</w:t>
            </w:r>
          </w:p>
        </w:tc>
        <w:tc>
          <w:tcPr>
            <w:tcW w:w="1738" w:type="dxa"/>
            <w:tcBorders>
              <w:top w:val="single" w:color="000000" w:sz="6" w:space="0"/>
              <w:left w:val="single" w:color="000000" w:sz="6" w:space="0"/>
              <w:bottom w:val="single" w:color="000000" w:sz="6" w:space="0"/>
              <w:right w:val="single" w:color="000000" w:sz="6" w:space="0"/>
            </w:tcBorders>
            <w:vAlign w:val="center"/>
          </w:tcPr>
          <w:p>
            <w:pPr>
              <w:spacing w:before="118"/>
              <w:ind w:left="208" w:right="181"/>
              <w:jc w:val="center"/>
              <w:rPr>
                <w:rFonts w:ascii="Times New Roman" w:hAnsi="Times New Roman"/>
              </w:rPr>
            </w:pPr>
            <w:r>
              <w:rPr>
                <w:rFonts w:ascii="Times New Roman" w:hAnsi="Times New Roman"/>
              </w:rPr>
              <w:t>1次/半年</w:t>
            </w:r>
          </w:p>
        </w:tc>
        <w:tc>
          <w:tcPr>
            <w:tcW w:w="579" w:type="dxa"/>
            <w:vMerge w:val="continue"/>
            <w:tcBorders>
              <w:top w:val="nil"/>
              <w:left w:val="single" w:color="000000" w:sz="6" w:space="0"/>
              <w:bottom w:val="nil"/>
            </w:tcBorders>
            <w:vAlign w:val="center"/>
          </w:tcPr>
          <w:p>
            <w:pPr>
              <w:jc w:val="center"/>
              <w:rPr>
                <w:rFonts w:ascii="Times New Roman" w:hAnsi="Times New Roman"/>
                <w:sz w:val="2"/>
                <w:szCs w:val="2"/>
              </w:rPr>
            </w:pPr>
          </w:p>
        </w:tc>
      </w:tr>
    </w:tbl>
    <w:p>
      <w:pPr>
        <w:tabs>
          <w:tab w:val="left" w:pos="1250"/>
        </w:tabs>
        <w:spacing w:before="160" w:after="3"/>
        <w:ind w:left="234"/>
        <w:jc w:val="center"/>
        <w:rPr>
          <w:rFonts w:ascii="Times New Roman" w:hAnsi="Times New Roman"/>
          <w:b/>
          <w:bCs/>
          <w:sz w:val="24"/>
          <w:szCs w:val="24"/>
        </w:rPr>
      </w:pPr>
      <w:bookmarkStart w:id="598" w:name="8.4.2监测数据管理"/>
      <w:bookmarkEnd w:id="598"/>
      <w:bookmarkStart w:id="599" w:name="_Toc21639"/>
      <w:r>
        <w:rPr>
          <w:rFonts w:ascii="Times New Roman" w:hAnsi="Times New Roman"/>
          <w:b/>
          <w:bCs/>
          <w:sz w:val="24"/>
          <w:szCs w:val="24"/>
        </w:rPr>
        <w:t>表 9.7.1-</w:t>
      </w:r>
      <w:r>
        <w:rPr>
          <w:rFonts w:hint="eastAsia" w:ascii="Times New Roman" w:hAnsi="Times New Roman"/>
          <w:b/>
          <w:bCs/>
          <w:sz w:val="24"/>
          <w:szCs w:val="24"/>
          <w:lang w:val="en-US" w:eastAsia="zh-CN"/>
        </w:rPr>
        <w:t>2</w:t>
      </w:r>
      <w:r>
        <w:rPr>
          <w:rFonts w:ascii="Times New Roman" w:hAnsi="Times New Roman"/>
          <w:b/>
          <w:bCs/>
          <w:sz w:val="24"/>
          <w:szCs w:val="24"/>
        </w:rPr>
        <w:tab/>
      </w:r>
      <w:r>
        <w:rPr>
          <w:rFonts w:ascii="Times New Roman" w:hAnsi="Times New Roman"/>
          <w:b/>
          <w:bCs/>
          <w:sz w:val="24"/>
          <w:szCs w:val="24"/>
        </w:rPr>
        <w:t>本项目</w:t>
      </w:r>
      <w:r>
        <w:rPr>
          <w:rFonts w:hint="eastAsia" w:ascii="Times New Roman" w:hAnsi="Times New Roman"/>
          <w:b/>
          <w:bCs/>
          <w:sz w:val="24"/>
          <w:szCs w:val="24"/>
          <w:lang w:val="en-US" w:eastAsia="zh-CN"/>
        </w:rPr>
        <w:t>环境质量</w:t>
      </w:r>
      <w:r>
        <w:rPr>
          <w:rFonts w:ascii="Times New Roman" w:hAnsi="Times New Roman"/>
          <w:b/>
          <w:bCs/>
          <w:sz w:val="24"/>
          <w:szCs w:val="24"/>
        </w:rPr>
        <w:t>监测计划一览表</w:t>
      </w:r>
    </w:p>
    <w:tbl>
      <w:tblPr>
        <w:tblStyle w:val="45"/>
        <w:tblW w:w="8946" w:type="dxa"/>
        <w:tblInd w:w="285"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525"/>
        <w:gridCol w:w="2127"/>
        <w:gridCol w:w="2977"/>
        <w:gridCol w:w="1678"/>
        <w:gridCol w:w="639"/>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525" w:type="dxa"/>
            <w:tcBorders>
              <w:bottom w:val="single" w:color="000000" w:sz="6" w:space="0"/>
              <w:right w:val="single" w:color="000000" w:sz="6" w:space="0"/>
            </w:tcBorders>
            <w:vAlign w:val="center"/>
          </w:tcPr>
          <w:p>
            <w:pPr>
              <w:pStyle w:val="247"/>
              <w:spacing w:before="59"/>
              <w:ind w:left="229" w:right="192"/>
              <w:rPr>
                <w:rFonts w:eastAsia="宋体"/>
                <w:b/>
              </w:rPr>
            </w:pPr>
            <w:r>
              <w:rPr>
                <w:rFonts w:eastAsia="宋体"/>
                <w:b/>
              </w:rPr>
              <w:t>内容</w:t>
            </w:r>
          </w:p>
        </w:tc>
        <w:tc>
          <w:tcPr>
            <w:tcW w:w="2127" w:type="dxa"/>
            <w:tcBorders>
              <w:left w:val="single" w:color="000000" w:sz="6" w:space="0"/>
              <w:bottom w:val="single" w:color="000000" w:sz="6" w:space="0"/>
              <w:right w:val="single" w:color="000000" w:sz="6" w:space="0"/>
            </w:tcBorders>
            <w:vAlign w:val="center"/>
          </w:tcPr>
          <w:p>
            <w:pPr>
              <w:pStyle w:val="247"/>
              <w:spacing w:before="59"/>
              <w:ind w:left="208" w:right="178"/>
              <w:rPr>
                <w:rFonts w:eastAsia="宋体"/>
                <w:b/>
              </w:rPr>
            </w:pPr>
            <w:r>
              <w:rPr>
                <w:rFonts w:eastAsia="宋体"/>
                <w:b/>
              </w:rPr>
              <w:t>监测点</w:t>
            </w:r>
          </w:p>
        </w:tc>
        <w:tc>
          <w:tcPr>
            <w:tcW w:w="2977" w:type="dxa"/>
            <w:tcBorders>
              <w:left w:val="single" w:color="000000" w:sz="6" w:space="0"/>
              <w:bottom w:val="single" w:color="000000" w:sz="6" w:space="0"/>
              <w:right w:val="single" w:color="000000" w:sz="6" w:space="0"/>
            </w:tcBorders>
            <w:vAlign w:val="center"/>
          </w:tcPr>
          <w:p>
            <w:pPr>
              <w:pStyle w:val="247"/>
              <w:spacing w:before="59"/>
              <w:ind w:left="319" w:right="291"/>
              <w:rPr>
                <w:rFonts w:eastAsia="宋体"/>
                <w:b/>
              </w:rPr>
            </w:pPr>
            <w:r>
              <w:rPr>
                <w:rFonts w:eastAsia="宋体"/>
                <w:b/>
              </w:rPr>
              <w:t>监测项目</w:t>
            </w:r>
          </w:p>
        </w:tc>
        <w:tc>
          <w:tcPr>
            <w:tcW w:w="1678" w:type="dxa"/>
            <w:tcBorders>
              <w:left w:val="single" w:color="000000" w:sz="6" w:space="0"/>
              <w:bottom w:val="single" w:color="000000" w:sz="6" w:space="0"/>
              <w:right w:val="single" w:color="000000" w:sz="6" w:space="0"/>
            </w:tcBorders>
            <w:vAlign w:val="center"/>
          </w:tcPr>
          <w:p>
            <w:pPr>
              <w:pStyle w:val="247"/>
              <w:spacing w:before="59"/>
              <w:ind w:left="271" w:right="240"/>
              <w:rPr>
                <w:rFonts w:eastAsia="宋体"/>
                <w:b/>
              </w:rPr>
            </w:pPr>
            <w:r>
              <w:rPr>
                <w:rFonts w:eastAsia="宋体"/>
                <w:b/>
              </w:rPr>
              <w:t>监测频次</w:t>
            </w:r>
          </w:p>
        </w:tc>
        <w:tc>
          <w:tcPr>
            <w:tcW w:w="639" w:type="dxa"/>
            <w:tcBorders>
              <w:left w:val="single" w:color="000000" w:sz="6" w:space="0"/>
              <w:bottom w:val="single" w:color="000000" w:sz="6" w:space="0"/>
            </w:tcBorders>
            <w:vAlign w:val="center"/>
          </w:tcPr>
          <w:p>
            <w:pPr>
              <w:pStyle w:val="247"/>
              <w:spacing w:before="59"/>
              <w:ind w:left="0"/>
              <w:jc w:val="both"/>
              <w:rPr>
                <w:rFonts w:eastAsia="宋体"/>
                <w:b/>
              </w:rPr>
            </w:pPr>
            <w:r>
              <w:rPr>
                <w:rFonts w:eastAsia="宋体"/>
                <w:b/>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26" w:hRule="atLeast"/>
        </w:trPr>
        <w:tc>
          <w:tcPr>
            <w:tcW w:w="1525" w:type="dxa"/>
            <w:tcBorders>
              <w:top w:val="single" w:color="000000" w:sz="6" w:space="0"/>
              <w:right w:val="single" w:color="000000" w:sz="6" w:space="0"/>
            </w:tcBorders>
            <w:vAlign w:val="center"/>
          </w:tcPr>
          <w:p>
            <w:pPr>
              <w:pStyle w:val="247"/>
              <w:spacing w:before="118"/>
              <w:ind w:left="208" w:right="181"/>
              <w:rPr>
                <w:rFonts w:hint="default" w:eastAsia="宋体"/>
                <w:lang w:val="en-US" w:eastAsia="zh-CN"/>
              </w:rPr>
            </w:pPr>
            <w:r>
              <w:rPr>
                <w:rFonts w:hint="eastAsia" w:eastAsia="宋体"/>
                <w:lang w:val="en-US" w:eastAsia="zh-CN"/>
              </w:rPr>
              <w:t>环境空气</w:t>
            </w:r>
          </w:p>
        </w:tc>
        <w:tc>
          <w:tcPr>
            <w:tcW w:w="2127" w:type="dxa"/>
            <w:tcBorders>
              <w:top w:val="single" w:color="000000" w:sz="6" w:space="0"/>
              <w:left w:val="single" w:color="000000" w:sz="6" w:space="0"/>
              <w:right w:val="single" w:color="000000" w:sz="6" w:space="0"/>
            </w:tcBorders>
            <w:vAlign w:val="center"/>
          </w:tcPr>
          <w:p>
            <w:pPr>
              <w:pStyle w:val="65"/>
              <w:tabs>
                <w:tab w:val="left" w:pos="360"/>
                <w:tab w:val="left" w:pos="6300"/>
              </w:tabs>
              <w:jc w:val="center"/>
              <w:rPr>
                <w:rFonts w:hint="default" w:eastAsia="宋体"/>
                <w:sz w:val="21"/>
                <w:szCs w:val="22"/>
                <w:lang w:val="en-US" w:eastAsia="zh-CN"/>
              </w:rPr>
            </w:pPr>
            <w:r>
              <w:rPr>
                <w:rFonts w:hint="eastAsia"/>
                <w:sz w:val="21"/>
                <w:szCs w:val="22"/>
                <w:lang w:val="en-US" w:eastAsia="zh-CN"/>
              </w:rPr>
              <w:t>厂界外侧下风向1-2个监测点</w:t>
            </w:r>
          </w:p>
        </w:tc>
        <w:tc>
          <w:tcPr>
            <w:tcW w:w="2977" w:type="dxa"/>
            <w:tcBorders>
              <w:top w:val="single" w:color="000000" w:sz="6" w:space="0"/>
              <w:left w:val="single" w:color="000000" w:sz="6" w:space="0"/>
              <w:right w:val="single" w:color="000000" w:sz="6" w:space="0"/>
            </w:tcBorders>
            <w:vAlign w:val="center"/>
          </w:tcPr>
          <w:p>
            <w:pPr>
              <w:pStyle w:val="65"/>
              <w:tabs>
                <w:tab w:val="left" w:pos="360"/>
                <w:tab w:val="left" w:pos="6300"/>
              </w:tabs>
              <w:jc w:val="center"/>
              <w:rPr>
                <w:rFonts w:hint="default" w:eastAsia="宋体"/>
                <w:sz w:val="21"/>
                <w:szCs w:val="22"/>
                <w:lang w:val="en-US" w:eastAsia="zh-CN"/>
              </w:rPr>
            </w:pPr>
            <w:r>
              <w:rPr>
                <w:rFonts w:hint="eastAsia"/>
                <w:sz w:val="21"/>
                <w:szCs w:val="22"/>
                <w:lang w:val="en-US" w:eastAsia="zh-CN"/>
              </w:rPr>
              <w:t>硫化氢、二噁英、镍</w:t>
            </w:r>
          </w:p>
        </w:tc>
        <w:tc>
          <w:tcPr>
            <w:tcW w:w="1678" w:type="dxa"/>
            <w:tcBorders>
              <w:top w:val="single" w:color="000000" w:sz="6" w:space="0"/>
              <w:left w:val="single" w:color="000000" w:sz="6" w:space="0"/>
              <w:bottom w:val="single" w:color="000000" w:sz="6" w:space="0"/>
              <w:right w:val="single" w:color="000000" w:sz="6" w:space="0"/>
            </w:tcBorders>
            <w:vAlign w:val="center"/>
          </w:tcPr>
          <w:p>
            <w:pPr>
              <w:pStyle w:val="65"/>
              <w:tabs>
                <w:tab w:val="left" w:pos="360"/>
                <w:tab w:val="left" w:pos="6300"/>
              </w:tabs>
              <w:rPr>
                <w:rFonts w:hint="eastAsia" w:eastAsia="宋体"/>
                <w:sz w:val="21"/>
                <w:szCs w:val="22"/>
                <w:lang w:eastAsia="zh-CN"/>
              </w:rPr>
            </w:pPr>
            <w:r>
              <w:rPr>
                <w:sz w:val="21"/>
                <w:szCs w:val="22"/>
              </w:rPr>
              <w:t>1次/</w:t>
            </w:r>
            <w:r>
              <w:rPr>
                <w:rFonts w:hint="eastAsia"/>
                <w:sz w:val="21"/>
                <w:szCs w:val="22"/>
                <w:lang w:val="en-US" w:eastAsia="zh-CN"/>
              </w:rPr>
              <w:t>一</w:t>
            </w:r>
            <w:r>
              <w:rPr>
                <w:sz w:val="21"/>
                <w:szCs w:val="22"/>
              </w:rPr>
              <w:t>年</w:t>
            </w:r>
            <w:r>
              <w:rPr>
                <w:rFonts w:hint="eastAsia"/>
                <w:sz w:val="21"/>
                <w:szCs w:val="22"/>
                <w:lang w:eastAsia="zh-CN"/>
              </w:rPr>
              <w:t>（</w:t>
            </w:r>
            <w:r>
              <w:rPr>
                <w:rFonts w:hint="eastAsia"/>
                <w:sz w:val="21"/>
                <w:szCs w:val="22"/>
                <w:lang w:val="en-US" w:eastAsia="zh-CN"/>
              </w:rPr>
              <w:t>选择污染最重的季节，连续监测7天</w:t>
            </w:r>
            <w:r>
              <w:rPr>
                <w:rFonts w:hint="eastAsia"/>
                <w:sz w:val="21"/>
                <w:szCs w:val="22"/>
                <w:lang w:eastAsia="zh-CN"/>
              </w:rPr>
              <w:t>）</w:t>
            </w:r>
          </w:p>
        </w:tc>
        <w:tc>
          <w:tcPr>
            <w:tcW w:w="639" w:type="dxa"/>
            <w:vMerge w:val="restart"/>
            <w:tcBorders>
              <w:top w:val="nil"/>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1525" w:type="dxa"/>
            <w:tcBorders>
              <w:top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噪声</w:t>
            </w:r>
          </w:p>
        </w:tc>
        <w:tc>
          <w:tcPr>
            <w:tcW w:w="2127"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厂界</w:t>
            </w:r>
          </w:p>
        </w:tc>
        <w:tc>
          <w:tcPr>
            <w:tcW w:w="2977"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等效连续噪声级</w:t>
            </w:r>
          </w:p>
        </w:tc>
        <w:tc>
          <w:tcPr>
            <w:tcW w:w="1678" w:type="dxa"/>
            <w:tcBorders>
              <w:top w:val="single" w:color="000000" w:sz="6" w:space="0"/>
              <w:left w:val="single" w:color="000000" w:sz="6" w:space="0"/>
              <w:bottom w:val="single" w:color="000000" w:sz="6" w:space="0"/>
              <w:right w:val="single" w:color="000000" w:sz="6" w:space="0"/>
            </w:tcBorders>
            <w:vAlign w:val="center"/>
          </w:tcPr>
          <w:p>
            <w:pPr>
              <w:spacing w:before="118"/>
              <w:ind w:left="208" w:right="181"/>
              <w:jc w:val="center"/>
              <w:rPr>
                <w:rFonts w:ascii="Times New Roman" w:hAnsi="Times New Roman"/>
              </w:rPr>
            </w:pPr>
            <w:r>
              <w:rPr>
                <w:rFonts w:ascii="Times New Roman" w:hAnsi="Times New Roman"/>
              </w:rPr>
              <w:t>1次/半年</w:t>
            </w:r>
          </w:p>
        </w:tc>
        <w:tc>
          <w:tcPr>
            <w:tcW w:w="639" w:type="dxa"/>
            <w:vMerge w:val="continue"/>
            <w:tcBorders>
              <w:top w:val="nil"/>
              <w:left w:val="single" w:color="000000" w:sz="6" w:space="0"/>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20" w:hRule="atLeast"/>
        </w:trPr>
        <w:tc>
          <w:tcPr>
            <w:tcW w:w="1525" w:type="dxa"/>
            <w:tcBorders>
              <w:top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rPr>
              <w:t>土壤</w:t>
            </w:r>
          </w:p>
        </w:tc>
        <w:tc>
          <w:tcPr>
            <w:tcW w:w="2127"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bCs/>
              </w:rPr>
              <w:t>煤棚周边土壤</w:t>
            </w:r>
          </w:p>
        </w:tc>
        <w:tc>
          <w:tcPr>
            <w:tcW w:w="2977" w:type="dxa"/>
            <w:tcBorders>
              <w:top w:val="single" w:color="000000" w:sz="6" w:space="0"/>
              <w:left w:val="single" w:color="000000" w:sz="6" w:space="0"/>
              <w:bottom w:val="single" w:color="000000" w:sz="6" w:space="0"/>
              <w:right w:val="single" w:color="000000" w:sz="6" w:space="0"/>
            </w:tcBorders>
            <w:vAlign w:val="center"/>
          </w:tcPr>
          <w:p>
            <w:pPr>
              <w:pStyle w:val="247"/>
              <w:spacing w:before="118"/>
              <w:ind w:left="208" w:right="181"/>
              <w:rPr>
                <w:rFonts w:eastAsia="宋体"/>
              </w:rPr>
            </w:pPr>
            <w:r>
              <w:rPr>
                <w:rFonts w:eastAsia="宋体"/>
                <w:bCs/>
              </w:rPr>
              <w:t>镍、石油类</w:t>
            </w:r>
          </w:p>
        </w:tc>
        <w:tc>
          <w:tcPr>
            <w:tcW w:w="1678" w:type="dxa"/>
            <w:tcBorders>
              <w:top w:val="single" w:color="000000" w:sz="6" w:space="0"/>
              <w:left w:val="single" w:color="000000" w:sz="6" w:space="0"/>
              <w:bottom w:val="single" w:color="000000" w:sz="6" w:space="0"/>
              <w:right w:val="single" w:color="000000" w:sz="6" w:space="0"/>
            </w:tcBorders>
            <w:vAlign w:val="center"/>
          </w:tcPr>
          <w:p>
            <w:pPr>
              <w:spacing w:before="118"/>
              <w:ind w:left="208" w:right="181"/>
              <w:jc w:val="center"/>
              <w:rPr>
                <w:rFonts w:hint="default" w:ascii="Times New Roman" w:hAnsi="Times New Roman" w:eastAsia="宋体"/>
                <w:lang w:val="en-US" w:eastAsia="zh-CN"/>
              </w:rPr>
            </w:pPr>
            <w:r>
              <w:rPr>
                <w:rFonts w:ascii="Times New Roman" w:hAnsi="Times New Roman"/>
              </w:rPr>
              <w:t>1次/</w:t>
            </w:r>
            <w:r>
              <w:rPr>
                <w:rFonts w:hint="eastAsia" w:ascii="Times New Roman" w:hAnsi="Times New Roman"/>
                <w:lang w:val="en-US" w:eastAsia="zh-CN"/>
              </w:rPr>
              <w:t>五</w:t>
            </w:r>
            <w:r>
              <w:rPr>
                <w:rFonts w:ascii="Times New Roman" w:hAnsi="Times New Roman"/>
              </w:rPr>
              <w:t>年</w:t>
            </w:r>
          </w:p>
        </w:tc>
        <w:tc>
          <w:tcPr>
            <w:tcW w:w="639" w:type="dxa"/>
            <w:vMerge w:val="continue"/>
            <w:tcBorders>
              <w:top w:val="nil"/>
              <w:left w:val="single" w:color="000000" w:sz="6" w:space="0"/>
              <w:bottom w:val="nil"/>
            </w:tcBorders>
            <w:vAlign w:val="center"/>
          </w:tcPr>
          <w:p>
            <w:pPr>
              <w:jc w:val="center"/>
              <w:rPr>
                <w:rFonts w:ascii="Times New Roman" w:hAnsi="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20" w:hRule="atLeast"/>
        </w:trPr>
        <w:tc>
          <w:tcPr>
            <w:tcW w:w="1525" w:type="dxa"/>
            <w:tcBorders>
              <w:top w:val="single" w:color="000000" w:sz="6" w:space="0"/>
              <w:right w:val="single" w:color="000000" w:sz="6" w:space="0"/>
            </w:tcBorders>
            <w:vAlign w:val="center"/>
          </w:tcPr>
          <w:p>
            <w:pPr>
              <w:pStyle w:val="247"/>
              <w:spacing w:before="118"/>
              <w:ind w:left="208" w:right="181"/>
              <w:rPr>
                <w:rFonts w:hint="default" w:eastAsia="宋体"/>
                <w:lang w:val="en-US" w:eastAsia="zh-CN"/>
              </w:rPr>
            </w:pPr>
            <w:r>
              <w:rPr>
                <w:rFonts w:hint="eastAsia" w:eastAsia="宋体"/>
                <w:lang w:val="en-US" w:eastAsia="zh-CN"/>
              </w:rPr>
              <w:t>地下水</w:t>
            </w:r>
          </w:p>
        </w:tc>
        <w:tc>
          <w:tcPr>
            <w:tcW w:w="2127" w:type="dxa"/>
            <w:tcBorders>
              <w:top w:val="single" w:color="000000" w:sz="6" w:space="0"/>
              <w:left w:val="single" w:color="000000" w:sz="6" w:space="0"/>
              <w:right w:val="single" w:color="000000" w:sz="6" w:space="0"/>
            </w:tcBorders>
            <w:vAlign w:val="center"/>
          </w:tcPr>
          <w:p>
            <w:pPr>
              <w:pStyle w:val="247"/>
              <w:spacing w:before="118"/>
              <w:ind w:left="208" w:right="181"/>
              <w:rPr>
                <w:rFonts w:hint="default" w:eastAsia="宋体"/>
                <w:bCs/>
                <w:lang w:val="en-US" w:eastAsia="zh-CN"/>
              </w:rPr>
            </w:pPr>
            <w:r>
              <w:rPr>
                <w:rFonts w:hint="eastAsia" w:eastAsia="宋体"/>
                <w:bCs/>
                <w:lang w:val="en-US" w:eastAsia="zh-CN"/>
              </w:rPr>
              <w:t>厂区、厂区上游、厂区下游</w:t>
            </w:r>
          </w:p>
        </w:tc>
        <w:tc>
          <w:tcPr>
            <w:tcW w:w="2977" w:type="dxa"/>
            <w:tcBorders>
              <w:top w:val="single" w:color="000000" w:sz="6" w:space="0"/>
              <w:left w:val="single" w:color="000000" w:sz="6" w:space="0"/>
              <w:right w:val="single" w:color="000000" w:sz="6" w:space="0"/>
            </w:tcBorders>
            <w:vAlign w:val="center"/>
          </w:tcPr>
          <w:p>
            <w:pPr>
              <w:pStyle w:val="247"/>
              <w:spacing w:before="118"/>
              <w:ind w:left="208" w:right="181"/>
              <w:rPr>
                <w:rFonts w:hint="eastAsia" w:eastAsia="宋体"/>
                <w:bCs/>
                <w:lang w:val="en-US" w:eastAsia="zh-CN"/>
              </w:rPr>
            </w:pPr>
            <w:r>
              <w:rPr>
                <w:rFonts w:eastAsia="宋体"/>
                <w:bCs/>
              </w:rPr>
              <w:t>镍、石油类</w:t>
            </w:r>
          </w:p>
        </w:tc>
        <w:tc>
          <w:tcPr>
            <w:tcW w:w="1678" w:type="dxa"/>
            <w:tcBorders>
              <w:top w:val="single" w:color="000000" w:sz="6" w:space="0"/>
              <w:left w:val="single" w:color="000000" w:sz="6" w:space="0"/>
              <w:right w:val="single" w:color="000000" w:sz="6" w:space="0"/>
            </w:tcBorders>
            <w:vAlign w:val="center"/>
          </w:tcPr>
          <w:p>
            <w:pPr>
              <w:spacing w:before="118"/>
              <w:ind w:left="208" w:right="181"/>
              <w:jc w:val="center"/>
              <w:rPr>
                <w:rFonts w:ascii="Times New Roman" w:hAnsi="Times New Roman"/>
              </w:rPr>
            </w:pPr>
            <w:r>
              <w:rPr>
                <w:sz w:val="21"/>
                <w:szCs w:val="22"/>
              </w:rPr>
              <w:t>1次/</w:t>
            </w:r>
            <w:r>
              <w:rPr>
                <w:rFonts w:hint="eastAsia"/>
                <w:sz w:val="21"/>
                <w:szCs w:val="22"/>
                <w:lang w:val="en-US" w:eastAsia="zh-CN"/>
              </w:rPr>
              <w:t>一</w:t>
            </w:r>
            <w:r>
              <w:rPr>
                <w:sz w:val="21"/>
                <w:szCs w:val="22"/>
              </w:rPr>
              <w:t>年</w:t>
            </w:r>
          </w:p>
        </w:tc>
        <w:tc>
          <w:tcPr>
            <w:tcW w:w="639" w:type="dxa"/>
            <w:tcBorders>
              <w:top w:val="nil"/>
              <w:left w:val="single" w:color="000000" w:sz="6" w:space="0"/>
            </w:tcBorders>
            <w:vAlign w:val="center"/>
          </w:tcPr>
          <w:p>
            <w:pPr>
              <w:jc w:val="center"/>
              <w:rPr>
                <w:rFonts w:ascii="Times New Roman" w:hAnsi="Times New Roman"/>
                <w:sz w:val="2"/>
                <w:szCs w:val="2"/>
              </w:rPr>
            </w:pPr>
          </w:p>
        </w:tc>
      </w:tr>
    </w:tbl>
    <w:p>
      <w:pPr>
        <w:pStyle w:val="7"/>
        <w:numPr>
          <w:ilvl w:val="2"/>
          <w:numId w:val="0"/>
        </w:numPr>
        <w:spacing w:before="120" w:after="120" w:line="240" w:lineRule="auto"/>
      </w:pPr>
    </w:p>
    <w:p>
      <w:pPr>
        <w:pStyle w:val="7"/>
        <w:numPr>
          <w:ilvl w:val="2"/>
          <w:numId w:val="0"/>
        </w:numPr>
        <w:spacing w:before="120" w:after="120" w:line="240" w:lineRule="auto"/>
      </w:pPr>
      <w:r>
        <w:t>10.6.2 监测数据管理</w:t>
      </w:r>
      <w:bookmarkEnd w:id="599"/>
    </w:p>
    <w:p>
      <w:pPr>
        <w:pStyle w:val="22"/>
        <w:spacing w:before="185" w:line="364" w:lineRule="auto"/>
        <w:ind w:right="330" w:firstLine="465"/>
        <w:rPr>
          <w:sz w:val="32"/>
        </w:rPr>
      </w:pPr>
      <w:r>
        <w:rPr>
          <w:sz w:val="24"/>
          <w:szCs w:val="24"/>
        </w:rPr>
        <w:t>本项目位于公司现有装置区：监测结果应按项目有关规定及时建立档案，并抄送环境保护行政主管部门，对于常规监测数据应该进行公开，特别是对本项目所在区域的居民进行公开，满足法律中关于知情权的要求。发现污染和水质恶化时，要及时进行处理，开展系统调查，并上报有关部门。</w:t>
      </w:r>
    </w:p>
    <w:p>
      <w:pPr>
        <w:pStyle w:val="6"/>
        <w:numPr>
          <w:ilvl w:val="1"/>
          <w:numId w:val="0"/>
        </w:numPr>
        <w:spacing w:before="120" w:after="120"/>
      </w:pPr>
      <w:bookmarkStart w:id="600" w:name="8.5环保设施验收监测"/>
      <w:bookmarkEnd w:id="600"/>
      <w:bookmarkStart w:id="601" w:name="_bookmark56"/>
      <w:bookmarkEnd w:id="601"/>
      <w:bookmarkStart w:id="602" w:name="_Toc27692"/>
      <w:r>
        <w:t>10.7 环保设施验收监测</w:t>
      </w:r>
      <w:bookmarkEnd w:id="602"/>
    </w:p>
    <w:p>
      <w:pPr>
        <w:pStyle w:val="22"/>
        <w:spacing w:before="183"/>
        <w:ind w:left="701"/>
      </w:pPr>
      <w:r>
        <w:rPr>
          <w:sz w:val="24"/>
          <w:szCs w:val="24"/>
        </w:rPr>
        <w:t>根据本环评要求，本项目环保设施验收内容详见表 10.7-1。</w:t>
      </w:r>
    </w:p>
    <w:p>
      <w:pPr>
        <w:tabs>
          <w:tab w:val="left" w:pos="1250"/>
        </w:tabs>
        <w:spacing w:before="160" w:after="3"/>
        <w:ind w:left="234"/>
        <w:jc w:val="center"/>
        <w:rPr>
          <w:rFonts w:ascii="Times New Roman" w:hAnsi="Times New Roman"/>
          <w:b/>
          <w:bCs/>
          <w:sz w:val="24"/>
          <w:szCs w:val="24"/>
        </w:rPr>
      </w:pPr>
      <w:r>
        <w:rPr>
          <w:rFonts w:ascii="Times New Roman" w:hAnsi="Times New Roman"/>
          <w:b/>
          <w:bCs/>
          <w:sz w:val="24"/>
          <w:szCs w:val="24"/>
        </w:rPr>
        <w:t>表 10.7-1</w:t>
      </w:r>
      <w:r>
        <w:rPr>
          <w:rFonts w:ascii="Times New Roman" w:hAnsi="Times New Roman"/>
          <w:b/>
          <w:bCs/>
          <w:sz w:val="24"/>
          <w:szCs w:val="24"/>
        </w:rPr>
        <w:tab/>
      </w:r>
      <w:r>
        <w:rPr>
          <w:rFonts w:ascii="Times New Roman" w:hAnsi="Times New Roman"/>
          <w:b/>
          <w:bCs/>
          <w:sz w:val="24"/>
          <w:szCs w:val="24"/>
        </w:rPr>
        <w:t>环保设施验收一览表</w:t>
      </w:r>
    </w:p>
    <w:tbl>
      <w:tblPr>
        <w:tblStyle w:val="45"/>
        <w:tblW w:w="9052" w:type="dxa"/>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7"/>
        <w:gridCol w:w="1093"/>
        <w:gridCol w:w="1380"/>
        <w:gridCol w:w="2490"/>
        <w:gridCol w:w="3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7" w:type="dxa"/>
          </w:tcPr>
          <w:p>
            <w:pPr>
              <w:pStyle w:val="247"/>
              <w:spacing w:before="63"/>
              <w:ind w:left="142" w:right="108"/>
              <w:rPr>
                <w:rFonts w:eastAsia="宋体"/>
                <w:b/>
                <w:spacing w:val="-6"/>
              </w:rPr>
            </w:pPr>
            <w:r>
              <w:rPr>
                <w:rFonts w:eastAsia="宋体"/>
                <w:b/>
                <w:spacing w:val="-6"/>
              </w:rPr>
              <w:t>类型</w:t>
            </w:r>
          </w:p>
        </w:tc>
        <w:tc>
          <w:tcPr>
            <w:tcW w:w="1093" w:type="dxa"/>
          </w:tcPr>
          <w:p>
            <w:pPr>
              <w:pStyle w:val="247"/>
              <w:spacing w:before="63"/>
              <w:ind w:left="140" w:right="109"/>
              <w:rPr>
                <w:rFonts w:eastAsia="宋体"/>
                <w:b/>
                <w:spacing w:val="-6"/>
              </w:rPr>
            </w:pPr>
            <w:r>
              <w:rPr>
                <w:rFonts w:eastAsia="宋体"/>
                <w:b/>
                <w:spacing w:val="-6"/>
              </w:rPr>
              <w:t>污染源</w:t>
            </w:r>
          </w:p>
        </w:tc>
        <w:tc>
          <w:tcPr>
            <w:tcW w:w="1380" w:type="dxa"/>
          </w:tcPr>
          <w:p>
            <w:pPr>
              <w:pStyle w:val="247"/>
              <w:spacing w:before="63"/>
              <w:ind w:left="68" w:right="49"/>
              <w:rPr>
                <w:rFonts w:eastAsia="宋体"/>
                <w:b/>
                <w:spacing w:val="-6"/>
              </w:rPr>
            </w:pPr>
            <w:r>
              <w:rPr>
                <w:rFonts w:eastAsia="宋体"/>
                <w:b/>
                <w:spacing w:val="-6"/>
              </w:rPr>
              <w:t>主要污染物</w:t>
            </w:r>
          </w:p>
        </w:tc>
        <w:tc>
          <w:tcPr>
            <w:tcW w:w="2490" w:type="dxa"/>
          </w:tcPr>
          <w:p>
            <w:pPr>
              <w:pStyle w:val="247"/>
              <w:spacing w:before="63"/>
              <w:ind w:left="106" w:right="88"/>
              <w:rPr>
                <w:rFonts w:eastAsia="宋体"/>
                <w:b/>
                <w:spacing w:val="-6"/>
              </w:rPr>
            </w:pPr>
            <w:r>
              <w:rPr>
                <w:rFonts w:eastAsia="宋体"/>
                <w:b/>
                <w:spacing w:val="-6"/>
              </w:rPr>
              <w:t>污染防治措施</w:t>
            </w:r>
          </w:p>
        </w:tc>
        <w:tc>
          <w:tcPr>
            <w:tcW w:w="3372" w:type="dxa"/>
          </w:tcPr>
          <w:p>
            <w:pPr>
              <w:pStyle w:val="247"/>
              <w:spacing w:before="63"/>
              <w:ind w:left="116" w:right="93"/>
              <w:rPr>
                <w:rFonts w:eastAsia="宋体"/>
                <w:b/>
                <w:spacing w:val="-6"/>
              </w:rPr>
            </w:pPr>
            <w:r>
              <w:rPr>
                <w:rFonts w:eastAsia="宋体"/>
                <w:b/>
                <w:spacing w:val="-6"/>
              </w:rPr>
              <w:t>验收要求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7" w:type="dxa"/>
            <w:vAlign w:val="center"/>
          </w:tcPr>
          <w:p>
            <w:pPr>
              <w:pStyle w:val="247"/>
              <w:spacing w:before="58"/>
              <w:ind w:left="140" w:right="114"/>
              <w:rPr>
                <w:rFonts w:eastAsia="宋体"/>
                <w:spacing w:val="-6"/>
              </w:rPr>
            </w:pPr>
            <w:r>
              <w:rPr>
                <w:rFonts w:eastAsia="宋体"/>
                <w:spacing w:val="-6"/>
              </w:rPr>
              <w:t>废气</w:t>
            </w:r>
          </w:p>
        </w:tc>
        <w:tc>
          <w:tcPr>
            <w:tcW w:w="1093" w:type="dxa"/>
            <w:vAlign w:val="center"/>
          </w:tcPr>
          <w:p>
            <w:pPr>
              <w:pStyle w:val="247"/>
              <w:spacing w:before="58"/>
              <w:ind w:left="140" w:right="114"/>
              <w:rPr>
                <w:rFonts w:eastAsia="宋体"/>
                <w:spacing w:val="-6"/>
              </w:rPr>
            </w:pPr>
            <w:r>
              <w:rPr>
                <w:rFonts w:eastAsia="宋体"/>
              </w:rPr>
              <w:t>CFB锅炉烟气</w:t>
            </w:r>
          </w:p>
        </w:tc>
        <w:tc>
          <w:tcPr>
            <w:tcW w:w="1380" w:type="dxa"/>
            <w:vAlign w:val="center"/>
          </w:tcPr>
          <w:p>
            <w:pPr>
              <w:pStyle w:val="247"/>
              <w:spacing w:before="58"/>
              <w:ind w:left="140" w:right="114"/>
              <w:rPr>
                <w:rFonts w:eastAsia="宋体"/>
                <w:spacing w:val="-6"/>
              </w:rPr>
            </w:pPr>
            <w:r>
              <w:rPr>
                <w:rFonts w:eastAsia="宋体"/>
                <w:spacing w:val="-6"/>
              </w:rPr>
              <w:t>烟尘、SO</w:t>
            </w:r>
            <w:r>
              <w:rPr>
                <w:rFonts w:eastAsia="宋体"/>
                <w:spacing w:val="-6"/>
                <w:vertAlign w:val="subscript"/>
              </w:rPr>
              <w:t>2</w:t>
            </w:r>
            <w:r>
              <w:rPr>
                <w:rFonts w:eastAsia="宋体"/>
                <w:spacing w:val="-6"/>
              </w:rPr>
              <w:t>、NO</w:t>
            </w:r>
            <w:r>
              <w:rPr>
                <w:rFonts w:eastAsia="宋体"/>
                <w:spacing w:val="-6"/>
                <w:vertAlign w:val="subscript"/>
              </w:rPr>
              <w:t>X</w:t>
            </w:r>
            <w:r>
              <w:rPr>
                <w:rFonts w:eastAsia="宋体"/>
                <w:spacing w:val="-6"/>
              </w:rPr>
              <w:t>、二噁英、重金属</w:t>
            </w:r>
          </w:p>
        </w:tc>
        <w:tc>
          <w:tcPr>
            <w:tcW w:w="2490" w:type="dxa"/>
            <w:vAlign w:val="center"/>
          </w:tcPr>
          <w:p>
            <w:pPr>
              <w:pStyle w:val="247"/>
              <w:spacing w:before="58"/>
              <w:ind w:left="140" w:right="114"/>
              <w:rPr>
                <w:rFonts w:eastAsia="宋体"/>
                <w:spacing w:val="-6"/>
              </w:rPr>
            </w:pPr>
            <w:r>
              <w:rPr>
                <w:rFonts w:eastAsia="宋体"/>
                <w:spacing w:val="-6"/>
              </w:rPr>
              <w:t>CFB锅炉烟气燃烧炉炉内脱硫，SCR烟气脱硝+布袋除尘 +石灰石—石膏法湿法脱硫后排放</w:t>
            </w:r>
          </w:p>
        </w:tc>
        <w:tc>
          <w:tcPr>
            <w:tcW w:w="3372" w:type="dxa"/>
            <w:vAlign w:val="center"/>
          </w:tcPr>
          <w:p>
            <w:pPr>
              <w:jc w:val="center"/>
              <w:rPr>
                <w:rFonts w:ascii="Times New Roman" w:hAnsi="Times New Roman"/>
                <w:szCs w:val="21"/>
              </w:rPr>
            </w:pPr>
            <w:r>
              <w:rPr>
                <w:rFonts w:ascii="Times New Roman" w:hAnsi="Times New Roman"/>
                <w:szCs w:val="21"/>
              </w:rPr>
              <w:t>《火电厂大气污染物排放标准》（GB13223-2011）</w:t>
            </w:r>
            <w:r>
              <w:rPr>
                <w:rFonts w:ascii="Times New Roman" w:hAnsi="Times New Roman"/>
              </w:rPr>
              <w:t>表1排放限值、《全面实施燃煤电厂超低排放和节能改造工作方案》要求</w:t>
            </w:r>
            <w:r>
              <w:rPr>
                <w:rFonts w:ascii="Times New Roman" w:hAnsi="Times New Roman"/>
                <w:szCs w:val="21"/>
              </w:rPr>
              <w:t>；</w:t>
            </w:r>
          </w:p>
          <w:p>
            <w:pPr>
              <w:jc w:val="center"/>
              <w:rPr>
                <w:rFonts w:ascii="Times New Roman" w:hAnsi="Times New Roman"/>
                <w:szCs w:val="21"/>
              </w:rPr>
            </w:pPr>
            <w:r>
              <w:rPr>
                <w:rFonts w:ascii="Times New Roman" w:hAnsi="Times New Roman"/>
                <w:szCs w:val="21"/>
              </w:rPr>
              <w:t>《危险废物焚烧污染控制标准》GB18484-2001表3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17" w:type="dxa"/>
            <w:vMerge w:val="restart"/>
            <w:vAlign w:val="center"/>
          </w:tcPr>
          <w:p>
            <w:pPr>
              <w:pStyle w:val="247"/>
              <w:spacing w:before="58"/>
              <w:ind w:left="140" w:right="114"/>
              <w:rPr>
                <w:rFonts w:eastAsia="宋体"/>
                <w:spacing w:val="-6"/>
              </w:rPr>
            </w:pPr>
            <w:r>
              <w:rPr>
                <w:rFonts w:eastAsia="宋体"/>
                <w:spacing w:val="-6"/>
              </w:rPr>
              <w:t>废水</w:t>
            </w:r>
          </w:p>
        </w:tc>
        <w:tc>
          <w:tcPr>
            <w:tcW w:w="1093" w:type="dxa"/>
            <w:vAlign w:val="center"/>
          </w:tcPr>
          <w:p>
            <w:pPr>
              <w:pStyle w:val="247"/>
              <w:spacing w:before="58"/>
              <w:ind w:left="140" w:right="114"/>
              <w:rPr>
                <w:rFonts w:eastAsia="宋体"/>
                <w:spacing w:val="-6"/>
              </w:rPr>
            </w:pPr>
            <w:r>
              <w:rPr>
                <w:rFonts w:eastAsia="宋体"/>
              </w:rPr>
              <w:t>CFB锅炉排污水</w:t>
            </w:r>
          </w:p>
        </w:tc>
        <w:tc>
          <w:tcPr>
            <w:tcW w:w="1380" w:type="dxa"/>
            <w:vAlign w:val="center"/>
          </w:tcPr>
          <w:p>
            <w:pPr>
              <w:pStyle w:val="247"/>
              <w:spacing w:before="58"/>
              <w:ind w:left="140" w:right="114"/>
              <w:rPr>
                <w:rFonts w:eastAsia="宋体"/>
                <w:spacing w:val="-6"/>
              </w:rPr>
            </w:pPr>
            <w:r>
              <w:rPr>
                <w:rFonts w:eastAsia="宋体"/>
                <w:szCs w:val="21"/>
              </w:rPr>
              <w:t>仅有少量盐分、SS</w:t>
            </w:r>
          </w:p>
        </w:tc>
        <w:tc>
          <w:tcPr>
            <w:tcW w:w="2490" w:type="dxa"/>
            <w:vMerge w:val="restart"/>
            <w:vAlign w:val="center"/>
          </w:tcPr>
          <w:p>
            <w:pPr>
              <w:pStyle w:val="247"/>
              <w:spacing w:before="58"/>
              <w:ind w:left="140" w:right="114"/>
              <w:rPr>
                <w:rFonts w:eastAsia="宋体"/>
                <w:spacing w:val="-6"/>
                <w:szCs w:val="24"/>
              </w:rPr>
            </w:pPr>
            <w:r>
              <w:rPr>
                <w:rFonts w:eastAsia="宋体"/>
                <w:spacing w:val="-6"/>
                <w:szCs w:val="24"/>
              </w:rPr>
              <w:t>进污水处理厂含盐污水处理系统。</w:t>
            </w:r>
          </w:p>
        </w:tc>
        <w:tc>
          <w:tcPr>
            <w:tcW w:w="3372" w:type="dxa"/>
            <w:vMerge w:val="restart"/>
            <w:vAlign w:val="center"/>
          </w:tcPr>
          <w:p>
            <w:pPr>
              <w:pStyle w:val="247"/>
              <w:spacing w:before="58"/>
              <w:ind w:left="140" w:right="114"/>
              <w:rPr>
                <w:rFonts w:eastAsia="宋体"/>
                <w:spacing w:val="-6"/>
              </w:rPr>
            </w:pPr>
            <w:r>
              <w:rPr>
                <w:rFonts w:eastAsia="宋体"/>
              </w:rPr>
              <w:t>长岭污水处理场总排口2020年10月1日前，基准排水量、化学需氧量、总磷、总氮执行《石油炼制工业污染物排放标准》（GB31570-2015）表1限值，之后基准排水量、化学需氧量、总磷、总氮执行表2特别排放限值，其他因子执行表1 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17" w:type="dxa"/>
            <w:vMerge w:val="continue"/>
            <w:vAlign w:val="center"/>
          </w:tcPr>
          <w:p>
            <w:pPr>
              <w:pStyle w:val="247"/>
              <w:spacing w:before="58"/>
              <w:ind w:left="140" w:right="114"/>
              <w:rPr>
                <w:rFonts w:eastAsia="宋体"/>
                <w:spacing w:val="-6"/>
              </w:rPr>
            </w:pPr>
          </w:p>
        </w:tc>
        <w:tc>
          <w:tcPr>
            <w:tcW w:w="1093" w:type="dxa"/>
            <w:vAlign w:val="center"/>
          </w:tcPr>
          <w:p>
            <w:pPr>
              <w:pStyle w:val="247"/>
              <w:spacing w:before="58"/>
              <w:ind w:left="140" w:right="114"/>
              <w:rPr>
                <w:rFonts w:eastAsia="宋体"/>
              </w:rPr>
            </w:pPr>
            <w:r>
              <w:rPr>
                <w:rFonts w:eastAsia="宋体"/>
                <w:spacing w:val="-6"/>
                <w:szCs w:val="24"/>
              </w:rPr>
              <w:t>CFB烟脱废水</w:t>
            </w:r>
          </w:p>
        </w:tc>
        <w:tc>
          <w:tcPr>
            <w:tcW w:w="1380" w:type="dxa"/>
            <w:vAlign w:val="center"/>
          </w:tcPr>
          <w:p>
            <w:pPr>
              <w:pStyle w:val="247"/>
              <w:spacing w:before="58"/>
              <w:ind w:left="140" w:right="114"/>
              <w:rPr>
                <w:rFonts w:eastAsia="宋体"/>
                <w:szCs w:val="21"/>
              </w:rPr>
            </w:pPr>
            <w:r>
              <w:rPr>
                <w:rFonts w:eastAsia="宋体"/>
                <w:szCs w:val="21"/>
              </w:rPr>
              <w:t>COD、氨氮、SS</w:t>
            </w:r>
          </w:p>
        </w:tc>
        <w:tc>
          <w:tcPr>
            <w:tcW w:w="2490" w:type="dxa"/>
            <w:vMerge w:val="continue"/>
            <w:vAlign w:val="center"/>
          </w:tcPr>
          <w:p>
            <w:pPr>
              <w:pStyle w:val="247"/>
              <w:spacing w:before="58"/>
              <w:ind w:left="140" w:right="114"/>
              <w:rPr>
                <w:rFonts w:eastAsia="宋体"/>
                <w:spacing w:val="-6"/>
                <w:szCs w:val="24"/>
              </w:rPr>
            </w:pPr>
          </w:p>
        </w:tc>
        <w:tc>
          <w:tcPr>
            <w:tcW w:w="3372" w:type="dxa"/>
            <w:vMerge w:val="continue"/>
            <w:vAlign w:val="center"/>
          </w:tcPr>
          <w:p>
            <w:pPr>
              <w:pStyle w:val="247"/>
              <w:spacing w:before="58"/>
              <w:ind w:left="140" w:right="114"/>
              <w:rPr>
                <w:rFonts w:eastAsia="宋体"/>
                <w:spacing w:val="-6"/>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717" w:type="dxa"/>
            <w:vAlign w:val="center"/>
          </w:tcPr>
          <w:p>
            <w:pPr>
              <w:pStyle w:val="247"/>
              <w:spacing w:before="58"/>
              <w:ind w:left="140" w:right="114"/>
              <w:rPr>
                <w:rFonts w:eastAsia="宋体"/>
                <w:spacing w:val="-6"/>
              </w:rPr>
            </w:pPr>
            <w:r>
              <w:rPr>
                <w:rFonts w:eastAsia="宋体"/>
                <w:spacing w:val="-6"/>
              </w:rPr>
              <w:t>噪声</w:t>
            </w:r>
          </w:p>
        </w:tc>
        <w:tc>
          <w:tcPr>
            <w:tcW w:w="1093" w:type="dxa"/>
            <w:vAlign w:val="center"/>
          </w:tcPr>
          <w:p>
            <w:pPr>
              <w:pStyle w:val="247"/>
              <w:spacing w:before="58"/>
              <w:ind w:left="140" w:right="114"/>
              <w:rPr>
                <w:rFonts w:eastAsia="宋体"/>
                <w:spacing w:val="-6"/>
              </w:rPr>
            </w:pPr>
            <w:r>
              <w:rPr>
                <w:rFonts w:eastAsia="宋体"/>
                <w:spacing w:val="-6"/>
              </w:rPr>
              <w:t>机泵噪声</w:t>
            </w:r>
          </w:p>
        </w:tc>
        <w:tc>
          <w:tcPr>
            <w:tcW w:w="3870" w:type="dxa"/>
            <w:gridSpan w:val="2"/>
            <w:vAlign w:val="center"/>
          </w:tcPr>
          <w:p>
            <w:pPr>
              <w:pStyle w:val="247"/>
              <w:spacing w:before="58"/>
              <w:ind w:left="140" w:right="114"/>
              <w:rPr>
                <w:rFonts w:eastAsia="宋体"/>
                <w:spacing w:val="-6"/>
              </w:rPr>
            </w:pPr>
            <w:r>
              <w:rPr>
                <w:rFonts w:eastAsia="宋体"/>
                <w:spacing w:val="-6"/>
              </w:rPr>
              <w:t>选用低噪声设备、减振、消音等措施·</w:t>
            </w:r>
          </w:p>
        </w:tc>
        <w:tc>
          <w:tcPr>
            <w:tcW w:w="3372" w:type="dxa"/>
            <w:vAlign w:val="center"/>
          </w:tcPr>
          <w:p>
            <w:pPr>
              <w:pStyle w:val="247"/>
              <w:spacing w:before="58"/>
              <w:ind w:left="140" w:right="114"/>
              <w:rPr>
                <w:rFonts w:eastAsia="宋体"/>
                <w:spacing w:val="-6"/>
              </w:rPr>
            </w:pPr>
            <w:r>
              <w:rPr>
                <w:rFonts w:eastAsia="宋体"/>
                <w:spacing w:val="-6"/>
              </w:rPr>
              <w:t>《工业企业厂界环境噪声排放标准》（GB12348- 2008）中 3类标准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17" w:type="dxa"/>
            <w:vAlign w:val="center"/>
          </w:tcPr>
          <w:p>
            <w:pPr>
              <w:pStyle w:val="247"/>
              <w:spacing w:before="58"/>
              <w:ind w:left="140" w:right="114"/>
              <w:rPr>
                <w:rFonts w:eastAsia="宋体"/>
                <w:spacing w:val="-6"/>
              </w:rPr>
            </w:pPr>
            <w:r>
              <w:rPr>
                <w:rFonts w:eastAsia="宋体"/>
                <w:spacing w:val="-6"/>
              </w:rPr>
              <w:t>固体</w:t>
            </w:r>
          </w:p>
          <w:p>
            <w:pPr>
              <w:pStyle w:val="247"/>
              <w:spacing w:before="58"/>
              <w:ind w:left="140" w:right="114"/>
              <w:rPr>
                <w:rFonts w:eastAsia="宋体"/>
                <w:spacing w:val="-6"/>
              </w:rPr>
            </w:pPr>
            <w:r>
              <w:rPr>
                <w:rFonts w:eastAsia="宋体"/>
                <w:spacing w:val="-6"/>
              </w:rPr>
              <w:t>废物</w:t>
            </w:r>
          </w:p>
        </w:tc>
        <w:tc>
          <w:tcPr>
            <w:tcW w:w="1093" w:type="dxa"/>
            <w:vAlign w:val="center"/>
          </w:tcPr>
          <w:p>
            <w:pPr>
              <w:pStyle w:val="247"/>
              <w:spacing w:before="58"/>
              <w:ind w:left="140" w:right="114"/>
              <w:rPr>
                <w:rFonts w:eastAsia="宋体"/>
                <w:spacing w:val="-6"/>
              </w:rPr>
            </w:pPr>
            <w:r>
              <w:rPr>
                <w:rFonts w:eastAsia="宋体"/>
                <w:spacing w:val="-6"/>
                <w:szCs w:val="24"/>
              </w:rPr>
              <w:t>CFB锅炉燃烧产生的炉渣、炉灰和石膏</w:t>
            </w:r>
          </w:p>
        </w:tc>
        <w:tc>
          <w:tcPr>
            <w:tcW w:w="3870" w:type="dxa"/>
            <w:gridSpan w:val="2"/>
            <w:vAlign w:val="center"/>
          </w:tcPr>
          <w:p>
            <w:pPr>
              <w:snapToGrid w:val="0"/>
              <w:jc w:val="center"/>
              <w:rPr>
                <w:rFonts w:ascii="Times New Roman" w:hAnsi="Times New Roman"/>
                <w:spacing w:val="-6"/>
              </w:rPr>
            </w:pPr>
            <w:r>
              <w:rPr>
                <w:rFonts w:ascii="Times New Roman" w:hAnsi="Times New Roman"/>
                <w:spacing w:val="-6"/>
                <w:szCs w:val="24"/>
              </w:rPr>
              <w:t>属于一般固废，外售水泥厂综合利用</w:t>
            </w:r>
          </w:p>
        </w:tc>
        <w:tc>
          <w:tcPr>
            <w:tcW w:w="3372" w:type="dxa"/>
            <w:vAlign w:val="center"/>
          </w:tcPr>
          <w:p>
            <w:pPr>
              <w:pStyle w:val="22"/>
              <w:kinsoku w:val="0"/>
              <w:overflowPunct w:val="0"/>
              <w:spacing w:before="158"/>
            </w:pPr>
            <w:r>
              <w:t>执行《一般工业固体废物贮存、处置场污染控制标准》（GB18599-2001）(2013 年修订)。</w:t>
            </w:r>
          </w:p>
          <w:p>
            <w:pPr>
              <w:spacing w:line="240" w:lineRule="atLeast"/>
              <w:jc w:val="center"/>
              <w:rPr>
                <w:rFonts w:ascii="Times New Roman" w:hAnsi="Times New Roman"/>
                <w:spacing w:val="-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810" w:type="dxa"/>
            <w:gridSpan w:val="2"/>
            <w:vAlign w:val="center"/>
          </w:tcPr>
          <w:p>
            <w:pPr>
              <w:pStyle w:val="247"/>
              <w:spacing w:before="58"/>
              <w:ind w:left="140" w:right="114"/>
              <w:rPr>
                <w:rFonts w:eastAsia="宋体"/>
                <w:spacing w:val="-6"/>
              </w:rPr>
            </w:pPr>
            <w:r>
              <w:rPr>
                <w:rFonts w:eastAsia="宋体"/>
                <w:spacing w:val="-6"/>
              </w:rPr>
              <w:t>风险防范</w:t>
            </w:r>
          </w:p>
        </w:tc>
        <w:tc>
          <w:tcPr>
            <w:tcW w:w="3870" w:type="dxa"/>
            <w:gridSpan w:val="2"/>
            <w:vAlign w:val="center"/>
          </w:tcPr>
          <w:p>
            <w:pPr>
              <w:pStyle w:val="247"/>
              <w:spacing w:before="58"/>
              <w:ind w:left="140" w:right="114"/>
              <w:rPr>
                <w:rFonts w:eastAsia="宋体"/>
                <w:spacing w:val="-6"/>
              </w:rPr>
            </w:pPr>
            <w:r>
              <w:rPr>
                <w:rFonts w:eastAsia="宋体"/>
                <w:spacing w:val="-6"/>
              </w:rPr>
              <w:t>装置区设导流沟等确保生产废水进入</w:t>
            </w:r>
          </w:p>
          <w:p>
            <w:pPr>
              <w:pStyle w:val="247"/>
              <w:spacing w:before="58"/>
              <w:ind w:left="140" w:right="114"/>
              <w:rPr>
                <w:rFonts w:eastAsia="宋体"/>
                <w:spacing w:val="-6"/>
              </w:rPr>
            </w:pPr>
            <w:r>
              <w:rPr>
                <w:rFonts w:eastAsia="宋体"/>
                <w:spacing w:val="-6"/>
              </w:rPr>
              <w:t>公司事故池，风险管理等纳入全厂风险应急管理系统</w:t>
            </w:r>
          </w:p>
        </w:tc>
        <w:tc>
          <w:tcPr>
            <w:tcW w:w="3372" w:type="dxa"/>
            <w:vAlign w:val="center"/>
          </w:tcPr>
          <w:p>
            <w:pPr>
              <w:pStyle w:val="247"/>
              <w:spacing w:before="58"/>
              <w:ind w:left="140" w:right="114"/>
              <w:rPr>
                <w:rFonts w:eastAsia="宋体"/>
                <w:spacing w:val="-6"/>
              </w:rPr>
            </w:pPr>
            <w:r>
              <w:rPr>
                <w:rFonts w:eastAsia="宋体"/>
                <w:spacing w:val="-6"/>
              </w:rPr>
              <w:t>满足环境风险防治要求，使项目环境风险为环境所接受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810" w:type="dxa"/>
            <w:gridSpan w:val="2"/>
            <w:vAlign w:val="center"/>
          </w:tcPr>
          <w:p>
            <w:pPr>
              <w:pStyle w:val="276"/>
              <w:jc w:val="center"/>
              <w:rPr>
                <w:rFonts w:ascii="Times New Roman" w:hAnsi="Times New Roman"/>
                <w:color w:val="auto"/>
                <w:spacing w:val="-6"/>
              </w:rPr>
            </w:pPr>
            <w:r>
              <w:rPr>
                <w:rFonts w:ascii="Times New Roman" w:hAnsi="Times New Roman"/>
                <w:color w:val="auto"/>
              </w:rPr>
              <w:t>其他</w:t>
            </w:r>
          </w:p>
        </w:tc>
        <w:tc>
          <w:tcPr>
            <w:tcW w:w="3870" w:type="dxa"/>
            <w:gridSpan w:val="2"/>
            <w:vAlign w:val="center"/>
          </w:tcPr>
          <w:p>
            <w:pPr>
              <w:snapToGrid w:val="0"/>
              <w:jc w:val="center"/>
              <w:rPr>
                <w:rFonts w:ascii="Times New Roman" w:hAnsi="Times New Roman"/>
                <w:spacing w:val="-6"/>
              </w:rPr>
            </w:pPr>
            <w:r>
              <w:rPr>
                <w:rFonts w:ascii="Times New Roman" w:hAnsi="Times New Roman"/>
                <w:szCs w:val="21"/>
              </w:rPr>
              <w:t>排污口规范化</w:t>
            </w:r>
          </w:p>
        </w:tc>
        <w:tc>
          <w:tcPr>
            <w:tcW w:w="3372" w:type="dxa"/>
            <w:vAlign w:val="center"/>
          </w:tcPr>
          <w:p>
            <w:pPr>
              <w:pStyle w:val="247"/>
              <w:spacing w:before="58"/>
              <w:ind w:right="114"/>
              <w:jc w:val="both"/>
              <w:rPr>
                <w:rFonts w:eastAsia="宋体"/>
                <w:spacing w:val="-6"/>
                <w:u w:val="single"/>
              </w:rPr>
            </w:pPr>
          </w:p>
        </w:tc>
      </w:t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tbl>
    <w:p>
      <w:pPr>
        <w:pStyle w:val="4"/>
        <w:numPr>
          <w:ilvl w:val="0"/>
          <w:numId w:val="0"/>
        </w:numPr>
        <w:tabs>
          <w:tab w:val="clear" w:pos="0"/>
          <w:tab w:val="clear" w:pos="3332"/>
        </w:tabs>
      </w:pPr>
      <w:bookmarkStart w:id="603" w:name="8.4.1监测计划"/>
      <w:bookmarkEnd w:id="603"/>
      <w:bookmarkStart w:id="604" w:name="第九章___项目可行性分析"/>
      <w:bookmarkEnd w:id="604"/>
      <w:bookmarkStart w:id="605" w:name="_Toc304810345"/>
      <w:bookmarkStart w:id="606" w:name="_Toc16837"/>
      <w:bookmarkStart w:id="607" w:name="_Toc5393"/>
      <w:bookmarkStart w:id="608" w:name="_Toc9579"/>
      <w:bookmarkStart w:id="609" w:name="_Toc16114"/>
      <w:r>
        <w:t>11. 环境影响评价结论</w:t>
      </w:r>
      <w:bookmarkEnd w:id="517"/>
      <w:bookmarkEnd w:id="605"/>
      <w:bookmarkEnd w:id="606"/>
      <w:bookmarkEnd w:id="607"/>
      <w:bookmarkEnd w:id="608"/>
      <w:bookmarkEnd w:id="609"/>
    </w:p>
    <w:p>
      <w:pPr>
        <w:pStyle w:val="6"/>
        <w:numPr>
          <w:ilvl w:val="1"/>
          <w:numId w:val="0"/>
        </w:numPr>
        <w:spacing w:before="120" w:after="120"/>
      </w:pPr>
      <w:bookmarkStart w:id="610" w:name="_Toc12743"/>
      <w:bookmarkStart w:id="611" w:name="_Toc6144"/>
      <w:bookmarkStart w:id="612" w:name="_Toc28037"/>
      <w:bookmarkStart w:id="613" w:name="_Toc5584"/>
      <w:r>
        <w:t>11.1 项目概况</w:t>
      </w:r>
      <w:bookmarkEnd w:id="610"/>
      <w:bookmarkEnd w:id="611"/>
      <w:bookmarkEnd w:id="612"/>
      <w:bookmarkEnd w:id="613"/>
    </w:p>
    <w:p>
      <w:pPr>
        <w:spacing w:line="360" w:lineRule="auto"/>
        <w:ind w:firstLine="240" w:firstLineChars="100"/>
        <w:rPr>
          <w:rFonts w:ascii="Times New Roman" w:hAnsi="Times New Roman"/>
          <w:kern w:val="0"/>
          <w:sz w:val="24"/>
          <w:szCs w:val="24"/>
        </w:rPr>
      </w:pPr>
      <w:r>
        <w:rPr>
          <w:rFonts w:ascii="Times New Roman" w:hAnsi="Times New Roman"/>
          <w:sz w:val="24"/>
        </w:rPr>
        <w:t>中国石化有限公司长岭分公司</w:t>
      </w:r>
      <w:r>
        <w:rPr>
          <w:rFonts w:ascii="Times New Roman" w:hAnsi="Times New Roman"/>
          <w:kern w:val="0"/>
          <w:sz w:val="24"/>
          <w:szCs w:val="24"/>
        </w:rPr>
        <w:t>1.2万吨/年油泥浮渣资源化利用项目</w:t>
      </w:r>
      <w:r>
        <w:rPr>
          <w:rFonts w:ascii="Times New Roman" w:hAnsi="Times New Roman"/>
          <w:sz w:val="24"/>
        </w:rPr>
        <w:t>位于中国石油化工股份有限公司长岭分公司生产装置区，</w:t>
      </w:r>
      <w:r>
        <w:rPr>
          <w:rFonts w:ascii="Times New Roman" w:hAnsi="Times New Roman"/>
          <w:sz w:val="24"/>
          <w:szCs w:val="24"/>
        </w:rPr>
        <w:t>热电部范围内</w:t>
      </w:r>
      <w:r>
        <w:rPr>
          <w:rFonts w:ascii="Times New Roman" w:hAnsi="Times New Roman"/>
          <w:sz w:val="24"/>
        </w:rPr>
        <w:t>。项目总投资90.01万元，全部为环保投资。项目主要建设内容及规模：</w:t>
      </w:r>
      <w:r>
        <w:rPr>
          <w:rFonts w:ascii="Times New Roman" w:hAnsi="Times New Roman"/>
          <w:sz w:val="24"/>
          <w:szCs w:val="24"/>
        </w:rPr>
        <w:t>将油泥浮渣进CFB锅炉处理，方式有两种：</w:t>
      </w:r>
      <w:r>
        <w:rPr>
          <w:rFonts w:ascii="Times New Roman" w:hAnsi="Times New Roman"/>
          <w:kern w:val="0"/>
          <w:sz w:val="24"/>
          <w:szCs w:val="24"/>
        </w:rPr>
        <w:t>一是含水率约90%的油泥浮渣用泵经过喷枪送到燃烧火嘴进入CFB锅炉炉膛直接掺烧，掺烧量为0.9万吨/年；二是将干化后的3000吨油泥浮渣，含水率30%（干化预处理部分外委给长岭设备研究所有限公司处理，已单独立项进行环评）与CFB锅炉燃煤混合后进行掺烧（掺烧比例1:54）。设计年开工时间为</w:t>
      </w:r>
      <w:r>
        <w:rPr>
          <w:rFonts w:ascii="Times New Roman" w:hAnsi="Times New Roman"/>
          <w:sz w:val="24"/>
        </w:rPr>
        <w:t>8760h</w:t>
      </w:r>
      <w:r>
        <w:rPr>
          <w:rFonts w:ascii="Times New Roman" w:hAnsi="Times New Roman"/>
          <w:kern w:val="0"/>
          <w:sz w:val="24"/>
          <w:szCs w:val="24"/>
        </w:rPr>
        <w:t>。</w:t>
      </w:r>
    </w:p>
    <w:p>
      <w:pPr>
        <w:pStyle w:val="6"/>
        <w:numPr>
          <w:ilvl w:val="1"/>
          <w:numId w:val="0"/>
        </w:numPr>
        <w:spacing w:before="120" w:after="120"/>
      </w:pPr>
      <w:bookmarkStart w:id="614" w:name="_Toc20890"/>
      <w:bookmarkStart w:id="615" w:name="_Toc11167"/>
      <w:bookmarkStart w:id="616" w:name="_Toc121"/>
      <w:bookmarkStart w:id="617" w:name="_Toc31703"/>
      <w:r>
        <w:t>11.2 环境质量现状</w:t>
      </w:r>
      <w:bookmarkEnd w:id="614"/>
      <w:bookmarkEnd w:id="615"/>
      <w:bookmarkEnd w:id="616"/>
      <w:bookmarkEnd w:id="617"/>
    </w:p>
    <w:p>
      <w:pPr>
        <w:spacing w:line="480" w:lineRule="exact"/>
        <w:ind w:firstLine="480" w:firstLineChars="200"/>
        <w:rPr>
          <w:rFonts w:ascii="Times New Roman" w:hAnsi="Times New Roman"/>
          <w:sz w:val="24"/>
          <w:szCs w:val="24"/>
        </w:rPr>
      </w:pPr>
      <w:r>
        <w:rPr>
          <w:rFonts w:ascii="Times New Roman" w:hAnsi="Times New Roman"/>
          <w:sz w:val="24"/>
          <w:szCs w:val="24"/>
        </w:rPr>
        <w:t>（1）环境空气质量现状</w:t>
      </w:r>
    </w:p>
    <w:p>
      <w:pPr>
        <w:spacing w:line="360" w:lineRule="auto"/>
        <w:ind w:firstLine="480" w:firstLineChars="200"/>
        <w:jc w:val="left"/>
        <w:rPr>
          <w:rFonts w:ascii="Times New Roman" w:hAnsi="Times New Roman"/>
          <w:sz w:val="24"/>
        </w:rPr>
      </w:pPr>
      <w:r>
        <w:rPr>
          <w:rFonts w:ascii="Times New Roman" w:hAnsi="Times New Roman"/>
          <w:kern w:val="0"/>
          <w:sz w:val="24"/>
          <w:szCs w:val="24"/>
        </w:rPr>
        <w:t>项目区基本污染物SO</w:t>
      </w:r>
      <w:r>
        <w:rPr>
          <w:rFonts w:ascii="Times New Roman" w:hAnsi="Times New Roman"/>
          <w:kern w:val="0"/>
          <w:sz w:val="24"/>
          <w:szCs w:val="24"/>
          <w:vertAlign w:val="subscript"/>
        </w:rPr>
        <w:t>2</w:t>
      </w:r>
      <w:r>
        <w:rPr>
          <w:rFonts w:ascii="Times New Roman" w:hAnsi="Times New Roman"/>
          <w:kern w:val="0"/>
          <w:sz w:val="24"/>
          <w:szCs w:val="24"/>
        </w:rPr>
        <w:t>、NO</w:t>
      </w:r>
      <w:r>
        <w:rPr>
          <w:rFonts w:ascii="Times New Roman" w:hAnsi="Times New Roman"/>
          <w:kern w:val="0"/>
          <w:sz w:val="24"/>
          <w:szCs w:val="24"/>
          <w:vertAlign w:val="subscript"/>
        </w:rPr>
        <w:t>2</w:t>
      </w:r>
      <w:r>
        <w:rPr>
          <w:rFonts w:ascii="Times New Roman" w:hAnsi="Times New Roman"/>
          <w:kern w:val="0"/>
          <w:sz w:val="24"/>
          <w:szCs w:val="24"/>
        </w:rPr>
        <w:t>、CO和O</w:t>
      </w:r>
      <w:r>
        <w:rPr>
          <w:rFonts w:ascii="Times New Roman" w:hAnsi="Times New Roman"/>
          <w:kern w:val="0"/>
          <w:sz w:val="24"/>
          <w:szCs w:val="24"/>
          <w:vertAlign w:val="subscript"/>
        </w:rPr>
        <w:t>3</w:t>
      </w:r>
      <w:r>
        <w:rPr>
          <w:rFonts w:ascii="Times New Roman" w:hAnsi="Times New Roman"/>
          <w:kern w:val="0"/>
          <w:sz w:val="24"/>
          <w:szCs w:val="24"/>
        </w:rPr>
        <w:t>满足《环境空气质量标准》（GB3095-2012）二级标准要求，PM</w:t>
      </w:r>
      <w:r>
        <w:rPr>
          <w:rFonts w:ascii="Times New Roman" w:hAnsi="Times New Roman"/>
          <w:kern w:val="0"/>
          <w:sz w:val="24"/>
          <w:szCs w:val="24"/>
          <w:vertAlign w:val="subscript"/>
        </w:rPr>
        <w:t>10</w:t>
      </w:r>
      <w:r>
        <w:rPr>
          <w:rFonts w:ascii="Times New Roman" w:hAnsi="Times New Roman"/>
          <w:kern w:val="0"/>
          <w:sz w:val="24"/>
          <w:szCs w:val="24"/>
        </w:rPr>
        <w:t>、PM</w:t>
      </w:r>
      <w:r>
        <w:rPr>
          <w:rFonts w:ascii="Times New Roman" w:hAnsi="Times New Roman"/>
          <w:kern w:val="0"/>
          <w:sz w:val="24"/>
          <w:szCs w:val="24"/>
          <w:vertAlign w:val="subscript"/>
        </w:rPr>
        <w:t>2.5</w:t>
      </w:r>
      <w:r>
        <w:rPr>
          <w:rFonts w:ascii="Times New Roman" w:hAnsi="Times New Roman"/>
          <w:kern w:val="0"/>
          <w:sz w:val="24"/>
          <w:szCs w:val="24"/>
        </w:rPr>
        <w:t>超过《环境空气质量标准》（GB3095-2012）二级标准要求。根据湖南省人民政府 2018 年6月18日发布的《湖南省污染防治攻坚战三年行动计划（2018—2020）年》的通知（湘政发〔2018〕17号）要求：到2020年，岳阳、益阳 PM</w:t>
      </w:r>
      <w:r>
        <w:rPr>
          <w:rFonts w:ascii="Times New Roman" w:hAnsi="Times New Roman"/>
          <w:kern w:val="0"/>
          <w:sz w:val="24"/>
          <w:szCs w:val="24"/>
          <w:vertAlign w:val="subscript"/>
        </w:rPr>
        <w:t>2.5</w:t>
      </w:r>
      <w:r>
        <w:rPr>
          <w:rFonts w:ascii="Times New Roman" w:hAnsi="Times New Roman"/>
          <w:kern w:val="0"/>
          <w:sz w:val="24"/>
          <w:szCs w:val="24"/>
        </w:rPr>
        <w:t>年均浓度平均值下降到41μg /m</w:t>
      </w:r>
      <w:r>
        <w:rPr>
          <w:rFonts w:ascii="Times New Roman" w:hAnsi="Times New Roman"/>
          <w:kern w:val="0"/>
          <w:sz w:val="24"/>
          <w:szCs w:val="24"/>
          <w:vertAlign w:val="superscript"/>
        </w:rPr>
        <w:t>3</w:t>
      </w:r>
      <w:r>
        <w:rPr>
          <w:rFonts w:ascii="Times New Roman" w:hAnsi="Times New Roman"/>
          <w:kern w:val="0"/>
          <w:sz w:val="24"/>
          <w:szCs w:val="24"/>
        </w:rPr>
        <w:t>以下，PM</w:t>
      </w:r>
      <w:r>
        <w:rPr>
          <w:rFonts w:ascii="Times New Roman" w:hAnsi="Times New Roman"/>
          <w:kern w:val="0"/>
          <w:sz w:val="24"/>
          <w:szCs w:val="24"/>
          <w:vertAlign w:val="subscript"/>
        </w:rPr>
        <w:t>10</w:t>
      </w:r>
      <w:r>
        <w:rPr>
          <w:rFonts w:ascii="Times New Roman" w:hAnsi="Times New Roman"/>
          <w:kern w:val="0"/>
          <w:sz w:val="24"/>
          <w:szCs w:val="24"/>
        </w:rPr>
        <w:t>年均浓度平均值下降到68μg /m</w:t>
      </w:r>
      <w:r>
        <w:rPr>
          <w:rFonts w:ascii="Times New Roman" w:hAnsi="Times New Roman"/>
          <w:kern w:val="0"/>
          <w:sz w:val="24"/>
          <w:szCs w:val="24"/>
          <w:vertAlign w:val="superscript"/>
        </w:rPr>
        <w:t>3</w:t>
      </w:r>
      <w:r>
        <w:rPr>
          <w:rFonts w:ascii="Times New Roman" w:hAnsi="Times New Roman"/>
          <w:kern w:val="0"/>
          <w:sz w:val="24"/>
          <w:szCs w:val="24"/>
        </w:rPr>
        <w:t>以下，同时根据岳阳市大气污染防治行动计划等要求，当地政府加大环境治理力度，采取更为严格的大气防治手段，大气环境质量将得到改善。</w:t>
      </w:r>
      <w:r>
        <w:rPr>
          <w:rFonts w:ascii="Times New Roman" w:hAnsi="Times New Roman"/>
          <w:sz w:val="24"/>
        </w:rPr>
        <w:t>氨、硫化氢均满足</w:t>
      </w:r>
      <w:r>
        <w:rPr>
          <w:rFonts w:ascii="Times New Roman" w:hAnsi="Times New Roman"/>
          <w:spacing w:val="-2"/>
          <w:sz w:val="24"/>
          <w:szCs w:val="24"/>
        </w:rPr>
        <w:t>《环境影响评价技术导则  大气环境》（HJ2.2-2018）附录D推荐值</w:t>
      </w:r>
      <w:r>
        <w:rPr>
          <w:rFonts w:ascii="Times New Roman" w:hAnsi="Times New Roman"/>
          <w:sz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（2）地表水质量现状</w:t>
      </w:r>
    </w:p>
    <w:p>
      <w:pPr>
        <w:spacing w:line="360" w:lineRule="auto"/>
        <w:ind w:firstLine="480" w:firstLineChars="200"/>
        <w:rPr>
          <w:rFonts w:ascii="Times New Roman" w:hAnsi="Times New Roman"/>
          <w:sz w:val="24"/>
          <w:szCs w:val="24"/>
        </w:rPr>
      </w:pPr>
      <w:r>
        <w:rPr>
          <w:rFonts w:ascii="Times New Roman" w:hAnsi="Times New Roman"/>
          <w:sz w:val="24"/>
          <w:szCs w:val="24"/>
        </w:rPr>
        <w:t>根据引用监测数据，长江断面水质满足《地表水环境质量标准》（GB3838-2002） 中Ⅲ类水质标准，但是上游断面COD监测值非常接近3类标准，说明上游来水水质一般。</w:t>
      </w:r>
    </w:p>
    <w:p>
      <w:pPr>
        <w:spacing w:line="480" w:lineRule="exact"/>
        <w:ind w:firstLine="480" w:firstLineChars="200"/>
        <w:rPr>
          <w:rFonts w:ascii="Times New Roman" w:hAnsi="Times New Roman"/>
          <w:sz w:val="24"/>
          <w:szCs w:val="24"/>
        </w:rPr>
      </w:pPr>
      <w:r>
        <w:rPr>
          <w:rFonts w:ascii="Times New Roman" w:hAnsi="Times New Roman"/>
          <w:sz w:val="24"/>
          <w:szCs w:val="24"/>
        </w:rPr>
        <w:t>（3）地下水环境质量现状</w:t>
      </w:r>
    </w:p>
    <w:p>
      <w:pPr>
        <w:spacing w:line="480" w:lineRule="exact"/>
        <w:ind w:firstLine="480" w:firstLineChars="200"/>
        <w:rPr>
          <w:rFonts w:ascii="Times New Roman" w:hAnsi="Times New Roman"/>
          <w:sz w:val="24"/>
          <w:szCs w:val="24"/>
        </w:rPr>
      </w:pPr>
      <w:r>
        <w:rPr>
          <w:rFonts w:ascii="Times New Roman" w:hAnsi="Times New Roman"/>
          <w:sz w:val="24"/>
          <w:szCs w:val="24"/>
        </w:rPr>
        <w:t>引用监测数据，厂区内及厂区外的对照点监测井的pH、石油类、氯化物、氰化物、硫化物、SO</w:t>
      </w:r>
      <w:r>
        <w:rPr>
          <w:rFonts w:ascii="Times New Roman" w:hAnsi="Times New Roman"/>
          <w:sz w:val="24"/>
          <w:szCs w:val="24"/>
          <w:vertAlign w:val="subscript"/>
        </w:rPr>
        <w:t>4</w:t>
      </w:r>
      <w:r>
        <w:rPr>
          <w:rFonts w:ascii="Times New Roman" w:hAnsi="Times New Roman"/>
          <w:sz w:val="24"/>
          <w:szCs w:val="24"/>
          <w:vertAlign w:val="superscript"/>
        </w:rPr>
        <w:t xml:space="preserve">2- </w:t>
      </w:r>
      <w:r>
        <w:rPr>
          <w:rFonts w:ascii="Times New Roman" w:hAnsi="Times New Roman"/>
          <w:sz w:val="24"/>
          <w:szCs w:val="24"/>
        </w:rPr>
        <w:t>、BOD</w:t>
      </w:r>
      <w:r>
        <w:rPr>
          <w:rFonts w:ascii="Times New Roman" w:hAnsi="Times New Roman"/>
          <w:sz w:val="24"/>
          <w:szCs w:val="24"/>
          <w:vertAlign w:val="subscript"/>
        </w:rPr>
        <w:t>5</w:t>
      </w:r>
      <w:r>
        <w:rPr>
          <w:rFonts w:ascii="Times New Roman" w:hAnsi="Times New Roman"/>
          <w:sz w:val="24"/>
          <w:szCs w:val="24"/>
        </w:rPr>
        <w:t xml:space="preserve"> 、总磷、总氮、氟化物、高锰酸盐指数、氨氮、挥发酚、苯、甲苯、二甲苯、乙苯、总镍、总汞、总砷、总铅、TOC、苯并芘、烷基汞，均符合《地下水质标准》（GB/T14848-93）Ⅲ类标准限值要求。</w:t>
      </w:r>
    </w:p>
    <w:p>
      <w:pPr>
        <w:spacing w:line="480" w:lineRule="exact"/>
        <w:ind w:firstLine="480" w:firstLineChars="200"/>
        <w:rPr>
          <w:rFonts w:ascii="Times New Roman" w:hAnsi="Times New Roman"/>
          <w:sz w:val="24"/>
          <w:szCs w:val="24"/>
        </w:rPr>
      </w:pPr>
      <w:r>
        <w:rPr>
          <w:rFonts w:ascii="Times New Roman" w:hAnsi="Times New Roman"/>
          <w:sz w:val="24"/>
          <w:szCs w:val="24"/>
        </w:rPr>
        <w:t>（4）声环境质量现状</w:t>
      </w:r>
    </w:p>
    <w:p>
      <w:pPr>
        <w:spacing w:line="480" w:lineRule="exact"/>
        <w:ind w:firstLine="480" w:firstLineChars="200"/>
        <w:rPr>
          <w:rFonts w:ascii="Times New Roman" w:hAnsi="Times New Roman"/>
          <w:sz w:val="24"/>
          <w:szCs w:val="24"/>
        </w:rPr>
      </w:pPr>
      <w:r>
        <w:rPr>
          <w:rFonts w:ascii="Times New Roman" w:hAnsi="Times New Roman"/>
          <w:sz w:val="24"/>
          <w:szCs w:val="24"/>
        </w:rPr>
        <w:t>项目地址四周监测点位声环境达到《声环境质量标准》GB3096-2008中3类标准要求。</w:t>
      </w:r>
    </w:p>
    <w:p>
      <w:pPr>
        <w:pStyle w:val="6"/>
        <w:numPr>
          <w:ilvl w:val="1"/>
          <w:numId w:val="0"/>
        </w:numPr>
        <w:spacing w:before="120" w:after="120"/>
      </w:pPr>
      <w:bookmarkStart w:id="618" w:name="_Toc2834"/>
      <w:bookmarkStart w:id="619" w:name="_Toc7228"/>
      <w:bookmarkStart w:id="620" w:name="_Toc8251"/>
      <w:bookmarkStart w:id="621" w:name="_Toc11137"/>
      <w:r>
        <w:t>11.3 主要环境影响</w:t>
      </w:r>
      <w:bookmarkEnd w:id="618"/>
      <w:bookmarkEnd w:id="619"/>
      <w:bookmarkEnd w:id="620"/>
      <w:bookmarkEnd w:id="621"/>
    </w:p>
    <w:p>
      <w:pPr>
        <w:pStyle w:val="5"/>
        <w:ind w:firstLine="480"/>
        <w:rPr>
          <w:rFonts w:ascii="Times New Roman" w:hAnsi="Times New Roman" w:cs="Times New Roman"/>
        </w:rPr>
      </w:pPr>
      <w:r>
        <w:rPr>
          <w:rFonts w:ascii="Times New Roman" w:hAnsi="Times New Roman" w:cs="Times New Roman"/>
        </w:rPr>
        <w:t>（1）水环境影响</w:t>
      </w:r>
    </w:p>
    <w:p>
      <w:pPr>
        <w:pStyle w:val="5"/>
        <w:ind w:firstLine="480"/>
        <w:rPr>
          <w:rFonts w:ascii="Times New Roman" w:hAnsi="Times New Roman" w:cs="Times New Roman"/>
        </w:rPr>
      </w:pPr>
      <w:bookmarkStart w:id="622" w:name="_Hlk31985554"/>
      <w:r>
        <w:rPr>
          <w:rFonts w:ascii="Times New Roman" w:hAnsi="Times New Roman" w:cs="Times New Roman"/>
        </w:rPr>
        <w:t>根据工艺分析，本项目无新增生活废水产生，其产生的废水主要为CFB锅炉排污水和CFB烟脱废水，均</w:t>
      </w:r>
      <w:r>
        <w:rPr>
          <w:rFonts w:ascii="Times New Roman" w:hAnsi="Times New Roman" w:cs="Times New Roman"/>
          <w:spacing w:val="-6"/>
          <w:szCs w:val="24"/>
        </w:rPr>
        <w:t>进入污水处理厂含盐污水处理系统。</w:t>
      </w:r>
    </w:p>
    <w:bookmarkEnd w:id="622"/>
    <w:p>
      <w:pPr>
        <w:pStyle w:val="5"/>
        <w:ind w:firstLine="480"/>
        <w:rPr>
          <w:rFonts w:ascii="Times New Roman" w:hAnsi="Times New Roman" w:cs="Times New Roman"/>
        </w:rPr>
      </w:pPr>
      <w:r>
        <w:rPr>
          <w:rFonts w:ascii="Times New Roman" w:hAnsi="Times New Roman" w:cs="Times New Roman"/>
        </w:rPr>
        <w:t>（2）大气环境影响</w:t>
      </w:r>
    </w:p>
    <w:p>
      <w:pPr>
        <w:spacing w:line="360" w:lineRule="auto"/>
        <w:ind w:firstLine="442"/>
        <w:rPr>
          <w:rFonts w:ascii="Times New Roman" w:hAnsi="Times New Roman"/>
          <w:sz w:val="24"/>
          <w:szCs w:val="24"/>
        </w:rPr>
      </w:pPr>
      <w:r>
        <w:rPr>
          <w:rFonts w:ascii="Times New Roman" w:hAnsi="Times New Roman"/>
          <w:sz w:val="24"/>
          <w:szCs w:val="24"/>
        </w:rPr>
        <w:t>本项目评价基准年为2017年，所在区域基准年为环境空气质量不达标区，不达标因子为PM</w:t>
      </w:r>
      <w:r>
        <w:rPr>
          <w:rFonts w:ascii="Times New Roman" w:hAnsi="Times New Roman"/>
          <w:sz w:val="24"/>
          <w:szCs w:val="24"/>
          <w:vertAlign w:val="subscript"/>
        </w:rPr>
        <w:t>10</w:t>
      </w:r>
      <w:r>
        <w:rPr>
          <w:rFonts w:ascii="Times New Roman" w:hAnsi="Times New Roman"/>
          <w:sz w:val="24"/>
          <w:szCs w:val="24"/>
        </w:rPr>
        <w:t>和PM</w:t>
      </w:r>
      <w:r>
        <w:rPr>
          <w:rFonts w:ascii="Times New Roman" w:hAnsi="Times New Roman"/>
          <w:sz w:val="24"/>
          <w:szCs w:val="24"/>
          <w:vertAlign w:val="subscript"/>
        </w:rPr>
        <w:t>2.5</w:t>
      </w:r>
      <w:r>
        <w:rPr>
          <w:rFonts w:ascii="Times New Roman" w:hAnsi="Times New Roman"/>
          <w:sz w:val="24"/>
          <w:szCs w:val="24"/>
        </w:rPr>
        <w:t>，在选取最不利预测情景下：</w:t>
      </w:r>
    </w:p>
    <w:p>
      <w:pPr>
        <w:spacing w:line="360" w:lineRule="auto"/>
        <w:ind w:firstLine="442"/>
        <w:rPr>
          <w:rFonts w:ascii="Times New Roman" w:hAnsi="Times New Roman"/>
          <w:sz w:val="24"/>
          <w:szCs w:val="24"/>
        </w:rPr>
      </w:pPr>
      <w:r>
        <w:rPr>
          <w:rFonts w:ascii="Times New Roman" w:hAnsi="Times New Roman"/>
          <w:sz w:val="24"/>
          <w:szCs w:val="24"/>
        </w:rPr>
        <w:t>①本项目所在区域暂未编制达标规划，截至2019年底，项目评价范围内无其他拟建在建污染源，区域削减源可用于本项目，本项目的替代源的削减方案为《湖南省污染防治攻坚战三年行动计划(2018-2020年)》中拟削减的污染源。</w:t>
      </w:r>
    </w:p>
    <w:p>
      <w:pPr>
        <w:spacing w:line="360" w:lineRule="auto"/>
        <w:ind w:firstLine="442"/>
        <w:rPr>
          <w:rFonts w:ascii="Times New Roman" w:hAnsi="Times New Roman"/>
          <w:sz w:val="24"/>
          <w:szCs w:val="24"/>
        </w:rPr>
      </w:pPr>
      <w:r>
        <w:rPr>
          <w:rFonts w:ascii="Times New Roman" w:hAnsi="Times New Roman"/>
          <w:sz w:val="24"/>
          <w:szCs w:val="24"/>
        </w:rPr>
        <w:t>②本项目新增污染源正常排放下SO</w:t>
      </w:r>
      <w:r>
        <w:rPr>
          <w:rFonts w:ascii="Times New Roman" w:hAnsi="Times New Roman"/>
          <w:sz w:val="24"/>
          <w:szCs w:val="24"/>
          <w:vertAlign w:val="subscript"/>
        </w:rPr>
        <w:t>2</w:t>
      </w:r>
      <w:r>
        <w:rPr>
          <w:rFonts w:ascii="Times New Roman" w:hAnsi="Times New Roman"/>
          <w:sz w:val="24"/>
          <w:szCs w:val="24"/>
        </w:rPr>
        <w:t xml:space="preserve"> 、NO</w:t>
      </w:r>
      <w:r>
        <w:rPr>
          <w:rFonts w:ascii="Times New Roman" w:hAnsi="Times New Roman"/>
          <w:sz w:val="24"/>
          <w:szCs w:val="24"/>
          <w:vertAlign w:val="subscript"/>
        </w:rPr>
        <w:t>2</w:t>
      </w:r>
      <w:r>
        <w:rPr>
          <w:rFonts w:ascii="Times New Roman" w:hAnsi="Times New Roman"/>
          <w:sz w:val="24"/>
          <w:szCs w:val="24"/>
        </w:rPr>
        <w:t>的小时和日均最大浓度贡献值占标率小于100%； PM</w:t>
      </w:r>
      <w:r>
        <w:rPr>
          <w:rFonts w:ascii="Times New Roman" w:hAnsi="Times New Roman"/>
          <w:sz w:val="24"/>
          <w:szCs w:val="24"/>
          <w:vertAlign w:val="subscript"/>
        </w:rPr>
        <w:t>10</w:t>
      </w:r>
      <w:r>
        <w:rPr>
          <w:rFonts w:ascii="Times New Roman" w:hAnsi="Times New Roman"/>
          <w:sz w:val="24"/>
          <w:szCs w:val="24"/>
        </w:rPr>
        <w:t>的日均最大浓度贡献值占标率小于100%；氨、硫化氢的小时最大浓度贡献值占标率小于100%；项目排放的各污染物短期浓度贡献值的最大浓度占标率均＜100%。</w:t>
      </w:r>
    </w:p>
    <w:p>
      <w:pPr>
        <w:spacing w:line="360" w:lineRule="auto"/>
        <w:ind w:firstLine="442"/>
        <w:rPr>
          <w:rFonts w:ascii="Times New Roman" w:hAnsi="Times New Roman"/>
          <w:sz w:val="24"/>
          <w:szCs w:val="24"/>
        </w:rPr>
      </w:pPr>
      <w:r>
        <w:rPr>
          <w:rFonts w:ascii="Times New Roman" w:hAnsi="Times New Roman"/>
          <w:sz w:val="24"/>
          <w:szCs w:val="24"/>
        </w:rPr>
        <w:t>③本项目新增污染源正常排放下SO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 xml:space="preserve"> 、PM</w:t>
      </w:r>
      <w:r>
        <w:rPr>
          <w:rFonts w:ascii="Times New Roman" w:hAnsi="Times New Roman"/>
          <w:sz w:val="24"/>
          <w:szCs w:val="24"/>
          <w:vertAlign w:val="subscript"/>
        </w:rPr>
        <w:t>10</w:t>
      </w:r>
      <w:r>
        <w:rPr>
          <w:rFonts w:ascii="Times New Roman" w:hAnsi="Times New Roman"/>
          <w:sz w:val="24"/>
          <w:szCs w:val="24"/>
        </w:rPr>
        <w:t>、镍和二噁英的年均浓度贡献值的占标率均小于30%。</w:t>
      </w:r>
    </w:p>
    <w:p>
      <w:pPr>
        <w:spacing w:line="360" w:lineRule="auto"/>
        <w:ind w:firstLine="442"/>
        <w:rPr>
          <w:rFonts w:ascii="Times New Roman" w:hAnsi="Times New Roman"/>
          <w:sz w:val="24"/>
          <w:szCs w:val="24"/>
        </w:rPr>
      </w:pPr>
      <w:r>
        <w:rPr>
          <w:rFonts w:ascii="Times New Roman" w:hAnsi="Times New Roman"/>
          <w:sz w:val="24"/>
          <w:szCs w:val="24"/>
        </w:rPr>
        <w:t>④对于现状超标的污染物PM</w:t>
      </w:r>
      <w:r>
        <w:rPr>
          <w:rFonts w:ascii="Times New Roman" w:hAnsi="Times New Roman"/>
          <w:sz w:val="24"/>
          <w:szCs w:val="24"/>
          <w:vertAlign w:val="subscript"/>
        </w:rPr>
        <w:t>10</w:t>
      </w:r>
      <w:r>
        <w:rPr>
          <w:rFonts w:ascii="Times New Roman" w:hAnsi="Times New Roman"/>
          <w:sz w:val="24"/>
          <w:szCs w:val="24"/>
        </w:rPr>
        <w:t>，在预测范围内的年平均浓度变化率 k = -98.34% ＜-20%，满足区域环境质量改善目标；对于现状达标的污染物SO</w:t>
      </w:r>
      <w:r>
        <w:rPr>
          <w:rFonts w:ascii="Times New Roman" w:hAnsi="Times New Roman"/>
          <w:sz w:val="24"/>
          <w:szCs w:val="24"/>
          <w:vertAlign w:val="subscript"/>
        </w:rPr>
        <w:t>2</w:t>
      </w:r>
      <w:r>
        <w:rPr>
          <w:rFonts w:ascii="Times New Roman" w:hAnsi="Times New Roman"/>
          <w:sz w:val="24"/>
          <w:szCs w:val="24"/>
        </w:rPr>
        <w:t>和NO</w:t>
      </w:r>
      <w:r>
        <w:rPr>
          <w:rFonts w:ascii="Times New Roman" w:hAnsi="Times New Roman"/>
          <w:sz w:val="24"/>
          <w:szCs w:val="24"/>
          <w:vertAlign w:val="subscript"/>
        </w:rPr>
        <w:t>2</w:t>
      </w:r>
      <w:r>
        <w:rPr>
          <w:rFonts w:ascii="Times New Roman" w:hAnsi="Times New Roman"/>
          <w:sz w:val="24"/>
          <w:szCs w:val="24"/>
        </w:rPr>
        <w:t>，叠加98%保证率日均浓度和年均浓度后均满足《环境空气质量标准》(GB3095-2012)二级标准限值要求；二噁英叠加后年均浓度贡献值满足日本年均浓度标准要求；对于仅有短期浓度的硫化氢和氨，叠加后满足《环境影响评价技术导则 大气环境》(HJ2.2-2018)附录D中标准限值要求。</w:t>
      </w:r>
    </w:p>
    <w:p>
      <w:pPr>
        <w:pStyle w:val="247"/>
        <w:spacing w:before="58" w:line="360" w:lineRule="auto"/>
        <w:ind w:right="114" w:firstLine="480" w:firstLineChars="200"/>
        <w:jc w:val="left"/>
        <w:rPr>
          <w:rFonts w:eastAsia="宋体"/>
          <w:sz w:val="24"/>
        </w:rPr>
      </w:pPr>
      <w:r>
        <w:rPr>
          <w:rFonts w:eastAsia="宋体"/>
          <w:sz w:val="24"/>
        </w:rPr>
        <w:t>本项目的废气主要为CFB锅炉烟气，主要包括烟尘、SO</w:t>
      </w:r>
      <w:r>
        <w:rPr>
          <w:rFonts w:eastAsia="宋体"/>
          <w:sz w:val="24"/>
          <w:vertAlign w:val="subscript"/>
        </w:rPr>
        <w:t>2</w:t>
      </w:r>
      <w:r>
        <w:rPr>
          <w:rFonts w:eastAsia="宋体"/>
          <w:sz w:val="24"/>
        </w:rPr>
        <w:t>、NO</w:t>
      </w:r>
      <w:r>
        <w:rPr>
          <w:rFonts w:eastAsia="宋体"/>
          <w:sz w:val="24"/>
          <w:vertAlign w:val="subscript"/>
        </w:rPr>
        <w:t>X</w:t>
      </w:r>
      <w:r>
        <w:rPr>
          <w:rFonts w:eastAsia="宋体"/>
          <w:sz w:val="24"/>
        </w:rPr>
        <w:t>、二噁英、重金属等，经燃烧炉炉内脱硫，SCR烟气脱硝+布袋除尘 +石灰石—石膏法湿法脱硫后排放。对外环境影响较小，不会造成周围大气环境质量明显下降。烟气黑度、烟尘、SO</w:t>
      </w:r>
      <w:r>
        <w:rPr>
          <w:rFonts w:eastAsia="宋体"/>
          <w:sz w:val="24"/>
          <w:vertAlign w:val="subscript"/>
        </w:rPr>
        <w:t>2</w:t>
      </w:r>
      <w:r>
        <w:rPr>
          <w:rFonts w:eastAsia="宋体"/>
          <w:sz w:val="24"/>
        </w:rPr>
        <w:t>、NO</w:t>
      </w:r>
      <w:r>
        <w:rPr>
          <w:rFonts w:eastAsia="宋体"/>
          <w:sz w:val="24"/>
          <w:vertAlign w:val="subscript"/>
        </w:rPr>
        <w:t>2</w:t>
      </w:r>
      <w:r>
        <w:rPr>
          <w:rFonts w:eastAsia="宋体"/>
          <w:sz w:val="24"/>
        </w:rPr>
        <w:t>满足GB13223-2011《火电厂大气污染物排放标准》表1排放限值</w:t>
      </w:r>
      <w:r>
        <w:rPr>
          <w:rFonts w:eastAsia="宋体"/>
          <w:sz w:val="24"/>
          <w:szCs w:val="24"/>
        </w:rPr>
        <w:t>、《全面实施燃煤电厂超低排放和节能改造工作方案》要求</w:t>
      </w:r>
      <w:r>
        <w:rPr>
          <w:rFonts w:eastAsia="宋体"/>
          <w:sz w:val="24"/>
        </w:rPr>
        <w:t>，有组织镍及其化合物、汞及其化合物、铅及其化合物、铜及其化合物、二噁英满足GB18484-2001《危险废物焚烧污染控制标准》表3标准。</w:t>
      </w:r>
    </w:p>
    <w:p>
      <w:pPr>
        <w:pStyle w:val="5"/>
        <w:ind w:firstLine="480"/>
        <w:rPr>
          <w:rFonts w:ascii="Times New Roman" w:hAnsi="Times New Roman" w:cs="Times New Roman"/>
        </w:rPr>
      </w:pPr>
      <w:r>
        <w:rPr>
          <w:rFonts w:ascii="Times New Roman" w:hAnsi="Times New Roman" w:cs="Times New Roman"/>
        </w:rPr>
        <w:t>（3）噪声环境影响</w:t>
      </w:r>
    </w:p>
    <w:p>
      <w:pPr>
        <w:pStyle w:val="5"/>
        <w:ind w:firstLine="480"/>
        <w:rPr>
          <w:rFonts w:ascii="Times New Roman" w:hAnsi="Times New Roman" w:cs="Times New Roman"/>
        </w:rPr>
      </w:pPr>
      <w:r>
        <w:rPr>
          <w:rFonts w:ascii="Times New Roman" w:hAnsi="Times New Roman" w:cs="Times New Roman"/>
        </w:rPr>
        <w:t>建设项目正常营运时，在采取隔声、减震等措施处理后，噪声贡献值较小，厂界噪声满足《工业企业厂界环境噪声排放标准》（GB12348-2008）3类标准要求。</w:t>
      </w:r>
    </w:p>
    <w:p>
      <w:pPr>
        <w:pStyle w:val="5"/>
        <w:ind w:firstLine="480"/>
        <w:rPr>
          <w:rFonts w:ascii="Times New Roman" w:hAnsi="Times New Roman" w:cs="Times New Roman"/>
        </w:rPr>
      </w:pPr>
      <w:r>
        <w:rPr>
          <w:rFonts w:ascii="Times New Roman" w:hAnsi="Times New Roman" w:cs="Times New Roman"/>
        </w:rPr>
        <w:t>（4）固废环境影响</w:t>
      </w:r>
    </w:p>
    <w:p>
      <w:pPr>
        <w:spacing w:line="360" w:lineRule="auto"/>
        <w:ind w:firstLine="480" w:firstLineChars="200"/>
        <w:rPr>
          <w:rFonts w:ascii="Times New Roman" w:hAnsi="Times New Roman"/>
          <w:sz w:val="24"/>
          <w:szCs w:val="24"/>
        </w:rPr>
      </w:pPr>
      <w:bookmarkStart w:id="623" w:name="_Hlk31985704"/>
      <w:r>
        <w:rPr>
          <w:rFonts w:ascii="Times New Roman" w:hAnsi="Times New Roman"/>
          <w:sz w:val="24"/>
          <w:szCs w:val="24"/>
        </w:rPr>
        <w:t>本</w:t>
      </w:r>
      <w:r>
        <w:rPr>
          <w:rFonts w:ascii="Times New Roman" w:hAnsi="Times New Roman"/>
          <w:sz w:val="24"/>
        </w:rPr>
        <w:t>项目运营期间产生的固体废物主要为CFB锅炉燃烧产生的炉渣、炉灰和石膏，属于一般固废，外售水泥厂综合利用，固体废物得到妥善处置，外排量为零</w:t>
      </w:r>
      <w:r>
        <w:rPr>
          <w:rFonts w:ascii="Times New Roman" w:hAnsi="Times New Roman"/>
          <w:sz w:val="24"/>
          <w:szCs w:val="24"/>
        </w:rPr>
        <w:t>。</w:t>
      </w:r>
      <w:bookmarkEnd w:id="623"/>
      <w:r>
        <w:rPr>
          <w:rFonts w:ascii="Times New Roman" w:hAnsi="Times New Roman"/>
          <w:sz w:val="24"/>
          <w:szCs w:val="24"/>
        </w:rPr>
        <w:t xml:space="preserve"> </w:t>
      </w:r>
    </w:p>
    <w:p>
      <w:pPr>
        <w:pStyle w:val="5"/>
        <w:ind w:firstLine="480"/>
        <w:rPr>
          <w:rFonts w:ascii="Times New Roman" w:hAnsi="Times New Roman" w:cs="Times New Roman"/>
        </w:rPr>
      </w:pPr>
      <w:r>
        <w:rPr>
          <w:rFonts w:ascii="Times New Roman" w:hAnsi="Times New Roman" w:cs="Times New Roman"/>
        </w:rPr>
        <w:t>（5）环境风险</w:t>
      </w:r>
    </w:p>
    <w:p>
      <w:pPr>
        <w:pStyle w:val="5"/>
        <w:ind w:firstLine="480"/>
        <w:rPr>
          <w:rFonts w:ascii="Times New Roman" w:hAnsi="Times New Roman" w:cs="Times New Roman"/>
        </w:rPr>
      </w:pPr>
      <w:r>
        <w:rPr>
          <w:rFonts w:ascii="Times New Roman" w:hAnsi="Times New Roman" w:cs="Times New Roman"/>
        </w:rPr>
        <w:t>本项目主要的风险事故类型为物料泄漏、火灾、爆炸和消防废水的事故排放。通过建立完善的企业事故防范和应急体系，做好企业联防联动，本项目发生风险事故的几率很小，其影响危害可控制在厂区内，不会区域环境造成无法接受的不良的影响，其环境风险水平在可接受水平范围内。</w:t>
      </w:r>
    </w:p>
    <w:p>
      <w:pPr>
        <w:pStyle w:val="6"/>
        <w:numPr>
          <w:ilvl w:val="1"/>
          <w:numId w:val="0"/>
        </w:numPr>
        <w:spacing w:before="120" w:after="120"/>
      </w:pPr>
      <w:bookmarkStart w:id="624" w:name="_Toc18560"/>
      <w:bookmarkStart w:id="625" w:name="_Toc7543"/>
      <w:bookmarkStart w:id="626" w:name="_Toc8114"/>
      <w:bookmarkStart w:id="627" w:name="_Toc12823"/>
      <w:r>
        <w:t>11.4 环境保护措施</w:t>
      </w:r>
      <w:bookmarkEnd w:id="624"/>
      <w:bookmarkEnd w:id="625"/>
      <w:bookmarkEnd w:id="626"/>
      <w:bookmarkEnd w:id="627"/>
    </w:p>
    <w:p>
      <w:pPr>
        <w:pStyle w:val="5"/>
        <w:ind w:firstLine="480"/>
        <w:rPr>
          <w:rFonts w:ascii="Times New Roman" w:hAnsi="Times New Roman" w:cs="Times New Roman"/>
        </w:rPr>
      </w:pPr>
      <w:r>
        <w:rPr>
          <w:rFonts w:ascii="Times New Roman" w:hAnsi="Times New Roman" w:cs="Times New Roman"/>
        </w:rPr>
        <w:t>（1）废气处理措施</w:t>
      </w:r>
    </w:p>
    <w:p>
      <w:pPr>
        <w:pStyle w:val="5"/>
        <w:ind w:firstLine="456"/>
        <w:rPr>
          <w:rFonts w:ascii="Times New Roman" w:hAnsi="Times New Roman" w:cs="Times New Roman"/>
        </w:rPr>
      </w:pPr>
      <w:r>
        <w:rPr>
          <w:rFonts w:ascii="Times New Roman" w:hAnsi="Times New Roman" w:cs="Times New Roman"/>
          <w:spacing w:val="-6"/>
        </w:rPr>
        <w:t>CFB锅炉烟气经燃烧炉炉内脱硫，SCR烟气脱硝+布袋除尘 +石灰石—石膏法湿法脱硫后排放</w:t>
      </w:r>
      <w:r>
        <w:rPr>
          <w:rFonts w:ascii="Times New Roman" w:hAnsi="Times New Roman" w:cs="Times New Roman"/>
        </w:rPr>
        <w:t>，经预测，能做到污染物稳定达标排放，其经济上完全可为建设单位接受。</w:t>
      </w:r>
    </w:p>
    <w:p>
      <w:pPr>
        <w:pStyle w:val="5"/>
        <w:ind w:firstLine="480"/>
        <w:rPr>
          <w:rFonts w:ascii="Times New Roman" w:hAnsi="Times New Roman" w:cs="Times New Roman"/>
        </w:rPr>
      </w:pPr>
      <w:r>
        <w:rPr>
          <w:rFonts w:ascii="Times New Roman" w:hAnsi="Times New Roman" w:cs="Times New Roman"/>
        </w:rPr>
        <w:t>（2）废水处理措施</w:t>
      </w:r>
    </w:p>
    <w:p>
      <w:pPr>
        <w:pStyle w:val="5"/>
        <w:ind w:firstLine="480"/>
        <w:rPr>
          <w:rFonts w:ascii="Times New Roman" w:hAnsi="Times New Roman" w:cs="Times New Roman"/>
          <w:szCs w:val="24"/>
        </w:rPr>
      </w:pPr>
      <w:r>
        <w:rPr>
          <w:rFonts w:ascii="Times New Roman" w:hAnsi="Times New Roman" w:cs="Times New Roman"/>
          <w:szCs w:val="24"/>
        </w:rPr>
        <w:t>项目废水主要是CFB锅炉排污水与CFB烟脱废水，均进入污水处理厂含盐污水处理系统。</w:t>
      </w:r>
    </w:p>
    <w:p>
      <w:pPr>
        <w:pStyle w:val="5"/>
        <w:ind w:firstLine="480"/>
        <w:rPr>
          <w:rFonts w:ascii="Times New Roman" w:hAnsi="Times New Roman" w:cs="Times New Roman"/>
        </w:rPr>
      </w:pPr>
      <w:r>
        <w:rPr>
          <w:rFonts w:ascii="Times New Roman" w:hAnsi="Times New Roman" w:cs="Times New Roman"/>
        </w:rPr>
        <w:t>（3）地下水污染防治措施</w:t>
      </w:r>
    </w:p>
    <w:p>
      <w:pPr>
        <w:pStyle w:val="5"/>
        <w:ind w:firstLine="480"/>
        <w:rPr>
          <w:rFonts w:ascii="Times New Roman" w:hAnsi="Times New Roman" w:cs="Times New Roman"/>
        </w:rPr>
      </w:pPr>
      <w:r>
        <w:rPr>
          <w:rFonts w:ascii="Times New Roman" w:hAnsi="Times New Roman" w:cs="Times New Roman"/>
        </w:rPr>
        <w:t>项目地下水污染防治措施按照“源头控制、分区防治、污染监控、应急响应”相结合的原则，从污染物的产生、入渗、扩散、应急响应进行控制。</w:t>
      </w:r>
    </w:p>
    <w:p>
      <w:pPr>
        <w:pStyle w:val="5"/>
        <w:ind w:firstLine="480"/>
        <w:rPr>
          <w:rFonts w:ascii="Times New Roman" w:hAnsi="Times New Roman" w:cs="Times New Roman"/>
        </w:rPr>
      </w:pPr>
      <w:r>
        <w:rPr>
          <w:rFonts w:ascii="Times New Roman" w:hAnsi="Times New Roman" w:cs="Times New Roman"/>
        </w:rPr>
        <w:t>（4）噪声污染防治措施</w:t>
      </w:r>
    </w:p>
    <w:p>
      <w:pPr>
        <w:pStyle w:val="5"/>
        <w:ind w:firstLine="480"/>
        <w:rPr>
          <w:rFonts w:ascii="Times New Roman" w:hAnsi="Times New Roman" w:cs="Times New Roman"/>
        </w:rPr>
      </w:pPr>
      <w:r>
        <w:rPr>
          <w:rFonts w:ascii="Times New Roman" w:hAnsi="Times New Roman" w:cs="Times New Roman"/>
        </w:rPr>
        <w:t>本项目为减少噪声污染，尽量选用低噪声设备，同时采用以下措施：采用减振底座；泵进出口加装避振喉，基础增加橡胶减振垫。采取以上措施后，厂界噪声可以达标。</w:t>
      </w:r>
    </w:p>
    <w:p>
      <w:pPr>
        <w:pStyle w:val="5"/>
        <w:ind w:firstLine="480"/>
        <w:rPr>
          <w:rFonts w:ascii="Times New Roman" w:hAnsi="Times New Roman" w:cs="Times New Roman"/>
        </w:rPr>
      </w:pPr>
      <w:r>
        <w:rPr>
          <w:rFonts w:ascii="Times New Roman" w:hAnsi="Times New Roman" w:cs="Times New Roman"/>
        </w:rPr>
        <w:t>（5）固废污染防治措施</w:t>
      </w:r>
    </w:p>
    <w:p>
      <w:pPr>
        <w:adjustRightInd w:val="0"/>
        <w:snapToGrid w:val="0"/>
        <w:spacing w:line="360" w:lineRule="auto"/>
        <w:ind w:firstLine="560"/>
        <w:rPr>
          <w:rFonts w:ascii="Times New Roman" w:hAnsi="Times New Roman"/>
        </w:rPr>
      </w:pPr>
      <w:r>
        <w:rPr>
          <w:rFonts w:ascii="Times New Roman" w:hAnsi="Times New Roman"/>
          <w:sz w:val="24"/>
          <w:szCs w:val="24"/>
        </w:rPr>
        <w:t>本项目运营期间产生的固体废物主要为CFB锅炉燃烧产生的炉渣、炉灰和石膏，属于一般固废，外售水泥厂综合利用，固体废物得到妥善处置，外排量为零。由于未新增操作人员，故无生活垃圾产生。加强源头控制，强化管理等措施，确保项目产生的危险废物不会对区域环境产生大的影响。</w:t>
      </w:r>
    </w:p>
    <w:p>
      <w:pPr>
        <w:pStyle w:val="6"/>
        <w:numPr>
          <w:ilvl w:val="1"/>
          <w:numId w:val="0"/>
        </w:numPr>
        <w:spacing w:before="120" w:after="120"/>
      </w:pPr>
      <w:bookmarkStart w:id="628" w:name="_Toc15059"/>
      <w:bookmarkStart w:id="629" w:name="_Toc28226"/>
      <w:bookmarkStart w:id="630" w:name="_Toc12471"/>
      <w:bookmarkStart w:id="631" w:name="_Toc24006"/>
      <w:r>
        <w:t>11.5 环境影响经济损益分析结论</w:t>
      </w:r>
      <w:bookmarkEnd w:id="628"/>
      <w:bookmarkEnd w:id="629"/>
      <w:bookmarkEnd w:id="630"/>
      <w:bookmarkEnd w:id="631"/>
    </w:p>
    <w:p>
      <w:pPr>
        <w:pStyle w:val="5"/>
        <w:ind w:firstLine="480"/>
        <w:rPr>
          <w:rFonts w:ascii="Times New Roman" w:hAnsi="Times New Roman" w:cs="Times New Roman"/>
        </w:rPr>
      </w:pPr>
      <w:bookmarkStart w:id="632" w:name="_Toc155187699"/>
      <w:r>
        <w:rPr>
          <w:rFonts w:ascii="Times New Roman" w:hAnsi="Times New Roman" w:cs="Times New Roman"/>
        </w:rPr>
        <w:t>项目环保设施的正常运行，可明显提高项目资源利用率，减少污染物的排放，产生的经济效益可完全满足项目环保设施的运行费用，并且项目建设还可以带来明显的环境效益和社会效益。从环境经济角度来分析，本项目建设是可行的。</w:t>
      </w:r>
      <w:bookmarkEnd w:id="632"/>
    </w:p>
    <w:p>
      <w:pPr>
        <w:pStyle w:val="6"/>
        <w:numPr>
          <w:ilvl w:val="1"/>
          <w:numId w:val="0"/>
        </w:numPr>
        <w:spacing w:before="120" w:after="120"/>
      </w:pPr>
      <w:bookmarkStart w:id="633" w:name="_Toc29501"/>
      <w:bookmarkStart w:id="634" w:name="_Toc26109"/>
      <w:bookmarkStart w:id="635" w:name="_Toc26373"/>
      <w:bookmarkStart w:id="636" w:name="_Toc14809"/>
      <w:bookmarkStart w:id="637" w:name="_Toc496257514"/>
      <w:r>
        <w:t>11.6 环境管理与监测计划</w:t>
      </w:r>
      <w:bookmarkEnd w:id="633"/>
      <w:bookmarkEnd w:id="634"/>
      <w:bookmarkEnd w:id="635"/>
      <w:bookmarkEnd w:id="636"/>
      <w:bookmarkEnd w:id="637"/>
    </w:p>
    <w:p>
      <w:pPr>
        <w:pStyle w:val="5"/>
        <w:ind w:firstLine="480"/>
        <w:rPr>
          <w:rFonts w:ascii="Times New Roman" w:hAnsi="Times New Roman" w:cs="Times New Roman"/>
        </w:rPr>
      </w:pPr>
      <w:r>
        <w:rPr>
          <w:rFonts w:ascii="Times New Roman" w:hAnsi="Times New Roman" w:cs="Times New Roman"/>
        </w:rPr>
        <w:t>根据《环境影响评价公众参与办法》（部令第4号，2019年1月1日施行），在环评工作进行中，中国石油化工股份有限公司长岭分公司分别于2020年2月24日和2020年3月4日进行了两次环境影响评价信息公开。</w:t>
      </w:r>
    </w:p>
    <w:p>
      <w:pPr>
        <w:pStyle w:val="5"/>
        <w:ind w:firstLine="480"/>
        <w:rPr>
          <w:rFonts w:ascii="Times New Roman" w:hAnsi="Times New Roman" w:cs="Times New Roman"/>
        </w:rPr>
      </w:pPr>
      <w:r>
        <w:rPr>
          <w:rFonts w:ascii="Times New Roman" w:hAnsi="Times New Roman" w:cs="Times New Roman"/>
        </w:rPr>
        <w:t>2020年1月3日，建设单位在确定环评单位后7日内在湖南岳阳市生态环境局政府网站上进行了第一次环境影响评价信息公开，第一次信息公开的同时一并公示了“公众意见表”，以收集附近公众对拟建项目的意见和建议。</w:t>
      </w:r>
    </w:p>
    <w:p>
      <w:pPr>
        <w:pStyle w:val="5"/>
        <w:ind w:firstLine="480"/>
        <w:rPr>
          <w:rFonts w:ascii="Times New Roman" w:hAnsi="Times New Roman" w:cs="Times New Roman"/>
        </w:rPr>
      </w:pPr>
      <w:r>
        <w:rPr>
          <w:rFonts w:ascii="Times New Roman" w:hAnsi="Times New Roman" w:cs="Times New Roman"/>
        </w:rPr>
        <w:t>2020年3月25日，环评报告书征求意见稿形成后进行了第二次环境影响评价信收集附近公众对拟建项目的意见和建议。</w:t>
      </w:r>
    </w:p>
    <w:p>
      <w:pPr>
        <w:pStyle w:val="5"/>
        <w:ind w:firstLine="480"/>
        <w:rPr>
          <w:rFonts w:ascii="Times New Roman" w:hAnsi="Times New Roman" w:cs="Times New Roman"/>
        </w:rPr>
      </w:pPr>
      <w:r>
        <w:rPr>
          <w:rFonts w:ascii="Times New Roman" w:hAnsi="Times New Roman" w:cs="Times New Roman"/>
        </w:rPr>
        <w:t>信息公开，采用了网络平台公开、报纸公开以及现场场所张贴三种公开方式同步进行。</w:t>
      </w:r>
    </w:p>
    <w:p>
      <w:pPr>
        <w:pStyle w:val="5"/>
        <w:ind w:firstLine="480"/>
        <w:rPr>
          <w:rFonts w:ascii="Times New Roman" w:hAnsi="Times New Roman" w:cs="Times New Roman"/>
        </w:rPr>
      </w:pPr>
      <w:r>
        <w:rPr>
          <w:rFonts w:ascii="Times New Roman" w:hAnsi="Times New Roman" w:cs="Times New Roman"/>
        </w:rPr>
        <w:t>2020年5月27日，岳阳市生态环境局在经开区主持召开了“中国石油化工股份有限公司长岭分公司1.2万吨油泥浮渣资源优化利用环境影响报告书”的技术审查会。会后根据专家意见形成了中国石油化工股份有限公司长岭分公司油泥浮渣资源优化利用项目环境影响评价报告书报批版，并于2020年6月在岳阳市生态环境政府网站上进行了环境影响报告书报批版全文和公众参与说明的公示。在征求意见期间，公众未通过任何形式提出任何意见。</w:t>
      </w:r>
    </w:p>
    <w:p>
      <w:pPr>
        <w:pStyle w:val="5"/>
        <w:ind w:firstLine="480"/>
        <w:rPr>
          <w:rFonts w:ascii="Times New Roman" w:hAnsi="Times New Roman" w:cs="Times New Roman"/>
        </w:rPr>
      </w:pPr>
      <w:r>
        <w:rPr>
          <w:rFonts w:ascii="Times New Roman" w:hAnsi="Times New Roman" w:cs="Times New Roman"/>
        </w:rPr>
        <w:t>本项目成立了环境管理机构并配备了专职管理人员；从废气、废水、噪声等方面制定了环境监测工作计划，为管理部门和企业的环境保护和污染防治工作提供了可行合理的依据。</w:t>
      </w:r>
    </w:p>
    <w:p>
      <w:pPr>
        <w:pStyle w:val="6"/>
        <w:numPr>
          <w:ilvl w:val="1"/>
          <w:numId w:val="0"/>
        </w:numPr>
        <w:spacing w:before="120" w:after="120"/>
      </w:pPr>
      <w:bookmarkStart w:id="638" w:name="_Toc11615"/>
      <w:bookmarkStart w:id="639" w:name="_Toc21853"/>
      <w:bookmarkStart w:id="640" w:name="_Toc24143"/>
      <w:bookmarkStart w:id="641" w:name="_Toc12228"/>
      <w:r>
        <w:t>11.7 总结论</w:t>
      </w:r>
      <w:bookmarkEnd w:id="638"/>
      <w:bookmarkEnd w:id="639"/>
      <w:bookmarkEnd w:id="640"/>
      <w:bookmarkEnd w:id="641"/>
    </w:p>
    <w:bookmarkEnd w:id="351"/>
    <w:bookmarkEnd w:id="352"/>
    <w:p>
      <w:pPr>
        <w:kinsoku w:val="0"/>
        <w:overflowPunct w:val="0"/>
        <w:spacing w:line="360" w:lineRule="auto"/>
        <w:ind w:firstLine="480" w:firstLineChars="200"/>
        <w:jc w:val="left"/>
        <w:rPr>
          <w:rFonts w:ascii="Times New Roman" w:hAnsi="Times New Roman"/>
          <w:sz w:val="24"/>
        </w:rPr>
      </w:pPr>
      <w:r>
        <w:rPr>
          <w:rFonts w:ascii="Times New Roman" w:hAnsi="Times New Roman"/>
          <w:sz w:val="24"/>
          <w:szCs w:val="20"/>
        </w:rPr>
        <w:t>中国石化有限公司长岭分公司</w:t>
      </w:r>
      <w:r>
        <w:rPr>
          <w:rFonts w:ascii="Times New Roman" w:hAnsi="Times New Roman"/>
          <w:sz w:val="24"/>
        </w:rPr>
        <w:t>1.2万吨/年油泥浮渣资源化处理项目建设符合国家产业政策，选址和总平面布置基本合理；无制约项目建设的重大环境问题；项目建成后对改善长岭公司技术发展具有积极的意义，在采取有效的污染防治措施和风险防范措施后，其不利影响能得到有效控制，外排污染物对环境的影响较小，在可接受的范围内。因此，从环境保护的角度分析，本项目的建设是可行的。</w:t>
      </w:r>
    </w:p>
    <w:p>
      <w:pPr>
        <w:pStyle w:val="6"/>
        <w:numPr>
          <w:ilvl w:val="1"/>
          <w:numId w:val="0"/>
        </w:numPr>
        <w:spacing w:before="120" w:after="120"/>
      </w:pPr>
      <w:bookmarkStart w:id="642" w:name="_Toc22478"/>
      <w:r>
        <w:t>11.8 建议</w:t>
      </w:r>
      <w:bookmarkEnd w:id="642"/>
    </w:p>
    <w:p>
      <w:pPr>
        <w:pStyle w:val="22"/>
        <w:spacing w:line="365" w:lineRule="auto"/>
        <w:ind w:right="312" w:firstLine="482"/>
        <w:rPr>
          <w:sz w:val="24"/>
        </w:rPr>
      </w:pPr>
      <w:r>
        <w:rPr>
          <w:sz w:val="24"/>
        </w:rPr>
        <w:t>（1）建设单位必须严格落实本评价提出的环保措施及风险防范及应急措施，保证各项污染物的达标排放，将事故的风险降到最低。</w:t>
      </w:r>
    </w:p>
    <w:p>
      <w:pPr>
        <w:pStyle w:val="22"/>
        <w:spacing w:line="365" w:lineRule="auto"/>
        <w:ind w:right="312" w:firstLine="482"/>
        <w:rPr>
          <w:sz w:val="24"/>
        </w:rPr>
      </w:pPr>
      <w:r>
        <w:rPr>
          <w:sz w:val="24"/>
        </w:rPr>
        <w:t>（2）定期对设备、管道、阀门等进行常规检查。</w:t>
      </w:r>
    </w:p>
    <w:p>
      <w:pPr>
        <w:pStyle w:val="22"/>
        <w:spacing w:line="365" w:lineRule="auto"/>
        <w:ind w:right="312" w:firstLine="482"/>
        <w:rPr>
          <w:sz w:val="24"/>
        </w:rPr>
      </w:pPr>
      <w:r>
        <w:rPr>
          <w:sz w:val="24"/>
        </w:rPr>
        <w:t>（3）应不断完善事故应急救援预案，并定期进行演练、总结，不断提高对突发事件的应对能力。</w:t>
      </w:r>
    </w:p>
    <w:p>
      <w:pPr>
        <w:pStyle w:val="5"/>
        <w:ind w:firstLine="0" w:firstLineChars="0"/>
        <w:rPr>
          <w:rFonts w:ascii="Times New Roman" w:hAnsi="Times New Roman" w:cs="Times New Roman"/>
          <w:b/>
          <w:bCs/>
        </w:rPr>
        <w:sectPr>
          <w:headerReference r:id="rId16" w:type="default"/>
          <w:footerReference r:id="rId17" w:type="default"/>
          <w:type w:val="continuous"/>
          <w:pgSz w:w="11907" w:h="16840"/>
          <w:pgMar w:top="1474" w:right="1531" w:bottom="1417" w:left="1474" w:header="1020" w:footer="992" w:gutter="0"/>
          <w:cols w:space="0" w:num="1"/>
          <w:docGrid w:linePitch="312" w:charSpace="0"/>
        </w:sectPr>
      </w:pPr>
    </w:p>
    <w:p>
      <w:pPr>
        <w:pStyle w:val="5"/>
        <w:ind w:firstLine="0" w:firstLineChars="0"/>
        <w:rPr>
          <w:rFonts w:ascii="Times New Roman" w:hAnsi="Times New Roman" w:cs="Times New Roman"/>
          <w:b/>
          <w:bCs/>
        </w:rPr>
      </w:pPr>
    </w:p>
    <w:sectPr>
      <w:headerReference r:id="rId18" w:type="default"/>
      <w:footerReference r:id="rId19" w:type="default"/>
      <w:pgSz w:w="11850" w:h="16783"/>
      <w:pgMar w:top="1474" w:right="1531" w:bottom="1418" w:left="1474" w:header="1020"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monospace">
    <w:altName w:val="Arial"/>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黑体_GBK">
    <w:altName w:val="黑体"/>
    <w:panose1 w:val="00000000000000000000"/>
    <w:charset w:val="86"/>
    <w:family w:val="auto"/>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NHqH8R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D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80eofxECAAAJBAAADgAAAAAAAAABACAA&#10;AAAfAQAAZHJzL2Uyb0RvYy54bWxQSwUGAAAAAAYABgBZAQAAogU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149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zdpIRAgAACQQAAA4AAABkcnMvZTJvRG9jLnhtbK1TzY7TMBC+I/EO&#10;lu80aRFL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VvN2khECAAAJBAAADgAAAAAAAAABACAA&#10;AAAfAQAAZHJzL2Uyb0RvYy54bWxQSwUGAAAAAAYABgBZAQAAogU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149</w:t>
                    </w:r>
                    <w:r>
                      <w:rPr>
                        <w:rFonts w:hint="eastAsia"/>
                      </w:rPr>
                      <w:fldChar w:fldCharType="end"/>
                    </w:r>
                  </w:p>
                </w:txbxContent>
              </v:textbox>
            </v:shape>
          </w:pict>
        </mc:Fallback>
      </mc:AlternateContent>
    </w:r>
    <w:r>
      <w:rPr>
        <w:rFonts w:hint="eastAsia"/>
      </w:rPr>
      <w:t xml:space="preserve">                                      </w:t>
    </w:r>
    <w:r>
      <w:rPr>
        <w:rFonts w:hint="eastAsia"/>
      </w:rPr>
      <w:tab/>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Vv4g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Y9mCjs6/fh++vlw+vWNwAeCWutnyNtYZIbunemw6MHv4Yxz&#10;d5VT8YuJCOLAOl7oFV0gPF6aTqbTHCGO2PAD/OzxunU+vBdGkWgU1GF/iVZ2WPvQpw4psZo2q0bK&#10;tEOpSVvQq9dv8n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PFb+IEAIAAAkEAAAOAAAAAAAAAAEAIAAA&#10;AB8BAABkcnMvZTJvRG9jLnhtbFBLBQYAAAAABgAGAFkBAAChBQ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 w:val="clear" w:pos="8306"/>
      </w:tabs>
      <w:jc w:val="both"/>
      <w:rPr>
        <w:rFonts w:ascii="楷体" w:eastAsia="楷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r>
      <w:rPr>
        <w:rFonts w:hint="eastAsia" w:ascii="楷体" w:eastAsia="楷体"/>
      </w:rPr>
      <w:tab/>
    </w:r>
    <w:r>
      <w:rPr>
        <w:rFonts w:hint="eastAsia" w:ascii="楷体" w:eastAsia="楷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 w:val="clear" w:pos="8306"/>
      </w:tabs>
      <w:jc w:val="both"/>
      <w:rPr>
        <w:rFonts w:ascii="楷体" w:eastAsia="楷体"/>
      </w:rPr>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GQgR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H44ZCBECAAAJBAAADgAAAAAAAAABACAA&#10;AAAfAQAAZHJzL2Uyb0RvYy54bWxQSwUGAAAAAAYABgBZAQAAogU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r>
      <w:rPr>
        <w:rFonts w:hint="eastAsia" w:ascii="楷体" w:eastAsia="楷体"/>
      </w:rPr>
      <w:tab/>
    </w:r>
    <w:r>
      <w:rPr>
        <w:rFonts w:hint="eastAsia" w:ascii="楷体" w:eastAsia="楷体"/>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sz w:val="21"/>
        <w:szCs w:val="21"/>
      </w:rPr>
    </w:pPr>
    <w:r>
      <w:rPr>
        <w:sz w:val="21"/>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DSkgRAgAACQ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A3V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t8NKSBECAAAJBAAADgAAAAAAAAABACAA&#10;AAAfAQAAZHJzL2Uyb0RvYy54bWxQSwUGAAAAAAYABgBZAQAAogU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kinsoku w:val="0"/>
      <w:overflowPunct w:val="0"/>
      <w:spacing w:line="14" w:lineRule="auto"/>
    </w:pPr>
    <w:r>
      <w:rPr>
        <w:sz w:val="15"/>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lg1IRAgAACQQAAA4AAABkcnMvZTJvRG9jLnhtbK1TzY7TMBC+I/EO&#10;lu80aYFV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riWDUhECAAAJBAAADgAAAAAAAAABACAA&#10;AAAfAQAAZHJzL2Uyb0RvYy54bWxQSwUGAAAAAAYABgBZAQAAogU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r>
      <w:rPr>
        <w:rFonts w:hint="eastAsia"/>
        <w:b/>
        <w:sz w:val="15"/>
      </w:rPr>
      <mc:AlternateContent>
        <mc:Choice Requires="wps">
          <w:drawing>
            <wp:anchor distT="0" distB="0" distL="0" distR="0" simplePos="0" relativeHeight="251657216" behindDoc="1" locked="0" layoutInCell="1" allowOverlap="1">
              <wp:simplePos x="0" y="0"/>
              <wp:positionH relativeFrom="page">
                <wp:posOffset>3721100</wp:posOffset>
              </wp:positionH>
              <wp:positionV relativeFrom="page">
                <wp:posOffset>9855200</wp:posOffset>
              </wp:positionV>
              <wp:extent cx="114300" cy="215900"/>
              <wp:effectExtent l="0" t="0" r="0" b="0"/>
              <wp:wrapNone/>
              <wp:docPr id="4102" name="矩形 114"/>
              <wp:cNvGraphicFramePr/>
              <a:graphic xmlns:a="http://schemas.openxmlformats.org/drawingml/2006/main">
                <a:graphicData uri="http://schemas.microsoft.com/office/word/2010/wordprocessingShape">
                  <wps:wsp>
                    <wps:cNvSpPr/>
                    <wps:spPr>
                      <a:xfrm>
                        <a:off x="0" y="0"/>
                        <a:ext cx="114300" cy="215900"/>
                      </a:xfrm>
                      <a:prstGeom prst="rect">
                        <a:avLst/>
                      </a:prstGeom>
                      <a:ln>
                        <a:noFill/>
                      </a:ln>
                    </wps:spPr>
                    <wps:txbx>
                      <w:txbxContent>
                        <w:p>
                          <w:pPr>
                            <w:widowControl/>
                            <w:spacing w:line="340" w:lineRule="atLeast"/>
                            <w:rPr>
                              <w:sz w:val="24"/>
                            </w:rPr>
                          </w:pPr>
                          <w:r>
                            <w:rPr>
                              <w:sz w:val="24"/>
                            </w:rPr>
                            <w:drawing>
                              <wp:inline distT="0" distB="0" distL="0" distR="0">
                                <wp:extent cx="116840" cy="209550"/>
                                <wp:effectExtent l="0" t="0" r="0" b="0"/>
                                <wp:docPr id="3073" name="图片 2"/>
                                <wp:cNvGraphicFramePr/>
                                <a:graphic xmlns:a="http://schemas.openxmlformats.org/drawingml/2006/main">
                                  <a:graphicData uri="http://schemas.openxmlformats.org/drawingml/2006/picture">
                                    <pic:pic xmlns:pic="http://schemas.openxmlformats.org/drawingml/2006/picture">
                                      <pic:nvPicPr>
                                        <pic:cNvPr id="3073" name="图片 2"/>
                                        <pic:cNvPicPr/>
                                      </pic:nvPicPr>
                                      <pic:blipFill>
                                        <a:blip r:embed="rId1" cstate="print"/>
                                        <a:srcRect/>
                                        <a:stretch>
                                          <a:fillRect/>
                                        </a:stretch>
                                      </pic:blipFill>
                                      <pic:spPr>
                                        <a:xfrm>
                                          <a:off x="0" y="0"/>
                                          <a:ext cx="116840" cy="210183"/>
                                        </a:xfrm>
                                        <a:prstGeom prst="rect">
                                          <a:avLst/>
                                        </a:prstGeom>
                                        <a:ln>
                                          <a:noFill/>
                                        </a:ln>
                                      </pic:spPr>
                                    </pic:pic>
                                  </a:graphicData>
                                </a:graphic>
                              </wp:inline>
                            </w:drawing>
                          </w:r>
                        </w:p>
                        <w:p>
                          <w:pPr>
                            <w:rPr>
                              <w:sz w:val="24"/>
                            </w:rPr>
                          </w:pPr>
                        </w:p>
                      </w:txbxContent>
                    </wps:txbx>
                    <wps:bodyPr lIns="0" tIns="0" rIns="0" bIns="0" upright="1"/>
                  </wps:wsp>
                </a:graphicData>
              </a:graphic>
            </wp:anchor>
          </w:drawing>
        </mc:Choice>
        <mc:Fallback>
          <w:pict>
            <v:rect id="矩形 114" o:spid="_x0000_s1026" o:spt="1" style="position:absolute;left:0pt;margin-left:293pt;margin-top:776pt;height:17pt;width:9pt;mso-position-horizontal-relative:page;mso-position-vertical-relative:page;z-index:-251659264;mso-width-relative:page;mso-height-relative:page;" filled="f" stroked="f" coordsize="21600,21600" o:gfxdata="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mjHp9kAAAANAQAADwAAAAAAAAABACAAAAAiAAAAZHJz&#10;L2Rvd25yZXYueG1sUEsBAhQAFAAAAAgAh07iQKIOnGqRAQAAEAMAAA4AAAAAAAAAAQAgAAAAKAEA&#10;AGRycy9lMm9Eb2MueG1sUEsFBgAAAAAGAAYAWQEAACsFAAAAAA==&#10;">
              <v:fill on="f" focussize="0,0"/>
              <v:stroke on="f"/>
              <v:imagedata o:title=""/>
              <o:lock v:ext="edit" aspectratio="f"/>
              <v:textbox inset="0mm,0mm,0mm,0mm">
                <w:txbxContent>
                  <w:p>
                    <w:pPr>
                      <w:widowControl/>
                      <w:spacing w:line="340" w:lineRule="atLeast"/>
                      <w:rPr>
                        <w:sz w:val="24"/>
                      </w:rPr>
                    </w:pPr>
                    <w:r>
                      <w:rPr>
                        <w:sz w:val="24"/>
                      </w:rPr>
                      <w:drawing>
                        <wp:inline distT="0" distB="0" distL="0" distR="0">
                          <wp:extent cx="116840" cy="209550"/>
                          <wp:effectExtent l="0" t="0" r="0" b="0"/>
                          <wp:docPr id="3073" name="图片 2"/>
                          <wp:cNvGraphicFramePr/>
                          <a:graphic xmlns:a="http://schemas.openxmlformats.org/drawingml/2006/main">
                            <a:graphicData uri="http://schemas.openxmlformats.org/drawingml/2006/picture">
                              <pic:pic xmlns:pic="http://schemas.openxmlformats.org/drawingml/2006/picture">
                                <pic:nvPicPr>
                                  <pic:cNvPr id="3073" name="图片 2"/>
                                  <pic:cNvPicPr/>
                                </pic:nvPicPr>
                                <pic:blipFill>
                                  <a:blip r:embed="rId1" cstate="print"/>
                                  <a:srcRect/>
                                  <a:stretch>
                                    <a:fillRect/>
                                  </a:stretch>
                                </pic:blipFill>
                                <pic:spPr>
                                  <a:xfrm>
                                    <a:off x="0" y="0"/>
                                    <a:ext cx="116840" cy="210183"/>
                                  </a:xfrm>
                                  <a:prstGeom prst="rect">
                                    <a:avLst/>
                                  </a:prstGeom>
                                  <a:ln>
                                    <a:noFill/>
                                  </a:ln>
                                </pic:spPr>
                              </pic:pic>
                            </a:graphicData>
                          </a:graphic>
                        </wp:inline>
                      </w:drawing>
                    </w:r>
                  </w:p>
                  <w:p>
                    <w:pPr>
                      <w:rPr>
                        <w:sz w:val="24"/>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kinsoku w:val="0"/>
      <w:overflowPunct w:val="0"/>
      <w:spacing w:line="14" w:lineRule="auto"/>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133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o0BIRAgAACQQAAA4AAABkcnMvZTJvRG9jLnhtbK1TzY7TMBC+I/EO&#10;lu80adGu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A3V5RoprCj0/dvpx+/Tj+/EvhAUGv9DHkbi8zQvTUdFj34PZxx&#10;7q5yKn4xEUEcVB8v9IouEB4vTSfTaY4QR2z4AX72eN06H94Jo0g0Cuqwv0QrO6x96FOHlFhNm1Uj&#10;Zdqh1KQt6PXrq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BmjQEhECAAAJBAAADgAAAAAAAAABACAA&#10;AAAfAQAAZHJzL2Uyb0RvYy54bWxQSwUGAAAAAAYABgBZAQAAogU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133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148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viXSEAIAAAkEAAAOAAAAAAAAAAEAIAAA&#10;AB8BAABkcnMvZTJvRG9jLnhtbFBLBQYAAAAABgAGAFkBAAChBQAAAAA=&#10;">
              <v:fill on="f" focussize="0,0"/>
              <v:stroke on="f" weight="0.5pt"/>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148</w:t>
                    </w:r>
                    <w:r>
                      <w:rPr>
                        <w:rFonts w:hint="eastAsia"/>
                      </w:rPr>
                      <w:fldChar w:fldCharType="end"/>
                    </w:r>
                  </w:p>
                </w:txbxContent>
              </v:textbox>
            </v:shape>
          </w:pict>
        </mc:Fallback>
      </mc:AlternateContent>
    </w: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jc w:val="both"/>
    </w:pPr>
  </w:p>
  <w:p>
    <w:pPr>
      <w:pStyle w:val="33"/>
      <w:pBdr>
        <w:bottom w:val="none" w:color="auto" w:sz="0" w:space="0"/>
      </w:pBdr>
      <w:jc w:val="both"/>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3"/>
                          </w:pPr>
                        </w:p>
                      </w:txbxContent>
                    </wps:txbx>
                    <wps:bodyPr vert="horz" wrap="none" lIns="0" tIns="0" rIns="0" bIns="0" anchor="t">
                      <a:spAutoFit/>
                    </wps:bodyPr>
                  </wps:wsp>
                </a:graphicData>
              </a:graphic>
            </wp:anchor>
          </w:drawing>
        </mc:Choice>
        <mc:Fallback>
          <w:pict>
            <v:rect id="文本框 39"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5dblS0AAAAAUBAAAP&#10;AAAAAAAAAAEAIAAAACIAAABkcnMvZG93bnJldi54bWxQSwECFAAUAAAACACHTuJA9a3W4K4BAABD&#10;AwAADgAAAAAAAAABACAAAAAfAQAAZHJzL2Uyb0RvYy54bWxQSwUGAAAAAAYABgBZAQAAPwUAAAAA&#10;">
              <v:fill on="f" focussize="0,0"/>
              <v:stroke on="f"/>
              <v:imagedata o:title=""/>
              <o:lock v:ext="edit" aspectratio="f"/>
              <v:textbox inset="0mm,0mm,0mm,0mm" style="mso-fit-shape-to-text:t;">
                <w:txbxContent>
                  <w:p>
                    <w:pPr>
                      <w:pStyle w:val="33"/>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0"/>
      </w:pBdr>
    </w:pPr>
    <w:r>
      <w:rPr>
        <w:rFonts w:hint="eastAsia"/>
      </w:rPr>
      <w:t>中国石油化工股份有限公司长岭分公司1.2万吨/年油泥浮渣资源化利用项目环境影响报告书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0"/>
      </w:pBdr>
    </w:pPr>
    <w:r>
      <w:rPr>
        <w:rFonts w:hint="eastAsia"/>
      </w:rPr>
      <w:t>中国石油化工股份有限公司长岭分公司1.2万吨/年油泥浮渣资源化利用项目环境影响报告书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华文楷体" w:eastAsia="华文楷体" w:cs="华文楷体"/>
      </w:rPr>
    </w:pPr>
    <w:r>
      <w:rPr>
        <w:rFonts w:hint="eastAsia" w:ascii="华文楷体" w:eastAsia="华文楷体" w:cs="华文楷体"/>
      </w:rPr>
      <w:t>中国石化有限公司长岭分公司1.2万吨/年油泥浮渣减量化资源化处理项目环境影响报告书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华文楷体" w:eastAsia="华文楷体" w:cs="华文楷体"/>
      </w:rPr>
    </w:pPr>
    <w:r>
      <w:rPr>
        <w:rFonts w:hint="eastAsia" w:ascii="华文楷体" w:eastAsia="华文楷体" w:cs="华文楷体"/>
      </w:rPr>
      <w:t>中国石化有限公司长岭分公司1.2万吨/年油泥浮渣减量化资源化处理项目环境影响报告书</w:t>
    </w:r>
  </w:p>
  <w:p>
    <w:pPr>
      <w:pStyle w:val="3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both"/>
      <w:rPr>
        <w:rFonts w:ascii="华文楷体" w:eastAsia="华文楷体" w:cs="华文楷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9413F6"/>
    <w:multiLevelType w:val="singleLevel"/>
    <w:tmpl w:val="DB9413F6"/>
    <w:lvl w:ilvl="0" w:tentative="0">
      <w:start w:val="1"/>
      <w:numFmt w:val="decimal"/>
      <w:suff w:val="nothing"/>
      <w:lvlText w:val="（%1）"/>
      <w:lvlJc w:val="left"/>
    </w:lvl>
  </w:abstractNum>
  <w:abstractNum w:abstractNumId="1">
    <w:nsid w:val="DF2D272C"/>
    <w:multiLevelType w:val="singleLevel"/>
    <w:tmpl w:val="DF2D272C"/>
    <w:lvl w:ilvl="0" w:tentative="0">
      <w:start w:val="3"/>
      <w:numFmt w:val="decimal"/>
      <w:suff w:val="nothing"/>
      <w:lvlText w:val="%1、"/>
      <w:lvlJc w:val="left"/>
    </w:lvl>
  </w:abstractNum>
  <w:abstractNum w:abstractNumId="2">
    <w:nsid w:val="00000002"/>
    <w:multiLevelType w:val="multilevel"/>
    <w:tmpl w:val="00000002"/>
    <w:lvl w:ilvl="0" w:tentative="0">
      <w:start w:val="1"/>
      <w:numFmt w:val="decimal"/>
      <w:pStyle w:val="156"/>
      <w:lvlText w:val="第%1章"/>
      <w:lvlJc w:val="left"/>
      <w:pPr>
        <w:tabs>
          <w:tab w:val="left" w:pos="0"/>
        </w:tabs>
        <w:ind w:left="-56" w:firstLine="0"/>
      </w:pPr>
      <w:rPr>
        <w:rFonts w:hint="default" w:ascii="Times New Roman" w:hAnsi="Times New Roman" w:cs="Times New Roman"/>
        <w:color w:val="auto"/>
        <w:sz w:val="32"/>
        <w:szCs w:val="32"/>
      </w:rPr>
    </w:lvl>
    <w:lvl w:ilvl="1" w:tentative="0">
      <w:start w:val="1"/>
      <w:numFmt w:val="decimal"/>
      <w:suff w:val="space"/>
      <w:lvlText w:val="%1.%2"/>
      <w:lvlJc w:val="left"/>
      <w:pPr>
        <w:tabs>
          <w:tab w:val="left" w:pos="0"/>
        </w:tabs>
        <w:ind w:left="-56" w:firstLine="0"/>
      </w:pPr>
      <w:rPr>
        <w:rFonts w:hint="eastAsia" w:eastAsia="Times New Roman"/>
      </w:rPr>
    </w:lvl>
    <w:lvl w:ilvl="2" w:tentative="0">
      <w:start w:val="1"/>
      <w:numFmt w:val="decimal"/>
      <w:suff w:val="space"/>
      <w:lvlText w:val="%1.%2.%3"/>
      <w:lvlJc w:val="left"/>
      <w:pPr>
        <w:tabs>
          <w:tab w:val="left" w:pos="0"/>
        </w:tabs>
        <w:ind w:left="-56" w:firstLine="0"/>
      </w:pPr>
      <w:rPr>
        <w:rFonts w:hint="eastAsia" w:ascii="Times New Roman" w:hAnsi="Times New Roman" w:eastAsia="Times New Roman"/>
        <w:kern w:val="0"/>
        <w:sz w:val="24"/>
      </w:rPr>
    </w:lvl>
    <w:lvl w:ilvl="3" w:tentative="0">
      <w:start w:val="1"/>
      <w:numFmt w:val="decimal"/>
      <w:pStyle w:val="157"/>
      <w:lvlText w:val="%1.%2.%3.%4"/>
      <w:lvlJc w:val="left"/>
      <w:pPr>
        <w:tabs>
          <w:tab w:val="left" w:pos="0"/>
        </w:tabs>
        <w:ind w:left="2135" w:hanging="708"/>
      </w:pPr>
      <w:rPr>
        <w:rFonts w:hint="eastAsia"/>
      </w:rPr>
    </w:lvl>
    <w:lvl w:ilvl="4" w:tentative="0">
      <w:start w:val="1"/>
      <w:numFmt w:val="decimal"/>
      <w:lvlText w:val="%1.%2.%3.%4.%5"/>
      <w:lvlJc w:val="left"/>
      <w:pPr>
        <w:tabs>
          <w:tab w:val="left" w:pos="0"/>
        </w:tabs>
        <w:ind w:left="2702" w:hanging="850"/>
      </w:pPr>
      <w:rPr>
        <w:rFonts w:hint="eastAsia"/>
      </w:rPr>
    </w:lvl>
    <w:lvl w:ilvl="5" w:tentative="0">
      <w:start w:val="1"/>
      <w:numFmt w:val="decimal"/>
      <w:lvlText w:val="%1.%2.%3.%4.%5.%6"/>
      <w:lvlJc w:val="left"/>
      <w:pPr>
        <w:tabs>
          <w:tab w:val="left" w:pos="0"/>
        </w:tabs>
        <w:ind w:left="3411" w:hanging="1134"/>
      </w:pPr>
      <w:rPr>
        <w:rFonts w:hint="eastAsia"/>
      </w:rPr>
    </w:lvl>
    <w:lvl w:ilvl="6" w:tentative="0">
      <w:start w:val="1"/>
      <w:numFmt w:val="decimal"/>
      <w:lvlText w:val="%1.%2.%3.%4.%5.%6.%7"/>
      <w:lvlJc w:val="left"/>
      <w:pPr>
        <w:tabs>
          <w:tab w:val="left" w:pos="0"/>
        </w:tabs>
        <w:ind w:left="3978" w:hanging="1276"/>
      </w:pPr>
      <w:rPr>
        <w:rFonts w:hint="eastAsia"/>
      </w:rPr>
    </w:lvl>
    <w:lvl w:ilvl="7" w:tentative="0">
      <w:start w:val="1"/>
      <w:numFmt w:val="decimal"/>
      <w:lvlText w:val="%1.%2.%3.%4.%5.%6.%7.%8"/>
      <w:lvlJc w:val="left"/>
      <w:pPr>
        <w:tabs>
          <w:tab w:val="left" w:pos="0"/>
        </w:tabs>
        <w:ind w:left="4545" w:hanging="1418"/>
      </w:pPr>
      <w:rPr>
        <w:rFonts w:hint="eastAsia"/>
      </w:rPr>
    </w:lvl>
    <w:lvl w:ilvl="8" w:tentative="0">
      <w:start w:val="1"/>
      <w:numFmt w:val="decimal"/>
      <w:lvlText w:val="%1.%2.%3.%4.%5.%6.%7.%8.%9"/>
      <w:lvlJc w:val="left"/>
      <w:pPr>
        <w:tabs>
          <w:tab w:val="left" w:pos="0"/>
        </w:tabs>
        <w:ind w:left="5253" w:hanging="1700"/>
      </w:pPr>
      <w:rPr>
        <w:rFonts w:hint="eastAsia"/>
      </w:rPr>
    </w:lvl>
  </w:abstractNum>
  <w:abstractNum w:abstractNumId="3">
    <w:nsid w:val="00000003"/>
    <w:multiLevelType w:val="multilevel"/>
    <w:tmpl w:val="00000003"/>
    <w:lvl w:ilvl="0" w:tentative="0">
      <w:start w:val="1"/>
      <w:numFmt w:val="decimal"/>
      <w:lvlText w:val="（%1）"/>
      <w:lvlJc w:val="left"/>
      <w:pPr>
        <w:tabs>
          <w:tab w:val="left" w:pos="0"/>
        </w:tabs>
        <w:ind w:left="1410" w:hanging="780"/>
      </w:pPr>
      <w:rPr>
        <w:rFonts w:hint="default"/>
      </w:rPr>
    </w:lvl>
    <w:lvl w:ilvl="1" w:tentative="0">
      <w:start w:val="0"/>
      <w:numFmt w:val="decimal"/>
      <w:lvlText w:val="%2"/>
      <w:lvlJc w:val="left"/>
      <w:pPr>
        <w:tabs>
          <w:tab w:val="left" w:pos="0"/>
        </w:tabs>
        <w:ind w:left="1260" w:hanging="360"/>
      </w:pPr>
      <w:rPr>
        <w:rFonts w:hint="default"/>
        <w:color w:val="auto"/>
        <w:sz w:val="21"/>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rPr>
        <w:rFonts w:hint="default"/>
      </w:r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4">
    <w:nsid w:val="00000004"/>
    <w:multiLevelType w:val="multilevel"/>
    <w:tmpl w:val="00000004"/>
    <w:lvl w:ilvl="0" w:tentative="0">
      <w:start w:val="1"/>
      <w:numFmt w:val="decimal"/>
      <w:pStyle w:val="26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0000006"/>
    <w:multiLevelType w:val="multilevel"/>
    <w:tmpl w:val="00000006"/>
    <w:lvl w:ilvl="0" w:tentative="0">
      <w:start w:val="1"/>
      <w:numFmt w:val="decimal"/>
      <w:pStyle w:val="4"/>
      <w:lvlText w:val="%1."/>
      <w:lvlJc w:val="left"/>
      <w:pPr>
        <w:tabs>
          <w:tab w:val="left" w:pos="0"/>
        </w:tabs>
        <w:ind w:left="432" w:hanging="432"/>
      </w:pPr>
      <w:rPr>
        <w:rFonts w:hint="default"/>
      </w:rPr>
    </w:lvl>
    <w:lvl w:ilvl="1" w:tentative="0">
      <w:start w:val="1"/>
      <w:numFmt w:val="decimal"/>
      <w:pStyle w:val="6"/>
      <w:lvlText w:val="%1.%2."/>
      <w:lvlJc w:val="left"/>
      <w:pPr>
        <w:tabs>
          <w:tab w:val="left" w:pos="0"/>
        </w:tabs>
        <w:ind w:left="575" w:hanging="575"/>
      </w:pPr>
      <w:rPr>
        <w:rFonts w:hint="default"/>
      </w:rPr>
    </w:lvl>
    <w:lvl w:ilvl="2" w:tentative="0">
      <w:start w:val="1"/>
      <w:numFmt w:val="decimal"/>
      <w:pStyle w:val="7"/>
      <w:lvlText w:val="%1.%2.%3."/>
      <w:lvlJc w:val="left"/>
      <w:pPr>
        <w:tabs>
          <w:tab w:val="left" w:pos="-1"/>
        </w:tabs>
        <w:ind w:left="1003" w:hanging="720"/>
      </w:pPr>
      <w:rPr>
        <w:rFonts w:hint="default"/>
      </w:rPr>
    </w:lvl>
    <w:lvl w:ilvl="3" w:tentative="0">
      <w:start w:val="1"/>
      <w:numFmt w:val="decimal"/>
      <w:pStyle w:val="8"/>
      <w:lvlText w:val="%1.%2.%3.%4."/>
      <w:lvlJc w:val="left"/>
      <w:pPr>
        <w:tabs>
          <w:tab w:val="left" w:pos="0"/>
        </w:tabs>
        <w:ind w:left="864" w:hanging="864"/>
      </w:pPr>
      <w:rPr>
        <w:rFonts w:hint="default"/>
      </w:rPr>
    </w:lvl>
    <w:lvl w:ilvl="4" w:tentative="0">
      <w:start w:val="1"/>
      <w:numFmt w:val="decimal"/>
      <w:pStyle w:val="9"/>
      <w:lvlText w:val="%1.%2.%3.%4.%5."/>
      <w:lvlJc w:val="left"/>
      <w:pPr>
        <w:tabs>
          <w:tab w:val="left" w:pos="0"/>
        </w:tabs>
        <w:ind w:left="1008" w:hanging="1008"/>
      </w:pPr>
      <w:rPr>
        <w:rFonts w:hint="default"/>
      </w:rPr>
    </w:lvl>
    <w:lvl w:ilvl="5" w:tentative="0">
      <w:start w:val="1"/>
      <w:numFmt w:val="decimal"/>
      <w:pStyle w:val="10"/>
      <w:lvlText w:val="%1.%2.%3.%4.%5.%6."/>
      <w:lvlJc w:val="left"/>
      <w:pPr>
        <w:tabs>
          <w:tab w:val="left" w:pos="0"/>
        </w:tabs>
        <w:ind w:left="1151" w:hanging="1151"/>
      </w:pPr>
      <w:rPr>
        <w:rFonts w:hint="default"/>
      </w:rPr>
    </w:lvl>
    <w:lvl w:ilvl="6" w:tentative="0">
      <w:start w:val="1"/>
      <w:numFmt w:val="decimal"/>
      <w:pStyle w:val="11"/>
      <w:lvlText w:val="%1.%2.%3.%4.%5.%6.%7."/>
      <w:lvlJc w:val="left"/>
      <w:pPr>
        <w:tabs>
          <w:tab w:val="left" w:pos="0"/>
        </w:tabs>
        <w:ind w:left="1296" w:hanging="1296"/>
      </w:pPr>
      <w:rPr>
        <w:rFonts w:hint="default"/>
      </w:rPr>
    </w:lvl>
    <w:lvl w:ilvl="7" w:tentative="0">
      <w:start w:val="1"/>
      <w:numFmt w:val="decimal"/>
      <w:pStyle w:val="12"/>
      <w:lvlText w:val="%1.%2.%3.%4.%5.%6.%7.%8."/>
      <w:lvlJc w:val="left"/>
      <w:pPr>
        <w:tabs>
          <w:tab w:val="left" w:pos="0"/>
        </w:tabs>
        <w:ind w:left="1440" w:hanging="1440"/>
      </w:pPr>
      <w:rPr>
        <w:rFonts w:hint="default"/>
      </w:rPr>
    </w:lvl>
    <w:lvl w:ilvl="8" w:tentative="0">
      <w:start w:val="1"/>
      <w:numFmt w:val="decimal"/>
      <w:pStyle w:val="13"/>
      <w:lvlText w:val="%1.%2.%3.%4.%5.%6.%7.%8.%9."/>
      <w:lvlJc w:val="left"/>
      <w:pPr>
        <w:tabs>
          <w:tab w:val="left" w:pos="0"/>
        </w:tabs>
        <w:ind w:left="1583" w:hanging="1583"/>
      </w:pPr>
      <w:rPr>
        <w:rFonts w:hint="default"/>
      </w:rPr>
    </w:lvl>
  </w:abstractNum>
  <w:abstractNum w:abstractNumId="6">
    <w:nsid w:val="00000007"/>
    <w:multiLevelType w:val="multilevel"/>
    <w:tmpl w:val="00000007"/>
    <w:lvl w:ilvl="0" w:tentative="0">
      <w:start w:val="1"/>
      <w:numFmt w:val="decimalEnclosedCircle"/>
      <w:lvlText w:val="%1"/>
      <w:lvlJc w:val="left"/>
      <w:pPr>
        <w:tabs>
          <w:tab w:val="left" w:pos="0"/>
        </w:tabs>
        <w:ind w:left="420" w:hanging="420"/>
      </w:pPr>
      <w:rPr>
        <w:rFonts w:hint="default" w:ascii="宋体" w:hAnsi="宋体"/>
      </w:rPr>
    </w:lvl>
    <w:lvl w:ilvl="1" w:tentative="0">
      <w:start w:val="1"/>
      <w:numFmt w:val="lowerLetter"/>
      <w:lvlText w:val="%2)"/>
      <w:lvlJc w:val="left"/>
      <w:pPr>
        <w:tabs>
          <w:tab w:val="left" w:pos="0"/>
        </w:tabs>
        <w:ind w:left="840" w:hanging="420"/>
      </w:pPr>
    </w:lvl>
    <w:lvl w:ilvl="2" w:tentative="0">
      <w:start w:val="1"/>
      <w:numFmt w:val="decimal"/>
      <w:lvlText w:val="（%3）"/>
      <w:lvlJc w:val="left"/>
      <w:pPr>
        <w:tabs>
          <w:tab w:val="left" w:pos="-415"/>
        </w:tabs>
        <w:ind w:left="845" w:hanging="420"/>
      </w:pPr>
      <w:rPr>
        <w:rFonts w:hint="eastAsia"/>
      </w:r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00000008"/>
    <w:multiLevelType w:val="multilevel"/>
    <w:tmpl w:val="00000008"/>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decimal"/>
      <w:lvlText w:val="（%3）"/>
      <w:lvlJc w:val="left"/>
      <w:pPr>
        <w:tabs>
          <w:tab w:val="left" w:pos="0"/>
        </w:tabs>
        <w:ind w:left="1260" w:hanging="420"/>
      </w:pPr>
      <w:rPr>
        <w:rFonts w:hint="eastAsia"/>
      </w:rPr>
    </w:lvl>
    <w:lvl w:ilvl="3" w:tentative="0">
      <w:start w:val="1"/>
      <w:numFmt w:val="decimalEnclosedCircle"/>
      <w:lvlText w:val="%4"/>
      <w:lvlJc w:val="left"/>
      <w:pPr>
        <w:tabs>
          <w:tab w:val="left" w:pos="0"/>
        </w:tabs>
        <w:ind w:left="1620" w:hanging="360"/>
      </w:pPr>
      <w:rPr>
        <w:rFonts w:hint="default" w:ascii="宋体" w:hAnsi="宋体"/>
      </w:r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8">
    <w:nsid w:val="00000009"/>
    <w:multiLevelType w:val="multilevel"/>
    <w:tmpl w:val="00000009"/>
    <w:lvl w:ilvl="0" w:tentative="0">
      <w:start w:val="1"/>
      <w:numFmt w:val="decimal"/>
      <w:pStyle w:val="263"/>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2"/>
      <w:suff w:val="nothing"/>
      <w:lvlText w:val="%1.%2　"/>
      <w:lvlJc w:val="left"/>
      <w:pPr>
        <w:ind w:left="0" w:firstLine="0"/>
      </w:pPr>
      <w:rPr>
        <w:rFonts w:hint="eastAsia" w:ascii="黑体" w:hAnsi="Times New Roman" w:eastAsia="黑体" w:cs="Times New Roman"/>
        <w:b w:val="0"/>
        <w:bCs w:val="0"/>
        <w:i w:val="0"/>
        <w:iCs w:val="0"/>
        <w:caps w:val="0"/>
        <w:outline w:val="0"/>
        <w:emboss w:val="0"/>
        <w:imprint w:val="0"/>
        <w:vanish w:val="0"/>
        <w:spacing w:val="0"/>
        <w:kern w:val="0"/>
        <w:position w:val="0"/>
        <w:sz w:val="21"/>
        <w:szCs w:val="21"/>
        <w:u w:val="none"/>
        <w:vertAlign w:val="baseline"/>
        <w14:shadow w14:blurRad="0" w14:dist="0" w14:dir="0" w14:sx="100000" w14:sy="100000" w14:kx="0" w14:ky="0" w14:algn="none">
          <w14:srgbClr w14:val="80808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0000000B"/>
    <w:multiLevelType w:val="multilevel"/>
    <w:tmpl w:val="0000000B"/>
    <w:lvl w:ilvl="0" w:tentative="0">
      <w:start w:val="1"/>
      <w:numFmt w:val="decimal"/>
      <w:lvlText w:val="（%1）"/>
      <w:lvlJc w:val="left"/>
      <w:pPr>
        <w:tabs>
          <w:tab w:val="left" w:pos="-205"/>
        </w:tabs>
        <w:ind w:left="1205" w:hanging="780"/>
      </w:pPr>
      <w:rPr>
        <w:rFonts w:hint="default"/>
      </w:rPr>
    </w:lvl>
    <w:lvl w:ilvl="1" w:tentative="0">
      <w:start w:val="0"/>
      <w:numFmt w:val="decimal"/>
      <w:lvlText w:val="%2"/>
      <w:lvlJc w:val="left"/>
      <w:pPr>
        <w:tabs>
          <w:tab w:val="left" w:pos="0"/>
        </w:tabs>
        <w:ind w:left="1260" w:hanging="360"/>
      </w:pPr>
      <w:rPr>
        <w:rFonts w:hint="default"/>
        <w:color w:val="auto"/>
        <w:sz w:val="21"/>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rPr>
        <w:rFonts w:hint="default"/>
      </w:r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0">
    <w:nsid w:val="0053208E"/>
    <w:multiLevelType w:val="multilevel"/>
    <w:tmpl w:val="0053208E"/>
    <w:lvl w:ilvl="0" w:tentative="0">
      <w:start w:val="1"/>
      <w:numFmt w:val="decimal"/>
      <w:lvlText w:val="（%1）"/>
      <w:lvlJc w:val="left"/>
      <w:pPr>
        <w:tabs>
          <w:tab w:val="left" w:pos="0"/>
        </w:tabs>
        <w:ind w:left="900" w:hanging="420"/>
      </w:p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1">
    <w:nsid w:val="44744FFB"/>
    <w:multiLevelType w:val="multilevel"/>
    <w:tmpl w:val="44744FFB"/>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5"/>
  </w:num>
  <w:num w:numId="2">
    <w:abstractNumId w:val="2"/>
  </w:num>
  <w:num w:numId="3">
    <w:abstractNumId w:val="8"/>
  </w:num>
  <w:num w:numId="4">
    <w:abstractNumId w:val="4"/>
  </w:num>
  <w:num w:numId="5">
    <w:abstractNumId w:val="1"/>
  </w:num>
  <w:num w:numId="6">
    <w:abstractNumId w:val="3"/>
  </w:num>
  <w:num w:numId="7">
    <w:abstractNumId w:val="9"/>
  </w:num>
  <w:num w:numId="8">
    <w:abstractNumId w:val="7"/>
  </w:num>
  <w:num w:numId="9">
    <w:abstractNumId w:val="10"/>
  </w:num>
  <w:num w:numId="10">
    <w:abstractNumId w:val="6"/>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trackRevisions w:val="1"/>
  <w:documentProtection w:enforcement="0"/>
  <w:defaultTabStop w:val="420"/>
  <w:drawingGridHorizontalSpacing w:val="10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65F"/>
    <w:rsid w:val="00005C27"/>
    <w:rsid w:val="00007337"/>
    <w:rsid w:val="000076B1"/>
    <w:rsid w:val="00012470"/>
    <w:rsid w:val="00015B27"/>
    <w:rsid w:val="00031282"/>
    <w:rsid w:val="00035EF8"/>
    <w:rsid w:val="000428B5"/>
    <w:rsid w:val="00045E28"/>
    <w:rsid w:val="000476F2"/>
    <w:rsid w:val="00053189"/>
    <w:rsid w:val="00053C5C"/>
    <w:rsid w:val="00063F66"/>
    <w:rsid w:val="00064BB1"/>
    <w:rsid w:val="000712C4"/>
    <w:rsid w:val="00091DCB"/>
    <w:rsid w:val="000A4B12"/>
    <w:rsid w:val="000B122D"/>
    <w:rsid w:val="000B187F"/>
    <w:rsid w:val="000C3C5D"/>
    <w:rsid w:val="000D78CD"/>
    <w:rsid w:val="000E00DB"/>
    <w:rsid w:val="000E66ED"/>
    <w:rsid w:val="000F4276"/>
    <w:rsid w:val="00102A4F"/>
    <w:rsid w:val="00107CBC"/>
    <w:rsid w:val="00111F8E"/>
    <w:rsid w:val="00120983"/>
    <w:rsid w:val="0012187F"/>
    <w:rsid w:val="00127230"/>
    <w:rsid w:val="0013004D"/>
    <w:rsid w:val="00136956"/>
    <w:rsid w:val="0014029C"/>
    <w:rsid w:val="00153B7D"/>
    <w:rsid w:val="00160F21"/>
    <w:rsid w:val="00164961"/>
    <w:rsid w:val="00170D62"/>
    <w:rsid w:val="00172A27"/>
    <w:rsid w:val="00172C32"/>
    <w:rsid w:val="00185AEB"/>
    <w:rsid w:val="001900B9"/>
    <w:rsid w:val="0019018F"/>
    <w:rsid w:val="001973BE"/>
    <w:rsid w:val="001A690A"/>
    <w:rsid w:val="001A7CAF"/>
    <w:rsid w:val="002113AB"/>
    <w:rsid w:val="00213A7C"/>
    <w:rsid w:val="00217358"/>
    <w:rsid w:val="002266EE"/>
    <w:rsid w:val="0023366A"/>
    <w:rsid w:val="00233983"/>
    <w:rsid w:val="00235BF5"/>
    <w:rsid w:val="0024097F"/>
    <w:rsid w:val="00246E64"/>
    <w:rsid w:val="00254E0A"/>
    <w:rsid w:val="0025633B"/>
    <w:rsid w:val="00263685"/>
    <w:rsid w:val="002637D5"/>
    <w:rsid w:val="00266494"/>
    <w:rsid w:val="002762A6"/>
    <w:rsid w:val="00281704"/>
    <w:rsid w:val="002864AC"/>
    <w:rsid w:val="002871E1"/>
    <w:rsid w:val="00292EE7"/>
    <w:rsid w:val="002934F7"/>
    <w:rsid w:val="002A0AC1"/>
    <w:rsid w:val="002A57BB"/>
    <w:rsid w:val="002B2CA5"/>
    <w:rsid w:val="002C2D04"/>
    <w:rsid w:val="002D6363"/>
    <w:rsid w:val="002E2C08"/>
    <w:rsid w:val="002E3AEB"/>
    <w:rsid w:val="002F2EB2"/>
    <w:rsid w:val="00303F57"/>
    <w:rsid w:val="0030718E"/>
    <w:rsid w:val="00322B2A"/>
    <w:rsid w:val="00345CB5"/>
    <w:rsid w:val="00350951"/>
    <w:rsid w:val="0035342B"/>
    <w:rsid w:val="0036369F"/>
    <w:rsid w:val="00363A5C"/>
    <w:rsid w:val="00365C2F"/>
    <w:rsid w:val="00377283"/>
    <w:rsid w:val="00380244"/>
    <w:rsid w:val="00381DD7"/>
    <w:rsid w:val="0039226B"/>
    <w:rsid w:val="00397579"/>
    <w:rsid w:val="003A0B1D"/>
    <w:rsid w:val="003A3F5C"/>
    <w:rsid w:val="003B234B"/>
    <w:rsid w:val="003B587B"/>
    <w:rsid w:val="003B5E22"/>
    <w:rsid w:val="003C1C0A"/>
    <w:rsid w:val="003C21E1"/>
    <w:rsid w:val="003D3185"/>
    <w:rsid w:val="003E0123"/>
    <w:rsid w:val="003E2C9F"/>
    <w:rsid w:val="003E4F28"/>
    <w:rsid w:val="003F5D49"/>
    <w:rsid w:val="00417C09"/>
    <w:rsid w:val="00424401"/>
    <w:rsid w:val="0042705E"/>
    <w:rsid w:val="004329F4"/>
    <w:rsid w:val="0046063D"/>
    <w:rsid w:val="00460BD2"/>
    <w:rsid w:val="004611A8"/>
    <w:rsid w:val="00470425"/>
    <w:rsid w:val="004922B5"/>
    <w:rsid w:val="0049644B"/>
    <w:rsid w:val="004A6A6B"/>
    <w:rsid w:val="004B0E39"/>
    <w:rsid w:val="004E1ABC"/>
    <w:rsid w:val="004E2AF3"/>
    <w:rsid w:val="004E301E"/>
    <w:rsid w:val="004F4187"/>
    <w:rsid w:val="004F42FF"/>
    <w:rsid w:val="004F49D3"/>
    <w:rsid w:val="004F64D3"/>
    <w:rsid w:val="004F7974"/>
    <w:rsid w:val="00502B01"/>
    <w:rsid w:val="00513B68"/>
    <w:rsid w:val="00517140"/>
    <w:rsid w:val="00520383"/>
    <w:rsid w:val="00524722"/>
    <w:rsid w:val="00541414"/>
    <w:rsid w:val="00543C7D"/>
    <w:rsid w:val="00545CCE"/>
    <w:rsid w:val="00554FAB"/>
    <w:rsid w:val="00556961"/>
    <w:rsid w:val="0055697E"/>
    <w:rsid w:val="00567195"/>
    <w:rsid w:val="005716FB"/>
    <w:rsid w:val="00572E35"/>
    <w:rsid w:val="00575F71"/>
    <w:rsid w:val="005A01F2"/>
    <w:rsid w:val="005A4F9B"/>
    <w:rsid w:val="005B5CFB"/>
    <w:rsid w:val="005B6139"/>
    <w:rsid w:val="005B694A"/>
    <w:rsid w:val="005C072D"/>
    <w:rsid w:val="005C0A01"/>
    <w:rsid w:val="005C4F71"/>
    <w:rsid w:val="005D329B"/>
    <w:rsid w:val="005D341F"/>
    <w:rsid w:val="005D3F0A"/>
    <w:rsid w:val="005E4B67"/>
    <w:rsid w:val="005F56DF"/>
    <w:rsid w:val="005F5D0F"/>
    <w:rsid w:val="00615C27"/>
    <w:rsid w:val="00623D74"/>
    <w:rsid w:val="00630D12"/>
    <w:rsid w:val="00632BF0"/>
    <w:rsid w:val="00645BFF"/>
    <w:rsid w:val="00647DDE"/>
    <w:rsid w:val="006515E8"/>
    <w:rsid w:val="00654BB3"/>
    <w:rsid w:val="0065587C"/>
    <w:rsid w:val="00665FAA"/>
    <w:rsid w:val="00673D1D"/>
    <w:rsid w:val="00674E80"/>
    <w:rsid w:val="006850E1"/>
    <w:rsid w:val="00686661"/>
    <w:rsid w:val="00687EF8"/>
    <w:rsid w:val="00691695"/>
    <w:rsid w:val="00693231"/>
    <w:rsid w:val="006B305E"/>
    <w:rsid w:val="006B5D66"/>
    <w:rsid w:val="006F33C1"/>
    <w:rsid w:val="00705B19"/>
    <w:rsid w:val="0070778C"/>
    <w:rsid w:val="007141BF"/>
    <w:rsid w:val="00717CF2"/>
    <w:rsid w:val="0072001A"/>
    <w:rsid w:val="00724D5D"/>
    <w:rsid w:val="0072698D"/>
    <w:rsid w:val="007373DE"/>
    <w:rsid w:val="007405FB"/>
    <w:rsid w:val="00745A2A"/>
    <w:rsid w:val="007509F3"/>
    <w:rsid w:val="00751D2F"/>
    <w:rsid w:val="007650BB"/>
    <w:rsid w:val="00772103"/>
    <w:rsid w:val="007B1412"/>
    <w:rsid w:val="007C0DC6"/>
    <w:rsid w:val="007F0346"/>
    <w:rsid w:val="007F7BB3"/>
    <w:rsid w:val="008027E7"/>
    <w:rsid w:val="008113DC"/>
    <w:rsid w:val="008365DD"/>
    <w:rsid w:val="00837B0E"/>
    <w:rsid w:val="0084708C"/>
    <w:rsid w:val="00855F91"/>
    <w:rsid w:val="00856E32"/>
    <w:rsid w:val="00860E98"/>
    <w:rsid w:val="008610AA"/>
    <w:rsid w:val="00876085"/>
    <w:rsid w:val="00877C48"/>
    <w:rsid w:val="008877B8"/>
    <w:rsid w:val="00893281"/>
    <w:rsid w:val="008A2D02"/>
    <w:rsid w:val="008A5980"/>
    <w:rsid w:val="008B26DB"/>
    <w:rsid w:val="008C03BA"/>
    <w:rsid w:val="008D0B47"/>
    <w:rsid w:val="009001BF"/>
    <w:rsid w:val="00913A73"/>
    <w:rsid w:val="009162B0"/>
    <w:rsid w:val="00917097"/>
    <w:rsid w:val="00952BA7"/>
    <w:rsid w:val="00980CF0"/>
    <w:rsid w:val="00983A72"/>
    <w:rsid w:val="009952FC"/>
    <w:rsid w:val="00997598"/>
    <w:rsid w:val="009B2814"/>
    <w:rsid w:val="009C3EDD"/>
    <w:rsid w:val="009C4532"/>
    <w:rsid w:val="009D27CE"/>
    <w:rsid w:val="009E3489"/>
    <w:rsid w:val="009F1CE7"/>
    <w:rsid w:val="009F2253"/>
    <w:rsid w:val="009F5468"/>
    <w:rsid w:val="009F5901"/>
    <w:rsid w:val="00A019FB"/>
    <w:rsid w:val="00A0287A"/>
    <w:rsid w:val="00A029EA"/>
    <w:rsid w:val="00A05B17"/>
    <w:rsid w:val="00A13E28"/>
    <w:rsid w:val="00A25647"/>
    <w:rsid w:val="00A260D7"/>
    <w:rsid w:val="00A325E7"/>
    <w:rsid w:val="00A333ED"/>
    <w:rsid w:val="00A50E78"/>
    <w:rsid w:val="00A530CC"/>
    <w:rsid w:val="00A54C30"/>
    <w:rsid w:val="00A61F57"/>
    <w:rsid w:val="00A708D5"/>
    <w:rsid w:val="00A928CD"/>
    <w:rsid w:val="00A9341B"/>
    <w:rsid w:val="00A97ED5"/>
    <w:rsid w:val="00AB6735"/>
    <w:rsid w:val="00AC62AC"/>
    <w:rsid w:val="00AE49EC"/>
    <w:rsid w:val="00AF0EAF"/>
    <w:rsid w:val="00AF1076"/>
    <w:rsid w:val="00AF18C2"/>
    <w:rsid w:val="00B01F35"/>
    <w:rsid w:val="00B0451B"/>
    <w:rsid w:val="00B20747"/>
    <w:rsid w:val="00B31949"/>
    <w:rsid w:val="00B36667"/>
    <w:rsid w:val="00B527C3"/>
    <w:rsid w:val="00B6038B"/>
    <w:rsid w:val="00B77C7B"/>
    <w:rsid w:val="00B77D24"/>
    <w:rsid w:val="00B83540"/>
    <w:rsid w:val="00B8629C"/>
    <w:rsid w:val="00BA0774"/>
    <w:rsid w:val="00BA6593"/>
    <w:rsid w:val="00BB2EBA"/>
    <w:rsid w:val="00BB32D9"/>
    <w:rsid w:val="00BB7D2F"/>
    <w:rsid w:val="00BC3646"/>
    <w:rsid w:val="00BC3998"/>
    <w:rsid w:val="00BD04F7"/>
    <w:rsid w:val="00BE4392"/>
    <w:rsid w:val="00BE71B1"/>
    <w:rsid w:val="00C048D0"/>
    <w:rsid w:val="00C134DC"/>
    <w:rsid w:val="00C21C83"/>
    <w:rsid w:val="00C23886"/>
    <w:rsid w:val="00C25F8F"/>
    <w:rsid w:val="00C267C9"/>
    <w:rsid w:val="00C55B1A"/>
    <w:rsid w:val="00C76F9A"/>
    <w:rsid w:val="00C81026"/>
    <w:rsid w:val="00C87E93"/>
    <w:rsid w:val="00C9697B"/>
    <w:rsid w:val="00CA5D6A"/>
    <w:rsid w:val="00CA6E8B"/>
    <w:rsid w:val="00CB0904"/>
    <w:rsid w:val="00CB357E"/>
    <w:rsid w:val="00CB5421"/>
    <w:rsid w:val="00CB5E68"/>
    <w:rsid w:val="00CC7F55"/>
    <w:rsid w:val="00CD299D"/>
    <w:rsid w:val="00CD39F0"/>
    <w:rsid w:val="00CE065D"/>
    <w:rsid w:val="00CE0E82"/>
    <w:rsid w:val="00CF49F0"/>
    <w:rsid w:val="00CF4EAC"/>
    <w:rsid w:val="00CF6CAA"/>
    <w:rsid w:val="00D009EE"/>
    <w:rsid w:val="00D01198"/>
    <w:rsid w:val="00D13D27"/>
    <w:rsid w:val="00D21527"/>
    <w:rsid w:val="00D503F2"/>
    <w:rsid w:val="00D63E78"/>
    <w:rsid w:val="00D650EE"/>
    <w:rsid w:val="00D67008"/>
    <w:rsid w:val="00D67C01"/>
    <w:rsid w:val="00D72F8E"/>
    <w:rsid w:val="00D81DB8"/>
    <w:rsid w:val="00D82F77"/>
    <w:rsid w:val="00D86F0A"/>
    <w:rsid w:val="00D923DF"/>
    <w:rsid w:val="00D92A88"/>
    <w:rsid w:val="00DB047A"/>
    <w:rsid w:val="00DB3D0E"/>
    <w:rsid w:val="00DD3ADF"/>
    <w:rsid w:val="00DD3D27"/>
    <w:rsid w:val="00DD5A08"/>
    <w:rsid w:val="00DE0D10"/>
    <w:rsid w:val="00DE7766"/>
    <w:rsid w:val="00DF1582"/>
    <w:rsid w:val="00E141AD"/>
    <w:rsid w:val="00E16F16"/>
    <w:rsid w:val="00E225B9"/>
    <w:rsid w:val="00E32E48"/>
    <w:rsid w:val="00E37ED7"/>
    <w:rsid w:val="00E41DBC"/>
    <w:rsid w:val="00E42041"/>
    <w:rsid w:val="00E47899"/>
    <w:rsid w:val="00E574DF"/>
    <w:rsid w:val="00E70745"/>
    <w:rsid w:val="00E7372D"/>
    <w:rsid w:val="00E75D9C"/>
    <w:rsid w:val="00E86819"/>
    <w:rsid w:val="00E87D10"/>
    <w:rsid w:val="00E92191"/>
    <w:rsid w:val="00EB27B7"/>
    <w:rsid w:val="00EB3256"/>
    <w:rsid w:val="00EC44E3"/>
    <w:rsid w:val="00ED12BC"/>
    <w:rsid w:val="00ED5CF6"/>
    <w:rsid w:val="00ED7580"/>
    <w:rsid w:val="00EE3BC5"/>
    <w:rsid w:val="00EE6E65"/>
    <w:rsid w:val="00EF1BDE"/>
    <w:rsid w:val="00EF214E"/>
    <w:rsid w:val="00F0165A"/>
    <w:rsid w:val="00F06B0A"/>
    <w:rsid w:val="00F107ED"/>
    <w:rsid w:val="00F11EAC"/>
    <w:rsid w:val="00F23E8E"/>
    <w:rsid w:val="00F2409C"/>
    <w:rsid w:val="00F25912"/>
    <w:rsid w:val="00F34B5A"/>
    <w:rsid w:val="00F50BBB"/>
    <w:rsid w:val="00F55C2F"/>
    <w:rsid w:val="00F61F06"/>
    <w:rsid w:val="00F62396"/>
    <w:rsid w:val="00F664DA"/>
    <w:rsid w:val="00F66B34"/>
    <w:rsid w:val="00F84327"/>
    <w:rsid w:val="00F85CE3"/>
    <w:rsid w:val="00FA5EA8"/>
    <w:rsid w:val="00FB3C4F"/>
    <w:rsid w:val="00FC4C2A"/>
    <w:rsid w:val="00FC6095"/>
    <w:rsid w:val="00FD7144"/>
    <w:rsid w:val="00FD7E90"/>
    <w:rsid w:val="00FF765D"/>
    <w:rsid w:val="010D26AD"/>
    <w:rsid w:val="017F78BB"/>
    <w:rsid w:val="01A85005"/>
    <w:rsid w:val="01A9085B"/>
    <w:rsid w:val="01D47B3E"/>
    <w:rsid w:val="02495005"/>
    <w:rsid w:val="025134A9"/>
    <w:rsid w:val="029676A9"/>
    <w:rsid w:val="02E44C59"/>
    <w:rsid w:val="0367504E"/>
    <w:rsid w:val="0369232B"/>
    <w:rsid w:val="036A0910"/>
    <w:rsid w:val="04A964F4"/>
    <w:rsid w:val="05224F54"/>
    <w:rsid w:val="058A5C88"/>
    <w:rsid w:val="05903B0A"/>
    <w:rsid w:val="06067B92"/>
    <w:rsid w:val="060D2023"/>
    <w:rsid w:val="066B6E7D"/>
    <w:rsid w:val="06BE5802"/>
    <w:rsid w:val="07237281"/>
    <w:rsid w:val="07C339BF"/>
    <w:rsid w:val="07EA4589"/>
    <w:rsid w:val="080164B9"/>
    <w:rsid w:val="0843169D"/>
    <w:rsid w:val="08A90915"/>
    <w:rsid w:val="08D844DA"/>
    <w:rsid w:val="09630323"/>
    <w:rsid w:val="096F5743"/>
    <w:rsid w:val="097760A0"/>
    <w:rsid w:val="09D83640"/>
    <w:rsid w:val="0A2F42F3"/>
    <w:rsid w:val="0A5A665A"/>
    <w:rsid w:val="0A822493"/>
    <w:rsid w:val="0AAB0EFD"/>
    <w:rsid w:val="0AD6500D"/>
    <w:rsid w:val="0BB4480E"/>
    <w:rsid w:val="0BED0195"/>
    <w:rsid w:val="0C3712C5"/>
    <w:rsid w:val="0CC47CA3"/>
    <w:rsid w:val="0CD817A1"/>
    <w:rsid w:val="0CF340C5"/>
    <w:rsid w:val="0D8C74F8"/>
    <w:rsid w:val="0DF325FD"/>
    <w:rsid w:val="0E004265"/>
    <w:rsid w:val="0F703FD1"/>
    <w:rsid w:val="0F883540"/>
    <w:rsid w:val="0FB278D3"/>
    <w:rsid w:val="10136103"/>
    <w:rsid w:val="10394592"/>
    <w:rsid w:val="105F0294"/>
    <w:rsid w:val="107B03B1"/>
    <w:rsid w:val="107B4491"/>
    <w:rsid w:val="12C51E04"/>
    <w:rsid w:val="135D5939"/>
    <w:rsid w:val="136826CD"/>
    <w:rsid w:val="141B4B19"/>
    <w:rsid w:val="142D2ABA"/>
    <w:rsid w:val="144A6857"/>
    <w:rsid w:val="15C51C53"/>
    <w:rsid w:val="16547689"/>
    <w:rsid w:val="16AB2CA6"/>
    <w:rsid w:val="16BB7ED8"/>
    <w:rsid w:val="16CD7C62"/>
    <w:rsid w:val="16F321E0"/>
    <w:rsid w:val="170A587D"/>
    <w:rsid w:val="17130D9F"/>
    <w:rsid w:val="171C4C4C"/>
    <w:rsid w:val="177D7058"/>
    <w:rsid w:val="18446ADE"/>
    <w:rsid w:val="1856747C"/>
    <w:rsid w:val="18624568"/>
    <w:rsid w:val="188933A9"/>
    <w:rsid w:val="1895146D"/>
    <w:rsid w:val="189B7B80"/>
    <w:rsid w:val="18A760AC"/>
    <w:rsid w:val="18B003FC"/>
    <w:rsid w:val="190A5A9C"/>
    <w:rsid w:val="191061F8"/>
    <w:rsid w:val="196C29F1"/>
    <w:rsid w:val="19A13751"/>
    <w:rsid w:val="19F07CFA"/>
    <w:rsid w:val="1A5C4721"/>
    <w:rsid w:val="1AB16DAA"/>
    <w:rsid w:val="1AF9205D"/>
    <w:rsid w:val="1B3136A0"/>
    <w:rsid w:val="1B4648E0"/>
    <w:rsid w:val="1B7F16D2"/>
    <w:rsid w:val="1B9660E7"/>
    <w:rsid w:val="1C142093"/>
    <w:rsid w:val="1C670F46"/>
    <w:rsid w:val="1CDF117A"/>
    <w:rsid w:val="1CDF1993"/>
    <w:rsid w:val="1EF74550"/>
    <w:rsid w:val="1F642F68"/>
    <w:rsid w:val="1FE74C89"/>
    <w:rsid w:val="20066958"/>
    <w:rsid w:val="20795DAC"/>
    <w:rsid w:val="207D74BE"/>
    <w:rsid w:val="20A1319F"/>
    <w:rsid w:val="20DC2025"/>
    <w:rsid w:val="20E0572D"/>
    <w:rsid w:val="21224A88"/>
    <w:rsid w:val="21440CC3"/>
    <w:rsid w:val="21A137A7"/>
    <w:rsid w:val="21A451F5"/>
    <w:rsid w:val="21CA379B"/>
    <w:rsid w:val="22145FB6"/>
    <w:rsid w:val="221F38E7"/>
    <w:rsid w:val="22730444"/>
    <w:rsid w:val="227C6FF2"/>
    <w:rsid w:val="22DA402B"/>
    <w:rsid w:val="23C8330A"/>
    <w:rsid w:val="24736F17"/>
    <w:rsid w:val="24D32226"/>
    <w:rsid w:val="24FC6BE5"/>
    <w:rsid w:val="250519B1"/>
    <w:rsid w:val="252713A5"/>
    <w:rsid w:val="256D099D"/>
    <w:rsid w:val="25E924BE"/>
    <w:rsid w:val="26D136EA"/>
    <w:rsid w:val="2737437E"/>
    <w:rsid w:val="27C15F58"/>
    <w:rsid w:val="27C517B1"/>
    <w:rsid w:val="28026FFB"/>
    <w:rsid w:val="283E3AB3"/>
    <w:rsid w:val="28426397"/>
    <w:rsid w:val="288C5869"/>
    <w:rsid w:val="29282F94"/>
    <w:rsid w:val="294259C3"/>
    <w:rsid w:val="297F604E"/>
    <w:rsid w:val="29F7082B"/>
    <w:rsid w:val="2A4D0D53"/>
    <w:rsid w:val="2A8C6B2D"/>
    <w:rsid w:val="2A9259B5"/>
    <w:rsid w:val="2B136405"/>
    <w:rsid w:val="2B4B2022"/>
    <w:rsid w:val="2BDC6A29"/>
    <w:rsid w:val="2C322582"/>
    <w:rsid w:val="2C9E163F"/>
    <w:rsid w:val="2DF958DA"/>
    <w:rsid w:val="2E077F8B"/>
    <w:rsid w:val="2E184450"/>
    <w:rsid w:val="2E234842"/>
    <w:rsid w:val="2EEF4782"/>
    <w:rsid w:val="2F381358"/>
    <w:rsid w:val="2F5D753D"/>
    <w:rsid w:val="2FC26CDC"/>
    <w:rsid w:val="301F3FDF"/>
    <w:rsid w:val="303E6F04"/>
    <w:rsid w:val="30736B15"/>
    <w:rsid w:val="307E5F1C"/>
    <w:rsid w:val="30B60D16"/>
    <w:rsid w:val="310979A2"/>
    <w:rsid w:val="311555B2"/>
    <w:rsid w:val="312769EE"/>
    <w:rsid w:val="315A50E8"/>
    <w:rsid w:val="325F2699"/>
    <w:rsid w:val="33150009"/>
    <w:rsid w:val="33B738D6"/>
    <w:rsid w:val="34264CDD"/>
    <w:rsid w:val="3435746B"/>
    <w:rsid w:val="344C53DC"/>
    <w:rsid w:val="34AD4B43"/>
    <w:rsid w:val="34C8038C"/>
    <w:rsid w:val="36637C44"/>
    <w:rsid w:val="36BA3E20"/>
    <w:rsid w:val="36C73EF6"/>
    <w:rsid w:val="36D744F6"/>
    <w:rsid w:val="36F4283E"/>
    <w:rsid w:val="373830D7"/>
    <w:rsid w:val="396F47B3"/>
    <w:rsid w:val="3A3E54F6"/>
    <w:rsid w:val="3A42361B"/>
    <w:rsid w:val="3A475B2F"/>
    <w:rsid w:val="3A4879E4"/>
    <w:rsid w:val="3A8F39EA"/>
    <w:rsid w:val="3B1944BD"/>
    <w:rsid w:val="3B2B6881"/>
    <w:rsid w:val="3B931751"/>
    <w:rsid w:val="3BC30EF0"/>
    <w:rsid w:val="3BF21AEC"/>
    <w:rsid w:val="3C060125"/>
    <w:rsid w:val="3C3D6DDC"/>
    <w:rsid w:val="3C79569C"/>
    <w:rsid w:val="3C826302"/>
    <w:rsid w:val="3CA56471"/>
    <w:rsid w:val="3CC8738B"/>
    <w:rsid w:val="3D145A7D"/>
    <w:rsid w:val="3D213E72"/>
    <w:rsid w:val="3D5F29AC"/>
    <w:rsid w:val="3D685590"/>
    <w:rsid w:val="3DF30D24"/>
    <w:rsid w:val="3EDE05F5"/>
    <w:rsid w:val="3F79486F"/>
    <w:rsid w:val="3F9C7DBF"/>
    <w:rsid w:val="4018669F"/>
    <w:rsid w:val="409942D4"/>
    <w:rsid w:val="41053ACB"/>
    <w:rsid w:val="417D7A64"/>
    <w:rsid w:val="422C7F23"/>
    <w:rsid w:val="42651D77"/>
    <w:rsid w:val="42AA645A"/>
    <w:rsid w:val="42CD6F64"/>
    <w:rsid w:val="42DD68F5"/>
    <w:rsid w:val="42FC726B"/>
    <w:rsid w:val="431B7AEF"/>
    <w:rsid w:val="43250896"/>
    <w:rsid w:val="43A60D33"/>
    <w:rsid w:val="450E5EAD"/>
    <w:rsid w:val="452B540E"/>
    <w:rsid w:val="460A1E96"/>
    <w:rsid w:val="46181376"/>
    <w:rsid w:val="465B02C7"/>
    <w:rsid w:val="4679276A"/>
    <w:rsid w:val="469C3455"/>
    <w:rsid w:val="46CE7BD0"/>
    <w:rsid w:val="477F687E"/>
    <w:rsid w:val="47BA0650"/>
    <w:rsid w:val="482D622F"/>
    <w:rsid w:val="48484073"/>
    <w:rsid w:val="48B84D4B"/>
    <w:rsid w:val="48C03020"/>
    <w:rsid w:val="491777A9"/>
    <w:rsid w:val="49AE4B48"/>
    <w:rsid w:val="49B944BE"/>
    <w:rsid w:val="49F1330C"/>
    <w:rsid w:val="4A6032FE"/>
    <w:rsid w:val="4AB148F0"/>
    <w:rsid w:val="4B1409DD"/>
    <w:rsid w:val="4B324F77"/>
    <w:rsid w:val="4B74795E"/>
    <w:rsid w:val="4BBD6004"/>
    <w:rsid w:val="4BF93069"/>
    <w:rsid w:val="4C1A30DD"/>
    <w:rsid w:val="4C283376"/>
    <w:rsid w:val="4C8D5DA3"/>
    <w:rsid w:val="4CA81875"/>
    <w:rsid w:val="4DE65229"/>
    <w:rsid w:val="4E902AA4"/>
    <w:rsid w:val="4EA308F4"/>
    <w:rsid w:val="4EA565F6"/>
    <w:rsid w:val="4EE9679B"/>
    <w:rsid w:val="4F1973DC"/>
    <w:rsid w:val="4F630A87"/>
    <w:rsid w:val="4F6A7259"/>
    <w:rsid w:val="50283E53"/>
    <w:rsid w:val="5046747C"/>
    <w:rsid w:val="50517CE4"/>
    <w:rsid w:val="51460E60"/>
    <w:rsid w:val="51EE3521"/>
    <w:rsid w:val="520D0B5A"/>
    <w:rsid w:val="5211722C"/>
    <w:rsid w:val="521E5F3C"/>
    <w:rsid w:val="52352947"/>
    <w:rsid w:val="525B6917"/>
    <w:rsid w:val="526712FA"/>
    <w:rsid w:val="52706718"/>
    <w:rsid w:val="52CC1480"/>
    <w:rsid w:val="52DE6569"/>
    <w:rsid w:val="5304138A"/>
    <w:rsid w:val="531C3A78"/>
    <w:rsid w:val="5367061D"/>
    <w:rsid w:val="53B1214B"/>
    <w:rsid w:val="53C706FA"/>
    <w:rsid w:val="54052CEE"/>
    <w:rsid w:val="548812FA"/>
    <w:rsid w:val="562142D3"/>
    <w:rsid w:val="574672BE"/>
    <w:rsid w:val="57F7640A"/>
    <w:rsid w:val="584A71C0"/>
    <w:rsid w:val="588C3F07"/>
    <w:rsid w:val="58B520B7"/>
    <w:rsid w:val="58FF593A"/>
    <w:rsid w:val="598B53C7"/>
    <w:rsid w:val="59C62882"/>
    <w:rsid w:val="59D36DD6"/>
    <w:rsid w:val="59DE4B87"/>
    <w:rsid w:val="5A5A231D"/>
    <w:rsid w:val="5A8E556E"/>
    <w:rsid w:val="5A9624E4"/>
    <w:rsid w:val="5B1E6941"/>
    <w:rsid w:val="5BA53DA7"/>
    <w:rsid w:val="5BFF5246"/>
    <w:rsid w:val="5C8F799E"/>
    <w:rsid w:val="5C9A2B07"/>
    <w:rsid w:val="5CE46516"/>
    <w:rsid w:val="5D077C48"/>
    <w:rsid w:val="5D096230"/>
    <w:rsid w:val="5DC870E5"/>
    <w:rsid w:val="5DD804DF"/>
    <w:rsid w:val="5E2331A6"/>
    <w:rsid w:val="5E2B448C"/>
    <w:rsid w:val="5EB30D28"/>
    <w:rsid w:val="5EC9227F"/>
    <w:rsid w:val="5EF21453"/>
    <w:rsid w:val="5F1427B9"/>
    <w:rsid w:val="5F813B40"/>
    <w:rsid w:val="5F8666F3"/>
    <w:rsid w:val="5FAB114B"/>
    <w:rsid w:val="5FD21E59"/>
    <w:rsid w:val="60397064"/>
    <w:rsid w:val="60706E76"/>
    <w:rsid w:val="60E2138E"/>
    <w:rsid w:val="612F2417"/>
    <w:rsid w:val="618B3FC0"/>
    <w:rsid w:val="619D4F9A"/>
    <w:rsid w:val="623F619E"/>
    <w:rsid w:val="629C4744"/>
    <w:rsid w:val="62E53D27"/>
    <w:rsid w:val="631A4DF3"/>
    <w:rsid w:val="636B1CDD"/>
    <w:rsid w:val="63D30783"/>
    <w:rsid w:val="64053EB1"/>
    <w:rsid w:val="640D4F2C"/>
    <w:rsid w:val="641F2CC6"/>
    <w:rsid w:val="650957E5"/>
    <w:rsid w:val="657D0517"/>
    <w:rsid w:val="657F6133"/>
    <w:rsid w:val="659E3D80"/>
    <w:rsid w:val="65A70BC3"/>
    <w:rsid w:val="66384BFC"/>
    <w:rsid w:val="666803C6"/>
    <w:rsid w:val="66E41EEE"/>
    <w:rsid w:val="66F239C0"/>
    <w:rsid w:val="672F6FD3"/>
    <w:rsid w:val="675B295A"/>
    <w:rsid w:val="67806F5D"/>
    <w:rsid w:val="679A6492"/>
    <w:rsid w:val="67EE21FF"/>
    <w:rsid w:val="680941BF"/>
    <w:rsid w:val="681D189D"/>
    <w:rsid w:val="68417430"/>
    <w:rsid w:val="685D5B1E"/>
    <w:rsid w:val="68847394"/>
    <w:rsid w:val="68D9545C"/>
    <w:rsid w:val="696419A8"/>
    <w:rsid w:val="698570CD"/>
    <w:rsid w:val="69D828EF"/>
    <w:rsid w:val="69F42AF6"/>
    <w:rsid w:val="6A3031AD"/>
    <w:rsid w:val="6AD93CFC"/>
    <w:rsid w:val="6B506105"/>
    <w:rsid w:val="6B82281D"/>
    <w:rsid w:val="6B87458B"/>
    <w:rsid w:val="6B8A1C32"/>
    <w:rsid w:val="6BAE4EAE"/>
    <w:rsid w:val="6BC04D9E"/>
    <w:rsid w:val="6CA74ABA"/>
    <w:rsid w:val="6CAE6A32"/>
    <w:rsid w:val="6CDE2B9B"/>
    <w:rsid w:val="6CEC2937"/>
    <w:rsid w:val="6CF574CD"/>
    <w:rsid w:val="6D4649EE"/>
    <w:rsid w:val="6D7B3F99"/>
    <w:rsid w:val="6D9B3C22"/>
    <w:rsid w:val="6D9E0543"/>
    <w:rsid w:val="6DE23091"/>
    <w:rsid w:val="6E165A7C"/>
    <w:rsid w:val="6E1718DE"/>
    <w:rsid w:val="6E3A73CA"/>
    <w:rsid w:val="6E574751"/>
    <w:rsid w:val="6E9F14AF"/>
    <w:rsid w:val="6ECF01F8"/>
    <w:rsid w:val="6F390208"/>
    <w:rsid w:val="6F4E6C9A"/>
    <w:rsid w:val="6FB5784C"/>
    <w:rsid w:val="70285768"/>
    <w:rsid w:val="703D3B4B"/>
    <w:rsid w:val="70746F92"/>
    <w:rsid w:val="70B9466B"/>
    <w:rsid w:val="70F976C5"/>
    <w:rsid w:val="72070B64"/>
    <w:rsid w:val="720E17C6"/>
    <w:rsid w:val="722170D7"/>
    <w:rsid w:val="722C73EE"/>
    <w:rsid w:val="72E20865"/>
    <w:rsid w:val="72F11E4A"/>
    <w:rsid w:val="73307BE3"/>
    <w:rsid w:val="73AD69D4"/>
    <w:rsid w:val="7463352B"/>
    <w:rsid w:val="74A52BF3"/>
    <w:rsid w:val="74D517C3"/>
    <w:rsid w:val="75B65B3F"/>
    <w:rsid w:val="76295080"/>
    <w:rsid w:val="76366544"/>
    <w:rsid w:val="7655286C"/>
    <w:rsid w:val="76A13C33"/>
    <w:rsid w:val="76CE14AD"/>
    <w:rsid w:val="76E508F6"/>
    <w:rsid w:val="77015FFF"/>
    <w:rsid w:val="77212B89"/>
    <w:rsid w:val="779A6C22"/>
    <w:rsid w:val="78C30EFE"/>
    <w:rsid w:val="78D7561B"/>
    <w:rsid w:val="79885542"/>
    <w:rsid w:val="798B036A"/>
    <w:rsid w:val="79C26BFE"/>
    <w:rsid w:val="7A027B46"/>
    <w:rsid w:val="7A3F51BE"/>
    <w:rsid w:val="7A3F5BCF"/>
    <w:rsid w:val="7A5A26F9"/>
    <w:rsid w:val="7A623BD5"/>
    <w:rsid w:val="7A663905"/>
    <w:rsid w:val="7A773EA8"/>
    <w:rsid w:val="7A8A5D1C"/>
    <w:rsid w:val="7AFA67DF"/>
    <w:rsid w:val="7AFC4BF5"/>
    <w:rsid w:val="7B0E0AB3"/>
    <w:rsid w:val="7C4A4A4D"/>
    <w:rsid w:val="7CDF6DD0"/>
    <w:rsid w:val="7D271C89"/>
    <w:rsid w:val="7D5A2D76"/>
    <w:rsid w:val="7DB46F24"/>
    <w:rsid w:val="7DEA724F"/>
    <w:rsid w:val="7DFD4077"/>
    <w:rsid w:val="7E22138A"/>
    <w:rsid w:val="7EB223AA"/>
    <w:rsid w:val="7F11306B"/>
    <w:rsid w:val="7F6A0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5"/>
    <w:qFormat/>
    <w:uiPriority w:val="0"/>
    <w:pPr>
      <w:keepNext/>
      <w:keepLines/>
      <w:pageBreakBefore/>
      <w:numPr>
        <w:ilvl w:val="0"/>
        <w:numId w:val="1"/>
      </w:numPr>
      <w:tabs>
        <w:tab w:val="left" w:pos="420"/>
        <w:tab w:val="left" w:pos="3332"/>
      </w:tabs>
      <w:adjustRightInd w:val="0"/>
      <w:snapToGrid w:val="0"/>
      <w:spacing w:before="300" w:after="300" w:line="360" w:lineRule="auto"/>
      <w:jc w:val="center"/>
      <w:outlineLvl w:val="0"/>
    </w:pPr>
    <w:rPr>
      <w:rFonts w:ascii="Times New Roman" w:hAnsi="Times New Roman"/>
      <w:b/>
      <w:bCs/>
      <w:kern w:val="44"/>
      <w:sz w:val="36"/>
      <w:szCs w:val="44"/>
    </w:rPr>
  </w:style>
  <w:style w:type="paragraph" w:styleId="6">
    <w:name w:val="heading 2"/>
    <w:basedOn w:val="1"/>
    <w:next w:val="1"/>
    <w:link w:val="272"/>
    <w:qFormat/>
    <w:uiPriority w:val="0"/>
    <w:pPr>
      <w:keepNext/>
      <w:keepLines/>
      <w:numPr>
        <w:ilvl w:val="1"/>
        <w:numId w:val="1"/>
      </w:numPr>
      <w:adjustRightInd w:val="0"/>
      <w:snapToGrid w:val="0"/>
      <w:spacing w:before="50" w:beforeLines="50" w:after="50" w:afterLines="50" w:line="360" w:lineRule="auto"/>
      <w:jc w:val="left"/>
      <w:outlineLvl w:val="1"/>
    </w:pPr>
    <w:rPr>
      <w:rFonts w:ascii="Times New Roman" w:hAnsi="Times New Roman"/>
      <w:b/>
      <w:bCs/>
      <w:sz w:val="30"/>
      <w:szCs w:val="32"/>
    </w:rPr>
  </w:style>
  <w:style w:type="paragraph" w:styleId="7">
    <w:name w:val="heading 3"/>
    <w:basedOn w:val="1"/>
    <w:next w:val="1"/>
    <w:link w:val="271"/>
    <w:qFormat/>
    <w:uiPriority w:val="0"/>
    <w:pPr>
      <w:keepNext/>
      <w:keepLines/>
      <w:numPr>
        <w:ilvl w:val="2"/>
        <w:numId w:val="1"/>
      </w:numPr>
      <w:tabs>
        <w:tab w:val="clear" w:pos="-1"/>
      </w:tabs>
      <w:adjustRightInd w:val="0"/>
      <w:snapToGrid w:val="0"/>
      <w:spacing w:before="50" w:beforeLines="50" w:after="50" w:afterLines="50" w:line="360" w:lineRule="auto"/>
      <w:ind w:left="862"/>
      <w:jc w:val="left"/>
      <w:outlineLvl w:val="2"/>
    </w:pPr>
    <w:rPr>
      <w:rFonts w:ascii="Times New Roman" w:hAnsi="Times New Roman"/>
      <w:b/>
      <w:bCs/>
      <w:sz w:val="24"/>
      <w:szCs w:val="32"/>
    </w:rPr>
  </w:style>
  <w:style w:type="paragraph" w:styleId="8">
    <w:name w:val="heading 4"/>
    <w:basedOn w:val="1"/>
    <w:next w:val="1"/>
    <w:qFormat/>
    <w:uiPriority w:val="0"/>
    <w:pPr>
      <w:keepNext/>
      <w:keepLines/>
      <w:numPr>
        <w:ilvl w:val="3"/>
        <w:numId w:val="1"/>
      </w:numPr>
      <w:adjustRightInd w:val="0"/>
      <w:snapToGrid w:val="0"/>
      <w:spacing w:line="360" w:lineRule="auto"/>
      <w:jc w:val="left"/>
      <w:outlineLvl w:val="3"/>
    </w:pPr>
    <w:rPr>
      <w:rFonts w:ascii="Times New Roman" w:hAnsi="Times New Roman"/>
      <w:bCs/>
      <w:sz w:val="24"/>
      <w:szCs w:val="28"/>
    </w:rPr>
  </w:style>
  <w:style w:type="paragraph" w:styleId="9">
    <w:name w:val="heading 5"/>
    <w:basedOn w:val="1"/>
    <w:next w:val="5"/>
    <w:qFormat/>
    <w:uiPriority w:val="0"/>
    <w:pPr>
      <w:keepNext/>
      <w:keepLines/>
      <w:numPr>
        <w:ilvl w:val="4"/>
        <w:numId w:val="1"/>
      </w:numPr>
      <w:tabs>
        <w:tab w:val="left" w:pos="1008"/>
      </w:tabs>
      <w:spacing w:line="360" w:lineRule="auto"/>
      <w:outlineLvl w:val="4"/>
    </w:pPr>
    <w:rPr>
      <w:rFonts w:ascii="Times New Roman" w:hAnsi="Times New Roman"/>
      <w:bCs/>
      <w:sz w:val="24"/>
      <w:szCs w:val="28"/>
    </w:rPr>
  </w:style>
  <w:style w:type="paragraph" w:styleId="10">
    <w:name w:val="heading 6"/>
    <w:basedOn w:val="1"/>
    <w:next w:val="1"/>
    <w:qFormat/>
    <w:uiPriority w:val="0"/>
    <w:pPr>
      <w:keepNext/>
      <w:keepLines/>
      <w:numPr>
        <w:ilvl w:val="5"/>
        <w:numId w:val="1"/>
      </w:numPr>
      <w:tabs>
        <w:tab w:val="left" w:pos="1152"/>
      </w:tabs>
      <w:spacing w:before="240" w:after="64" w:line="317" w:lineRule="auto"/>
      <w:outlineLvl w:val="5"/>
    </w:pPr>
    <w:rPr>
      <w:rFonts w:ascii="Cambria" w:hAnsi="Cambria"/>
      <w:b/>
      <w:bCs/>
      <w:sz w:val="24"/>
      <w:szCs w:val="24"/>
    </w:rPr>
  </w:style>
  <w:style w:type="paragraph" w:styleId="11">
    <w:name w:val="heading 7"/>
    <w:basedOn w:val="1"/>
    <w:next w:val="1"/>
    <w:qFormat/>
    <w:uiPriority w:val="0"/>
    <w:pPr>
      <w:keepNext/>
      <w:keepLines/>
      <w:numPr>
        <w:ilvl w:val="6"/>
        <w:numId w:val="1"/>
      </w:numPr>
      <w:tabs>
        <w:tab w:val="left" w:pos="1296"/>
      </w:tabs>
      <w:spacing w:before="240" w:after="64" w:line="317" w:lineRule="auto"/>
      <w:outlineLvl w:val="6"/>
    </w:pPr>
    <w:rPr>
      <w:rFonts w:ascii="Times New Roman" w:hAnsi="Times New Roman"/>
      <w:b/>
      <w:bCs/>
      <w:sz w:val="24"/>
      <w:szCs w:val="24"/>
    </w:rPr>
  </w:style>
  <w:style w:type="paragraph" w:styleId="12">
    <w:name w:val="heading 8"/>
    <w:basedOn w:val="1"/>
    <w:next w:val="1"/>
    <w:qFormat/>
    <w:uiPriority w:val="0"/>
    <w:pPr>
      <w:keepNext/>
      <w:keepLines/>
      <w:numPr>
        <w:ilvl w:val="7"/>
        <w:numId w:val="1"/>
      </w:numPr>
      <w:tabs>
        <w:tab w:val="left" w:pos="1440"/>
      </w:tabs>
      <w:spacing w:before="240" w:after="64" w:line="317" w:lineRule="auto"/>
      <w:outlineLvl w:val="7"/>
    </w:pPr>
    <w:rPr>
      <w:rFonts w:ascii="Cambria" w:hAnsi="Cambria"/>
      <w:sz w:val="24"/>
      <w:szCs w:val="24"/>
    </w:rPr>
  </w:style>
  <w:style w:type="paragraph" w:styleId="13">
    <w:name w:val="heading 9"/>
    <w:basedOn w:val="1"/>
    <w:next w:val="1"/>
    <w:qFormat/>
    <w:uiPriority w:val="0"/>
    <w:pPr>
      <w:keepNext/>
      <w:keepLines/>
      <w:numPr>
        <w:ilvl w:val="8"/>
        <w:numId w:val="1"/>
      </w:numPr>
      <w:tabs>
        <w:tab w:val="left" w:pos="1584"/>
      </w:tabs>
      <w:spacing w:before="240" w:after="64" w:line="317" w:lineRule="auto"/>
      <w:outlineLvl w:val="8"/>
    </w:pPr>
    <w:rPr>
      <w:rFonts w:ascii="Cambria" w:hAnsi="Cambria"/>
      <w:sz w:val="20"/>
      <w:szCs w:val="20"/>
    </w:rPr>
  </w:style>
  <w:style w:type="character" w:default="1" w:styleId="47">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link w:val="274"/>
    <w:qFormat/>
    <w:uiPriority w:val="0"/>
    <w:pPr>
      <w:ind w:firstLine="200" w:firstLineChars="200"/>
    </w:pPr>
    <w:rPr>
      <w:spacing w:val="0"/>
      <w:sz w:val="21"/>
      <w:szCs w:val="24"/>
    </w:rPr>
  </w:style>
  <w:style w:type="paragraph" w:styleId="3">
    <w:name w:val="Body Text Indent"/>
    <w:basedOn w:val="1"/>
    <w:next w:val="2"/>
    <w:qFormat/>
    <w:uiPriority w:val="0"/>
    <w:pPr>
      <w:spacing w:after="120"/>
      <w:ind w:left="200" w:leftChars="200"/>
    </w:pPr>
    <w:rPr>
      <w:rFonts w:ascii="Times New Roman" w:hAnsi="Times New Roman"/>
      <w:spacing w:val="62"/>
      <w:sz w:val="24"/>
      <w:szCs w:val="20"/>
    </w:rPr>
  </w:style>
  <w:style w:type="paragraph" w:styleId="5">
    <w:name w:val="Body Text First Indent"/>
    <w:basedOn w:val="1"/>
    <w:qFormat/>
    <w:uiPriority w:val="0"/>
    <w:pPr>
      <w:adjustRightInd w:val="0"/>
      <w:snapToGrid w:val="0"/>
      <w:spacing w:line="360" w:lineRule="auto"/>
      <w:ind w:firstLine="200" w:firstLineChars="200"/>
    </w:pPr>
    <w:rPr>
      <w:rFonts w:cs="Arial"/>
      <w:sz w:val="24"/>
    </w:rPr>
  </w:style>
  <w:style w:type="paragraph" w:styleId="14">
    <w:name w:val="toc 7"/>
    <w:basedOn w:val="1"/>
    <w:next w:val="1"/>
    <w:qFormat/>
    <w:uiPriority w:val="0"/>
    <w:pPr>
      <w:ind w:left="1200"/>
      <w:jc w:val="left"/>
    </w:pPr>
    <w:rPr>
      <w:rFonts w:ascii="Times New Roman" w:hAnsi="Times New Roman"/>
      <w:sz w:val="18"/>
      <w:szCs w:val="18"/>
    </w:rPr>
  </w:style>
  <w:style w:type="paragraph" w:styleId="15">
    <w:name w:val="Note Heading"/>
    <w:basedOn w:val="1"/>
    <w:next w:val="1"/>
    <w:qFormat/>
    <w:uiPriority w:val="0"/>
    <w:pPr>
      <w:jc w:val="center"/>
    </w:pPr>
    <w:rPr>
      <w:rFonts w:ascii="Times New Roman" w:hAnsi="Times New Roman"/>
      <w:szCs w:val="20"/>
    </w:rPr>
  </w:style>
  <w:style w:type="paragraph" w:styleId="16">
    <w:name w:val="List Number"/>
    <w:basedOn w:val="1"/>
    <w:qFormat/>
    <w:uiPriority w:val="0"/>
    <w:pPr>
      <w:keepNext/>
      <w:adjustRightInd w:val="0"/>
      <w:snapToGrid w:val="0"/>
      <w:spacing w:line="360" w:lineRule="auto"/>
      <w:jc w:val="center"/>
    </w:pPr>
    <w:rPr>
      <w:rFonts w:ascii="Times New Roman" w:hAnsi="Times New Roman"/>
      <w:b/>
      <w:szCs w:val="20"/>
    </w:rPr>
  </w:style>
  <w:style w:type="paragraph" w:styleId="17">
    <w:name w:val="Normal Indent"/>
    <w:basedOn w:val="1"/>
    <w:qFormat/>
    <w:uiPriority w:val="0"/>
    <w:pPr>
      <w:adjustRightInd w:val="0"/>
      <w:spacing w:line="312" w:lineRule="atLeast"/>
      <w:ind w:firstLine="420"/>
      <w:textAlignment w:val="baseline"/>
    </w:pPr>
    <w:rPr>
      <w:rFonts w:ascii="Times New Roman" w:hAnsi="Times New Roman"/>
      <w:sz w:val="20"/>
      <w:szCs w:val="20"/>
    </w:rPr>
  </w:style>
  <w:style w:type="paragraph" w:styleId="18">
    <w:name w:val="caption"/>
    <w:basedOn w:val="1"/>
    <w:next w:val="1"/>
    <w:qFormat/>
    <w:uiPriority w:val="0"/>
    <w:pPr>
      <w:adjustRightInd w:val="0"/>
      <w:snapToGrid w:val="0"/>
      <w:jc w:val="center"/>
    </w:pPr>
    <w:rPr>
      <w:rFonts w:ascii="Times New Roman" w:hAnsi="Times New Roman"/>
      <w:b/>
      <w:sz w:val="24"/>
      <w:szCs w:val="20"/>
    </w:rPr>
  </w:style>
  <w:style w:type="paragraph" w:styleId="19">
    <w:name w:val="Document Map"/>
    <w:basedOn w:val="1"/>
    <w:qFormat/>
    <w:uiPriority w:val="0"/>
    <w:rPr>
      <w:rFonts w:ascii="宋体"/>
      <w:sz w:val="18"/>
      <w:szCs w:val="18"/>
    </w:rPr>
  </w:style>
  <w:style w:type="paragraph" w:styleId="20">
    <w:name w:val="annotation text"/>
    <w:basedOn w:val="1"/>
    <w:qFormat/>
    <w:uiPriority w:val="0"/>
    <w:pPr>
      <w:jc w:val="left"/>
    </w:pPr>
    <w:rPr>
      <w:szCs w:val="21"/>
    </w:rPr>
  </w:style>
  <w:style w:type="paragraph" w:styleId="21">
    <w:name w:val="Body Text 3"/>
    <w:basedOn w:val="1"/>
    <w:qFormat/>
    <w:uiPriority w:val="0"/>
    <w:pPr>
      <w:spacing w:after="120"/>
    </w:pPr>
    <w:rPr>
      <w:rFonts w:ascii="Times New Roman" w:hAnsi="Times New Roman"/>
      <w:sz w:val="16"/>
      <w:szCs w:val="16"/>
    </w:rPr>
  </w:style>
  <w:style w:type="paragraph" w:styleId="22">
    <w:name w:val="Body Text"/>
    <w:basedOn w:val="1"/>
    <w:next w:val="23"/>
    <w:link w:val="273"/>
    <w:qFormat/>
    <w:uiPriority w:val="0"/>
    <w:rPr>
      <w:rFonts w:ascii="Times New Roman" w:hAnsi="Times New Roman"/>
      <w:sz w:val="20"/>
      <w:szCs w:val="20"/>
    </w:rPr>
  </w:style>
  <w:style w:type="paragraph" w:customStyle="1" w:styleId="2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24">
    <w:name w:val="List 2"/>
    <w:basedOn w:val="1"/>
    <w:qFormat/>
    <w:uiPriority w:val="0"/>
    <w:pPr>
      <w:ind w:left="400" w:leftChars="200" w:hanging="200" w:hangingChars="200"/>
    </w:pPr>
    <w:rPr>
      <w:rFonts w:ascii="Times New Roman" w:hAnsi="Times New Roman"/>
      <w:sz w:val="20"/>
      <w:szCs w:val="20"/>
    </w:rPr>
  </w:style>
  <w:style w:type="paragraph" w:styleId="25">
    <w:name w:val="toc 5"/>
    <w:basedOn w:val="1"/>
    <w:next w:val="1"/>
    <w:qFormat/>
    <w:uiPriority w:val="0"/>
    <w:pPr>
      <w:ind w:left="800"/>
      <w:jc w:val="left"/>
    </w:pPr>
    <w:rPr>
      <w:rFonts w:ascii="Times New Roman" w:hAnsi="Times New Roman"/>
      <w:sz w:val="18"/>
      <w:szCs w:val="18"/>
    </w:rPr>
  </w:style>
  <w:style w:type="paragraph" w:styleId="26">
    <w:name w:val="toc 3"/>
    <w:basedOn w:val="1"/>
    <w:next w:val="1"/>
    <w:qFormat/>
    <w:uiPriority w:val="0"/>
    <w:pPr>
      <w:ind w:left="400"/>
      <w:jc w:val="left"/>
    </w:pPr>
    <w:rPr>
      <w:rFonts w:ascii="Times New Roman" w:hAnsi="Times New Roman"/>
      <w:i/>
      <w:iCs/>
      <w:sz w:val="20"/>
      <w:szCs w:val="20"/>
    </w:rPr>
  </w:style>
  <w:style w:type="paragraph" w:styleId="27">
    <w:name w:val="Plain Text"/>
    <w:basedOn w:val="1"/>
    <w:qFormat/>
    <w:uiPriority w:val="0"/>
    <w:rPr>
      <w:rFonts w:ascii="宋体"/>
      <w:sz w:val="20"/>
      <w:szCs w:val="20"/>
    </w:rPr>
  </w:style>
  <w:style w:type="paragraph" w:styleId="28">
    <w:name w:val="toc 8"/>
    <w:basedOn w:val="1"/>
    <w:next w:val="1"/>
    <w:qFormat/>
    <w:uiPriority w:val="0"/>
    <w:pPr>
      <w:ind w:left="1400"/>
      <w:jc w:val="left"/>
    </w:pPr>
    <w:rPr>
      <w:rFonts w:ascii="Times New Roman" w:hAnsi="Times New Roman"/>
      <w:sz w:val="18"/>
      <w:szCs w:val="18"/>
    </w:rPr>
  </w:style>
  <w:style w:type="paragraph" w:styleId="29">
    <w:name w:val="Date"/>
    <w:basedOn w:val="1"/>
    <w:next w:val="1"/>
    <w:qFormat/>
    <w:uiPriority w:val="0"/>
    <w:pPr>
      <w:ind w:left="2500" w:leftChars="2500"/>
    </w:pPr>
    <w:rPr>
      <w:rFonts w:ascii="Times New Roman" w:hAnsi="Times New Roman"/>
      <w:sz w:val="20"/>
      <w:szCs w:val="20"/>
    </w:rPr>
  </w:style>
  <w:style w:type="paragraph" w:styleId="30">
    <w:name w:val="Body Text Indent 2"/>
    <w:basedOn w:val="1"/>
    <w:qFormat/>
    <w:uiPriority w:val="0"/>
    <w:pPr>
      <w:spacing w:after="120" w:line="480" w:lineRule="auto"/>
      <w:ind w:left="200" w:leftChars="200"/>
    </w:pPr>
    <w:rPr>
      <w:rFonts w:ascii="Times New Roman" w:hAnsi="Times New Roman"/>
      <w:sz w:val="20"/>
      <w:szCs w:val="20"/>
    </w:rPr>
  </w:style>
  <w:style w:type="paragraph" w:styleId="31">
    <w:name w:val="Balloon Text"/>
    <w:basedOn w:val="1"/>
    <w:qFormat/>
    <w:uiPriority w:val="0"/>
    <w:rPr>
      <w:rFonts w:ascii="Times New Roman" w:hAnsi="Times New Roman"/>
      <w:sz w:val="18"/>
      <w:szCs w:val="18"/>
    </w:rPr>
  </w:style>
  <w:style w:type="paragraph" w:styleId="32">
    <w:name w:val="footer"/>
    <w:basedOn w:val="1"/>
    <w:link w:val="270"/>
    <w:qFormat/>
    <w:uiPriority w:val="99"/>
    <w:pPr>
      <w:tabs>
        <w:tab w:val="center" w:pos="4153"/>
        <w:tab w:val="right" w:pos="8306"/>
      </w:tabs>
      <w:snapToGrid w:val="0"/>
      <w:jc w:val="left"/>
    </w:pPr>
    <w:rPr>
      <w:rFonts w:ascii="Times New Roman" w:hAnsi="Times New Roman"/>
      <w:sz w:val="18"/>
      <w:szCs w:val="18"/>
    </w:rPr>
  </w:style>
  <w:style w:type="paragraph" w:styleId="3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34">
    <w:name w:val="toc 1"/>
    <w:basedOn w:val="1"/>
    <w:next w:val="1"/>
    <w:qFormat/>
    <w:uiPriority w:val="0"/>
    <w:pPr>
      <w:spacing w:before="120" w:after="120"/>
      <w:jc w:val="left"/>
    </w:pPr>
    <w:rPr>
      <w:rFonts w:ascii="Times New Roman" w:hAnsi="Times New Roman"/>
      <w:b/>
      <w:bCs/>
      <w:caps/>
      <w:sz w:val="20"/>
      <w:szCs w:val="20"/>
    </w:rPr>
  </w:style>
  <w:style w:type="paragraph" w:styleId="35">
    <w:name w:val="toc 4"/>
    <w:basedOn w:val="1"/>
    <w:next w:val="1"/>
    <w:qFormat/>
    <w:uiPriority w:val="0"/>
    <w:pPr>
      <w:ind w:left="600"/>
      <w:jc w:val="left"/>
    </w:pPr>
    <w:rPr>
      <w:rFonts w:ascii="Times New Roman" w:hAnsi="Times New Roman"/>
      <w:sz w:val="18"/>
      <w:szCs w:val="18"/>
    </w:rPr>
  </w:style>
  <w:style w:type="paragraph" w:styleId="36">
    <w:name w:val="List"/>
    <w:basedOn w:val="1"/>
    <w:qFormat/>
    <w:uiPriority w:val="0"/>
    <w:pPr>
      <w:ind w:left="200" w:hanging="200" w:hangingChars="200"/>
      <w:contextualSpacing/>
    </w:pPr>
    <w:rPr>
      <w:rFonts w:ascii="Times New Roman" w:hAnsi="Times New Roman"/>
      <w:sz w:val="20"/>
      <w:szCs w:val="20"/>
    </w:rPr>
  </w:style>
  <w:style w:type="paragraph" w:styleId="37">
    <w:name w:val="toc 6"/>
    <w:basedOn w:val="1"/>
    <w:next w:val="1"/>
    <w:qFormat/>
    <w:uiPriority w:val="0"/>
    <w:pPr>
      <w:ind w:left="1000"/>
      <w:jc w:val="left"/>
    </w:pPr>
    <w:rPr>
      <w:rFonts w:ascii="Times New Roman" w:hAnsi="Times New Roman"/>
      <w:sz w:val="18"/>
      <w:szCs w:val="18"/>
    </w:rPr>
  </w:style>
  <w:style w:type="paragraph" w:styleId="38">
    <w:name w:val="Body Text Indent 3"/>
    <w:basedOn w:val="1"/>
    <w:qFormat/>
    <w:uiPriority w:val="0"/>
    <w:pPr>
      <w:autoSpaceDE w:val="0"/>
      <w:autoSpaceDN w:val="0"/>
      <w:adjustRightInd w:val="0"/>
      <w:spacing w:line="360" w:lineRule="auto"/>
      <w:ind w:right="6" w:firstLine="480"/>
    </w:pPr>
    <w:rPr>
      <w:rFonts w:ascii="Times New Roman" w:hAnsi="Times New Roman"/>
      <w:kern w:val="0"/>
      <w:sz w:val="24"/>
      <w:szCs w:val="20"/>
    </w:rPr>
  </w:style>
  <w:style w:type="paragraph" w:styleId="39">
    <w:name w:val="toc 2"/>
    <w:basedOn w:val="1"/>
    <w:next w:val="1"/>
    <w:qFormat/>
    <w:uiPriority w:val="0"/>
    <w:pPr>
      <w:ind w:left="200"/>
      <w:jc w:val="left"/>
    </w:pPr>
    <w:rPr>
      <w:rFonts w:ascii="Times New Roman" w:hAnsi="Times New Roman"/>
      <w:smallCaps/>
      <w:sz w:val="20"/>
      <w:szCs w:val="20"/>
    </w:rPr>
  </w:style>
  <w:style w:type="paragraph" w:styleId="40">
    <w:name w:val="toc 9"/>
    <w:basedOn w:val="1"/>
    <w:next w:val="1"/>
    <w:qFormat/>
    <w:uiPriority w:val="0"/>
    <w:pPr>
      <w:ind w:left="1600"/>
      <w:jc w:val="left"/>
    </w:pPr>
    <w:rPr>
      <w:rFonts w:ascii="Times New Roman" w:hAnsi="Times New Roman"/>
      <w:sz w:val="18"/>
      <w:szCs w:val="18"/>
    </w:rPr>
  </w:style>
  <w:style w:type="paragraph" w:styleId="41">
    <w:name w:val="Body Text 2"/>
    <w:basedOn w:val="1"/>
    <w:qFormat/>
    <w:uiPriority w:val="0"/>
    <w:pPr>
      <w:spacing w:after="120" w:line="480" w:lineRule="auto"/>
    </w:pPr>
    <w:rPr>
      <w:rFonts w:ascii="Times New Roman" w:hAnsi="Times New Roman"/>
      <w:sz w:val="20"/>
      <w:szCs w:val="20"/>
    </w:rPr>
  </w:style>
  <w:style w:type="paragraph" w:styleId="42">
    <w:name w:val="HTML Preformatted"/>
    <w:basedOn w:val="1"/>
    <w:qFormat/>
    <w:uiPriority w:val="0"/>
    <w:rPr>
      <w:rFonts w:ascii="Courier New" w:hAnsi="Courier New" w:cs="Courier New"/>
      <w:sz w:val="20"/>
      <w:szCs w:val="20"/>
    </w:rPr>
  </w:style>
  <w:style w:type="paragraph" w:styleId="43">
    <w:name w:val="Normal (Web)"/>
    <w:basedOn w:val="1"/>
    <w:qFormat/>
    <w:uiPriority w:val="0"/>
    <w:pPr>
      <w:widowControl/>
      <w:spacing w:before="100" w:beforeAutospacing="1" w:after="100" w:afterAutospacing="1"/>
      <w:jc w:val="left"/>
    </w:pPr>
    <w:rPr>
      <w:rFonts w:ascii="宋体"/>
      <w:kern w:val="0"/>
      <w:sz w:val="24"/>
      <w:szCs w:val="21"/>
    </w:rPr>
  </w:style>
  <w:style w:type="paragraph" w:styleId="44">
    <w:name w:val="annotation subject"/>
    <w:basedOn w:val="20"/>
    <w:next w:val="20"/>
    <w:qFormat/>
    <w:uiPriority w:val="0"/>
    <w:rPr>
      <w:b/>
      <w:bCs/>
    </w:rPr>
  </w:style>
  <w:style w:type="table" w:styleId="46">
    <w:name w:val="Table Grid"/>
    <w:basedOn w:val="45"/>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rPr>
      <w:i/>
      <w:iCs/>
    </w:rPr>
  </w:style>
  <w:style w:type="character" w:styleId="52">
    <w:name w:val="line number"/>
    <w:qFormat/>
    <w:uiPriority w:val="0"/>
  </w:style>
  <w:style w:type="character" w:styleId="53">
    <w:name w:val="HTML Definition"/>
    <w:qFormat/>
    <w:uiPriority w:val="0"/>
    <w:rPr>
      <w:sz w:val="2"/>
      <w:szCs w:val="2"/>
      <w:shd w:val="clear" w:color="auto" w:fill="FFFFFF"/>
    </w:rPr>
  </w:style>
  <w:style w:type="character" w:styleId="54">
    <w:name w:val="HTML Variable"/>
    <w:basedOn w:val="47"/>
    <w:qFormat/>
    <w:uiPriority w:val="0"/>
  </w:style>
  <w:style w:type="character" w:styleId="55">
    <w:name w:val="Hyperlink"/>
    <w:qFormat/>
    <w:uiPriority w:val="0"/>
    <w:rPr>
      <w:color w:val="0000FF"/>
      <w:u w:val="single"/>
    </w:rPr>
  </w:style>
  <w:style w:type="character" w:styleId="56">
    <w:name w:val="HTML Code"/>
    <w:qFormat/>
    <w:uiPriority w:val="0"/>
    <w:rPr>
      <w:rFonts w:ascii="monospace" w:hAnsi="monospace" w:eastAsia="monospace" w:cs="monospace"/>
      <w:sz w:val="21"/>
      <w:szCs w:val="21"/>
    </w:rPr>
  </w:style>
  <w:style w:type="character" w:styleId="57">
    <w:name w:val="annotation reference"/>
    <w:qFormat/>
    <w:uiPriority w:val="0"/>
    <w:rPr>
      <w:sz w:val="21"/>
      <w:szCs w:val="21"/>
    </w:rPr>
  </w:style>
  <w:style w:type="character" w:styleId="58">
    <w:name w:val="HTML Cite"/>
    <w:basedOn w:val="47"/>
    <w:qFormat/>
    <w:uiPriority w:val="0"/>
  </w:style>
  <w:style w:type="character" w:styleId="59">
    <w:name w:val="HTML Keyboard"/>
    <w:qFormat/>
    <w:uiPriority w:val="0"/>
    <w:rPr>
      <w:rFonts w:ascii="monospace" w:hAnsi="monospace" w:eastAsia="monospace" w:cs="monospace"/>
      <w:sz w:val="21"/>
      <w:szCs w:val="21"/>
    </w:rPr>
  </w:style>
  <w:style w:type="character" w:styleId="60">
    <w:name w:val="HTML Sample"/>
    <w:qFormat/>
    <w:uiPriority w:val="0"/>
    <w:rPr>
      <w:rFonts w:ascii="monospace" w:hAnsi="monospace" w:eastAsia="monospace" w:cs="monospace"/>
      <w:sz w:val="21"/>
      <w:szCs w:val="21"/>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样式 标题 1 + 三号 两端对齐 左侧:  0 厘米 首行缩进:  0 厘米 段前: 0 磅 段后: 0 磅"/>
    <w:basedOn w:val="4"/>
    <w:qFormat/>
    <w:uiPriority w:val="0"/>
    <w:pPr>
      <w:tabs>
        <w:tab w:val="clear" w:pos="0"/>
        <w:tab w:val="clear" w:pos="420"/>
      </w:tabs>
      <w:spacing w:before="0" w:after="0"/>
      <w:ind w:left="0" w:firstLine="0"/>
      <w:jc w:val="both"/>
    </w:pPr>
    <w:rPr>
      <w:rFonts w:eastAsia="Times New Roman" w:cs="宋体"/>
      <w:sz w:val="32"/>
      <w:szCs w:val="20"/>
    </w:rPr>
  </w:style>
  <w:style w:type="paragraph" w:customStyle="1" w:styleId="63">
    <w:name w:val="样式 样式 标题 1 + 三号 两端对齐 左侧:  0 厘米 首行缩进:  0 厘米 段前: 0 磅 段后: 0 磅 + (中文..."/>
    <w:basedOn w:val="62"/>
    <w:qFormat/>
    <w:uiPriority w:val="0"/>
    <w:pPr>
      <w:tabs>
        <w:tab w:val="clear" w:pos="3332"/>
      </w:tabs>
      <w:spacing w:before="180" w:after="180"/>
      <w:jc w:val="center"/>
    </w:pPr>
    <w:rPr>
      <w:rFonts w:ascii="黑体" w:eastAsia="黑体"/>
      <w:b w:val="0"/>
    </w:rPr>
  </w:style>
  <w:style w:type="paragraph" w:customStyle="1" w:styleId="64">
    <w:name w:val="表格五号字"/>
    <w:basedOn w:val="1"/>
    <w:qFormat/>
    <w:uiPriority w:val="0"/>
    <w:pPr>
      <w:pBdr>
        <w:top w:val="single" w:color="auto" w:sz="8" w:space="1"/>
        <w:bottom w:val="single" w:color="auto" w:sz="8" w:space="1"/>
      </w:pBdr>
      <w:adjustRightInd w:val="0"/>
      <w:snapToGrid w:val="0"/>
      <w:jc w:val="center"/>
    </w:pPr>
    <w:rPr>
      <w:rFonts w:ascii="Times New Roman" w:hAnsi="Times New Roman"/>
      <w:szCs w:val="24"/>
    </w:rPr>
  </w:style>
  <w:style w:type="paragraph" w:customStyle="1" w:styleId="65">
    <w:name w:val="表格"/>
    <w:basedOn w:val="1"/>
    <w:link w:val="275"/>
    <w:qFormat/>
    <w:uiPriority w:val="0"/>
    <w:pPr>
      <w:jc w:val="center"/>
    </w:pPr>
    <w:rPr>
      <w:rFonts w:ascii="Times New Roman" w:hAnsi="Times New Roman"/>
      <w:sz w:val="24"/>
      <w:szCs w:val="24"/>
    </w:rPr>
  </w:style>
  <w:style w:type="paragraph" w:customStyle="1" w:styleId="66">
    <w:name w:val="表头"/>
    <w:basedOn w:val="17"/>
    <w:next w:val="1"/>
    <w:qFormat/>
    <w:uiPriority w:val="0"/>
    <w:pPr>
      <w:spacing w:before="50" w:beforeLines="50" w:after="50" w:afterLines="50"/>
    </w:pPr>
    <w:rPr>
      <w:rFonts w:ascii="仿宋_GB2312" w:eastAsia="仿宋_GB2312"/>
      <w:shd w:val="clear" w:color="auto" w:fill="FFFFFF"/>
    </w:rPr>
  </w:style>
  <w:style w:type="paragraph" w:customStyle="1" w:styleId="67">
    <w:name w:val="样式1"/>
    <w:basedOn w:val="1"/>
    <w:next w:val="1"/>
    <w:qFormat/>
    <w:uiPriority w:val="0"/>
    <w:pPr>
      <w:widowControl/>
      <w:jc w:val="center"/>
    </w:pPr>
    <w:rPr>
      <w:rFonts w:ascii="黑体" w:eastAsia="黑体" w:cs="宋体"/>
      <w:sz w:val="18"/>
      <w:szCs w:val="21"/>
      <w:lang w:val="zh-CN"/>
    </w:rPr>
  </w:style>
  <w:style w:type="paragraph" w:customStyle="1" w:styleId="68">
    <w:name w:val="段落"/>
    <w:basedOn w:val="1"/>
    <w:qFormat/>
    <w:uiPriority w:val="0"/>
    <w:pPr>
      <w:tabs>
        <w:tab w:val="left" w:pos="1021"/>
        <w:tab w:val="left" w:pos="1320"/>
      </w:tabs>
      <w:snapToGrid w:val="0"/>
      <w:spacing w:line="360" w:lineRule="auto"/>
      <w:ind w:firstLine="200" w:firstLineChars="200"/>
    </w:pPr>
    <w:rPr>
      <w:rFonts w:ascii="Times New Roman" w:hAnsi="Times New Roman"/>
      <w:color w:val="FF0000"/>
      <w:sz w:val="24"/>
      <w:szCs w:val="24"/>
    </w:rPr>
  </w:style>
  <w:style w:type="paragraph" w:customStyle="1" w:styleId="69">
    <w:name w:val="表头1"/>
    <w:basedOn w:val="1"/>
    <w:qFormat/>
    <w:uiPriority w:val="0"/>
    <w:pPr>
      <w:overflowPunct w:val="0"/>
      <w:autoSpaceDE w:val="0"/>
      <w:autoSpaceDN w:val="0"/>
      <w:adjustRightInd w:val="0"/>
      <w:snapToGrid w:val="0"/>
      <w:spacing w:line="360" w:lineRule="auto"/>
      <w:jc w:val="center"/>
      <w:textAlignment w:val="baseline"/>
    </w:pPr>
    <w:rPr>
      <w:rFonts w:ascii="Times New Roman" w:hAnsi="Times New Roman"/>
      <w:b/>
      <w:color w:val="000000"/>
      <w:szCs w:val="21"/>
    </w:rPr>
  </w:style>
  <w:style w:type="paragraph" w:customStyle="1" w:styleId="70">
    <w:name w:val="魏秀珍  报告正文1"/>
    <w:basedOn w:val="1"/>
    <w:qFormat/>
    <w:uiPriority w:val="0"/>
    <w:pPr>
      <w:adjustRightInd w:val="0"/>
      <w:snapToGrid w:val="0"/>
      <w:spacing w:line="360" w:lineRule="auto"/>
      <w:ind w:firstLine="200" w:firstLineChars="200"/>
    </w:pPr>
    <w:rPr>
      <w:rFonts w:ascii="宋体"/>
      <w:sz w:val="24"/>
      <w:szCs w:val="20"/>
    </w:rPr>
  </w:style>
  <w:style w:type="paragraph" w:customStyle="1" w:styleId="71">
    <w:name w:val="样式 标题 2SeHead wsa2H21标题 1.1Chapter TitleChapter节标题 1.1h..."/>
    <w:basedOn w:val="1"/>
    <w:next w:val="1"/>
    <w:qFormat/>
    <w:uiPriority w:val="0"/>
    <w:pPr>
      <w:keepNext/>
      <w:snapToGrid w:val="0"/>
      <w:spacing w:line="420" w:lineRule="auto"/>
      <w:outlineLvl w:val="1"/>
    </w:pPr>
    <w:rPr>
      <w:rFonts w:ascii="Times New Roman" w:hAnsi="Times New Roman" w:eastAsia="方正黑体_GBK"/>
      <w:b/>
      <w:sz w:val="30"/>
      <w:szCs w:val="20"/>
    </w:rPr>
  </w:style>
  <w:style w:type="paragraph" w:customStyle="1" w:styleId="72">
    <w:name w:val="表标题（杨）"/>
    <w:basedOn w:val="18"/>
    <w:qFormat/>
    <w:uiPriority w:val="0"/>
    <w:pPr>
      <w:widowControl/>
      <w:adjustRightInd/>
      <w:snapToGrid/>
      <w:spacing w:line="360" w:lineRule="auto"/>
    </w:pPr>
    <w:rPr>
      <w:color w:val="000000"/>
      <w:szCs w:val="24"/>
    </w:rPr>
  </w:style>
  <w:style w:type="paragraph" w:customStyle="1" w:styleId="73">
    <w:name w:val="中气表头"/>
    <w:basedOn w:val="1"/>
    <w:qFormat/>
    <w:uiPriority w:val="0"/>
    <w:pPr>
      <w:jc w:val="center"/>
    </w:pPr>
    <w:rPr>
      <w:rFonts w:ascii="Times New Roman" w:hAnsi="Times New Roman" w:eastAsia="黑体"/>
      <w:b/>
      <w:sz w:val="20"/>
      <w:szCs w:val="21"/>
    </w:rPr>
  </w:style>
  <w:style w:type="paragraph" w:customStyle="1" w:styleId="74">
    <w:name w:val="样式11"/>
    <w:basedOn w:val="1"/>
    <w:qFormat/>
    <w:uiPriority w:val="0"/>
    <w:pPr>
      <w:widowControl/>
      <w:spacing w:line="360" w:lineRule="auto"/>
      <w:ind w:firstLine="200" w:firstLineChars="200"/>
      <w:textAlignment w:val="baseline"/>
    </w:pPr>
    <w:rPr>
      <w:rFonts w:ascii="Times New Roman" w:hAnsi="Times New Roman"/>
      <w:color w:val="000000"/>
      <w:sz w:val="24"/>
      <w:szCs w:val="20"/>
      <w:u w:color="000000"/>
    </w:rPr>
  </w:style>
  <w:style w:type="paragraph" w:customStyle="1" w:styleId="75">
    <w:name w:val="我的正文"/>
    <w:basedOn w:val="1"/>
    <w:qFormat/>
    <w:uiPriority w:val="0"/>
    <w:pPr>
      <w:widowControl/>
      <w:ind w:firstLine="538"/>
    </w:pPr>
    <w:rPr>
      <w:rFonts w:ascii="Times New Roman" w:hAnsi="Times New Roman"/>
      <w:sz w:val="28"/>
      <w:szCs w:val="20"/>
      <w:lang w:eastAsia="en-US" w:bidi="en-US"/>
    </w:rPr>
  </w:style>
  <w:style w:type="paragraph" w:customStyle="1" w:styleId="76">
    <w:name w:val="样式 目录 1 + 首行缩进:  0.85 厘米1"/>
    <w:basedOn w:val="34"/>
    <w:qFormat/>
    <w:uiPriority w:val="0"/>
    <w:pPr>
      <w:ind w:firstLine="482"/>
      <w:jc w:val="both"/>
    </w:pPr>
    <w:rPr>
      <w:rFonts w:ascii="Calibri" w:hAnsi="Calibri" w:cs="宋体"/>
    </w:rPr>
  </w:style>
  <w:style w:type="paragraph" w:customStyle="1" w:styleId="77">
    <w:name w:val="Char Char1"/>
    <w:basedOn w:val="1"/>
    <w:qFormat/>
    <w:uiPriority w:val="0"/>
    <w:pPr>
      <w:widowControl/>
      <w:spacing w:line="360" w:lineRule="auto"/>
      <w:ind w:firstLine="200" w:firstLineChars="200"/>
    </w:pPr>
    <w:rPr>
      <w:rFonts w:ascii="宋体" w:cs="宋体"/>
      <w:sz w:val="24"/>
      <w:szCs w:val="24"/>
      <w:lang w:eastAsia="en-US" w:bidi="en-US"/>
    </w:rPr>
  </w:style>
  <w:style w:type="paragraph" w:customStyle="1" w:styleId="78">
    <w:name w:val="引用1"/>
    <w:basedOn w:val="1"/>
    <w:next w:val="1"/>
    <w:qFormat/>
    <w:uiPriority w:val="0"/>
    <w:rPr>
      <w:rFonts w:ascii="Times New Roman" w:hAnsi="Times New Roman"/>
      <w:i/>
      <w:iCs/>
      <w:color w:val="000000"/>
      <w:sz w:val="20"/>
      <w:szCs w:val="20"/>
    </w:rPr>
  </w:style>
  <w:style w:type="paragraph" w:customStyle="1" w:styleId="79">
    <w:name w:val="报告正文"/>
    <w:basedOn w:val="1"/>
    <w:qFormat/>
    <w:uiPriority w:val="0"/>
    <w:pPr>
      <w:adjustRightInd w:val="0"/>
      <w:snapToGrid w:val="0"/>
      <w:spacing w:line="360" w:lineRule="auto"/>
      <w:ind w:firstLine="200" w:firstLineChars="200"/>
    </w:pPr>
    <w:rPr>
      <w:rFonts w:ascii="宋体"/>
      <w:sz w:val="24"/>
      <w:szCs w:val="20"/>
    </w:rPr>
  </w:style>
  <w:style w:type="paragraph" w:customStyle="1" w:styleId="80">
    <w:name w:val="明显引用1"/>
    <w:basedOn w:val="1"/>
    <w:next w:val="1"/>
    <w:qFormat/>
    <w:uiPriority w:val="0"/>
    <w:pPr>
      <w:pBdr>
        <w:bottom w:val="single" w:color="4F81BD" w:sz="4" w:space="4"/>
      </w:pBdr>
      <w:spacing w:before="200" w:after="280"/>
      <w:ind w:left="936" w:right="936"/>
    </w:pPr>
    <w:rPr>
      <w:rFonts w:ascii="Times New Roman" w:hAnsi="Times New Roman"/>
      <w:b/>
      <w:bCs/>
      <w:i/>
      <w:iCs/>
      <w:color w:val="4F81BD"/>
      <w:sz w:val="20"/>
      <w:szCs w:val="20"/>
    </w:rPr>
  </w:style>
  <w:style w:type="paragraph" w:customStyle="1" w:styleId="81">
    <w:name w:val="样式 首行缩进:  2 字符"/>
    <w:basedOn w:val="1"/>
    <w:qFormat/>
    <w:uiPriority w:val="0"/>
    <w:pPr>
      <w:autoSpaceDE w:val="0"/>
      <w:autoSpaceDN w:val="0"/>
      <w:adjustRightInd w:val="0"/>
      <w:snapToGrid w:val="0"/>
      <w:spacing w:line="360" w:lineRule="auto"/>
      <w:ind w:firstLine="480"/>
    </w:pPr>
    <w:rPr>
      <w:rFonts w:ascii="Times New Roman" w:hAnsi="Times New Roman"/>
      <w:sz w:val="24"/>
      <w:szCs w:val="24"/>
    </w:rPr>
  </w:style>
  <w:style w:type="paragraph" w:customStyle="1" w:styleId="82">
    <w:name w:val="表格文字"/>
    <w:basedOn w:val="5"/>
    <w:qFormat/>
    <w:uiPriority w:val="0"/>
    <w:pPr>
      <w:spacing w:line="240" w:lineRule="auto"/>
      <w:ind w:firstLine="0" w:firstLineChars="0"/>
      <w:jc w:val="center"/>
    </w:pPr>
    <w:rPr>
      <w:sz w:val="21"/>
    </w:rPr>
  </w:style>
  <w:style w:type="paragraph" w:customStyle="1" w:styleId="83">
    <w:name w:val="魏秀珍报告正文"/>
    <w:basedOn w:val="1"/>
    <w:qFormat/>
    <w:uiPriority w:val="0"/>
    <w:pPr>
      <w:adjustRightInd w:val="0"/>
      <w:snapToGrid w:val="0"/>
      <w:spacing w:line="360" w:lineRule="auto"/>
      <w:ind w:firstLine="200" w:firstLineChars="200"/>
      <w:jc w:val="left"/>
    </w:pPr>
    <w:rPr>
      <w:rFonts w:ascii="Times New Roman" w:hAnsi="Times New Roman"/>
      <w:color w:val="000000"/>
      <w:sz w:val="24"/>
      <w:szCs w:val="20"/>
    </w:rPr>
  </w:style>
  <w:style w:type="paragraph" w:customStyle="1" w:styleId="84">
    <w:name w:val="CJ 文本111"/>
    <w:basedOn w:val="3"/>
    <w:qFormat/>
    <w:uiPriority w:val="0"/>
    <w:pPr>
      <w:spacing w:after="0" w:line="360" w:lineRule="auto"/>
      <w:ind w:left="0" w:leftChars="0" w:firstLine="200" w:firstLineChars="200"/>
      <w:jc w:val="left"/>
    </w:pPr>
    <w:rPr>
      <w:rFonts w:cs="Arial"/>
      <w:szCs w:val="24"/>
    </w:rPr>
  </w:style>
  <w:style w:type="paragraph" w:customStyle="1" w:styleId="85">
    <w:name w:val="正文down"/>
    <w:basedOn w:val="2"/>
    <w:qFormat/>
    <w:uiPriority w:val="0"/>
    <w:pPr>
      <w:spacing w:line="360" w:lineRule="auto"/>
      <w:ind w:left="0" w:leftChars="0"/>
      <w:jc w:val="left"/>
    </w:pPr>
    <w:rPr>
      <w:sz w:val="24"/>
    </w:rPr>
  </w:style>
  <w:style w:type="paragraph" w:customStyle="1" w:styleId="86">
    <w:name w:val="君邦正文"/>
    <w:qFormat/>
    <w:uiPriority w:val="0"/>
    <w:pPr>
      <w:spacing w:after="60" w:line="360" w:lineRule="auto"/>
      <w:ind w:firstLine="200" w:firstLineChars="200"/>
      <w:jc w:val="both"/>
    </w:pPr>
    <w:rPr>
      <w:rFonts w:ascii="Times New Roman" w:hAnsi="Times New Roman" w:eastAsia="宋体" w:cs="Times New Roman"/>
      <w:snapToGrid w:val="0"/>
      <w:sz w:val="24"/>
      <w:lang w:val="en-US" w:eastAsia="zh-CN" w:bidi="ar-SA"/>
    </w:rPr>
  </w:style>
  <w:style w:type="paragraph" w:customStyle="1" w:styleId="87">
    <w:name w:val="表格标题 Char"/>
    <w:basedOn w:val="1"/>
    <w:qFormat/>
    <w:uiPriority w:val="0"/>
    <w:pPr>
      <w:spacing w:before="60" w:line="420" w:lineRule="exact"/>
      <w:jc w:val="center"/>
    </w:pPr>
    <w:rPr>
      <w:rFonts w:ascii="Times New Roman" w:hAnsi="Times New Roman"/>
      <w:sz w:val="24"/>
      <w:szCs w:val="24"/>
    </w:rPr>
  </w:style>
  <w:style w:type="paragraph" w:customStyle="1" w:styleId="88">
    <w:name w:val="表文"/>
    <w:basedOn w:val="1"/>
    <w:qFormat/>
    <w:uiPriority w:val="0"/>
    <w:pPr>
      <w:tabs>
        <w:tab w:val="left" w:pos="1021"/>
      </w:tabs>
      <w:jc w:val="center"/>
    </w:pPr>
    <w:rPr>
      <w:rFonts w:ascii="Times New Roman" w:hAnsi="Times New Roman"/>
      <w:color w:val="000000"/>
      <w:position w:val="-24"/>
      <w:szCs w:val="21"/>
    </w:rPr>
  </w:style>
  <w:style w:type="paragraph" w:customStyle="1" w:styleId="89">
    <w:name w:val="表格1"/>
    <w:basedOn w:val="1"/>
    <w:qFormat/>
    <w:uiPriority w:val="0"/>
    <w:pPr>
      <w:adjustRightInd w:val="0"/>
      <w:spacing w:line="360" w:lineRule="atLeast"/>
      <w:jc w:val="center"/>
      <w:textAlignment w:val="baseline"/>
    </w:pPr>
    <w:rPr>
      <w:rFonts w:ascii="CG Times (WN)" w:hAnsi="CG Times (WN)"/>
      <w:szCs w:val="20"/>
    </w:rPr>
  </w:style>
  <w:style w:type="paragraph" w:customStyle="1" w:styleId="90">
    <w:name w:val="文本"/>
    <w:basedOn w:val="5"/>
    <w:qFormat/>
    <w:uiPriority w:val="0"/>
    <w:rPr>
      <w:szCs w:val="24"/>
    </w:rPr>
  </w:style>
  <w:style w:type="paragraph" w:customStyle="1" w:styleId="91">
    <w:name w:val="表文字"/>
    <w:basedOn w:val="1"/>
    <w:qFormat/>
    <w:uiPriority w:val="0"/>
    <w:pPr>
      <w:overflowPunct w:val="0"/>
      <w:autoSpaceDE w:val="0"/>
      <w:autoSpaceDN w:val="0"/>
      <w:adjustRightInd w:val="0"/>
      <w:spacing w:line="240" w:lineRule="atLeast"/>
      <w:jc w:val="center"/>
      <w:textAlignment w:val="baseline"/>
    </w:pPr>
    <w:rPr>
      <w:rFonts w:ascii="Times New Roman" w:hAnsi="Times New Roman"/>
      <w:sz w:val="24"/>
      <w:szCs w:val="20"/>
    </w:rPr>
  </w:style>
  <w:style w:type="paragraph" w:customStyle="1" w:styleId="92">
    <w:name w:val="Char"/>
    <w:basedOn w:val="1"/>
    <w:qFormat/>
    <w:uiPriority w:val="0"/>
    <w:rPr>
      <w:rFonts w:ascii="Times New Roman" w:hAnsi="Times New Roman"/>
      <w:szCs w:val="24"/>
    </w:rPr>
  </w:style>
  <w:style w:type="paragraph" w:customStyle="1" w:styleId="93">
    <w:name w:val="样式 标题 4 + 左侧:  0 厘米 首行缩进:  0 厘米"/>
    <w:basedOn w:val="8"/>
    <w:qFormat/>
    <w:uiPriority w:val="0"/>
    <w:rPr>
      <w:rFonts w:cs="宋体"/>
      <w:bCs w:val="0"/>
      <w:szCs w:val="20"/>
    </w:rPr>
  </w:style>
  <w:style w:type="paragraph" w:customStyle="1" w:styleId="94">
    <w:name w:val="ST20_1"/>
    <w:basedOn w:val="1"/>
    <w:qFormat/>
    <w:uiPriority w:val="0"/>
    <w:pPr>
      <w:autoSpaceDE w:val="0"/>
      <w:autoSpaceDN w:val="0"/>
      <w:adjustRightInd w:val="0"/>
      <w:spacing w:line="312" w:lineRule="atLeast"/>
      <w:jc w:val="center"/>
      <w:textAlignment w:val="baseline"/>
    </w:pPr>
    <w:rPr>
      <w:rFonts w:ascii="宋体"/>
      <w:kern w:val="0"/>
      <w:sz w:val="24"/>
      <w:szCs w:val="20"/>
    </w:rPr>
  </w:style>
  <w:style w:type="paragraph" w:customStyle="1" w:styleId="95">
    <w:name w:val="表格居中"/>
    <w:basedOn w:val="1"/>
    <w:qFormat/>
    <w:uiPriority w:val="0"/>
    <w:pPr>
      <w:jc w:val="center"/>
    </w:pPr>
    <w:rPr>
      <w:rFonts w:ascii="Times New Roman" w:hAnsi="Times New Roman"/>
      <w:szCs w:val="21"/>
      <w:u w:color="000000"/>
    </w:rPr>
  </w:style>
  <w:style w:type="paragraph" w:customStyle="1" w:styleId="96">
    <w:name w:val="font6"/>
    <w:basedOn w:val="1"/>
    <w:qFormat/>
    <w:uiPriority w:val="0"/>
    <w:pPr>
      <w:widowControl/>
      <w:spacing w:before="100" w:after="100"/>
      <w:jc w:val="left"/>
    </w:pPr>
    <w:rPr>
      <w:rFonts w:eastAsia="Arial Unicode MS"/>
      <w:kern w:val="0"/>
      <w:sz w:val="24"/>
      <w:szCs w:val="20"/>
    </w:rPr>
  </w:style>
  <w:style w:type="paragraph" w:customStyle="1" w:styleId="97">
    <w:name w:val="1文章"/>
    <w:basedOn w:val="1"/>
    <w:qFormat/>
    <w:uiPriority w:val="0"/>
    <w:pPr>
      <w:snapToGrid w:val="0"/>
      <w:spacing w:line="360" w:lineRule="auto"/>
      <w:ind w:firstLine="573"/>
    </w:pPr>
    <w:rPr>
      <w:rFonts w:ascii="Times New Roman" w:hAnsi="Times New Roman" w:eastAsia="仿宋_GB2312"/>
      <w:sz w:val="28"/>
      <w:szCs w:val="20"/>
    </w:rPr>
  </w:style>
  <w:style w:type="paragraph" w:customStyle="1" w:styleId="98">
    <w:name w:val="xl31"/>
    <w:basedOn w:val="1"/>
    <w:qFormat/>
    <w:uiPriority w:val="0"/>
    <w:pPr>
      <w:widowControl/>
      <w:spacing w:after="100"/>
      <w:jc w:val="center"/>
    </w:pPr>
    <w:rPr>
      <w:rFonts w:ascii="Times New Roman" w:hAnsi="Times New Roman"/>
      <w:kern w:val="0"/>
      <w:sz w:val="24"/>
      <w:szCs w:val="20"/>
      <w:lang w:eastAsia="en-US" w:bidi="en-US"/>
    </w:rPr>
  </w:style>
  <w:style w:type="paragraph" w:customStyle="1" w:styleId="99">
    <w:name w:val="Char1 Char Char Char"/>
    <w:basedOn w:val="1"/>
    <w:qFormat/>
    <w:uiPriority w:val="0"/>
    <w:rPr>
      <w:rFonts w:ascii="Times New Roman" w:hAnsi="Times New Roman"/>
      <w:szCs w:val="24"/>
    </w:rPr>
  </w:style>
  <w:style w:type="paragraph" w:customStyle="1" w:styleId="100">
    <w:name w:val="表格内容"/>
    <w:qFormat/>
    <w:uiPriority w:val="0"/>
    <w:pPr>
      <w:jc w:val="center"/>
    </w:pPr>
    <w:rPr>
      <w:rFonts w:ascii="Times New Roman" w:hAnsi="Times New Roman" w:eastAsia="宋体" w:cs="Times New Roman"/>
      <w:sz w:val="21"/>
      <w:lang w:val="en-US" w:eastAsia="zh-CN" w:bidi="ar-SA"/>
    </w:rPr>
  </w:style>
  <w:style w:type="paragraph" w:customStyle="1" w:styleId="101">
    <w:name w:val="文本1"/>
    <w:basedOn w:val="1"/>
    <w:qFormat/>
    <w:uiPriority w:val="0"/>
    <w:pPr>
      <w:adjustRightInd w:val="0"/>
      <w:snapToGrid w:val="0"/>
      <w:spacing w:line="360" w:lineRule="auto"/>
      <w:ind w:firstLine="200" w:firstLineChars="200"/>
    </w:pPr>
    <w:rPr>
      <w:rFonts w:ascii="宋体"/>
      <w:kern w:val="0"/>
      <w:sz w:val="24"/>
      <w:szCs w:val="24"/>
    </w:rPr>
  </w:style>
  <w:style w:type="paragraph" w:customStyle="1" w:styleId="102">
    <w:name w:val="普通(网站)1"/>
    <w:basedOn w:val="1"/>
    <w:qFormat/>
    <w:uiPriority w:val="0"/>
    <w:pPr>
      <w:widowControl/>
      <w:spacing w:before="100" w:beforeAutospacing="1" w:after="100" w:afterAutospacing="1"/>
      <w:jc w:val="left"/>
    </w:pPr>
    <w:rPr>
      <w:rFonts w:ascii="宋体"/>
      <w:sz w:val="24"/>
      <w:szCs w:val="20"/>
    </w:rPr>
  </w:style>
  <w:style w:type="paragraph" w:customStyle="1" w:styleId="103">
    <w:name w:val="16"/>
    <w:basedOn w:val="1"/>
    <w:qFormat/>
    <w:uiPriority w:val="0"/>
    <w:pPr>
      <w:widowControl/>
      <w:snapToGrid w:val="0"/>
      <w:spacing w:before="100" w:beforeAutospacing="1" w:after="100" w:afterAutospacing="1" w:line="360" w:lineRule="auto"/>
      <w:jc w:val="center"/>
    </w:pPr>
    <w:rPr>
      <w:rFonts w:ascii="楷体_GB2312" w:eastAsia="楷体_GB2312" w:cs="宋体"/>
      <w:kern w:val="0"/>
      <w:szCs w:val="21"/>
    </w:rPr>
  </w:style>
  <w:style w:type="paragraph" w:customStyle="1" w:styleId="104">
    <w:name w:val="Body Text 21"/>
    <w:basedOn w:val="1"/>
    <w:qFormat/>
    <w:uiPriority w:val="0"/>
    <w:pPr>
      <w:autoSpaceDE w:val="0"/>
      <w:autoSpaceDN w:val="0"/>
      <w:adjustRightInd w:val="0"/>
      <w:spacing w:line="480" w:lineRule="exact"/>
      <w:ind w:firstLine="540"/>
      <w:textAlignment w:val="baseline"/>
    </w:pPr>
    <w:rPr>
      <w:rFonts w:ascii="宋体"/>
      <w:kern w:val="0"/>
      <w:sz w:val="24"/>
      <w:szCs w:val="20"/>
    </w:rPr>
  </w:style>
  <w:style w:type="paragraph" w:customStyle="1" w:styleId="105">
    <w:name w:val="图文框"/>
    <w:basedOn w:val="1"/>
    <w:qFormat/>
    <w:uiPriority w:val="0"/>
    <w:pPr>
      <w:adjustRightInd w:val="0"/>
      <w:snapToGrid w:val="0"/>
      <w:spacing w:line="240" w:lineRule="atLeast"/>
      <w:jc w:val="center"/>
    </w:pPr>
    <w:rPr>
      <w:rFonts w:ascii="Times New Roman" w:hAnsi="Times New Roman"/>
      <w:sz w:val="18"/>
      <w:szCs w:val="20"/>
    </w:rPr>
  </w:style>
  <w:style w:type="paragraph" w:customStyle="1" w:styleId="106">
    <w:name w:val="0"/>
    <w:basedOn w:val="1"/>
    <w:qFormat/>
    <w:uiPriority w:val="0"/>
    <w:pPr>
      <w:widowControl/>
      <w:snapToGrid w:val="0"/>
    </w:pPr>
    <w:rPr>
      <w:rFonts w:ascii="Times New Roman" w:hAnsi="Times New Roman"/>
      <w:kern w:val="0"/>
      <w:szCs w:val="21"/>
    </w:rPr>
  </w:style>
  <w:style w:type="paragraph" w:customStyle="1" w:styleId="107">
    <w:name w:val="Char1"/>
    <w:basedOn w:val="1"/>
    <w:qFormat/>
    <w:uiPriority w:val="0"/>
    <w:rPr>
      <w:rFonts w:ascii="Times New Roman" w:hAnsi="Times New Roman"/>
      <w:szCs w:val="21"/>
    </w:rPr>
  </w:style>
  <w:style w:type="paragraph" w:customStyle="1" w:styleId="108">
    <w:name w:val="body"/>
    <w:basedOn w:val="1"/>
    <w:qFormat/>
    <w:uiPriority w:val="0"/>
    <w:pPr>
      <w:spacing w:line="360" w:lineRule="auto"/>
      <w:ind w:firstLine="200" w:firstLineChars="200"/>
    </w:pPr>
    <w:rPr>
      <w:rFonts w:ascii="宋体"/>
      <w:sz w:val="24"/>
      <w:szCs w:val="20"/>
    </w:rPr>
  </w:style>
  <w:style w:type="paragraph" w:customStyle="1" w:styleId="109">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110">
    <w:name w:val="标题 31"/>
    <w:qFormat/>
    <w:uiPriority w:val="0"/>
    <w:pPr>
      <w:keepNext/>
      <w:keepLines/>
      <w:spacing w:before="260" w:after="260" w:line="413" w:lineRule="auto"/>
      <w:ind w:firstLine="200" w:firstLineChars="200"/>
      <w:outlineLvl w:val="2"/>
    </w:pPr>
    <w:rPr>
      <w:rFonts w:ascii="Times New Roman" w:hAnsi="Times New Roman" w:eastAsia="宋体" w:cs="Times New Roman"/>
      <w:b/>
      <w:sz w:val="32"/>
      <w:lang w:val="en-US" w:eastAsia="zh-CN" w:bidi="ar-SA"/>
    </w:rPr>
  </w:style>
  <w:style w:type="paragraph" w:customStyle="1" w:styleId="111">
    <w:name w:val="表格11"/>
    <w:basedOn w:val="1"/>
    <w:next w:val="89"/>
    <w:qFormat/>
    <w:uiPriority w:val="0"/>
    <w:pPr>
      <w:adjustRightInd w:val="0"/>
      <w:snapToGrid w:val="0"/>
      <w:spacing w:before="50" w:beforeLines="50"/>
      <w:jc w:val="center"/>
      <w:textAlignment w:val="baseline"/>
    </w:pPr>
    <w:rPr>
      <w:rFonts w:ascii="宋体"/>
      <w:bCs/>
      <w:color w:val="000000"/>
      <w:kern w:val="0"/>
      <w:sz w:val="24"/>
      <w:szCs w:val="24"/>
      <w:lang w:val="zh-CN"/>
    </w:rPr>
  </w:style>
  <w:style w:type="paragraph" w:customStyle="1" w:styleId="112">
    <w:name w:val="报告书正文"/>
    <w:basedOn w:val="1"/>
    <w:qFormat/>
    <w:uiPriority w:val="0"/>
    <w:pPr>
      <w:adjustRightInd w:val="0"/>
      <w:snapToGrid w:val="0"/>
      <w:spacing w:line="360" w:lineRule="auto"/>
      <w:ind w:firstLine="425"/>
      <w:textAlignment w:val="baseline"/>
    </w:pPr>
    <w:rPr>
      <w:rFonts w:ascii="Arial" w:hAnsi="Arial"/>
      <w:kern w:val="0"/>
      <w:sz w:val="24"/>
      <w:szCs w:val="24"/>
    </w:rPr>
  </w:style>
  <w:style w:type="paragraph" w:customStyle="1" w:styleId="113">
    <w:name w:val="amgfeg"/>
    <w:basedOn w:val="1"/>
    <w:qFormat/>
    <w:uiPriority w:val="0"/>
    <w:pPr>
      <w:widowControl/>
      <w:spacing w:before="100" w:beforeAutospacing="1" w:after="100" w:afterAutospacing="1"/>
      <w:jc w:val="left"/>
    </w:pPr>
    <w:rPr>
      <w:rFonts w:ascii="宋体" w:cs="宋体"/>
      <w:kern w:val="0"/>
      <w:sz w:val="24"/>
      <w:szCs w:val="24"/>
    </w:rPr>
  </w:style>
  <w:style w:type="paragraph" w:customStyle="1" w:styleId="114">
    <w:name w:val="p0"/>
    <w:basedOn w:val="1"/>
    <w:qFormat/>
    <w:uiPriority w:val="0"/>
    <w:pPr>
      <w:widowControl/>
    </w:pPr>
    <w:rPr>
      <w:rFonts w:ascii="Times New Roman" w:hAnsi="Times New Roman"/>
      <w:kern w:val="0"/>
      <w:szCs w:val="21"/>
    </w:rPr>
  </w:style>
  <w:style w:type="paragraph" w:customStyle="1" w:styleId="115">
    <w:name w:val="列出段落1"/>
    <w:basedOn w:val="1"/>
    <w:qFormat/>
    <w:uiPriority w:val="0"/>
    <w:pPr>
      <w:ind w:firstLine="200" w:firstLineChars="200"/>
    </w:pPr>
    <w:rPr>
      <w:rFonts w:ascii="Times New Roman" w:hAnsi="Times New Roman"/>
      <w:sz w:val="20"/>
      <w:szCs w:val="20"/>
    </w:rPr>
  </w:style>
  <w:style w:type="paragraph" w:customStyle="1" w:styleId="116">
    <w:name w:val="默认段落字体 Para Char Char Char Char Char Char Char Char Char Char Char Char Char1 Char"/>
    <w:basedOn w:val="19"/>
    <w:qFormat/>
    <w:uiPriority w:val="0"/>
    <w:pPr>
      <w:shd w:val="clear" w:color="auto" w:fill="000080"/>
    </w:pPr>
    <w:rPr>
      <w:rFonts w:ascii="Times New Roman" w:hAnsi="Times New Roman"/>
      <w:bCs/>
      <w:sz w:val="24"/>
      <w:szCs w:val="24"/>
    </w:rPr>
  </w:style>
  <w:style w:type="paragraph" w:customStyle="1" w:styleId="117">
    <w:name w:val="15"/>
    <w:basedOn w:val="1"/>
    <w:qFormat/>
    <w:uiPriority w:val="0"/>
    <w:pPr>
      <w:widowControl/>
      <w:snapToGrid w:val="0"/>
      <w:spacing w:before="100" w:beforeAutospacing="1" w:after="100" w:afterAutospacing="1"/>
    </w:pPr>
    <w:rPr>
      <w:rFonts w:ascii="Times New Roman" w:hAnsi="Times New Roman"/>
      <w:kern w:val="0"/>
      <w:szCs w:val="21"/>
    </w:rPr>
  </w:style>
  <w:style w:type="paragraph" w:customStyle="1" w:styleId="118">
    <w:name w:val="无间隔1"/>
    <w:qFormat/>
    <w:uiPriority w:val="0"/>
    <w:pPr>
      <w:widowControl w:val="0"/>
      <w:jc w:val="both"/>
    </w:pPr>
    <w:rPr>
      <w:rFonts w:ascii="Times New Roman" w:hAnsi="Times New Roman" w:eastAsia="宋体" w:cs="Times New Roman"/>
      <w:kern w:val="2"/>
      <w:lang w:val="en-US" w:eastAsia="zh-CN" w:bidi="ar-SA"/>
    </w:rPr>
  </w:style>
  <w:style w:type="paragraph" w:customStyle="1" w:styleId="119">
    <w:name w:val="标题3 Char Char Char Char"/>
    <w:basedOn w:val="1"/>
    <w:qFormat/>
    <w:uiPriority w:val="0"/>
    <w:pPr>
      <w:spacing w:after="50" w:afterLines="50" w:line="560" w:lineRule="exact"/>
    </w:pPr>
    <w:rPr>
      <w:rFonts w:ascii="Times New Roman" w:hAnsi="Times New Roman" w:eastAsia="黑体"/>
      <w:sz w:val="30"/>
      <w:szCs w:val="30"/>
    </w:rPr>
  </w:style>
  <w:style w:type="paragraph" w:customStyle="1" w:styleId="120">
    <w:name w:val="表格正文"/>
    <w:basedOn w:val="1"/>
    <w:qFormat/>
    <w:uiPriority w:val="0"/>
    <w:pPr>
      <w:spacing w:line="360" w:lineRule="exact"/>
      <w:jc w:val="center"/>
    </w:pPr>
    <w:rPr>
      <w:rFonts w:ascii="Times New Roman" w:hAnsi="Times New Roman"/>
      <w:szCs w:val="20"/>
    </w:rPr>
  </w:style>
  <w:style w:type="paragraph" w:customStyle="1" w:styleId="121">
    <w:name w:val="中气正文"/>
    <w:basedOn w:val="1"/>
    <w:qFormat/>
    <w:uiPriority w:val="0"/>
    <w:pPr>
      <w:spacing w:line="360" w:lineRule="auto"/>
      <w:ind w:firstLine="200" w:firstLineChars="200"/>
    </w:pPr>
    <w:rPr>
      <w:rFonts w:ascii="Times New Roman" w:hAnsi="Times New Roman"/>
      <w:sz w:val="24"/>
      <w:szCs w:val="24"/>
    </w:rPr>
  </w:style>
  <w:style w:type="paragraph" w:customStyle="1" w:styleId="122">
    <w:name w:val="样式 标题 2 + Times New Roman 小四 两端对齐"/>
    <w:basedOn w:val="6"/>
    <w:qFormat/>
    <w:uiPriority w:val="0"/>
    <w:pPr>
      <w:adjustRightInd/>
      <w:snapToGrid/>
      <w:spacing w:before="0" w:after="0"/>
    </w:pPr>
    <w:rPr>
      <w:rFonts w:cs="宋体"/>
      <w:b w:val="0"/>
      <w:bCs w:val="0"/>
      <w:sz w:val="24"/>
      <w:szCs w:val="20"/>
    </w:rPr>
  </w:style>
  <w:style w:type="paragraph" w:customStyle="1" w:styleId="123">
    <w:name w:val="样式 标题 1 + (中文) 宋体 小三 行距: 多倍行距 1.35 字行"/>
    <w:basedOn w:val="4"/>
    <w:qFormat/>
    <w:uiPriority w:val="0"/>
    <w:pPr>
      <w:tabs>
        <w:tab w:val="clear" w:pos="0"/>
        <w:tab w:val="clear" w:pos="420"/>
      </w:tabs>
      <w:adjustRightInd/>
      <w:spacing w:before="50" w:beforeLines="50" w:after="50" w:afterLines="50" w:line="300" w:lineRule="auto"/>
      <w:ind w:left="0" w:firstLine="540"/>
      <w:jc w:val="both"/>
      <w:outlineLvl w:val="9"/>
    </w:pPr>
    <w:rPr>
      <w:rFonts w:ascii="仿宋_GB2312" w:eastAsia="仿宋_GB2312" w:cs="仿宋_GB2312"/>
      <w:b w:val="0"/>
      <w:bCs w:val="0"/>
      <w:sz w:val="24"/>
      <w:szCs w:val="24"/>
    </w:rPr>
  </w:style>
  <w:style w:type="paragraph" w:customStyle="1" w:styleId="124">
    <w:name w:val="xl40"/>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Arial Unicode MS" w:eastAsia="Arial Unicode MS"/>
      <w:kern w:val="0"/>
      <w:sz w:val="24"/>
      <w:szCs w:val="21"/>
    </w:rPr>
  </w:style>
  <w:style w:type="paragraph" w:customStyle="1" w:styleId="125">
    <w:name w:val="表格表头"/>
    <w:basedOn w:val="1"/>
    <w:qFormat/>
    <w:uiPriority w:val="0"/>
    <w:pPr>
      <w:snapToGrid w:val="0"/>
      <w:spacing w:line="360" w:lineRule="auto"/>
      <w:jc w:val="center"/>
    </w:pPr>
    <w:rPr>
      <w:rFonts w:ascii="Times New Roman" w:hAnsi="Times New Roman"/>
      <w:b/>
      <w:sz w:val="24"/>
      <w:szCs w:val="21"/>
    </w:rPr>
  </w:style>
  <w:style w:type="paragraph" w:customStyle="1" w:styleId="126">
    <w:name w:val="Char Char Char Char Char Char1 Char"/>
    <w:basedOn w:val="1"/>
    <w:qFormat/>
    <w:uiPriority w:val="0"/>
    <w:pPr>
      <w:spacing w:line="360" w:lineRule="auto"/>
    </w:pPr>
    <w:rPr>
      <w:rFonts w:ascii="Times New Roman" w:hAnsi="Times New Roman"/>
      <w:sz w:val="24"/>
      <w:szCs w:val="24"/>
    </w:rPr>
  </w:style>
  <w:style w:type="paragraph" w:customStyle="1" w:styleId="127">
    <w:name w:val="样式 题注 + 首行缩进:  2 字符"/>
    <w:basedOn w:val="18"/>
    <w:qFormat/>
    <w:uiPriority w:val="0"/>
    <w:pPr>
      <w:adjustRightInd/>
      <w:snapToGrid/>
      <w:spacing w:line="324" w:lineRule="auto"/>
      <w:jc w:val="both"/>
    </w:pPr>
    <w:rPr>
      <w:rFonts w:ascii="Arial" w:hAnsi="Arial" w:eastAsia="黑体"/>
      <w:b w:val="0"/>
      <w:color w:val="000000"/>
      <w:sz w:val="20"/>
    </w:rPr>
  </w:style>
  <w:style w:type="paragraph" w:customStyle="1" w:styleId="128">
    <w:name w:val="Char Char Char Char Char Char Char"/>
    <w:basedOn w:val="1"/>
    <w:next w:val="1"/>
    <w:qFormat/>
    <w:uiPriority w:val="0"/>
    <w:pPr>
      <w:spacing w:line="360" w:lineRule="auto"/>
      <w:ind w:firstLine="200" w:firstLineChars="200"/>
    </w:pPr>
    <w:rPr>
      <w:rFonts w:ascii="Times New Roman" w:hAnsi="Times New Roman"/>
      <w:szCs w:val="20"/>
    </w:rPr>
  </w:style>
  <w:style w:type="paragraph" w:customStyle="1" w:styleId="129">
    <w:name w:val="样式 目录 1 + 首行缩进:  0.85 厘米"/>
    <w:basedOn w:val="34"/>
    <w:qFormat/>
    <w:uiPriority w:val="0"/>
    <w:pPr>
      <w:adjustRightInd w:val="0"/>
      <w:snapToGrid w:val="0"/>
    </w:pPr>
    <w:rPr>
      <w:rFonts w:ascii="Calibri" w:hAnsi="Calibri" w:cs="宋体"/>
    </w:rPr>
  </w:style>
  <w:style w:type="paragraph" w:customStyle="1" w:styleId="130">
    <w:name w:val="样式 正文首行缩进 + 行距: 1.5 倍行距"/>
    <w:basedOn w:val="5"/>
    <w:qFormat/>
    <w:uiPriority w:val="0"/>
    <w:pPr>
      <w:adjustRightInd/>
      <w:snapToGrid/>
      <w:ind w:firstLine="500" w:firstLineChars="500"/>
    </w:pPr>
    <w:rPr>
      <w:rFonts w:cs="宋体"/>
      <w:bCs/>
      <w:kern w:val="0"/>
      <w:sz w:val="26"/>
      <w:szCs w:val="26"/>
    </w:rPr>
  </w:style>
  <w:style w:type="paragraph" w:customStyle="1" w:styleId="131">
    <w:name w:val="魏秀珍标题4"/>
    <w:basedOn w:val="8"/>
    <w:qFormat/>
    <w:uiPriority w:val="0"/>
    <w:pPr>
      <w:spacing w:before="120" w:after="120"/>
    </w:pPr>
    <w:rPr>
      <w:rFonts w:ascii="宋体"/>
      <w:color w:val="000000"/>
      <w:szCs w:val="24"/>
    </w:rPr>
  </w:style>
  <w:style w:type="paragraph" w:customStyle="1" w:styleId="132">
    <w:name w:val="WPS Plain"/>
    <w:qFormat/>
    <w:uiPriority w:val="0"/>
    <w:rPr>
      <w:rFonts w:ascii="Times New Roman" w:hAnsi="Times New Roman" w:eastAsia="宋体" w:cs="Times New Roman"/>
      <w:sz w:val="24"/>
      <w:szCs w:val="24"/>
      <w:lang w:val="en-US" w:eastAsia="zh-CN" w:bidi="ar-SA"/>
    </w:rPr>
  </w:style>
  <w:style w:type="paragraph" w:customStyle="1" w:styleId="133">
    <w:name w:val="Char Char Char Char"/>
    <w:basedOn w:val="1"/>
    <w:qFormat/>
    <w:uiPriority w:val="0"/>
    <w:pPr>
      <w:spacing w:line="360" w:lineRule="auto"/>
      <w:ind w:firstLine="200" w:firstLineChars="200"/>
    </w:pPr>
    <w:rPr>
      <w:rFonts w:ascii="宋体" w:cs="宋体"/>
      <w:sz w:val="24"/>
      <w:szCs w:val="24"/>
    </w:rPr>
  </w:style>
  <w:style w:type="paragraph" w:customStyle="1" w:styleId="134">
    <w:name w:val="正文(首行缩进2字)"/>
    <w:basedOn w:val="1"/>
    <w:next w:val="1"/>
    <w:qFormat/>
    <w:uiPriority w:val="0"/>
    <w:pPr>
      <w:adjustRightInd w:val="0"/>
      <w:spacing w:line="360" w:lineRule="auto"/>
      <w:ind w:firstLine="200" w:firstLineChars="200"/>
      <w:jc w:val="center"/>
      <w:textAlignment w:val="baseline"/>
    </w:pPr>
    <w:rPr>
      <w:rFonts w:ascii="Times New Roman" w:hAnsi="Times New Roman"/>
      <w:kern w:val="0"/>
      <w:sz w:val="24"/>
      <w:szCs w:val="20"/>
    </w:rPr>
  </w:style>
  <w:style w:type="paragraph" w:customStyle="1" w:styleId="135">
    <w:name w:val="表标题"/>
    <w:basedOn w:val="1"/>
    <w:qFormat/>
    <w:uiPriority w:val="0"/>
    <w:pPr>
      <w:autoSpaceDE w:val="0"/>
      <w:autoSpaceDN w:val="0"/>
      <w:adjustRightInd w:val="0"/>
      <w:snapToGrid w:val="0"/>
      <w:spacing w:before="50" w:beforeLines="50"/>
      <w:jc w:val="center"/>
    </w:pPr>
    <w:rPr>
      <w:rFonts w:ascii="Times New Roman" w:hAnsi="Times New Roman"/>
      <w:b/>
      <w:bCs/>
      <w:color w:val="000000"/>
      <w:sz w:val="24"/>
      <w:szCs w:val="24"/>
    </w:rPr>
  </w:style>
  <w:style w:type="paragraph" w:customStyle="1" w:styleId="136">
    <w:name w:val="表内格式"/>
    <w:basedOn w:val="1"/>
    <w:qFormat/>
    <w:uiPriority w:val="0"/>
    <w:pPr>
      <w:jc w:val="center"/>
    </w:pPr>
    <w:rPr>
      <w:rFonts w:ascii="Times New Roman" w:hAnsi="Times New Roman"/>
      <w:sz w:val="18"/>
      <w:szCs w:val="20"/>
    </w:rPr>
  </w:style>
  <w:style w:type="paragraph" w:customStyle="1" w:styleId="137">
    <w:name w:val="表内"/>
    <w:qFormat/>
    <w:uiPriority w:val="0"/>
    <w:pPr>
      <w:adjustRightInd w:val="0"/>
      <w:snapToGrid w:val="0"/>
      <w:ind w:left="-50" w:leftChars="-50" w:right="-50" w:rightChars="-50"/>
      <w:jc w:val="center"/>
    </w:pPr>
    <w:rPr>
      <w:rFonts w:ascii="Times New Roman" w:hAnsi="Times New Roman" w:eastAsia="宋体" w:cs="Times New Roman"/>
      <w:sz w:val="21"/>
      <w:lang w:val="en-US" w:eastAsia="zh-CN" w:bidi="ar-SA"/>
    </w:rPr>
  </w:style>
  <w:style w:type="paragraph" w:customStyle="1" w:styleId="138">
    <w:name w:val="Char Char Char Char1"/>
    <w:basedOn w:val="1"/>
    <w:qFormat/>
    <w:uiPriority w:val="0"/>
    <w:rPr>
      <w:rFonts w:ascii="Times New Roman" w:hAnsi="Times New Roman"/>
      <w:sz w:val="24"/>
      <w:szCs w:val="24"/>
    </w:rPr>
  </w:style>
  <w:style w:type="paragraph" w:customStyle="1" w:styleId="139">
    <w:name w:val="标题 21"/>
    <w:basedOn w:val="1"/>
    <w:next w:val="1"/>
    <w:qFormat/>
    <w:uiPriority w:val="0"/>
    <w:pPr>
      <w:keepNext/>
      <w:keepLines/>
      <w:snapToGrid w:val="0"/>
      <w:spacing w:line="360" w:lineRule="auto"/>
      <w:ind w:left="576" w:hanging="576"/>
      <w:outlineLvl w:val="1"/>
    </w:pPr>
    <w:rPr>
      <w:rFonts w:ascii="Times New Roman" w:hAnsi="Times New Roman" w:eastAsia="黑体"/>
      <w:sz w:val="28"/>
      <w:szCs w:val="20"/>
    </w:rPr>
  </w:style>
  <w:style w:type="paragraph" w:customStyle="1" w:styleId="140">
    <w:name w:val="样式 表格 32 + 首行缩进:  2 字符"/>
    <w:basedOn w:val="1"/>
    <w:qFormat/>
    <w:uiPriority w:val="0"/>
    <w:pPr>
      <w:autoSpaceDE w:val="0"/>
      <w:autoSpaceDN w:val="0"/>
      <w:spacing w:line="0" w:lineRule="atLeast"/>
      <w:jc w:val="center"/>
    </w:pPr>
    <w:rPr>
      <w:rFonts w:ascii="Times New Roman" w:hAnsi="Times New Roman" w:cs="宋体"/>
      <w:szCs w:val="21"/>
    </w:rPr>
  </w:style>
  <w:style w:type="paragraph" w:customStyle="1" w:styleId="141">
    <w:name w:val="标题 41"/>
    <w:basedOn w:val="1"/>
    <w:qFormat/>
    <w:uiPriority w:val="0"/>
    <w:pPr>
      <w:tabs>
        <w:tab w:val="left" w:pos="454"/>
        <w:tab w:val="left" w:pos="848"/>
      </w:tabs>
      <w:spacing w:line="360" w:lineRule="auto"/>
      <w:ind w:left="848" w:hanging="748"/>
    </w:pPr>
    <w:rPr>
      <w:rFonts w:ascii="Times New Roman" w:hAnsi="Times New Roman"/>
      <w:sz w:val="24"/>
      <w:szCs w:val="24"/>
    </w:rPr>
  </w:style>
  <w:style w:type="paragraph" w:customStyle="1" w:styleId="142">
    <w:name w:val="缩进"/>
    <w:basedOn w:val="1"/>
    <w:qFormat/>
    <w:uiPriority w:val="0"/>
    <w:pPr>
      <w:autoSpaceDE w:val="0"/>
      <w:autoSpaceDN w:val="0"/>
      <w:adjustRightInd w:val="0"/>
      <w:spacing w:line="400" w:lineRule="atLeast"/>
      <w:ind w:firstLine="425"/>
      <w:textAlignment w:val="baseline"/>
    </w:pPr>
    <w:rPr>
      <w:rFonts w:ascii="Times New Roman" w:hAnsi="Times New Roman"/>
      <w:kern w:val="0"/>
      <w:sz w:val="24"/>
      <w:szCs w:val="20"/>
    </w:rPr>
  </w:style>
  <w:style w:type="paragraph" w:customStyle="1" w:styleId="143">
    <w:name w:val="Char Char Char Char Char Char Char Char"/>
    <w:basedOn w:val="1"/>
    <w:qFormat/>
    <w:uiPriority w:val="0"/>
    <w:rPr>
      <w:rFonts w:ascii="Times New Roman" w:hAnsi="Times New Roman"/>
      <w:sz w:val="24"/>
      <w:szCs w:val="24"/>
    </w:rPr>
  </w:style>
  <w:style w:type="paragraph" w:customStyle="1" w:styleId="144">
    <w:name w:val="Char1 Char Char Char Char Char Char Char Char1 Char Char Char Char Char Char Char"/>
    <w:basedOn w:val="1"/>
    <w:qFormat/>
    <w:uiPriority w:val="0"/>
    <w:pPr>
      <w:snapToGrid w:val="0"/>
      <w:spacing w:line="360" w:lineRule="auto"/>
      <w:ind w:firstLine="200" w:firstLineChars="200"/>
    </w:pPr>
    <w:rPr>
      <w:rFonts w:ascii="Times New Roman" w:hAnsi="Times New Roman"/>
      <w:szCs w:val="20"/>
    </w:rPr>
  </w:style>
  <w:style w:type="paragraph" w:customStyle="1" w:styleId="145">
    <w:name w:val="表字居中"/>
    <w:basedOn w:val="1"/>
    <w:qFormat/>
    <w:uiPriority w:val="0"/>
    <w:pPr>
      <w:jc w:val="center"/>
    </w:pPr>
    <w:rPr>
      <w:rFonts w:ascii="Times New Roman" w:hAnsi="Times New Roman"/>
      <w:szCs w:val="24"/>
    </w:rPr>
  </w:style>
  <w:style w:type="paragraph" w:customStyle="1" w:styleId="146">
    <w:name w:val="Char Char Char Char Char Char3 Char Char Char Char Char Char Char"/>
    <w:basedOn w:val="1"/>
    <w:next w:val="1"/>
    <w:qFormat/>
    <w:uiPriority w:val="0"/>
    <w:rPr>
      <w:rFonts w:ascii="Times New Roman" w:hAnsi="Times New Roman"/>
      <w:szCs w:val="24"/>
    </w:rPr>
  </w:style>
  <w:style w:type="paragraph" w:customStyle="1" w:styleId="147">
    <w:name w:val="样式 列表 2 + 华文仿宋 居中"/>
    <w:basedOn w:val="24"/>
    <w:qFormat/>
    <w:uiPriority w:val="0"/>
    <w:pPr>
      <w:ind w:left="0" w:leftChars="0" w:firstLine="0" w:firstLineChars="0"/>
      <w:jc w:val="center"/>
    </w:pPr>
    <w:rPr>
      <w:color w:val="FF0000"/>
      <w:sz w:val="21"/>
      <w:szCs w:val="21"/>
    </w:rPr>
  </w:style>
  <w:style w:type="paragraph" w:customStyle="1" w:styleId="148">
    <w:name w:val="Char Char1 Char Char Char Char Char Char Char Char Char Char Char Char Char Char Char Char Char Char Char Char1 Char"/>
    <w:basedOn w:val="1"/>
    <w:qFormat/>
    <w:uiPriority w:val="0"/>
    <w:pPr>
      <w:spacing w:line="360" w:lineRule="auto"/>
      <w:ind w:firstLine="200" w:firstLineChars="200"/>
    </w:pPr>
    <w:rPr>
      <w:rFonts w:ascii="宋体" w:cs="宋体"/>
      <w:sz w:val="24"/>
      <w:szCs w:val="24"/>
    </w:rPr>
  </w:style>
  <w:style w:type="paragraph" w:customStyle="1" w:styleId="149">
    <w:name w:val="Char2"/>
    <w:basedOn w:val="1"/>
    <w:qFormat/>
    <w:uiPriority w:val="0"/>
    <w:rPr>
      <w:rFonts w:ascii="Times New Roman" w:hAnsi="Times New Roman"/>
      <w:szCs w:val="20"/>
    </w:rPr>
  </w:style>
  <w:style w:type="paragraph" w:customStyle="1" w:styleId="150">
    <w:name w:val="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1">
    <w:name w:val="表1表2"/>
    <w:basedOn w:val="1"/>
    <w:qFormat/>
    <w:uiPriority w:val="0"/>
    <w:pPr>
      <w:autoSpaceDE w:val="0"/>
      <w:autoSpaceDN w:val="0"/>
      <w:adjustRightInd w:val="0"/>
      <w:spacing w:line="360" w:lineRule="auto"/>
      <w:jc w:val="center"/>
      <w:textAlignment w:val="center"/>
    </w:pPr>
    <w:rPr>
      <w:rFonts w:ascii="Times New Roman" w:hAnsi="Times New Roman" w:eastAsia="仿宋_GB2312"/>
      <w:kern w:val="0"/>
      <w:sz w:val="24"/>
      <w:szCs w:val="21"/>
    </w:rPr>
  </w:style>
  <w:style w:type="paragraph" w:customStyle="1" w:styleId="152">
    <w:name w:val="报告书表格"/>
    <w:basedOn w:val="1"/>
    <w:qFormat/>
    <w:uiPriority w:val="0"/>
    <w:pPr>
      <w:adjustRightInd w:val="0"/>
      <w:spacing w:before="60" w:after="60" w:line="240" w:lineRule="atLeast"/>
      <w:jc w:val="center"/>
      <w:textAlignment w:val="baseline"/>
    </w:pPr>
    <w:rPr>
      <w:rFonts w:ascii="Times New Roman" w:hAnsi="Times New Roman"/>
      <w:kern w:val="0"/>
      <w:szCs w:val="20"/>
    </w:rPr>
  </w:style>
  <w:style w:type="paragraph" w:customStyle="1" w:styleId="153">
    <w:name w:val="中文报告书样式"/>
    <w:basedOn w:val="1"/>
    <w:qFormat/>
    <w:uiPriority w:val="0"/>
    <w:pPr>
      <w:adjustRightInd w:val="0"/>
      <w:spacing w:line="480" w:lineRule="atLeast"/>
      <w:ind w:firstLine="482"/>
      <w:textAlignment w:val="baseline"/>
    </w:pPr>
    <w:rPr>
      <w:rFonts w:ascii="Times New Roman" w:hAnsi="Times New Roman"/>
      <w:kern w:val="24"/>
      <w:sz w:val="24"/>
      <w:szCs w:val="20"/>
    </w:rPr>
  </w:style>
  <w:style w:type="paragraph" w:customStyle="1" w:styleId="154">
    <w:name w:val="表格内文字"/>
    <w:basedOn w:val="1"/>
    <w:qFormat/>
    <w:uiPriority w:val="0"/>
    <w:pPr>
      <w:tabs>
        <w:tab w:val="left" w:pos="0"/>
      </w:tabs>
      <w:adjustRightInd w:val="0"/>
      <w:snapToGrid w:val="0"/>
      <w:jc w:val="center"/>
    </w:pPr>
    <w:rPr>
      <w:rFonts w:ascii="Times New Roman" w:hAnsi="Times New Roman" w:eastAsia="仿宋_GB2312"/>
      <w:sz w:val="24"/>
      <w:szCs w:val="24"/>
    </w:rPr>
  </w:style>
  <w:style w:type="paragraph" w:customStyle="1" w:styleId="155">
    <w:name w:val="样式 正文文本缩进 2正文文字缩进 2 + 小四 左侧:  0 厘米 段后: 0 磅 行距: 1.5 倍行距"/>
    <w:basedOn w:val="30"/>
    <w:qFormat/>
    <w:uiPriority w:val="0"/>
    <w:pPr>
      <w:spacing w:after="0" w:line="360" w:lineRule="auto"/>
      <w:ind w:left="0" w:leftChars="0" w:firstLine="200" w:firstLineChars="200"/>
    </w:pPr>
    <w:rPr>
      <w:rFonts w:cs="宋体"/>
      <w:sz w:val="24"/>
    </w:rPr>
  </w:style>
  <w:style w:type="paragraph" w:customStyle="1" w:styleId="156">
    <w:name w:val="标题1"/>
    <w:basedOn w:val="1"/>
    <w:next w:val="1"/>
    <w:qFormat/>
    <w:uiPriority w:val="0"/>
    <w:pPr>
      <w:widowControl/>
      <w:numPr>
        <w:ilvl w:val="0"/>
        <w:numId w:val="2"/>
      </w:numPr>
      <w:spacing w:before="50" w:beforeLines="50" w:after="50" w:afterLines="50" w:line="360" w:lineRule="auto"/>
      <w:ind w:left="0"/>
      <w:jc w:val="center"/>
      <w:outlineLvl w:val="0"/>
    </w:pPr>
    <w:rPr>
      <w:rFonts w:ascii="宋体" w:hAnsi="宋体" w:eastAsia="黑体" w:cs="宋体"/>
      <w:kern w:val="0"/>
      <w:sz w:val="32"/>
      <w:szCs w:val="32"/>
      <w:lang w:val="zh-CN"/>
    </w:rPr>
  </w:style>
  <w:style w:type="paragraph" w:customStyle="1" w:styleId="157">
    <w:name w:val="标题四"/>
    <w:basedOn w:val="1"/>
    <w:qFormat/>
    <w:uiPriority w:val="0"/>
    <w:pPr>
      <w:widowControl/>
      <w:numPr>
        <w:ilvl w:val="3"/>
        <w:numId w:val="2"/>
      </w:numPr>
      <w:jc w:val="left"/>
    </w:pPr>
    <w:rPr>
      <w:rFonts w:ascii="宋体" w:cs="宋体"/>
      <w:kern w:val="0"/>
      <w:sz w:val="24"/>
      <w:szCs w:val="24"/>
    </w:rPr>
  </w:style>
  <w:style w:type="paragraph" w:customStyle="1" w:styleId="158">
    <w:name w:val="标题三"/>
    <w:basedOn w:val="1"/>
    <w:qFormat/>
    <w:uiPriority w:val="0"/>
    <w:pPr>
      <w:widowControl/>
      <w:jc w:val="left"/>
    </w:pPr>
    <w:rPr>
      <w:rFonts w:ascii="宋体" w:cs="宋体"/>
      <w:kern w:val="0"/>
      <w:sz w:val="24"/>
      <w:szCs w:val="24"/>
    </w:rPr>
  </w:style>
  <w:style w:type="paragraph" w:customStyle="1" w:styleId="159">
    <w:name w:val="样式 四号 首行缩进:  2 字符"/>
    <w:basedOn w:val="1"/>
    <w:qFormat/>
    <w:uiPriority w:val="0"/>
    <w:pPr>
      <w:spacing w:line="480" w:lineRule="atLeast"/>
      <w:ind w:firstLine="200" w:firstLineChars="200"/>
    </w:pPr>
    <w:rPr>
      <w:rFonts w:ascii="Times New Roman" w:hAnsi="Times New Roman"/>
      <w:sz w:val="24"/>
      <w:szCs w:val="20"/>
    </w:rPr>
  </w:style>
  <w:style w:type="paragraph" w:customStyle="1" w:styleId="160">
    <w:name w:val="h"/>
    <w:basedOn w:val="1"/>
    <w:next w:val="17"/>
    <w:qFormat/>
    <w:uiPriority w:val="0"/>
    <w:pPr>
      <w:keepNext/>
      <w:keepLines/>
      <w:spacing w:before="260" w:after="260" w:line="415" w:lineRule="auto"/>
      <w:ind w:firstLine="567"/>
    </w:pPr>
    <w:rPr>
      <w:rFonts w:ascii="Arial" w:hAnsi="Arial" w:eastAsia="黑体" w:cs="Arial"/>
      <w:sz w:val="30"/>
      <w:szCs w:val="30"/>
    </w:rPr>
  </w:style>
  <w:style w:type="paragraph" w:customStyle="1" w:styleId="161">
    <w:name w:val="正文2"/>
    <w:basedOn w:val="1"/>
    <w:qFormat/>
    <w:uiPriority w:val="0"/>
    <w:pPr>
      <w:spacing w:line="360" w:lineRule="auto"/>
      <w:ind w:firstLine="200" w:firstLineChars="200"/>
    </w:pPr>
    <w:rPr>
      <w:rFonts w:ascii="宋体"/>
      <w:sz w:val="24"/>
      <w:szCs w:val="20"/>
    </w:rPr>
  </w:style>
  <w:style w:type="paragraph" w:customStyle="1" w:styleId="162">
    <w:name w:val="样式 行距: 1.5 倍行距 首行缩进:  2.5 字符"/>
    <w:basedOn w:val="1"/>
    <w:qFormat/>
    <w:uiPriority w:val="0"/>
    <w:pPr>
      <w:adjustRightInd w:val="0"/>
      <w:snapToGrid w:val="0"/>
      <w:spacing w:line="360" w:lineRule="auto"/>
      <w:ind w:firstLine="200" w:firstLineChars="200"/>
    </w:pPr>
    <w:rPr>
      <w:rFonts w:ascii="Times New Roman" w:hAnsi="Times New Roman" w:cs="宋体"/>
      <w:sz w:val="24"/>
      <w:szCs w:val="20"/>
    </w:rPr>
  </w:style>
  <w:style w:type="paragraph" w:customStyle="1" w:styleId="163">
    <w:name w:val="FF正文"/>
    <w:basedOn w:val="1"/>
    <w:qFormat/>
    <w:uiPriority w:val="0"/>
    <w:pPr>
      <w:spacing w:line="480" w:lineRule="exact"/>
      <w:ind w:firstLine="200" w:firstLineChars="200"/>
    </w:pPr>
    <w:rPr>
      <w:rFonts w:ascii="Times New Roman" w:hAnsi="Times New Roman"/>
      <w:color w:val="000000"/>
      <w:sz w:val="24"/>
      <w:szCs w:val="24"/>
    </w:rPr>
  </w:style>
  <w:style w:type="paragraph" w:customStyle="1" w:styleId="164">
    <w:name w:val="文章正文样式"/>
    <w:basedOn w:val="1"/>
    <w:link w:val="241"/>
    <w:qFormat/>
    <w:uiPriority w:val="0"/>
    <w:pPr>
      <w:spacing w:line="520" w:lineRule="exact"/>
      <w:ind w:firstLine="200" w:firstLineChars="200"/>
      <w:jc w:val="left"/>
    </w:pPr>
    <w:rPr>
      <w:rFonts w:ascii="宋体" w:cs="宋体"/>
      <w:sz w:val="24"/>
      <w:szCs w:val="20"/>
    </w:rPr>
  </w:style>
  <w:style w:type="paragraph" w:customStyle="1" w:styleId="165">
    <w:name w:val="reader-word-layer"/>
    <w:basedOn w:val="1"/>
    <w:qFormat/>
    <w:uiPriority w:val="0"/>
    <w:pPr>
      <w:widowControl/>
      <w:spacing w:before="100" w:beforeAutospacing="1" w:after="100" w:afterAutospacing="1"/>
      <w:jc w:val="left"/>
    </w:pPr>
    <w:rPr>
      <w:rFonts w:ascii="宋体" w:cs="宋体"/>
      <w:kern w:val="0"/>
      <w:sz w:val="24"/>
      <w:szCs w:val="24"/>
    </w:rPr>
  </w:style>
  <w:style w:type="paragraph" w:customStyle="1" w:styleId="166">
    <w:name w:val="A0正文"/>
    <w:basedOn w:val="1"/>
    <w:qFormat/>
    <w:uiPriority w:val="0"/>
    <w:pPr>
      <w:spacing w:line="360" w:lineRule="auto"/>
      <w:ind w:firstLine="200" w:firstLineChars="200"/>
    </w:pPr>
    <w:rPr>
      <w:rFonts w:ascii="Times New Roman" w:hAnsi="Times New Roman" w:cs="宋体"/>
      <w:sz w:val="24"/>
      <w:szCs w:val="20"/>
      <w:lang w:val="zh-CN"/>
    </w:rPr>
  </w:style>
  <w:style w:type="paragraph" w:customStyle="1" w:styleId="167">
    <w:name w:val="修订1"/>
    <w:qFormat/>
    <w:uiPriority w:val="0"/>
    <w:rPr>
      <w:rFonts w:ascii="Times New Roman" w:hAnsi="Times New Roman" w:eastAsia="宋体" w:cs="Times New Roman"/>
      <w:kern w:val="2"/>
      <w:lang w:val="en-US" w:eastAsia="zh-CN" w:bidi="ar-SA"/>
    </w:rPr>
  </w:style>
  <w:style w:type="paragraph" w:customStyle="1" w:styleId="168">
    <w:name w:val="【表格】"/>
    <w:next w:val="5"/>
    <w:qFormat/>
    <w:uiPriority w:val="0"/>
    <w:pPr>
      <w:jc w:val="center"/>
    </w:pPr>
    <w:rPr>
      <w:rFonts w:ascii="Times New Roman" w:hAnsi="Times New Roman" w:eastAsia="宋体" w:cs="Times New Roman"/>
      <w:sz w:val="21"/>
      <w:szCs w:val="24"/>
      <w:lang w:val="en-US" w:eastAsia="zh-CN" w:bidi="ar-SA"/>
    </w:rPr>
  </w:style>
  <w:style w:type="paragraph" w:customStyle="1" w:styleId="169">
    <w:name w:val="图表标题"/>
    <w:basedOn w:val="1"/>
    <w:qFormat/>
    <w:uiPriority w:val="0"/>
    <w:pPr>
      <w:jc w:val="center"/>
    </w:pPr>
    <w:rPr>
      <w:rFonts w:ascii="黑体" w:eastAsia="黑体"/>
      <w:szCs w:val="21"/>
    </w:rPr>
  </w:style>
  <w:style w:type="paragraph" w:customStyle="1" w:styleId="170">
    <w:name w:val="正本文字"/>
    <w:basedOn w:val="1"/>
    <w:qFormat/>
    <w:uiPriority w:val="0"/>
    <w:pPr>
      <w:adjustRightInd w:val="0"/>
      <w:snapToGrid w:val="0"/>
      <w:spacing w:line="360" w:lineRule="auto"/>
      <w:ind w:firstLine="200" w:firstLineChars="200"/>
      <w:jc w:val="left"/>
    </w:pPr>
    <w:rPr>
      <w:rFonts w:ascii="Times New Roman" w:hAnsi="Times New Roman" w:cs="宋体"/>
      <w:kern w:val="18"/>
      <w:sz w:val="24"/>
      <w:szCs w:val="20"/>
    </w:rPr>
  </w:style>
  <w:style w:type="paragraph" w:customStyle="1" w:styleId="171">
    <w:name w:val="正文内容"/>
    <w:basedOn w:val="1"/>
    <w:next w:val="1"/>
    <w:qFormat/>
    <w:uiPriority w:val="0"/>
    <w:pPr>
      <w:snapToGrid w:val="0"/>
      <w:spacing w:before="25" w:beforeLines="25" w:after="25" w:afterLines="25" w:line="440" w:lineRule="exact"/>
      <w:ind w:firstLine="200" w:firstLineChars="200"/>
    </w:pPr>
    <w:rPr>
      <w:rFonts w:ascii="Times New Roman" w:hAnsi="Times New Roman" w:cs="宋体"/>
      <w:sz w:val="24"/>
      <w:szCs w:val="24"/>
    </w:rPr>
  </w:style>
  <w:style w:type="paragraph" w:customStyle="1" w:styleId="172">
    <w:name w:val="小表"/>
    <w:basedOn w:val="1"/>
    <w:qFormat/>
    <w:uiPriority w:val="0"/>
    <w:pPr>
      <w:overflowPunct w:val="0"/>
      <w:autoSpaceDE w:val="0"/>
      <w:autoSpaceDN w:val="0"/>
      <w:adjustRightInd w:val="0"/>
      <w:jc w:val="center"/>
      <w:textAlignment w:val="bottom"/>
    </w:pPr>
    <w:rPr>
      <w:rFonts w:ascii="Times New Roman" w:hAnsi="Times New Roman"/>
      <w:kern w:val="0"/>
      <w:szCs w:val="20"/>
    </w:rPr>
  </w:style>
  <w:style w:type="paragraph" w:customStyle="1" w:styleId="173">
    <w:name w:val="样式 标题 2节节标题 1.1H2（一）Underrubrik1prop2Heading 2 HiddenHea...1"/>
    <w:basedOn w:val="6"/>
    <w:qFormat/>
    <w:uiPriority w:val="0"/>
    <w:pPr>
      <w:tabs>
        <w:tab w:val="clear" w:pos="0"/>
      </w:tabs>
      <w:adjustRightInd/>
      <w:snapToGrid/>
      <w:spacing w:before="0" w:after="0"/>
      <w:ind w:left="576" w:hanging="576"/>
    </w:pPr>
    <w:rPr>
      <w:rFonts w:cs="Calibri"/>
      <w:color w:val="000000"/>
      <w:szCs w:val="28"/>
    </w:rPr>
  </w:style>
  <w:style w:type="paragraph" w:customStyle="1" w:styleId="174">
    <w:name w:val="样式 标题 3条标题1.1.1h3H3level_3PIM 3Level 3 HeadHeading 3 - ol...1"/>
    <w:basedOn w:val="7"/>
    <w:qFormat/>
    <w:uiPriority w:val="0"/>
    <w:pPr>
      <w:tabs>
        <w:tab w:val="left" w:pos="1020"/>
      </w:tabs>
      <w:adjustRightInd/>
      <w:snapToGrid/>
      <w:spacing w:before="0" w:after="0"/>
      <w:ind w:left="1020"/>
    </w:pPr>
    <w:rPr>
      <w:color w:val="000000"/>
      <w:sz w:val="28"/>
    </w:rPr>
  </w:style>
  <w:style w:type="paragraph" w:customStyle="1" w:styleId="175">
    <w:name w:val="图标题"/>
    <w:basedOn w:val="112"/>
    <w:next w:val="112"/>
    <w:qFormat/>
    <w:uiPriority w:val="0"/>
    <w:pPr>
      <w:tabs>
        <w:tab w:val="left" w:pos="0"/>
      </w:tabs>
      <w:spacing w:line="240" w:lineRule="auto"/>
      <w:ind w:firstLine="0"/>
      <w:jc w:val="center"/>
    </w:pPr>
    <w:rPr>
      <w:b/>
      <w:sz w:val="21"/>
    </w:rPr>
  </w:style>
  <w:style w:type="paragraph" w:customStyle="1" w:styleId="176">
    <w:name w:val="样式2"/>
    <w:basedOn w:val="6"/>
    <w:qFormat/>
    <w:uiPriority w:val="0"/>
    <w:pPr>
      <w:numPr>
        <w:ilvl w:val="0"/>
        <w:numId w:val="0"/>
      </w:numPr>
      <w:tabs>
        <w:tab w:val="clear" w:pos="0"/>
      </w:tabs>
      <w:spacing w:before="0" w:after="0"/>
      <w:ind w:left="3119" w:hanging="3119"/>
    </w:pPr>
    <w:rPr>
      <w:rFonts w:ascii="黑体" w:hAnsi="黑体"/>
      <w:szCs w:val="30"/>
    </w:rPr>
  </w:style>
  <w:style w:type="paragraph" w:customStyle="1" w:styleId="177">
    <w:name w:val="reader-word-layer reader-word-s13-3"/>
    <w:basedOn w:val="1"/>
    <w:qFormat/>
    <w:uiPriority w:val="0"/>
    <w:pPr>
      <w:widowControl/>
      <w:spacing w:before="100" w:beforeAutospacing="1" w:after="100" w:afterAutospacing="1"/>
      <w:jc w:val="left"/>
    </w:pPr>
    <w:rPr>
      <w:rFonts w:ascii="宋体" w:cs="宋体"/>
      <w:kern w:val="0"/>
      <w:sz w:val="24"/>
    </w:rPr>
  </w:style>
  <w:style w:type="paragraph" w:customStyle="1" w:styleId="178">
    <w:name w:val="Char Char Char Char Char Char1 Char Char Char Char"/>
    <w:basedOn w:val="1"/>
    <w:qFormat/>
    <w:uiPriority w:val="0"/>
    <w:rPr>
      <w:rFonts w:ascii="Tahoma" w:hAnsi="Tahoma"/>
      <w:sz w:val="24"/>
      <w:szCs w:val="20"/>
    </w:rPr>
  </w:style>
  <w:style w:type="paragraph" w:customStyle="1" w:styleId="179">
    <w:name w:val="Char Char Char Char Char Char1 Char Char Char Char1"/>
    <w:basedOn w:val="1"/>
    <w:qFormat/>
    <w:uiPriority w:val="0"/>
    <w:rPr>
      <w:rFonts w:ascii="Tahoma" w:hAnsi="Tahoma"/>
      <w:sz w:val="24"/>
      <w:szCs w:val="20"/>
    </w:rPr>
  </w:style>
  <w:style w:type="character" w:customStyle="1" w:styleId="180">
    <w:name w:val="amgfeg1"/>
    <w:basedOn w:val="47"/>
    <w:qFormat/>
    <w:uiPriority w:val="0"/>
  </w:style>
  <w:style w:type="character" w:customStyle="1" w:styleId="181">
    <w:name w:val="se"/>
    <w:basedOn w:val="47"/>
    <w:qFormat/>
    <w:uiPriority w:val="0"/>
  </w:style>
  <w:style w:type="character" w:customStyle="1" w:styleId="182">
    <w:name w:val="keyword"/>
    <w:basedOn w:val="47"/>
    <w:qFormat/>
    <w:uiPriority w:val="0"/>
  </w:style>
  <w:style w:type="character" w:customStyle="1" w:styleId="183">
    <w:name w:val="正文文本缩进 2 Char1"/>
    <w:basedOn w:val="47"/>
    <w:qFormat/>
    <w:uiPriority w:val="0"/>
  </w:style>
  <w:style w:type="character" w:customStyle="1" w:styleId="184">
    <w:name w:val="书籍标题1"/>
    <w:qFormat/>
    <w:uiPriority w:val="0"/>
    <w:rPr>
      <w:b/>
      <w:bCs/>
      <w:smallCaps/>
      <w:spacing w:val="5"/>
    </w:rPr>
  </w:style>
  <w:style w:type="character" w:customStyle="1" w:styleId="185">
    <w:name w:val="Char Char21"/>
    <w:qFormat/>
    <w:uiPriority w:val="0"/>
    <w:rPr>
      <w:rFonts w:eastAsia="黑体"/>
      <w:sz w:val="32"/>
      <w:szCs w:val="32"/>
      <w:lang w:val="en-US" w:eastAsia="zh-CN" w:bidi="ar-SA"/>
    </w:rPr>
  </w:style>
  <w:style w:type="character" w:customStyle="1" w:styleId="186">
    <w:name w:val="Char Char17"/>
    <w:qFormat/>
    <w:uiPriority w:val="0"/>
    <w:rPr>
      <w:rFonts w:eastAsia="宋体"/>
      <w:b/>
      <w:bCs/>
      <w:kern w:val="44"/>
      <w:sz w:val="36"/>
      <w:szCs w:val="44"/>
      <w:lang w:val="en-US" w:eastAsia="zh-CN" w:bidi="ar-SA"/>
    </w:rPr>
  </w:style>
  <w:style w:type="character" w:customStyle="1" w:styleId="187">
    <w:name w:val="apple-style-span"/>
    <w:basedOn w:val="47"/>
    <w:qFormat/>
    <w:uiPriority w:val="0"/>
  </w:style>
  <w:style w:type="character" w:customStyle="1" w:styleId="188">
    <w:name w:val="批注文字 Char"/>
    <w:qFormat/>
    <w:uiPriority w:val="0"/>
    <w:rPr>
      <w:rFonts w:ascii="Calibri" w:hAnsi="Calibri"/>
      <w:sz w:val="21"/>
      <w:szCs w:val="21"/>
    </w:rPr>
  </w:style>
  <w:style w:type="character" w:customStyle="1" w:styleId="189">
    <w:name w:val="明显强调1"/>
    <w:qFormat/>
    <w:uiPriority w:val="0"/>
    <w:rPr>
      <w:b/>
      <w:bCs/>
      <w:i/>
      <w:iCs/>
      <w:color w:val="4F81BD"/>
    </w:rPr>
  </w:style>
  <w:style w:type="character" w:customStyle="1" w:styleId="190">
    <w:name w:val="标题 2 Char"/>
    <w:qFormat/>
    <w:uiPriority w:val="0"/>
    <w:rPr>
      <w:rFonts w:eastAsia="黑体"/>
      <w:bCs/>
      <w:sz w:val="28"/>
      <w:lang w:val="en-US" w:eastAsia="zh-CN" w:bidi="ar-SA"/>
    </w:rPr>
  </w:style>
  <w:style w:type="character" w:customStyle="1" w:styleId="191">
    <w:name w:val="不明显参考1"/>
    <w:qFormat/>
    <w:uiPriority w:val="0"/>
    <w:rPr>
      <w:smallCaps/>
      <w:color w:val="C0504D"/>
      <w:u w:val="single"/>
    </w:rPr>
  </w:style>
  <w:style w:type="character" w:customStyle="1" w:styleId="192">
    <w:name w:val="明显参考1"/>
    <w:qFormat/>
    <w:uiPriority w:val="0"/>
    <w:rPr>
      <w:b/>
      <w:bCs/>
      <w:smallCaps/>
      <w:color w:val="C0504D"/>
      <w:spacing w:val="5"/>
      <w:u w:val="single"/>
    </w:rPr>
  </w:style>
  <w:style w:type="character" w:customStyle="1" w:styleId="193">
    <w:name w:val="lawsitemtitle"/>
    <w:basedOn w:val="47"/>
    <w:qFormat/>
    <w:uiPriority w:val="0"/>
  </w:style>
  <w:style w:type="character" w:customStyle="1" w:styleId="194">
    <w:name w:val="不明显强调1"/>
    <w:qFormat/>
    <w:uiPriority w:val="0"/>
    <w:rPr>
      <w:i/>
      <w:iCs/>
      <w:color w:val="808080"/>
    </w:rPr>
  </w:style>
  <w:style w:type="character" w:customStyle="1" w:styleId="195">
    <w:name w:val="Char Char Char Char Char"/>
    <w:qFormat/>
    <w:uiPriority w:val="0"/>
    <w:rPr>
      <w:rFonts w:eastAsia="宋体"/>
      <w:kern w:val="2"/>
      <w:sz w:val="24"/>
      <w:lang w:val="en-US" w:eastAsia="zh-CN" w:bidi="ar-SA"/>
    </w:rPr>
  </w:style>
  <w:style w:type="character" w:customStyle="1" w:styleId="196">
    <w:name w:val="headline-content2"/>
    <w:basedOn w:val="47"/>
    <w:qFormat/>
    <w:uiPriority w:val="0"/>
  </w:style>
  <w:style w:type="character" w:customStyle="1" w:styleId="197">
    <w:name w:val="批注主题 Char1"/>
    <w:qFormat/>
    <w:uiPriority w:val="0"/>
    <w:rPr>
      <w:b/>
      <w:bCs/>
    </w:rPr>
  </w:style>
  <w:style w:type="character" w:customStyle="1" w:styleId="198">
    <w:name w:val="style6"/>
    <w:basedOn w:val="47"/>
    <w:qFormat/>
    <w:uiPriority w:val="0"/>
  </w:style>
  <w:style w:type="character" w:customStyle="1" w:styleId="199">
    <w:name w:val="text_edit editable-title"/>
    <w:basedOn w:val="47"/>
    <w:qFormat/>
    <w:uiPriority w:val="0"/>
  </w:style>
  <w:style w:type="character" w:customStyle="1" w:styleId="200">
    <w:name w:val="Char Char14"/>
    <w:qFormat/>
    <w:uiPriority w:val="0"/>
    <w:rPr>
      <w:rFonts w:eastAsia="宋体"/>
      <w:bCs/>
      <w:kern w:val="2"/>
      <w:sz w:val="24"/>
      <w:szCs w:val="28"/>
      <w:lang w:val="en-US" w:eastAsia="zh-CN" w:bidi="ar-SA"/>
    </w:rPr>
  </w:style>
  <w:style w:type="character" w:customStyle="1" w:styleId="201">
    <w:name w:val="条标题1.1.1 Char"/>
    <w:qFormat/>
    <w:uiPriority w:val="0"/>
    <w:rPr>
      <w:rFonts w:eastAsia="宋体"/>
      <w:bCs/>
      <w:kern w:val="2"/>
      <w:sz w:val="24"/>
      <w:szCs w:val="32"/>
      <w:lang w:val="en-US" w:eastAsia="zh-CN" w:bidi="ar-SA"/>
    </w:rPr>
  </w:style>
  <w:style w:type="character" w:customStyle="1" w:styleId="202">
    <w:name w:val="日期 Char1"/>
    <w:basedOn w:val="47"/>
    <w:qFormat/>
    <w:uiPriority w:val="0"/>
  </w:style>
  <w:style w:type="character" w:customStyle="1" w:styleId="203">
    <w:name w:val="表头 Char"/>
    <w:qFormat/>
    <w:uiPriority w:val="0"/>
    <w:rPr>
      <w:rFonts w:eastAsia="黑体"/>
      <w:kern w:val="2"/>
      <w:sz w:val="24"/>
      <w:szCs w:val="24"/>
      <w:lang w:val="en-US" w:eastAsia="zh-CN" w:bidi="ar-SA"/>
    </w:rPr>
  </w:style>
  <w:style w:type="character" w:customStyle="1" w:styleId="204">
    <w:name w:val="style431"/>
    <w:qFormat/>
    <w:uiPriority w:val="0"/>
    <w:rPr>
      <w:color w:val="030303"/>
      <w:sz w:val="18"/>
      <w:szCs w:val="18"/>
      <w:u w:val="none"/>
    </w:rPr>
  </w:style>
  <w:style w:type="character" w:customStyle="1" w:styleId="205">
    <w:name w:val="t_tag"/>
    <w:basedOn w:val="47"/>
    <w:qFormat/>
    <w:uiPriority w:val="0"/>
  </w:style>
  <w:style w:type="character" w:customStyle="1" w:styleId="206">
    <w:name w:val="Char Char16"/>
    <w:qFormat/>
    <w:uiPriority w:val="0"/>
    <w:rPr>
      <w:rFonts w:eastAsia="宋体"/>
      <w:b/>
      <w:bCs/>
      <w:kern w:val="2"/>
      <w:sz w:val="30"/>
      <w:szCs w:val="32"/>
      <w:lang w:val="en-US" w:eastAsia="zh-CN" w:bidi="ar-SA"/>
    </w:rPr>
  </w:style>
  <w:style w:type="character" w:customStyle="1" w:styleId="207">
    <w:name w:val="Char Char Char Char3"/>
    <w:qFormat/>
    <w:uiPriority w:val="0"/>
    <w:rPr>
      <w:rFonts w:eastAsia="宋体"/>
      <w:kern w:val="2"/>
      <w:sz w:val="24"/>
      <w:lang w:val="en-US" w:eastAsia="zh-CN" w:bidi="ar-SA"/>
    </w:rPr>
  </w:style>
  <w:style w:type="character" w:customStyle="1" w:styleId="208">
    <w:name w:val="Char Char9"/>
    <w:qFormat/>
    <w:uiPriority w:val="0"/>
    <w:rPr>
      <w:rFonts w:eastAsia="宋体"/>
      <w:kern w:val="2"/>
      <w:sz w:val="24"/>
      <w:lang w:val="en-US" w:eastAsia="zh-CN" w:bidi="ar-SA"/>
    </w:rPr>
  </w:style>
  <w:style w:type="character" w:customStyle="1" w:styleId="209">
    <w:name w:val="标题 7 Char Char"/>
    <w:qFormat/>
    <w:uiPriority w:val="0"/>
    <w:rPr>
      <w:rFonts w:eastAsia="宋体"/>
      <w:b/>
      <w:bCs/>
      <w:kern w:val="2"/>
      <w:sz w:val="24"/>
      <w:szCs w:val="24"/>
      <w:lang w:val="en-US" w:eastAsia="zh-CN" w:bidi="ar-SA"/>
    </w:rPr>
  </w:style>
  <w:style w:type="character" w:customStyle="1" w:styleId="210">
    <w:name w:val="正文（首行缩进两字） Char Char Char Char Char Char Char Char"/>
    <w:qFormat/>
    <w:uiPriority w:val="0"/>
    <w:rPr>
      <w:rFonts w:eastAsia="宋体"/>
      <w:kern w:val="2"/>
      <w:sz w:val="21"/>
      <w:szCs w:val="24"/>
      <w:lang w:val="en-US" w:eastAsia="zh-CN" w:bidi="ar-SA"/>
    </w:rPr>
  </w:style>
  <w:style w:type="character" w:customStyle="1" w:styleId="211">
    <w:name w:val="Char Char18"/>
    <w:qFormat/>
    <w:uiPriority w:val="0"/>
    <w:rPr>
      <w:rFonts w:eastAsia="宋体"/>
      <w:kern w:val="2"/>
      <w:sz w:val="18"/>
      <w:lang w:val="en-US" w:eastAsia="zh-CN" w:bidi="ar-SA"/>
    </w:rPr>
  </w:style>
  <w:style w:type="character" w:customStyle="1" w:styleId="212">
    <w:name w:val="Char Char19"/>
    <w:qFormat/>
    <w:uiPriority w:val="0"/>
    <w:rPr>
      <w:rFonts w:eastAsia="宋体"/>
      <w:kern w:val="2"/>
      <w:sz w:val="18"/>
      <w:lang w:val="en-US" w:eastAsia="zh-CN" w:bidi="ar-SA"/>
    </w:rPr>
  </w:style>
  <w:style w:type="character" w:customStyle="1" w:styleId="213">
    <w:name w:val="Char Char10"/>
    <w:qFormat/>
    <w:uiPriority w:val="0"/>
    <w:rPr>
      <w:rFonts w:eastAsia="宋体"/>
      <w:b/>
      <w:kern w:val="2"/>
      <w:sz w:val="24"/>
      <w:lang w:val="en-US" w:eastAsia="zh-CN" w:bidi="ar-SA"/>
    </w:rPr>
  </w:style>
  <w:style w:type="character" w:customStyle="1" w:styleId="214">
    <w:name w:val="普通文字 Char Char1"/>
    <w:qFormat/>
    <w:uiPriority w:val="0"/>
    <w:rPr>
      <w:rFonts w:ascii="Courier New" w:hAnsi="Courier New" w:eastAsia="宋体"/>
      <w:kern w:val="2"/>
      <w:sz w:val="15"/>
      <w:lang w:val="en-US" w:eastAsia="zh-CN" w:bidi="ar-SA"/>
    </w:rPr>
  </w:style>
  <w:style w:type="character" w:customStyle="1" w:styleId="215">
    <w:name w:val="表粗 Char Char"/>
    <w:qFormat/>
    <w:uiPriority w:val="0"/>
    <w:rPr>
      <w:rFonts w:ascii="Arial" w:hAnsi="Arial" w:eastAsia="仿宋_GB2312"/>
      <w:b/>
      <w:kern w:val="2"/>
      <w:sz w:val="21"/>
      <w:lang w:val="en-US" w:eastAsia="zh-CN"/>
    </w:rPr>
  </w:style>
  <w:style w:type="character" w:customStyle="1" w:styleId="216">
    <w:name w:val="正文缩进 Char2"/>
    <w:qFormat/>
    <w:uiPriority w:val="0"/>
    <w:rPr>
      <w:rFonts w:eastAsia="宋体"/>
      <w:color w:val="000000"/>
      <w:kern w:val="2"/>
      <w:sz w:val="24"/>
      <w:lang w:val="en-US" w:eastAsia="zh-CN"/>
    </w:rPr>
  </w:style>
  <w:style w:type="character" w:customStyle="1" w:styleId="217">
    <w:name w:val="纯文本 Char1"/>
    <w:qFormat/>
    <w:uiPriority w:val="0"/>
    <w:rPr>
      <w:rFonts w:ascii="宋体" w:eastAsia="宋体"/>
      <w:sz w:val="28"/>
      <w:lang w:val="en-US" w:eastAsia="zh-CN"/>
    </w:rPr>
  </w:style>
  <w:style w:type="character" w:customStyle="1" w:styleId="218">
    <w:name w:val="报告正文 Char Char"/>
    <w:qFormat/>
    <w:uiPriority w:val="0"/>
    <w:rPr>
      <w:rFonts w:ascii="Times New Roman" w:hAnsi="Times New Roman" w:eastAsia="宋体"/>
      <w:sz w:val="24"/>
    </w:rPr>
  </w:style>
  <w:style w:type="character" w:customStyle="1" w:styleId="219">
    <w:name w:val="样式 表格文字居中 Char + 五号 黑色1"/>
    <w:qFormat/>
    <w:uiPriority w:val="0"/>
    <w:rPr>
      <w:rFonts w:ascii="宋体" w:eastAsia="宋体" w:cs="宋体"/>
      <w:color w:val="000000"/>
      <w:kern w:val="2"/>
      <w:sz w:val="24"/>
      <w:szCs w:val="24"/>
      <w:lang w:val="en-US" w:eastAsia="zh-CN"/>
    </w:rPr>
  </w:style>
  <w:style w:type="character" w:customStyle="1" w:styleId="220">
    <w:name w:val="表格文字 Char Char"/>
    <w:qFormat/>
    <w:uiPriority w:val="0"/>
    <w:rPr>
      <w:rFonts w:eastAsia="宋体"/>
      <w:color w:val="000000"/>
      <w:kern w:val="2"/>
      <w:sz w:val="21"/>
      <w:szCs w:val="21"/>
      <w:lang w:val="en-US" w:eastAsia="zh-CN" w:bidi="ar-SA"/>
    </w:rPr>
  </w:style>
  <w:style w:type="character" w:customStyle="1" w:styleId="221">
    <w:name w:val="big"/>
    <w:qFormat/>
    <w:uiPriority w:val="0"/>
  </w:style>
  <w:style w:type="character" w:customStyle="1" w:styleId="222">
    <w:name w:val="占位符文本1"/>
    <w:qFormat/>
    <w:uiPriority w:val="0"/>
    <w:rPr>
      <w:color w:val="808080"/>
    </w:rPr>
  </w:style>
  <w:style w:type="character" w:customStyle="1" w:styleId="223">
    <w:name w:val="fontstrikethrough"/>
    <w:qFormat/>
    <w:uiPriority w:val="0"/>
    <w:rPr>
      <w:strike/>
    </w:rPr>
  </w:style>
  <w:style w:type="character" w:customStyle="1" w:styleId="224">
    <w:name w:val="fontborder"/>
    <w:qFormat/>
    <w:uiPriority w:val="0"/>
    <w:rPr>
      <w:bdr w:val="single" w:color="000000" w:sz="6" w:space="0"/>
    </w:rPr>
  </w:style>
  <w:style w:type="character" w:customStyle="1" w:styleId="225">
    <w:name w:val="release-day"/>
    <w:qFormat/>
    <w:uiPriority w:val="0"/>
    <w:rPr>
      <w:bdr w:val="single" w:color="BDEBB0" w:sz="6" w:space="0"/>
      <w:shd w:val="clear" w:color="auto" w:fill="F5FFF1"/>
    </w:rPr>
  </w:style>
  <w:style w:type="character" w:customStyle="1" w:styleId="226">
    <w:name w:val="num"/>
    <w:qFormat/>
    <w:uiPriority w:val="0"/>
    <w:rPr>
      <w:b/>
      <w:color w:val="FF7800"/>
    </w:rPr>
  </w:style>
  <w:style w:type="character" w:customStyle="1" w:styleId="227">
    <w:name w:val="answer-title12"/>
    <w:basedOn w:val="47"/>
    <w:qFormat/>
    <w:uiPriority w:val="0"/>
  </w:style>
  <w:style w:type="character" w:customStyle="1" w:styleId="228">
    <w:name w:val="item-name"/>
    <w:basedOn w:val="47"/>
    <w:qFormat/>
    <w:uiPriority w:val="0"/>
  </w:style>
  <w:style w:type="character" w:customStyle="1" w:styleId="229">
    <w:name w:val="item-name1"/>
    <w:basedOn w:val="47"/>
    <w:qFormat/>
    <w:uiPriority w:val="0"/>
  </w:style>
  <w:style w:type="character" w:customStyle="1" w:styleId="230">
    <w:name w:val="font31"/>
    <w:qFormat/>
    <w:uiPriority w:val="0"/>
    <w:rPr>
      <w:rFonts w:ascii="宋体" w:eastAsia="宋体" w:cs="宋体"/>
      <w:b/>
      <w:color w:val="000000"/>
      <w:sz w:val="21"/>
      <w:szCs w:val="21"/>
      <w:u w:val="none"/>
    </w:rPr>
  </w:style>
  <w:style w:type="character" w:customStyle="1" w:styleId="231">
    <w:name w:val="font41"/>
    <w:qFormat/>
    <w:uiPriority w:val="0"/>
    <w:rPr>
      <w:rFonts w:ascii="Times New Roman" w:hAnsi="Times New Roman" w:cs="Times New Roman"/>
      <w:b/>
      <w:color w:val="000000"/>
      <w:sz w:val="21"/>
      <w:szCs w:val="21"/>
      <w:u w:val="none"/>
    </w:rPr>
  </w:style>
  <w:style w:type="character" w:customStyle="1" w:styleId="232">
    <w:name w:val="font11"/>
    <w:basedOn w:val="47"/>
    <w:qFormat/>
    <w:uiPriority w:val="0"/>
    <w:rPr>
      <w:rFonts w:ascii="Times New Roman" w:hAnsi="Times New Roman" w:cs="Times New Roman"/>
      <w:color w:val="000000"/>
      <w:sz w:val="21"/>
      <w:szCs w:val="21"/>
      <w:u w:val="none"/>
    </w:rPr>
  </w:style>
  <w:style w:type="character" w:customStyle="1" w:styleId="233">
    <w:name w:val="font21"/>
    <w:basedOn w:val="47"/>
    <w:qFormat/>
    <w:uiPriority w:val="0"/>
    <w:rPr>
      <w:rFonts w:ascii="宋体" w:eastAsia="宋体" w:cs="宋体"/>
      <w:color w:val="000000"/>
      <w:sz w:val="21"/>
      <w:szCs w:val="21"/>
      <w:u w:val="none"/>
    </w:rPr>
  </w:style>
  <w:style w:type="character" w:customStyle="1" w:styleId="234">
    <w:name w:val="font51"/>
    <w:qFormat/>
    <w:uiPriority w:val="0"/>
    <w:rPr>
      <w:rFonts w:ascii="宋体" w:eastAsia="宋体" w:cs="宋体"/>
      <w:b/>
      <w:color w:val="000000"/>
      <w:sz w:val="21"/>
      <w:szCs w:val="21"/>
      <w:u w:val="none"/>
    </w:rPr>
  </w:style>
  <w:style w:type="character" w:customStyle="1" w:styleId="235">
    <w:name w:val="fontstyle01"/>
    <w:qFormat/>
    <w:uiPriority w:val="0"/>
    <w:rPr>
      <w:rFonts w:ascii="宋体" w:eastAsia="宋体" w:cs="宋体"/>
      <w:color w:val="000000"/>
      <w:sz w:val="24"/>
      <w:szCs w:val="24"/>
    </w:rPr>
  </w:style>
  <w:style w:type="character" w:customStyle="1" w:styleId="236">
    <w:name w:val="font71"/>
    <w:qFormat/>
    <w:uiPriority w:val="0"/>
    <w:rPr>
      <w:rFonts w:ascii="宋体" w:eastAsia="宋体" w:cs="宋体"/>
      <w:color w:val="FF0000"/>
      <w:sz w:val="21"/>
      <w:szCs w:val="21"/>
      <w:u w:val="none"/>
    </w:rPr>
  </w:style>
  <w:style w:type="character" w:customStyle="1" w:styleId="237">
    <w:name w:val="font61"/>
    <w:qFormat/>
    <w:uiPriority w:val="0"/>
    <w:rPr>
      <w:rFonts w:ascii="宋体" w:eastAsia="宋体" w:cs="宋体"/>
      <w:color w:val="000000"/>
      <w:sz w:val="21"/>
      <w:szCs w:val="21"/>
      <w:u w:val="none"/>
      <w:vertAlign w:val="subscript"/>
    </w:rPr>
  </w:style>
  <w:style w:type="character" w:customStyle="1" w:styleId="238">
    <w:name w:val="正文文本 Char2"/>
    <w:qFormat/>
    <w:uiPriority w:val="0"/>
    <w:rPr>
      <w:rFonts w:eastAsia="宋体"/>
      <w:kern w:val="2"/>
      <w:sz w:val="21"/>
      <w:szCs w:val="24"/>
      <w:lang w:val="en-US" w:eastAsia="zh-CN" w:bidi="ar-SA"/>
    </w:rPr>
  </w:style>
  <w:style w:type="paragraph" w:customStyle="1" w:styleId="239">
    <w:name w:val="段"/>
    <w:link w:val="248"/>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table" w:customStyle="1" w:styleId="240">
    <w:name w:val="网格型1"/>
    <w:basedOn w:val="45"/>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1">
    <w:name w:val="文章正文样式 Char"/>
    <w:basedOn w:val="47"/>
    <w:link w:val="164"/>
    <w:qFormat/>
    <w:uiPriority w:val="0"/>
    <w:rPr>
      <w:rFonts w:ascii="宋体" w:hAnsi="Calibri" w:cs="宋体"/>
      <w:kern w:val="2"/>
      <w:sz w:val="24"/>
    </w:rPr>
  </w:style>
  <w:style w:type="character" w:customStyle="1" w:styleId="242">
    <w:name w:val="样式37 Char Char"/>
    <w:basedOn w:val="47"/>
    <w:link w:val="243"/>
    <w:qFormat/>
    <w:uiPriority w:val="0"/>
    <w:rPr>
      <w:color w:val="000000"/>
      <w:sz w:val="24"/>
      <w:szCs w:val="24"/>
    </w:rPr>
  </w:style>
  <w:style w:type="paragraph" w:customStyle="1" w:styleId="243">
    <w:name w:val="样式37"/>
    <w:basedOn w:val="1"/>
    <w:link w:val="242"/>
    <w:qFormat/>
    <w:uiPriority w:val="0"/>
    <w:pPr>
      <w:autoSpaceDE w:val="0"/>
      <w:autoSpaceDN w:val="0"/>
      <w:adjustRightInd w:val="0"/>
      <w:spacing w:beforeLines="50" w:afterLines="50" w:line="360" w:lineRule="auto"/>
      <w:ind w:firstLine="480" w:firstLineChars="200"/>
    </w:pPr>
    <w:rPr>
      <w:rFonts w:ascii="Times New Roman" w:hAnsi="Times New Roman"/>
      <w:color w:val="000000"/>
      <w:kern w:val="0"/>
      <w:sz w:val="24"/>
      <w:szCs w:val="24"/>
    </w:rPr>
  </w:style>
  <w:style w:type="character" w:customStyle="1" w:styleId="244">
    <w:name w:val="正文样式1 Char Char"/>
    <w:basedOn w:val="47"/>
    <w:link w:val="245"/>
    <w:qFormat/>
    <w:uiPriority w:val="0"/>
    <w:rPr>
      <w:rFonts w:ascii="宋体" w:hAnsi="宋体" w:cs="宋体"/>
      <w:color w:val="000000"/>
      <w:sz w:val="24"/>
      <w:szCs w:val="24"/>
      <w:lang w:val="zh-CN"/>
    </w:rPr>
  </w:style>
  <w:style w:type="paragraph" w:customStyle="1" w:styleId="245">
    <w:name w:val="正文样式1"/>
    <w:basedOn w:val="1"/>
    <w:link w:val="244"/>
    <w:qFormat/>
    <w:uiPriority w:val="0"/>
    <w:pPr>
      <w:autoSpaceDE w:val="0"/>
      <w:autoSpaceDN w:val="0"/>
      <w:adjustRightInd w:val="0"/>
      <w:spacing w:line="360" w:lineRule="auto"/>
      <w:ind w:firstLine="482"/>
    </w:pPr>
    <w:rPr>
      <w:rFonts w:ascii="宋体" w:hAnsi="宋体" w:cs="宋体"/>
      <w:color w:val="000000"/>
      <w:kern w:val="0"/>
      <w:sz w:val="24"/>
      <w:szCs w:val="24"/>
      <w:lang w:val="zh-CN"/>
    </w:rPr>
  </w:style>
  <w:style w:type="paragraph" w:styleId="246">
    <w:name w:val="List Paragraph"/>
    <w:basedOn w:val="1"/>
    <w:qFormat/>
    <w:uiPriority w:val="99"/>
    <w:pPr>
      <w:ind w:firstLine="420" w:firstLineChars="200"/>
    </w:pPr>
    <w:rPr>
      <w:rFonts w:cs="Arial"/>
    </w:rPr>
  </w:style>
  <w:style w:type="paragraph" w:customStyle="1" w:styleId="247">
    <w:name w:val="Table Paragraph"/>
    <w:basedOn w:val="1"/>
    <w:qFormat/>
    <w:uiPriority w:val="1"/>
    <w:pPr>
      <w:jc w:val="center"/>
    </w:pPr>
    <w:rPr>
      <w:rFonts w:ascii="Times New Roman" w:hAnsi="Times New Roman" w:eastAsia="Times New Roman"/>
    </w:rPr>
  </w:style>
  <w:style w:type="character" w:customStyle="1" w:styleId="248">
    <w:name w:val="段 Char"/>
    <w:basedOn w:val="47"/>
    <w:link w:val="239"/>
    <w:qFormat/>
    <w:uiPriority w:val="0"/>
    <w:rPr>
      <w:rFonts w:ascii="宋体" w:hAnsi="Times New Roman" w:eastAsia="宋体" w:cs="Times New Roman"/>
      <w:sz w:val="21"/>
      <w:szCs w:val="22"/>
    </w:rPr>
  </w:style>
  <w:style w:type="paragraph" w:customStyle="1" w:styleId="249">
    <w:name w:val="正文（用）"/>
    <w:basedOn w:val="1"/>
    <w:qFormat/>
    <w:uiPriority w:val="0"/>
    <w:pPr>
      <w:spacing w:line="360" w:lineRule="auto"/>
      <w:ind w:firstLine="480" w:firstLineChars="200"/>
      <w:jc w:val="left"/>
    </w:pPr>
    <w:rPr>
      <w:rFonts w:ascii="宋体" w:hAnsi="宋体" w:cs="宋体"/>
    </w:rPr>
  </w:style>
  <w:style w:type="character" w:customStyle="1" w:styleId="250">
    <w:name w:val="font112"/>
    <w:basedOn w:val="47"/>
    <w:qFormat/>
    <w:uiPriority w:val="0"/>
    <w:rPr>
      <w:rFonts w:hint="eastAsia" w:ascii="宋体" w:hAnsi="宋体" w:eastAsia="宋体" w:cs="宋体"/>
      <w:color w:val="000000"/>
      <w:sz w:val="22"/>
      <w:szCs w:val="22"/>
      <w:u w:val="none"/>
    </w:rPr>
  </w:style>
  <w:style w:type="character" w:customStyle="1" w:styleId="251">
    <w:name w:val="font171"/>
    <w:basedOn w:val="47"/>
    <w:qFormat/>
    <w:uiPriority w:val="0"/>
    <w:rPr>
      <w:rFonts w:hint="default" w:ascii="Times New Roman" w:hAnsi="Times New Roman" w:cs="Times New Roman"/>
      <w:b/>
      <w:color w:val="000000"/>
      <w:sz w:val="22"/>
      <w:szCs w:val="22"/>
      <w:u w:val="none"/>
    </w:rPr>
  </w:style>
  <w:style w:type="character" w:customStyle="1" w:styleId="252">
    <w:name w:val="font81"/>
    <w:basedOn w:val="47"/>
    <w:qFormat/>
    <w:uiPriority w:val="0"/>
    <w:rPr>
      <w:rFonts w:hint="eastAsia" w:ascii="宋体" w:hAnsi="宋体" w:eastAsia="宋体" w:cs="宋体"/>
      <w:b/>
      <w:color w:val="000000"/>
      <w:sz w:val="18"/>
      <w:szCs w:val="18"/>
      <w:u w:val="none"/>
    </w:rPr>
  </w:style>
  <w:style w:type="character" w:customStyle="1" w:styleId="253">
    <w:name w:val="font161"/>
    <w:basedOn w:val="47"/>
    <w:qFormat/>
    <w:uiPriority w:val="0"/>
    <w:rPr>
      <w:rFonts w:hint="eastAsia" w:ascii="宋体" w:hAnsi="宋体" w:eastAsia="宋体" w:cs="宋体"/>
      <w:color w:val="000000"/>
      <w:sz w:val="18"/>
      <w:szCs w:val="18"/>
      <w:u w:val="none"/>
    </w:rPr>
  </w:style>
  <w:style w:type="character" w:customStyle="1" w:styleId="254">
    <w:name w:val="font101"/>
    <w:basedOn w:val="47"/>
    <w:qFormat/>
    <w:uiPriority w:val="0"/>
    <w:rPr>
      <w:rFonts w:hint="eastAsia" w:ascii="宋体" w:hAnsi="宋体" w:eastAsia="宋体" w:cs="宋体"/>
      <w:color w:val="000000"/>
      <w:sz w:val="18"/>
      <w:szCs w:val="18"/>
      <w:u w:val="single"/>
    </w:rPr>
  </w:style>
  <w:style w:type="character" w:customStyle="1" w:styleId="255">
    <w:name w:val="font181"/>
    <w:basedOn w:val="47"/>
    <w:qFormat/>
    <w:uiPriority w:val="0"/>
    <w:rPr>
      <w:rFonts w:hint="default" w:ascii="Times New Roman" w:hAnsi="Times New Roman" w:cs="Times New Roman"/>
      <w:color w:val="000000"/>
      <w:sz w:val="18"/>
      <w:szCs w:val="18"/>
      <w:u w:val="none"/>
    </w:rPr>
  </w:style>
  <w:style w:type="character" w:customStyle="1" w:styleId="256">
    <w:name w:val="font91"/>
    <w:basedOn w:val="47"/>
    <w:qFormat/>
    <w:uiPriority w:val="0"/>
    <w:rPr>
      <w:rFonts w:hint="eastAsia" w:ascii="宋体" w:hAnsi="宋体" w:eastAsia="宋体" w:cs="宋体"/>
      <w:b/>
      <w:color w:val="000000"/>
      <w:sz w:val="18"/>
      <w:szCs w:val="18"/>
      <w:u w:val="none"/>
    </w:rPr>
  </w:style>
  <w:style w:type="character" w:customStyle="1" w:styleId="257">
    <w:name w:val="font131"/>
    <w:basedOn w:val="47"/>
    <w:qFormat/>
    <w:uiPriority w:val="0"/>
    <w:rPr>
      <w:rFonts w:hint="default" w:ascii="Times New Roman" w:hAnsi="Times New Roman" w:cs="Times New Roman"/>
      <w:b/>
      <w:color w:val="000000"/>
      <w:sz w:val="18"/>
      <w:szCs w:val="18"/>
      <w:u w:val="none"/>
    </w:rPr>
  </w:style>
  <w:style w:type="character" w:customStyle="1" w:styleId="258">
    <w:name w:val="font01"/>
    <w:basedOn w:val="47"/>
    <w:qFormat/>
    <w:uiPriority w:val="0"/>
    <w:rPr>
      <w:rFonts w:hint="eastAsia" w:ascii="宋体" w:hAnsi="宋体" w:eastAsia="宋体" w:cs="宋体"/>
      <w:color w:val="000000"/>
      <w:sz w:val="16"/>
      <w:szCs w:val="16"/>
      <w:u w:val="none"/>
    </w:rPr>
  </w:style>
  <w:style w:type="paragraph" w:customStyle="1" w:styleId="259">
    <w:name w:val="正文2015"/>
    <w:basedOn w:val="1"/>
    <w:qFormat/>
    <w:uiPriority w:val="0"/>
    <w:pPr>
      <w:spacing w:line="500" w:lineRule="exact"/>
      <w:ind w:firstLine="200" w:firstLineChars="200"/>
      <w:jc w:val="left"/>
    </w:pPr>
    <w:rPr>
      <w:rFonts w:cs="宋体"/>
      <w:sz w:val="24"/>
      <w:szCs w:val="20"/>
    </w:rPr>
  </w:style>
  <w:style w:type="paragraph" w:styleId="260">
    <w:name w:val="No Spacing"/>
    <w:qFormat/>
    <w:uiPriority w:val="1"/>
    <w:rPr>
      <w:rFonts w:ascii="Calibri" w:hAnsi="Calibri" w:eastAsia="宋体" w:cs="宋体"/>
      <w:sz w:val="22"/>
      <w:szCs w:val="22"/>
      <w:lang w:val="en-US" w:eastAsia="zh-CN" w:bidi="ar-SA"/>
    </w:rPr>
  </w:style>
  <w:style w:type="paragraph" w:customStyle="1" w:styleId="261">
    <w:name w:val="表格五号宋体2015"/>
    <w:basedOn w:val="1"/>
    <w:qFormat/>
    <w:uiPriority w:val="0"/>
    <w:pPr>
      <w:suppressAutoHyphens/>
      <w:snapToGrid w:val="0"/>
      <w:spacing w:line="360" w:lineRule="exact"/>
      <w:jc w:val="center"/>
    </w:pPr>
    <w:rPr>
      <w:rFonts w:ascii="宋体" w:hAnsi="宋体" w:cs="Arial"/>
      <w:szCs w:val="28"/>
    </w:rPr>
  </w:style>
  <w:style w:type="paragraph" w:customStyle="1" w:styleId="262">
    <w:name w:val="一级条标题"/>
    <w:next w:val="1"/>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3">
    <w:name w:val="章标题"/>
    <w:next w:val="239"/>
    <w:qFormat/>
    <w:uiPriority w:val="0"/>
    <w:pPr>
      <w:numPr>
        <w:ilvl w:val="0"/>
        <w:numId w:val="3"/>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4">
    <w:name w:val="二级条标题"/>
    <w:basedOn w:val="262"/>
    <w:next w:val="239"/>
    <w:qFormat/>
    <w:uiPriority w:val="0"/>
    <w:pPr>
      <w:numPr>
        <w:ilvl w:val="2"/>
        <w:numId w:val="0"/>
      </w:numPr>
      <w:spacing w:before="50" w:after="50"/>
      <w:outlineLvl w:val="3"/>
    </w:pPr>
  </w:style>
  <w:style w:type="paragraph" w:customStyle="1" w:styleId="265">
    <w:name w:val="三级条标题"/>
    <w:basedOn w:val="264"/>
    <w:next w:val="239"/>
    <w:qFormat/>
    <w:uiPriority w:val="0"/>
    <w:pPr>
      <w:numPr>
        <w:ilvl w:val="3"/>
      </w:numPr>
      <w:outlineLvl w:val="4"/>
    </w:pPr>
  </w:style>
  <w:style w:type="paragraph" w:customStyle="1" w:styleId="266">
    <w:name w:val="四级条标题"/>
    <w:basedOn w:val="265"/>
    <w:next w:val="239"/>
    <w:qFormat/>
    <w:uiPriority w:val="0"/>
    <w:pPr>
      <w:numPr>
        <w:ilvl w:val="4"/>
      </w:numPr>
      <w:outlineLvl w:val="5"/>
    </w:pPr>
  </w:style>
  <w:style w:type="paragraph" w:customStyle="1" w:styleId="267">
    <w:name w:val="五级条标题"/>
    <w:basedOn w:val="266"/>
    <w:next w:val="239"/>
    <w:qFormat/>
    <w:uiPriority w:val="0"/>
    <w:pPr>
      <w:numPr>
        <w:ilvl w:val="5"/>
      </w:numPr>
      <w:outlineLvl w:val="6"/>
    </w:pPr>
  </w:style>
  <w:style w:type="paragraph" w:customStyle="1" w:styleId="268">
    <w:name w:val="正文图标题"/>
    <w:next w:val="239"/>
    <w:qFormat/>
    <w:uiPriority w:val="0"/>
    <w:pPr>
      <w:spacing w:before="156" w:beforeLines="50" w:after="156" w:afterLines="50"/>
      <w:jc w:val="center"/>
    </w:pPr>
    <w:rPr>
      <w:rFonts w:ascii="黑体" w:hAnsi="Times New Roman" w:eastAsia="黑体" w:cs="Times New Roman"/>
      <w:sz w:val="21"/>
      <w:lang w:val="en-US" w:eastAsia="zh-CN" w:bidi="ar-SA"/>
    </w:rPr>
  </w:style>
  <w:style w:type="paragraph" w:customStyle="1" w:styleId="269">
    <w:name w:val="其他发布日期"/>
    <w:basedOn w:val="1"/>
    <w:qFormat/>
    <w:uiPriority w:val="0"/>
    <w:pPr>
      <w:framePr w:w="3997" w:h="471" w:hRule="exact" w:vSpace="181" w:wrap="around" w:vAnchor="page" w:hAnchor="page" w:x="1419" w:y="14097" w:anchorLock="1"/>
      <w:widowControl/>
      <w:numPr>
        <w:ilvl w:val="0"/>
        <w:numId w:val="4"/>
      </w:numPr>
      <w:jc w:val="left"/>
    </w:pPr>
    <w:rPr>
      <w:rFonts w:ascii="Times New Roman" w:hAnsi="Times New Roman" w:eastAsia="黑体"/>
      <w:kern w:val="0"/>
      <w:sz w:val="28"/>
      <w:szCs w:val="20"/>
    </w:rPr>
  </w:style>
  <w:style w:type="character" w:customStyle="1" w:styleId="270">
    <w:name w:val="页脚 Char"/>
    <w:basedOn w:val="47"/>
    <w:link w:val="32"/>
    <w:qFormat/>
    <w:uiPriority w:val="99"/>
    <w:rPr>
      <w:kern w:val="2"/>
      <w:sz w:val="18"/>
      <w:szCs w:val="18"/>
    </w:rPr>
  </w:style>
  <w:style w:type="character" w:customStyle="1" w:styleId="271">
    <w:name w:val="标题 3 Char"/>
    <w:basedOn w:val="47"/>
    <w:link w:val="7"/>
    <w:qFormat/>
    <w:uiPriority w:val="0"/>
    <w:rPr>
      <w:b/>
      <w:bCs/>
      <w:kern w:val="2"/>
      <w:sz w:val="24"/>
      <w:szCs w:val="32"/>
    </w:rPr>
  </w:style>
  <w:style w:type="character" w:customStyle="1" w:styleId="272">
    <w:name w:val="标题 2 Char1"/>
    <w:basedOn w:val="47"/>
    <w:link w:val="6"/>
    <w:qFormat/>
    <w:uiPriority w:val="0"/>
    <w:rPr>
      <w:b/>
      <w:bCs/>
      <w:kern w:val="2"/>
      <w:sz w:val="30"/>
      <w:szCs w:val="32"/>
    </w:rPr>
  </w:style>
  <w:style w:type="character" w:customStyle="1" w:styleId="273">
    <w:name w:val="正文文本 Char"/>
    <w:basedOn w:val="47"/>
    <w:link w:val="22"/>
    <w:qFormat/>
    <w:uiPriority w:val="0"/>
    <w:rPr>
      <w:kern w:val="2"/>
    </w:rPr>
  </w:style>
  <w:style w:type="character" w:customStyle="1" w:styleId="274">
    <w:name w:val="正文首行缩进 2 Char"/>
    <w:basedOn w:val="47"/>
    <w:link w:val="2"/>
    <w:qFormat/>
    <w:uiPriority w:val="99"/>
    <w:rPr>
      <w:kern w:val="2"/>
      <w:sz w:val="21"/>
      <w:szCs w:val="24"/>
    </w:rPr>
  </w:style>
  <w:style w:type="character" w:customStyle="1" w:styleId="275">
    <w:name w:val="表格 Char Char"/>
    <w:link w:val="65"/>
    <w:qFormat/>
    <w:uiPriority w:val="0"/>
    <w:rPr>
      <w:kern w:val="2"/>
      <w:sz w:val="24"/>
      <w:szCs w:val="24"/>
    </w:rPr>
  </w:style>
  <w:style w:type="paragraph" w:customStyle="1" w:styleId="276">
    <w:name w:val="河石管道 表格正文"/>
    <w:qFormat/>
    <w:uiPriority w:val="0"/>
    <w:pPr>
      <w:widowControl w:val="0"/>
      <w:jc w:val="both"/>
    </w:pPr>
    <w:rPr>
      <w:rFonts w:ascii="宋体" w:hAnsi="宋体" w:eastAsia="宋体" w:cs="Times New Roman"/>
      <w:color w:val="000000"/>
      <w:kern w:val="2"/>
      <w:sz w:val="21"/>
      <w:szCs w:val="21"/>
      <w:lang w:val="en-US" w:eastAsia="zh-CN" w:bidi="ar-SA"/>
    </w:rPr>
  </w:style>
  <w:style w:type="paragraph" w:customStyle="1" w:styleId="277">
    <w:name w:val="正文（首行缩进两字） Char Char"/>
    <w:basedOn w:val="1"/>
    <w:link w:val="278"/>
    <w:qFormat/>
    <w:uiPriority w:val="0"/>
    <w:pPr>
      <w:autoSpaceDE w:val="0"/>
      <w:autoSpaceDN w:val="0"/>
      <w:adjustRightInd w:val="0"/>
      <w:snapToGrid w:val="0"/>
      <w:spacing w:before="120" w:after="120" w:line="440" w:lineRule="exact"/>
      <w:ind w:firstLine="482"/>
    </w:pPr>
    <w:rPr>
      <w:rFonts w:cs="Arial"/>
      <w:sz w:val="24"/>
      <w:szCs w:val="24"/>
    </w:rPr>
  </w:style>
  <w:style w:type="character" w:customStyle="1" w:styleId="278">
    <w:name w:val="正文（首行缩进两字） Char Char Char"/>
    <w:link w:val="277"/>
    <w:qFormat/>
    <w:locked/>
    <w:uiPriority w:val="0"/>
    <w:rPr>
      <w:rFonts w:ascii="Calibri" w:hAnsi="Calibri" w:eastAsia="宋体" w:cs="Arial"/>
      <w:kern w:val="2"/>
      <w:sz w:val="24"/>
      <w:szCs w:val="24"/>
    </w:rPr>
  </w:style>
  <w:style w:type="paragraph" w:customStyle="1" w:styleId="279">
    <w:name w:val="表格5号无缩"/>
    <w:basedOn w:val="1"/>
    <w:qFormat/>
    <w:uiPriority w:val="0"/>
    <w:pPr>
      <w:spacing w:line="360" w:lineRule="exact"/>
      <w:jc w:val="center"/>
    </w:pPr>
    <w:rPr>
      <w:rFonts w:ascii="Arial" w:hAnsi="Arial" w:cs="Arial"/>
      <w:color w:val="000000"/>
      <w:szCs w:val="21"/>
    </w:rPr>
  </w:style>
  <w:style w:type="paragraph" w:customStyle="1" w:styleId="280">
    <w:name w:val="表题"/>
    <w:basedOn w:val="3"/>
    <w:qFormat/>
    <w:uiPriority w:val="0"/>
    <w:pPr>
      <w:tabs>
        <w:tab w:val="left" w:pos="4305"/>
      </w:tabs>
      <w:spacing w:line="460" w:lineRule="exact"/>
      <w:jc w:val="center"/>
    </w:pPr>
    <w:rPr>
      <w:b/>
    </w:rPr>
  </w:style>
  <w:style w:type="paragraph" w:customStyle="1" w:styleId="281">
    <w:name w:val="bt2"/>
    <w:basedOn w:val="1"/>
    <w:qFormat/>
    <w:uiPriority w:val="0"/>
    <w:pPr>
      <w:spacing w:line="500" w:lineRule="exact"/>
      <w:ind w:firstLine="567"/>
    </w:pPr>
    <w:rPr>
      <w:rFonts w:cs="Arial"/>
      <w:b/>
      <w:sz w:val="30"/>
    </w:rPr>
  </w:style>
  <w:style w:type="paragraph" w:customStyle="1" w:styleId="282">
    <w:name w:val="表格5号缩"/>
    <w:basedOn w:val="1"/>
    <w:qFormat/>
    <w:uiPriority w:val="0"/>
    <w:pPr>
      <w:spacing w:line="360" w:lineRule="exact"/>
      <w:ind w:left="-57" w:right="-57"/>
      <w:jc w:val="center"/>
    </w:pPr>
    <w:rPr>
      <w:rFonts w:ascii="Arial" w:hAnsi="Arial" w:cs="Arial"/>
      <w:szCs w:val="21"/>
    </w:rPr>
  </w:style>
  <w:style w:type="paragraph" w:customStyle="1" w:styleId="283">
    <w:name w:val="表内文字"/>
    <w:basedOn w:val="1"/>
    <w:qFormat/>
    <w:uiPriority w:val="0"/>
    <w:pPr>
      <w:widowControl/>
      <w:snapToGrid w:val="0"/>
      <w:ind w:left="57" w:right="57"/>
      <w:jc w:val="center"/>
    </w:pPr>
    <w:rPr>
      <w:rFonts w:ascii="Times" w:hAnsi="Times" w:cs="Times"/>
      <w:spacing w:val="-20"/>
      <w:kern w:val="0"/>
      <w:szCs w:val="21"/>
    </w:rPr>
  </w:style>
  <w:style w:type="paragraph" w:customStyle="1" w:styleId="284">
    <w:name w:val="样式 标题 3标题 3 Char小标题条标题1.1.1H3B HeadBSH-3二级节名h33rd level..."/>
    <w:basedOn w:val="285"/>
    <w:qFormat/>
    <w:uiPriority w:val="0"/>
    <w:pPr>
      <w:tabs>
        <w:tab w:val="left" w:pos="1021"/>
      </w:tabs>
      <w:snapToGrid w:val="0"/>
      <w:outlineLvl w:val="2"/>
    </w:pPr>
    <w:rPr>
      <w:rFonts w:ascii="Times New Roman" w:hAnsi="Times New Roman" w:cs="Times New Roman"/>
      <w:b/>
      <w:sz w:val="24"/>
      <w:szCs w:val="24"/>
    </w:rPr>
  </w:style>
  <w:style w:type="paragraph" w:customStyle="1" w:styleId="285">
    <w:name w:val="h2"/>
    <w:basedOn w:val="1"/>
    <w:next w:val="17"/>
    <w:qFormat/>
    <w:uiPriority w:val="0"/>
    <w:pPr>
      <w:keepNext/>
      <w:keepLines/>
      <w:spacing w:line="360" w:lineRule="auto"/>
    </w:pPr>
    <w:rPr>
      <w:rFonts w:ascii="Arial" w:hAnsi="Arial" w:eastAsia="黑体" w:cs="Arial"/>
      <w:sz w:val="30"/>
      <w:szCs w:val="30"/>
    </w:rPr>
  </w:style>
  <w:style w:type="character" w:customStyle="1" w:styleId="286">
    <w:name w:val="标题 2 Char1 Char"/>
    <w:basedOn w:val="47"/>
    <w:qFormat/>
    <w:uiPriority w:val="0"/>
    <w:rPr>
      <w:rFonts w:ascii="Arial" w:hAnsi="Arial" w:eastAsia="黑体"/>
      <w:b/>
      <w:bCs/>
      <w:kern w:val="2"/>
      <w:sz w:val="32"/>
      <w:szCs w:val="32"/>
      <w:lang w:val="en-US" w:eastAsia="zh-CN" w:bidi="ar-SA"/>
    </w:rPr>
  </w:style>
  <w:style w:type="paragraph" w:customStyle="1" w:styleId="287">
    <w:name w:val="表内541"/>
    <w:basedOn w:val="1"/>
    <w:qFormat/>
    <w:uiPriority w:val="0"/>
    <w:pPr>
      <w:adjustRightInd w:val="0"/>
      <w:snapToGrid w:val="0"/>
      <w:ind w:left="-89"/>
      <w:jc w:val="center"/>
    </w:pPr>
    <w:rPr>
      <w:rFonts w:ascii="宋体" w:hAnsi="宋体" w:cs="宋体"/>
      <w:sz w:val="24"/>
    </w:rPr>
  </w:style>
  <w:style w:type="character" w:customStyle="1" w:styleId="288">
    <w:name w:val="标题 4 Char2"/>
    <w:basedOn w:val="47"/>
    <w:qFormat/>
    <w:uiPriority w:val="0"/>
    <w:rPr>
      <w:rFonts w:ascii="黑体" w:eastAsia="黑体"/>
      <w:bCs/>
      <w:kern w:val="2"/>
      <w:sz w:val="24"/>
      <w:szCs w:val="28"/>
      <w:lang w:val="en-US" w:eastAsia="zh-CN" w:bidi="ar-SA"/>
    </w:rPr>
  </w:style>
  <w:style w:type="paragraph" w:customStyle="1" w:styleId="289">
    <w:name w:val="正文(首行缩进)"/>
    <w:basedOn w:val="1"/>
    <w:qFormat/>
    <w:uiPriority w:val="0"/>
    <w:pPr>
      <w:spacing w:line="360" w:lineRule="auto"/>
      <w:ind w:firstLine="480" w:firstLineChars="200"/>
    </w:pPr>
    <w:rPr>
      <w:rFonts w:cs="Arial"/>
      <w:snapToGrid w:val="0"/>
      <w:kern w:val="0"/>
      <w:sz w:val="24"/>
    </w:rPr>
  </w:style>
  <w:style w:type="paragraph" w:customStyle="1" w:styleId="290">
    <w:name w:val="表格内容自定"/>
    <w:basedOn w:val="1"/>
    <w:qFormat/>
    <w:uiPriority w:val="0"/>
    <w:pPr>
      <w:spacing w:line="280" w:lineRule="exact"/>
      <w:jc w:val="center"/>
    </w:pPr>
    <w:rPr>
      <w:rFonts w:cs="Arial"/>
      <w:kern w:val="0"/>
      <w:sz w:val="18"/>
      <w:szCs w:val="21"/>
    </w:rPr>
  </w:style>
  <w:style w:type="paragraph" w:customStyle="1" w:styleId="291">
    <w:name w:val="表头 Char Char"/>
    <w:basedOn w:val="1"/>
    <w:qFormat/>
    <w:uiPriority w:val="0"/>
    <w:pPr>
      <w:spacing w:line="440" w:lineRule="exact"/>
      <w:jc w:val="center"/>
    </w:pPr>
    <w:rPr>
      <w:rFonts w:cs="Arial"/>
      <w:spacing w:val="34"/>
      <w:sz w:val="24"/>
    </w:rPr>
  </w:style>
  <w:style w:type="paragraph" w:customStyle="1" w:styleId="292">
    <w:name w:val="文本框 Char Char Char Char Char Char"/>
    <w:basedOn w:val="1"/>
    <w:qFormat/>
    <w:uiPriority w:val="0"/>
    <w:pPr>
      <w:adjustRightInd w:val="0"/>
      <w:snapToGrid w:val="0"/>
      <w:spacing w:line="300" w:lineRule="exact"/>
      <w:jc w:val="center"/>
    </w:pPr>
    <w:rPr>
      <w:rFonts w:cs="Arial"/>
      <w:sz w:val="24"/>
    </w:rPr>
  </w:style>
  <w:style w:type="character" w:customStyle="1" w:styleId="293">
    <w:name w:val="样式 Char"/>
    <w:link w:val="294"/>
    <w:qFormat/>
    <w:uiPriority w:val="0"/>
    <w:rPr>
      <w:rFonts w:ascii="Arial" w:hAnsi="Arial" w:cs="宋体"/>
      <w:kern w:val="2"/>
      <w:sz w:val="24"/>
    </w:rPr>
  </w:style>
  <w:style w:type="paragraph" w:customStyle="1" w:styleId="294">
    <w:name w:val="样式"/>
    <w:basedOn w:val="1"/>
    <w:link w:val="293"/>
    <w:qFormat/>
    <w:uiPriority w:val="0"/>
    <w:pPr>
      <w:widowControl/>
      <w:tabs>
        <w:tab w:val="left" w:pos="900"/>
      </w:tabs>
      <w:spacing w:line="500" w:lineRule="exact"/>
      <w:ind w:firstLine="480" w:firstLineChars="200"/>
      <w:jc w:val="left"/>
    </w:pPr>
    <w:rPr>
      <w:rFonts w:ascii="Arial" w:hAnsi="Arial" w:cs="宋体"/>
      <w:sz w:val="24"/>
      <w:szCs w:val="20"/>
    </w:rPr>
  </w:style>
  <w:style w:type="character" w:customStyle="1" w:styleId="295">
    <w:name w:val="表格 Char"/>
    <w:qFormat/>
    <w:uiPriority w:val="0"/>
    <w:rPr>
      <w:kern w:val="2"/>
      <w:sz w:val="21"/>
      <w:szCs w:val="21"/>
    </w:rPr>
  </w:style>
  <w:style w:type="character" w:customStyle="1" w:styleId="296">
    <w:name w:val="原文22"/>
    <w:qFormat/>
    <w:uiPriority w:val="0"/>
    <w:rPr>
      <w:rFonts w:ascii="Times New Roman" w:hAnsi="Times New Roman" w:eastAsia="宋体"/>
      <w:color w:val="0000FF"/>
      <w:kern w:val="22"/>
      <w:sz w:val="22"/>
    </w:rPr>
  </w:style>
  <w:style w:type="paragraph" w:customStyle="1" w:styleId="297">
    <w:name w:val="表格小5缩"/>
    <w:basedOn w:val="1"/>
    <w:qFormat/>
    <w:uiPriority w:val="0"/>
    <w:pPr>
      <w:spacing w:line="360" w:lineRule="exact"/>
      <w:ind w:left="-57" w:right="-57"/>
      <w:jc w:val="center"/>
    </w:pPr>
    <w:rPr>
      <w:rFonts w:ascii="Arial" w:hAnsi="Arial"/>
      <w:sz w:val="18"/>
      <w:szCs w:val="18"/>
    </w:rPr>
  </w:style>
  <w:style w:type="paragraph" w:customStyle="1" w:styleId="298">
    <w:name w:val="标题431"/>
    <w:basedOn w:val="1"/>
    <w:qFormat/>
    <w:uiPriority w:val="0"/>
    <w:pPr>
      <w:adjustRightInd w:val="0"/>
      <w:snapToGrid w:val="0"/>
      <w:spacing w:line="300" w:lineRule="auto"/>
      <w:jc w:val="left"/>
    </w:pPr>
    <w:rPr>
      <w:rFonts w:ascii="黑体" w:hAnsi="宋体" w:eastAsia="黑体" w:cs="宋体"/>
      <w:sz w:val="24"/>
    </w:rPr>
  </w:style>
  <w:style w:type="paragraph" w:customStyle="1" w:styleId="299">
    <w:name w:val="表题41"/>
    <w:basedOn w:val="3"/>
    <w:qFormat/>
    <w:uiPriority w:val="0"/>
    <w:pPr>
      <w:tabs>
        <w:tab w:val="left" w:pos="4305"/>
      </w:tabs>
      <w:spacing w:line="460" w:lineRule="exact"/>
      <w:jc w:val="center"/>
    </w:pPr>
    <w:rPr>
      <w:szCs w:val="21"/>
    </w:rPr>
  </w:style>
  <w:style w:type="paragraph" w:customStyle="1" w:styleId="300">
    <w:name w:val="列出段落2"/>
    <w:basedOn w:val="1"/>
    <w:qFormat/>
    <w:uiPriority w:val="34"/>
    <w:pPr>
      <w:ind w:firstLine="420" w:firstLineChars="200"/>
    </w:pPr>
  </w:style>
  <w:style w:type="paragraph" w:customStyle="1" w:styleId="301">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color w:val="000000"/>
      <w:sz w:val="24"/>
    </w:rPr>
  </w:style>
  <w:style w:type="paragraph" w:customStyle="1" w:styleId="302">
    <w:name w:val="表内容"/>
    <w:basedOn w:val="1"/>
    <w:next w:val="1"/>
    <w:qFormat/>
    <w:uiPriority w:val="0"/>
    <w:pPr>
      <w:spacing w:line="320" w:lineRule="exact"/>
      <w:jc w:val="center"/>
    </w:pPr>
    <w:rPr>
      <w:szCs w:val="20"/>
    </w:rPr>
  </w:style>
  <w:style w:type="paragraph" w:customStyle="1" w:styleId="30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304">
    <w:name w:val="默认 A"/>
    <w:qFormat/>
    <w:uiPriority w:val="0"/>
    <w:rPr>
      <w:rFonts w:ascii="Helvetica" w:hAnsi="Helvetica" w:eastAsia="Arial Unicode MS" w:cs="Arial Unicode MS"/>
      <w:color w:val="000000"/>
      <w:sz w:val="22"/>
      <w:szCs w:val="22"/>
      <w:u w:color="000000"/>
      <w:lang w:val="en-US" w:eastAsia="zh-CN" w:bidi="ar-SA"/>
    </w:rPr>
  </w:style>
  <w:style w:type="paragraph" w:customStyle="1" w:styleId="305">
    <w:name w:val="样式 首行缩进:  1.04 厘米"/>
    <w:qFormat/>
    <w:uiPriority w:val="0"/>
    <w:pPr>
      <w:widowControl w:val="0"/>
      <w:spacing w:line="360" w:lineRule="auto"/>
    </w:pPr>
    <w:rPr>
      <w:rFonts w:ascii="Times New Roman" w:hAnsi="Times New Roman" w:eastAsia="Arial Unicode MS" w:cs="Arial Unicode MS"/>
      <w:color w:val="000000"/>
      <w:sz w:val="24"/>
      <w:szCs w:val="24"/>
      <w:u w:color="000000"/>
      <w:lang w:val="en-US" w:eastAsia="zh-CN" w:bidi="ar-SA"/>
    </w:rPr>
  </w:style>
  <w:style w:type="paragraph" w:customStyle="1" w:styleId="306">
    <w:name w:val="本文格式"/>
    <w:qFormat/>
    <w:uiPriority w:val="0"/>
    <w:pPr>
      <w:widowControl w:val="0"/>
      <w:spacing w:line="360" w:lineRule="exact"/>
      <w:ind w:firstLine="476"/>
      <w:jc w:val="both"/>
    </w:pPr>
    <w:rPr>
      <w:rFonts w:ascii="Arial Unicode MS" w:hAnsi="Arial Unicode MS"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8" Type="http://schemas.openxmlformats.org/officeDocument/2006/relationships/fontTable" Target="fontTable.xml"/><Relationship Id="rId77" Type="http://schemas.openxmlformats.org/officeDocument/2006/relationships/customXml" Target="../customXml/item8.xml"/><Relationship Id="rId76" Type="http://schemas.openxmlformats.org/officeDocument/2006/relationships/customXml" Target="../customXml/item7.xml"/><Relationship Id="rId75" Type="http://schemas.openxmlformats.org/officeDocument/2006/relationships/customXml" Target="../customXml/item6.xml"/><Relationship Id="rId74" Type="http://schemas.openxmlformats.org/officeDocument/2006/relationships/customXml" Target="../customXml/item5.xml"/><Relationship Id="rId73" Type="http://schemas.openxmlformats.org/officeDocument/2006/relationships/customXml" Target="../customXml/item4.xml"/><Relationship Id="rId72" Type="http://schemas.openxmlformats.org/officeDocument/2006/relationships/customXml" Target="../customXml/item3.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2.xml"/><Relationship Id="rId69" Type="http://schemas.openxmlformats.org/officeDocument/2006/relationships/customXml" Target="../customXml/item1.xml"/><Relationship Id="rId68" Type="http://schemas.openxmlformats.org/officeDocument/2006/relationships/image" Target="media/image47.png"/><Relationship Id="rId67" Type="http://schemas.openxmlformats.org/officeDocument/2006/relationships/image" Target="media/image46.wmf"/><Relationship Id="rId66" Type="http://schemas.openxmlformats.org/officeDocument/2006/relationships/oleObject" Target="embeddings/oleObject2.bin"/><Relationship Id="rId65" Type="http://schemas.openxmlformats.org/officeDocument/2006/relationships/image" Target="media/image45.wmf"/><Relationship Id="rId64" Type="http://schemas.openxmlformats.org/officeDocument/2006/relationships/oleObject" Target="embeddings/oleObject1.bin"/><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3.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wmf"/><Relationship Id="rId55" Type="http://schemas.openxmlformats.org/officeDocument/2006/relationships/image" Target="media/image36.wmf"/><Relationship Id="rId54" Type="http://schemas.openxmlformats.org/officeDocument/2006/relationships/image" Target="media/image35.wmf"/><Relationship Id="rId53" Type="http://schemas.openxmlformats.org/officeDocument/2006/relationships/image" Target="media/image34.wmf"/><Relationship Id="rId52" Type="http://schemas.openxmlformats.org/officeDocument/2006/relationships/image" Target="media/image33.wmf"/><Relationship Id="rId51" Type="http://schemas.openxmlformats.org/officeDocument/2006/relationships/image" Target="media/image32.wmf"/><Relationship Id="rId50" Type="http://schemas.openxmlformats.org/officeDocument/2006/relationships/image" Target="media/image31.wmf"/><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wmf"/><Relationship Id="rId27" Type="http://schemas.openxmlformats.org/officeDocument/2006/relationships/image" Target="media/image8.emf"/><Relationship Id="rId26" Type="http://schemas.openxmlformats.org/officeDocument/2006/relationships/image" Target="media/image7.emf"/><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wmf"/><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D2ABD-DD31-4824-82FB-631D24114412}">
  <ds:schemaRefs/>
</ds:datastoreItem>
</file>

<file path=customXml/itemProps3.xml><?xml version="1.0" encoding="utf-8"?>
<ds:datastoreItem xmlns:ds="http://schemas.openxmlformats.org/officeDocument/2006/customXml" ds:itemID="{58C3AB31-9FED-4F0D-913F-3E62915848D0}">
  <ds:schemaRefs/>
</ds:datastoreItem>
</file>

<file path=customXml/itemProps4.xml><?xml version="1.0" encoding="utf-8"?>
<ds:datastoreItem xmlns:ds="http://schemas.openxmlformats.org/officeDocument/2006/customXml" ds:itemID="{FA2CC268-F8EC-470F-A7F5-74A34CCE9642}">
  <ds:schemaRefs/>
</ds:datastoreItem>
</file>

<file path=customXml/itemProps5.xml><?xml version="1.0" encoding="utf-8"?>
<ds:datastoreItem xmlns:ds="http://schemas.openxmlformats.org/officeDocument/2006/customXml" ds:itemID="{82CA0ABE-8D8C-43C1-A43A-A69FFE1C6773}">
  <ds:schemaRefs/>
</ds:datastoreItem>
</file>

<file path=customXml/itemProps6.xml><?xml version="1.0" encoding="utf-8"?>
<ds:datastoreItem xmlns:ds="http://schemas.openxmlformats.org/officeDocument/2006/customXml" ds:itemID="{0F5D1AE4-F5F6-4475-89E8-F8BF79760AAA}">
  <ds:schemaRefs/>
</ds:datastoreItem>
</file>

<file path=customXml/itemProps7.xml><?xml version="1.0" encoding="utf-8"?>
<ds:datastoreItem xmlns:ds="http://schemas.openxmlformats.org/officeDocument/2006/customXml" ds:itemID="{4C199FA5-E275-43D3-8014-28F316956426}">
  <ds:schemaRefs/>
</ds:datastoreItem>
</file>

<file path=customXml/itemProps8.xml><?xml version="1.0" encoding="utf-8"?>
<ds:datastoreItem xmlns:ds="http://schemas.openxmlformats.org/officeDocument/2006/customXml" ds:itemID="{43180313-012F-4688-87E7-908CBF674144}">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Pages>
  <Words>17097</Words>
  <Characters>97457</Characters>
  <Lines>812</Lines>
  <Paragraphs>228</Paragraphs>
  <TotalTime>17</TotalTime>
  <ScaleCrop>false</ScaleCrop>
  <LinksUpToDate>false</LinksUpToDate>
  <CharactersWithSpaces>114326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报告书</cp:category>
  <dcterms:created xsi:type="dcterms:W3CDTF">2020-07-05T07:39:00Z</dcterms:created>
  <dc:creator>Gary;刘宇灏 博环</dc:creator>
  <cp:lastModifiedBy>13745</cp:lastModifiedBy>
  <cp:lastPrinted>2019-08-02T08:19:00Z</cp:lastPrinted>
  <dcterms:modified xsi:type="dcterms:W3CDTF">2020-07-07T16:25:27Z</dcterms:modified>
  <dc:title>岳阳市凌峰化工有限公司二期（石油炼化废弃物综合利用）环境影响报告书</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