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200"/>
        <w:ind w:right="79" w:rightChars="33"/>
        <w:jc w:val="center"/>
        <w:rPr>
          <w:rFonts w:hint="eastAsia"/>
          <w:b/>
          <w:sz w:val="52"/>
          <w:szCs w:val="52"/>
        </w:rPr>
      </w:pPr>
    </w:p>
    <w:p>
      <w:pPr>
        <w:spacing w:afterLines="200"/>
        <w:ind w:right="79" w:rightChars="33"/>
        <w:jc w:val="center"/>
        <w:rPr>
          <w:b/>
          <w:sz w:val="52"/>
          <w:szCs w:val="52"/>
        </w:rPr>
      </w:pPr>
      <w:r>
        <w:rPr>
          <w:rFonts w:hint="eastAsia"/>
          <w:b/>
          <w:sz w:val="44"/>
          <w:szCs w:val="44"/>
        </w:rPr>
        <w:t>华容县桥东污水处理厂2万m</w:t>
      </w:r>
      <w:r>
        <w:rPr>
          <w:rFonts w:hint="eastAsia"/>
          <w:b/>
          <w:sz w:val="44"/>
          <w:szCs w:val="44"/>
          <w:vertAlign w:val="superscript"/>
        </w:rPr>
        <w:t>3</w:t>
      </w:r>
      <w:r>
        <w:rPr>
          <w:rFonts w:hint="eastAsia"/>
          <w:b/>
          <w:sz w:val="44"/>
          <w:szCs w:val="44"/>
        </w:rPr>
        <w:t>/d建设项目</w:t>
      </w:r>
    </w:p>
    <w:p>
      <w:pPr>
        <w:spacing w:afterLines="200"/>
        <w:ind w:right="79" w:rightChars="33"/>
        <w:jc w:val="center"/>
        <w:rPr>
          <w:b/>
          <w:spacing w:val="50"/>
          <w:sz w:val="84"/>
          <w:szCs w:val="84"/>
        </w:rPr>
      </w:pPr>
      <w:r>
        <w:rPr>
          <w:b/>
          <w:spacing w:val="50"/>
          <w:sz w:val="84"/>
          <w:szCs w:val="84"/>
        </w:rPr>
        <w:t>环境影响报告书</w:t>
      </w:r>
    </w:p>
    <w:p>
      <w:pPr>
        <w:ind w:right="79" w:rightChars="33"/>
        <w:jc w:val="center"/>
        <w:rPr>
          <w:sz w:val="28"/>
        </w:rPr>
      </w:pPr>
      <w:r>
        <w:rPr>
          <w:sz w:val="28"/>
        </w:rPr>
        <w:t>（</w:t>
      </w:r>
      <w:r>
        <w:rPr>
          <w:rFonts w:hint="eastAsia"/>
          <w:sz w:val="28"/>
        </w:rPr>
        <w:t>报批</w:t>
      </w:r>
      <w:r>
        <w:rPr>
          <w:sz w:val="28"/>
        </w:rPr>
        <w:t>稿）</w:t>
      </w:r>
    </w:p>
    <w:p>
      <w:pPr>
        <w:ind w:right="79" w:rightChars="33"/>
        <w:jc w:val="center"/>
        <w:rPr>
          <w:sz w:val="28"/>
        </w:rPr>
      </w:pPr>
    </w:p>
    <w:p>
      <w:pPr>
        <w:ind w:right="79" w:rightChars="33"/>
        <w:jc w:val="center"/>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pStyle w:val="43"/>
        <w:rPr>
          <w:sz w:val="28"/>
        </w:rPr>
      </w:pPr>
    </w:p>
    <w:p>
      <w:pPr>
        <w:pStyle w:val="48"/>
        <w:rPr>
          <w:sz w:val="28"/>
        </w:rPr>
      </w:pPr>
    </w:p>
    <w:p>
      <w:pPr>
        <w:pStyle w:val="48"/>
        <w:rPr>
          <w:sz w:val="28"/>
        </w:rPr>
      </w:pPr>
    </w:p>
    <w:p>
      <w:pPr>
        <w:pStyle w:val="48"/>
        <w:rPr>
          <w:sz w:val="28"/>
        </w:rPr>
      </w:pPr>
    </w:p>
    <w:p>
      <w:pPr>
        <w:ind w:right="79" w:rightChars="33"/>
        <w:rPr>
          <w:sz w:val="28"/>
        </w:rPr>
      </w:pPr>
    </w:p>
    <w:tbl>
      <w:tblPr>
        <w:tblStyle w:val="38"/>
        <w:tblW w:w="9196" w:type="dxa"/>
        <w:jc w:val="center"/>
        <w:tblLayout w:type="fixed"/>
        <w:tblCellMar>
          <w:top w:w="0" w:type="dxa"/>
          <w:left w:w="108" w:type="dxa"/>
          <w:bottom w:w="0" w:type="dxa"/>
          <w:right w:w="108" w:type="dxa"/>
        </w:tblCellMar>
      </w:tblPr>
      <w:tblGrid>
        <w:gridCol w:w="2190"/>
        <w:gridCol w:w="7006"/>
      </w:tblGrid>
      <w:tr>
        <w:tblPrEx>
          <w:tblCellMar>
            <w:top w:w="0" w:type="dxa"/>
            <w:left w:w="108" w:type="dxa"/>
            <w:bottom w:w="0" w:type="dxa"/>
            <w:right w:w="108" w:type="dxa"/>
          </w:tblCellMar>
        </w:tblPrEx>
        <w:trPr>
          <w:trHeight w:val="575" w:hRule="atLeast"/>
          <w:jc w:val="center"/>
        </w:trPr>
        <w:tc>
          <w:tcPr>
            <w:tcW w:w="2190" w:type="dxa"/>
          </w:tcPr>
          <w:p>
            <w:pPr>
              <w:spacing w:line="480" w:lineRule="auto"/>
              <w:ind w:right="79" w:rightChars="33"/>
              <w:jc w:val="center"/>
              <w:rPr>
                <w:b/>
                <w:sz w:val="36"/>
                <w:szCs w:val="36"/>
              </w:rPr>
            </w:pPr>
            <w:r>
              <w:rPr>
                <w:b/>
                <w:sz w:val="36"/>
                <w:szCs w:val="36"/>
              </w:rPr>
              <w:t>建设单位：</w:t>
            </w:r>
          </w:p>
        </w:tc>
        <w:tc>
          <w:tcPr>
            <w:tcW w:w="7006" w:type="dxa"/>
          </w:tcPr>
          <w:p>
            <w:pPr>
              <w:spacing w:line="480" w:lineRule="auto"/>
              <w:ind w:right="79" w:rightChars="33"/>
              <w:jc w:val="distribute"/>
              <w:rPr>
                <w:b/>
                <w:sz w:val="36"/>
                <w:szCs w:val="36"/>
              </w:rPr>
            </w:pPr>
            <w:r>
              <w:rPr>
                <w:rFonts w:hint="eastAsia"/>
                <w:b/>
                <w:sz w:val="36"/>
                <w:szCs w:val="36"/>
              </w:rPr>
              <w:t>华容国祯惠华环保科技有限责任公司</w:t>
            </w:r>
          </w:p>
        </w:tc>
      </w:tr>
      <w:tr>
        <w:tblPrEx>
          <w:tblCellMar>
            <w:top w:w="0" w:type="dxa"/>
            <w:left w:w="108" w:type="dxa"/>
            <w:bottom w:w="0" w:type="dxa"/>
            <w:right w:w="108" w:type="dxa"/>
          </w:tblCellMar>
        </w:tblPrEx>
        <w:trPr>
          <w:trHeight w:val="575" w:hRule="atLeast"/>
          <w:jc w:val="center"/>
        </w:trPr>
        <w:tc>
          <w:tcPr>
            <w:tcW w:w="2190" w:type="dxa"/>
          </w:tcPr>
          <w:p>
            <w:pPr>
              <w:spacing w:line="480" w:lineRule="auto"/>
              <w:ind w:right="79" w:rightChars="33"/>
              <w:jc w:val="center"/>
              <w:rPr>
                <w:b/>
                <w:sz w:val="36"/>
                <w:szCs w:val="36"/>
              </w:rPr>
            </w:pPr>
            <w:r>
              <w:rPr>
                <w:b/>
                <w:sz w:val="36"/>
                <w:szCs w:val="36"/>
              </w:rPr>
              <w:t>环评单位：</w:t>
            </w:r>
          </w:p>
        </w:tc>
        <w:tc>
          <w:tcPr>
            <w:tcW w:w="7006" w:type="dxa"/>
          </w:tcPr>
          <w:p>
            <w:pPr>
              <w:spacing w:line="480" w:lineRule="auto"/>
              <w:ind w:right="79" w:rightChars="33"/>
              <w:jc w:val="distribute"/>
              <w:rPr>
                <w:b/>
                <w:sz w:val="36"/>
                <w:szCs w:val="36"/>
              </w:rPr>
            </w:pPr>
            <w:r>
              <w:rPr>
                <w:rFonts w:hint="eastAsia"/>
                <w:b/>
                <w:sz w:val="36"/>
                <w:szCs w:val="36"/>
              </w:rPr>
              <w:t>江西景瑞祥环保科技有限公司</w:t>
            </w:r>
          </w:p>
        </w:tc>
      </w:tr>
    </w:tbl>
    <w:p>
      <w:pPr>
        <w:pStyle w:val="43"/>
        <w:rPr>
          <w:b/>
          <w:spacing w:val="20"/>
          <w:sz w:val="36"/>
        </w:rPr>
      </w:pPr>
    </w:p>
    <w:p>
      <w:pPr>
        <w:pStyle w:val="48"/>
      </w:pPr>
    </w:p>
    <w:p>
      <w:pPr>
        <w:pStyle w:val="24"/>
        <w:ind w:left="5254" w:leftChars="0" w:right="79" w:rightChars="33" w:hanging="5254" w:hangingChars="1309"/>
        <w:jc w:val="center"/>
        <w:rPr>
          <w:b/>
          <w:spacing w:val="20"/>
          <w:sz w:val="36"/>
        </w:rPr>
        <w:sectPr>
          <w:pgSz w:w="11906" w:h="16838"/>
          <w:pgMar w:top="1440" w:right="1440" w:bottom="1440" w:left="1440" w:header="851" w:footer="680" w:gutter="0"/>
          <w:pgBorders>
            <w:top w:val="none" w:sz="0" w:space="0"/>
            <w:left w:val="none" w:sz="0" w:space="0"/>
            <w:bottom w:val="none" w:sz="0" w:space="0"/>
            <w:right w:val="none" w:sz="0" w:space="0"/>
          </w:pgBorders>
          <w:pgNumType w:start="1"/>
          <w:cols w:space="425" w:num="1"/>
          <w:docGrid w:type="lines" w:linePitch="326" w:charSpace="0"/>
        </w:sectPr>
      </w:pPr>
      <w:r>
        <w:rPr>
          <w:b/>
          <w:spacing w:val="20"/>
          <w:sz w:val="36"/>
        </w:rPr>
        <w:t>二〇二〇年</w:t>
      </w:r>
      <w:r>
        <w:rPr>
          <w:rFonts w:hint="eastAsia"/>
          <w:b/>
          <w:spacing w:val="20"/>
          <w:sz w:val="36"/>
          <w:lang w:eastAsia="zh-CN"/>
        </w:rPr>
        <w:t>七</w:t>
      </w:r>
      <w:r>
        <w:rPr>
          <w:b/>
          <w:spacing w:val="20"/>
          <w:sz w:val="36"/>
        </w:rPr>
        <w:t>月</w:t>
      </w:r>
    </w:p>
    <w:p>
      <w:pPr>
        <w:jc w:val="center"/>
        <w:rPr>
          <w:rFonts w:hint="eastAsia" w:ascii="Times New Roman" w:hAnsi="Times New Roman" w:cs="Times New Roman" w:eastAsiaTheme="minorEastAsia"/>
          <w:b/>
          <w:bCs/>
          <w:sz w:val="30"/>
          <w:szCs w:val="30"/>
          <w:vertAlign w:val="baseline"/>
          <w:lang w:val="en-US" w:eastAsia="zh-CN"/>
        </w:rPr>
      </w:pPr>
      <w:r>
        <w:rPr>
          <w:rFonts w:hint="default" w:ascii="Times New Roman" w:hAnsi="Times New Roman" w:cs="Times New Roman"/>
          <w:b/>
          <w:bCs/>
          <w:color w:val="000000" w:themeColor="text1"/>
          <w:sz w:val="30"/>
          <w:szCs w:val="30"/>
        </w:rPr>
        <w:t>华容县桥东污水处理厂2万m</w:t>
      </w:r>
      <w:r>
        <w:rPr>
          <w:rFonts w:hint="default" w:ascii="Times New Roman" w:hAnsi="Times New Roman" w:cs="Times New Roman"/>
          <w:b/>
          <w:bCs/>
          <w:color w:val="000000" w:themeColor="text1"/>
          <w:sz w:val="30"/>
          <w:szCs w:val="30"/>
          <w:vertAlign w:val="superscript"/>
        </w:rPr>
        <w:t>3</w:t>
      </w:r>
      <w:r>
        <w:rPr>
          <w:rFonts w:hint="default" w:ascii="Times New Roman" w:hAnsi="Times New Roman" w:cs="Times New Roman"/>
          <w:b/>
          <w:bCs/>
          <w:color w:val="000000" w:themeColor="text1"/>
          <w:sz w:val="30"/>
          <w:szCs w:val="30"/>
        </w:rPr>
        <w:t>/d</w:t>
      </w:r>
      <w:r>
        <w:rPr>
          <w:rFonts w:hint="eastAsia" w:cs="Times New Roman"/>
          <w:b/>
          <w:bCs/>
          <w:color w:val="000000" w:themeColor="text1"/>
          <w:sz w:val="30"/>
          <w:szCs w:val="30"/>
          <w:lang w:eastAsia="zh-CN"/>
        </w:rPr>
        <w:t>建设项目</w:t>
      </w:r>
      <w:r>
        <w:rPr>
          <w:rFonts w:hint="eastAsia" w:ascii="Times New Roman" w:hAnsi="Times New Roman" w:cs="Times New Roman"/>
          <w:b/>
          <w:bCs/>
          <w:color w:val="000000" w:themeColor="text1"/>
          <w:sz w:val="30"/>
          <w:szCs w:val="30"/>
          <w:lang w:eastAsia="zh-CN"/>
        </w:rPr>
        <w:t>修改说明</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5319"/>
        <w:gridCol w:w="2903"/>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序号</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专家意见</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4997"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一、项目概况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2878" w:type="pct"/>
            <w:vAlign w:val="center"/>
          </w:tcPr>
          <w:p>
            <w:pPr>
              <w:keepNext w:val="0"/>
              <w:keepLines w:val="0"/>
              <w:pageBreakBefore w:val="0"/>
              <w:widowControl w:val="0"/>
              <w:numPr>
                <w:ilvl w:val="0"/>
                <w:numId w:val="0"/>
              </w:numPr>
              <w:tabs>
                <w:tab w:val="left" w:pos="993"/>
              </w:tabs>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根据项目重大变更重新报批环评（补办）的实际情况，完善</w:t>
            </w:r>
            <w:r>
              <w:rPr>
                <w:rFonts w:hint="eastAsia"/>
                <w:b/>
                <w:sz w:val="21"/>
                <w:szCs w:val="21"/>
              </w:rPr>
              <w:t>项目背景</w:t>
            </w:r>
            <w:r>
              <w:rPr>
                <w:rFonts w:hint="eastAsia"/>
                <w:b/>
                <w:sz w:val="21"/>
                <w:szCs w:val="21"/>
                <w:lang w:eastAsia="zh-CN"/>
              </w:rPr>
              <w:t>、</w:t>
            </w:r>
            <w:r>
              <w:rPr>
                <w:rFonts w:hint="eastAsia"/>
                <w:b/>
                <w:sz w:val="21"/>
                <w:szCs w:val="21"/>
              </w:rPr>
              <w:t>由来</w:t>
            </w:r>
            <w:r>
              <w:rPr>
                <w:rFonts w:hint="eastAsia"/>
                <w:b/>
                <w:sz w:val="21"/>
                <w:szCs w:val="21"/>
                <w:lang w:eastAsia="zh-CN"/>
              </w:rPr>
              <w:t>、现状，明确项目建设内容及运行时间，重点说明变化内容及建设情况；明确配套管网建设情况；完善项目现有存在的问题及解决措施。</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已修改项目的重大变更重新报批环评（补办）的实际情况，具体文本P1~2，已说明变化内容和建设情况，具体见文本P1，已明确管网的建设情况，具体见文本P46~47。已完善项目现有存在的问题及解决措施，具体见文本P67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进一步调查纳污范围及接纳的水质、水量（生活污水涉及的人口规模水量及工业废水），尤其是接纳的石伏工业园的废水种类、成分及数量，调查是否有涉及其他的特征污染因子、高浓度、高盐分的废水进入，明确工业废水进入本项目污水处理厂的接纳方式</w:t>
            </w:r>
            <w:r>
              <w:rPr>
                <w:rFonts w:hint="eastAsia"/>
                <w:b/>
                <w:sz w:val="21"/>
                <w:szCs w:val="21"/>
              </w:rPr>
              <w:t>。</w:t>
            </w:r>
            <w:r>
              <w:rPr>
                <w:rFonts w:hint="eastAsia"/>
                <w:b/>
                <w:sz w:val="21"/>
                <w:szCs w:val="21"/>
                <w:lang w:eastAsia="zh-CN"/>
              </w:rPr>
              <w:t>明确提出对工业污水的接纳浓度及行业定位等准入要求</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已进一步调查纳污范围及接纳的水质、水量等，具体见文本P54-55，已调查接入的是否工业园的企业的废水种类，具体见文本P55-56。已明确废水进入本项目的接纳方式和不能进入本项目污水处理厂的项目，具体见文本P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补充项目排污口的设置情况，明确不得设置溢流口，以及对因防洪排涝要求已设置的超越管依法依规提出严格的限制要求</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已补充项目排污口的设置情况，具体见文本P57-58。已明确本项目不得设施溢流口，具体见文本P58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4997" w:type="pct"/>
            <w:gridSpan w:val="3"/>
            <w:vAlign w:val="center"/>
          </w:tcPr>
          <w:p>
            <w:pPr>
              <w:keepNext w:val="0"/>
              <w:keepLines w:val="0"/>
              <w:pageBreakBefore w:val="0"/>
              <w:widowControl w:val="0"/>
              <w:tabs>
                <w:tab w:val="left" w:pos="993"/>
              </w:tabs>
              <w:kinsoku/>
              <w:wordWrap/>
              <w:overflowPunct/>
              <w:topLinePunct w:val="0"/>
              <w:autoSpaceDE/>
              <w:autoSpaceDN/>
              <w:bidi w:val="0"/>
              <w:adjustRightInd w:val="0"/>
              <w:snapToGrid w:val="0"/>
              <w:spacing w:before="156" w:beforeLines="50" w:after="156" w:afterLines="50" w:line="240" w:lineRule="auto"/>
              <w:jc w:val="center"/>
              <w:textAlignment w:val="auto"/>
              <w:rPr>
                <w:b/>
                <w:sz w:val="21"/>
                <w:szCs w:val="21"/>
              </w:rPr>
            </w:pPr>
            <w:r>
              <w:rPr>
                <w:b/>
                <w:sz w:val="21"/>
                <w:szCs w:val="21"/>
              </w:rPr>
              <w:t>二、</w:t>
            </w:r>
            <w:r>
              <w:rPr>
                <w:rFonts w:hint="eastAsia"/>
                <w:b/>
                <w:sz w:val="21"/>
                <w:szCs w:val="21"/>
              </w:rPr>
              <w:t>评价标准、</w:t>
            </w:r>
            <w:r>
              <w:rPr>
                <w:b/>
                <w:sz w:val="21"/>
                <w:szCs w:val="21"/>
              </w:rPr>
              <w:t>环境保护目标及环境</w:t>
            </w:r>
            <w:r>
              <w:rPr>
                <w:rFonts w:hint="eastAsia"/>
                <w:b/>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val="en-US" w:eastAsia="zh-CN"/>
              </w:rPr>
              <w:t>进一步收集补充华容河的地表水环境质量现状监测数据、</w:t>
            </w:r>
            <w:r>
              <w:rPr>
                <w:rFonts w:hint="eastAsia"/>
                <w:b/>
                <w:sz w:val="21"/>
                <w:szCs w:val="21"/>
                <w:lang w:eastAsia="zh-CN"/>
              </w:rPr>
              <w:t>大气环境质量和地下水环境质量现状监测数据，核实项目环境保护目标，</w:t>
            </w:r>
            <w:r>
              <w:rPr>
                <w:rFonts w:hint="eastAsia"/>
                <w:b/>
                <w:sz w:val="21"/>
                <w:szCs w:val="21"/>
              </w:rPr>
              <w:t>校核项目</w:t>
            </w:r>
            <w:r>
              <w:rPr>
                <w:rFonts w:hint="eastAsia"/>
                <w:b/>
                <w:sz w:val="21"/>
                <w:szCs w:val="21"/>
                <w:lang w:eastAsia="zh-CN"/>
              </w:rPr>
              <w:t>土壤评价等级</w:t>
            </w:r>
            <w:r>
              <w:rPr>
                <w:rFonts w:hint="eastAsia"/>
                <w:b/>
                <w:sz w:val="21"/>
                <w:szCs w:val="21"/>
              </w:rPr>
              <w:t>及评价范围</w:t>
            </w:r>
            <w:r>
              <w:rPr>
                <w:rFonts w:hint="eastAsia"/>
                <w:b/>
                <w:sz w:val="21"/>
                <w:szCs w:val="21"/>
                <w:lang w:eastAsia="zh-CN"/>
              </w:rPr>
              <w:t>，完善相关图件</w:t>
            </w:r>
            <w:r>
              <w:rPr>
                <w:rFonts w:hint="eastAsia"/>
                <w:b/>
                <w:sz w:val="21"/>
                <w:szCs w:val="21"/>
              </w:rPr>
              <w:t>。</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color w:val="000000" w:themeColor="text1"/>
                <w:sz w:val="21"/>
                <w:szCs w:val="21"/>
                <w:vertAlign w:val="baseline"/>
                <w:lang w:val="en-US" w:eastAsia="zh-CN"/>
              </w:rPr>
              <w:t>已进一步收集补充华容河地表水环境质量现状，具体见文本P78-79</w:t>
            </w:r>
            <w:r>
              <w:rPr>
                <w:rFonts w:hint="eastAsia" w:ascii="Times New Roman" w:hAnsi="Times New Roman" w:cs="Times New Roman"/>
                <w:sz w:val="21"/>
                <w:szCs w:val="21"/>
                <w:vertAlign w:val="baseline"/>
                <w:lang w:val="en-US" w:eastAsia="zh-CN"/>
              </w:rPr>
              <w:t>已补充仅三年华容河水质监测断面的监测数据具体见文本P99-100，已补充地下水环境质量监测数据，具体见文本P80-82；已核实大气环境质量监测，具体见文本83-84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2878" w:type="pct"/>
            <w:vAlign w:val="center"/>
          </w:tcPr>
          <w:p>
            <w:pPr>
              <w:keepNext w:val="0"/>
              <w:keepLines w:val="0"/>
              <w:pageBreakBefore w:val="0"/>
              <w:widowControl w:val="0"/>
              <w:tabs>
                <w:tab w:val="left" w:pos="993"/>
              </w:tabs>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调查纳污范围内现有企业的废水排放情况，明确主要涉水企业排放的废水量、废水浓度及水质；调查周边企业的污染源情况；补充调查项目运行期进、出口的水量、水质情况。</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已调查纳污范围内现有企业的废水排放情况，并明确主要涉水企业排放的废水量、废水浓度及水质，具体见文本P55-56，已补充本项目进水口的水质情况，具体见文本P57；已补充本项目出口2019年的水质情况，具体见文本P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4997" w:type="pct"/>
            <w:gridSpan w:val="3"/>
            <w:vAlign w:val="center"/>
          </w:tcPr>
          <w:p>
            <w:pPr>
              <w:keepNext w:val="0"/>
              <w:keepLines w:val="0"/>
              <w:pageBreakBefore w:val="0"/>
              <w:widowControl w:val="0"/>
              <w:tabs>
                <w:tab w:val="left" w:pos="993"/>
              </w:tabs>
              <w:kinsoku/>
              <w:wordWrap/>
              <w:overflowPunct/>
              <w:topLinePunct w:val="0"/>
              <w:autoSpaceDE/>
              <w:autoSpaceDN/>
              <w:bidi w:val="0"/>
              <w:adjustRightInd w:val="0"/>
              <w:snapToGrid w:val="0"/>
              <w:spacing w:before="156" w:beforeLines="50" w:after="156" w:afterLines="50" w:line="240" w:lineRule="auto"/>
              <w:jc w:val="center"/>
              <w:textAlignment w:val="auto"/>
              <w:rPr>
                <w:b/>
                <w:sz w:val="21"/>
                <w:szCs w:val="21"/>
              </w:rPr>
            </w:pPr>
            <w:r>
              <w:rPr>
                <w:b/>
                <w:sz w:val="21"/>
                <w:szCs w:val="21"/>
              </w:rPr>
              <w:t>三、工程分析</w:t>
            </w:r>
            <w:r>
              <w:rPr>
                <w:rFonts w:hint="eastAsia"/>
                <w:b/>
                <w:sz w:val="21"/>
                <w:szCs w:val="21"/>
              </w:rPr>
              <w:t>、</w:t>
            </w:r>
            <w:r>
              <w:rPr>
                <w:b/>
                <w:sz w:val="21"/>
                <w:szCs w:val="21"/>
              </w:rPr>
              <w:t>环境影响分析及污染防治措施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val="en-US" w:eastAsia="zh-CN"/>
              </w:rPr>
              <w:t>补充对项目各处理单元进、出口的水质监测数据，</w:t>
            </w:r>
            <w:r>
              <w:rPr>
                <w:rFonts w:hint="eastAsia"/>
                <w:b/>
                <w:sz w:val="21"/>
                <w:szCs w:val="21"/>
              </w:rPr>
              <w:t>细化项目生产工艺流程及产污节点说明，</w:t>
            </w:r>
            <w:r>
              <w:rPr>
                <w:rFonts w:hint="eastAsia"/>
                <w:b/>
                <w:sz w:val="21"/>
                <w:szCs w:val="21"/>
                <w:lang w:eastAsia="zh-CN"/>
              </w:rPr>
              <w:t>列表细化各处理单元的处理效率，强化采取的工艺可行性和达标可行性分析；补充项目投入使用以来的污染防治设施运行情况及效果分析。补充预测项目满负荷运行对华容河枯水期的环境影响分析。</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已补充项目各处理单元进、出的水质监测数据，具体见文本P53，已细化生产工艺流程及产物节点说明，具体见文本P51-52。已补充预测项目满负荷运行对华容河枯水期的环境影响分析，具体见文本P102-107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根据现有</w:t>
            </w:r>
            <w:r>
              <w:rPr>
                <w:rFonts w:hint="eastAsia"/>
                <w:b/>
                <w:sz w:val="21"/>
                <w:szCs w:val="21"/>
              </w:rPr>
              <w:t>废</w:t>
            </w:r>
            <w:r>
              <w:rPr>
                <w:rFonts w:hint="eastAsia"/>
                <w:b/>
                <w:sz w:val="21"/>
                <w:szCs w:val="21"/>
                <w:lang w:eastAsia="zh-CN"/>
              </w:rPr>
              <w:t>气</w:t>
            </w:r>
            <w:r>
              <w:rPr>
                <w:rFonts w:hint="eastAsia"/>
                <w:b/>
                <w:sz w:val="21"/>
                <w:szCs w:val="21"/>
              </w:rPr>
              <w:t>处理</w:t>
            </w:r>
            <w:r>
              <w:rPr>
                <w:rFonts w:hint="eastAsia"/>
                <w:b/>
                <w:sz w:val="21"/>
                <w:szCs w:val="21"/>
                <w:lang w:eastAsia="zh-CN"/>
              </w:rPr>
              <w:t>设施的运行效果和类比调查</w:t>
            </w:r>
            <w:r>
              <w:rPr>
                <w:rFonts w:hint="eastAsia"/>
                <w:b/>
                <w:sz w:val="21"/>
                <w:szCs w:val="21"/>
              </w:rPr>
              <w:t>，</w:t>
            </w:r>
            <w:r>
              <w:rPr>
                <w:rFonts w:hint="eastAsia"/>
                <w:b/>
                <w:sz w:val="21"/>
                <w:szCs w:val="21"/>
                <w:lang w:eastAsia="zh-CN"/>
              </w:rPr>
              <w:t>据此</w:t>
            </w:r>
            <w:r>
              <w:rPr>
                <w:rFonts w:hint="eastAsia"/>
                <w:b/>
                <w:sz w:val="21"/>
                <w:szCs w:val="21"/>
              </w:rPr>
              <w:t>强化废气处理措施和处理效率的可达性分析</w:t>
            </w:r>
            <w:r>
              <w:rPr>
                <w:rFonts w:hint="eastAsia"/>
                <w:b/>
                <w:sz w:val="21"/>
                <w:szCs w:val="21"/>
                <w:lang w:eastAsia="zh-CN"/>
              </w:rPr>
              <w:t>，提出周边土地利用的控规建议</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已对现有废气处理设施进行现场监测，具体见文本P63~65，已根据实测数据说明本项目废气处理措施的达标性，具体见文本P139，本项目周边土地属于工业用地，具体见附图六，本项目与工业园的位置关系图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2878" w:type="pct"/>
            <w:vAlign w:val="center"/>
          </w:tcPr>
          <w:p>
            <w:pPr>
              <w:keepNext w:val="0"/>
              <w:keepLines w:val="0"/>
              <w:pageBreakBefore w:val="0"/>
              <w:widowControl w:val="0"/>
              <w:numPr>
                <w:ilvl w:val="0"/>
                <w:numId w:val="0"/>
              </w:numPr>
              <w:tabs>
                <w:tab w:val="left" w:pos="993"/>
              </w:tabs>
              <w:kinsoku/>
              <w:wordWrap/>
              <w:overflowPunct/>
              <w:topLinePunct w:val="0"/>
              <w:autoSpaceDE/>
              <w:autoSpaceDN/>
              <w:bidi w:val="0"/>
              <w:adjustRightInd w:val="0"/>
              <w:snapToGrid w:val="0"/>
              <w:spacing w:line="240" w:lineRule="auto"/>
              <w:ind w:leftChars="0" w:firstLine="422" w:firstLineChars="200"/>
              <w:jc w:val="center"/>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核实生物除臭是否产生固废，根据现有工程及相应环保设施的实际运行情况</w:t>
            </w:r>
            <w:r>
              <w:rPr>
                <w:rFonts w:hint="eastAsia"/>
                <w:b/>
                <w:sz w:val="21"/>
                <w:szCs w:val="21"/>
              </w:rPr>
              <w:t>，核实本项目产生的各类</w:t>
            </w:r>
            <w:r>
              <w:rPr>
                <w:rFonts w:hint="eastAsia"/>
                <w:b/>
                <w:sz w:val="21"/>
                <w:szCs w:val="21"/>
                <w:lang w:eastAsia="zh-CN"/>
              </w:rPr>
              <w:t>固体</w:t>
            </w:r>
            <w:r>
              <w:rPr>
                <w:rFonts w:hint="eastAsia"/>
                <w:b/>
                <w:sz w:val="21"/>
                <w:szCs w:val="21"/>
              </w:rPr>
              <w:t>废物数量和处理处置措施</w:t>
            </w:r>
            <w:r>
              <w:rPr>
                <w:rFonts w:hint="eastAsia"/>
                <w:b/>
                <w:sz w:val="21"/>
                <w:szCs w:val="21"/>
                <w:lang w:eastAsia="zh-CN"/>
              </w:rPr>
              <w:t>。</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已核实生物除臭产的固废情况，具体见文本P64，已核实本项目产生的各类固废数量和处理措施，具体见文本P64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4</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rPr>
              <w:t>完善项目</w:t>
            </w:r>
            <w:r>
              <w:rPr>
                <w:rFonts w:hint="eastAsia"/>
                <w:b/>
                <w:sz w:val="21"/>
                <w:szCs w:val="21"/>
                <w:lang w:eastAsia="zh-CN"/>
              </w:rPr>
              <w:t>环境效益分析，补充项目减排等正效益计算，补充其对改善华容河水质的影响分析</w:t>
            </w:r>
            <w:r>
              <w:rPr>
                <w:rFonts w:hint="eastAsia"/>
                <w:b/>
                <w:sz w:val="21"/>
                <w:szCs w:val="21"/>
              </w:rPr>
              <w:t>。</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已完善环境效益分析，补充项目减排正效益计算，补充其对华容河水质影响的分析，具体见文本P146~147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28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b/>
                <w:sz w:val="21"/>
                <w:szCs w:val="21"/>
                <w:lang w:eastAsia="zh-CN"/>
              </w:rPr>
              <w:t>补充项目的检修方式、周期及事故应急排放的风险防控措施，强化其对污水处理厂运行的影响；补充排污口设置的相关文件。</w:t>
            </w: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已补充项目的检修方式、周期及事故应急排放的风险防范措施以强化对其污水处理厂的影响，具体见文本P132，已补充排污口论证的批复意见，具体见附件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4997" w:type="pct"/>
            <w:gridSpan w:val="3"/>
            <w:vAlign w:val="center"/>
          </w:tcPr>
          <w:p>
            <w:pPr>
              <w:keepNext w:val="0"/>
              <w:keepLines w:val="0"/>
              <w:pageBreakBefore w:val="0"/>
              <w:widowControl w:val="0"/>
              <w:tabs>
                <w:tab w:val="left" w:pos="993"/>
              </w:tabs>
              <w:kinsoku/>
              <w:wordWrap/>
              <w:overflowPunct/>
              <w:topLinePunct w:val="0"/>
              <w:autoSpaceDE/>
              <w:autoSpaceDN/>
              <w:bidi w:val="0"/>
              <w:adjustRightInd w:val="0"/>
              <w:snapToGrid w:val="0"/>
              <w:spacing w:before="156" w:beforeLines="50" w:after="156" w:afterLines="50" w:line="240" w:lineRule="auto"/>
              <w:jc w:val="center"/>
              <w:textAlignment w:val="auto"/>
              <w:rPr>
                <w:rFonts w:hint="eastAsia"/>
                <w:b/>
                <w:sz w:val="21"/>
                <w:szCs w:val="21"/>
              </w:rPr>
            </w:pPr>
            <w:r>
              <w:rPr>
                <w:rFonts w:hint="eastAsia"/>
                <w:b/>
                <w:sz w:val="21"/>
                <w:szCs w:val="21"/>
              </w:rPr>
              <w:t>四</w:t>
            </w:r>
            <w:r>
              <w:rPr>
                <w:b/>
                <w:sz w:val="21"/>
                <w:szCs w:val="21"/>
              </w:rPr>
              <w:t>、项目可行性</w:t>
            </w:r>
            <w:r>
              <w:rPr>
                <w:rFonts w:hint="eastAsia"/>
                <w:b/>
                <w:sz w:val="21"/>
                <w:szCs w:val="21"/>
              </w:rPr>
              <w:t>及其他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2878" w:type="pct"/>
            <w:vAlign w:val="center"/>
          </w:tcPr>
          <w:p>
            <w:pPr>
              <w:keepNext w:val="0"/>
              <w:keepLines w:val="0"/>
              <w:pageBreakBefore w:val="0"/>
              <w:widowControl w:val="0"/>
              <w:tabs>
                <w:tab w:val="left" w:pos="993"/>
              </w:tabs>
              <w:kinsoku/>
              <w:wordWrap/>
              <w:overflowPunct/>
              <w:topLinePunct w:val="0"/>
              <w:autoSpaceDE/>
              <w:autoSpaceDN/>
              <w:bidi w:val="0"/>
              <w:adjustRightInd w:val="0"/>
              <w:snapToGrid w:val="0"/>
              <w:spacing w:line="240" w:lineRule="auto"/>
              <w:ind w:firstLine="422" w:firstLineChars="200"/>
              <w:jc w:val="center"/>
              <w:textAlignment w:val="auto"/>
              <w:rPr>
                <w:rFonts w:hint="eastAsia"/>
                <w:b/>
                <w:sz w:val="21"/>
                <w:szCs w:val="21"/>
              </w:rPr>
            </w:pPr>
            <w:r>
              <w:rPr>
                <w:rFonts w:hint="eastAsia"/>
                <w:b/>
                <w:sz w:val="21"/>
                <w:szCs w:val="21"/>
              </w:rPr>
              <w:t>完善项目</w:t>
            </w:r>
            <w:r>
              <w:rPr>
                <w:rFonts w:hint="eastAsia"/>
                <w:b/>
                <w:sz w:val="21"/>
                <w:szCs w:val="21"/>
                <w:lang w:eastAsia="zh-CN"/>
              </w:rPr>
              <w:t>平面布置图（标注环保设施及排放口等）</w:t>
            </w:r>
            <w:r>
              <w:rPr>
                <w:rFonts w:hint="eastAsia"/>
                <w:b/>
                <w:sz w:val="21"/>
                <w:szCs w:val="21"/>
              </w:rPr>
              <w:t>，</w:t>
            </w:r>
            <w:r>
              <w:rPr>
                <w:rFonts w:hint="eastAsia"/>
                <w:b/>
                <w:sz w:val="21"/>
                <w:szCs w:val="21"/>
                <w:lang w:eastAsia="zh-CN"/>
              </w:rPr>
              <w:t>补充水系图和监测布点图等附图。附件补充项目工艺设计的初步审查的专家意见及结论。校核项目总量控制要求，补充计算总磷、总氮控制指标，</w:t>
            </w:r>
            <w:r>
              <w:rPr>
                <w:rFonts w:hint="eastAsia"/>
                <w:b/>
                <w:sz w:val="21"/>
                <w:szCs w:val="21"/>
              </w:rPr>
              <w:t>核实项目环保投资</w:t>
            </w:r>
            <w:r>
              <w:rPr>
                <w:rFonts w:hint="eastAsia"/>
                <w:b/>
                <w:sz w:val="21"/>
                <w:szCs w:val="21"/>
                <w:lang w:eastAsia="zh-CN"/>
              </w:rPr>
              <w:t>，细化竣工环保验收一览表</w:t>
            </w:r>
            <w:r>
              <w:rPr>
                <w:rFonts w:hint="eastAsia"/>
                <w:b/>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p>
        </w:tc>
        <w:tc>
          <w:tcPr>
            <w:tcW w:w="1573"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已完善平面布置图，具体见附图，已补充水系图和监测布点等附图。附件一补充工艺设计的初步审查的专家意见及结论，具体见附件，已校核项目的总量控制要求，补充总磷和总氮的控制指标要求，具体见文本P153。已核实项目环保投资、具体见文本P145，细化竣工环保验收一览表，具体见文本P153</w:t>
            </w:r>
          </w:p>
        </w:tc>
      </w:tr>
    </w:tbl>
    <w:p>
      <w:pPr>
        <w:sectPr>
          <w:pgSz w:w="11906" w:h="16838"/>
          <w:pgMar w:top="1440" w:right="1440" w:bottom="1440" w:left="1440" w:header="851" w:footer="680" w:gutter="0"/>
          <w:pgBorders>
            <w:top w:val="none" w:sz="0" w:space="0"/>
            <w:left w:val="none" w:sz="0" w:space="0"/>
            <w:bottom w:val="none" w:sz="0" w:space="0"/>
            <w:right w:val="none" w:sz="0" w:space="0"/>
          </w:pgBorders>
          <w:pgNumType w:start="1"/>
          <w:cols w:space="425" w:num="1"/>
          <w:docGrid w:type="lines" w:linePitch="326" w:charSpace="0"/>
        </w:sectPr>
      </w:pPr>
    </w:p>
    <w:p>
      <w:pPr>
        <w:pStyle w:val="3"/>
      </w:pPr>
    </w:p>
    <w:p>
      <w:pPr>
        <w:jc w:val="center"/>
        <w:rPr>
          <w:rFonts w:cs="Times New Roman"/>
          <w:b/>
          <w:color w:val="000000" w:themeColor="text1"/>
          <w:sz w:val="28"/>
          <w:szCs w:val="28"/>
        </w:rPr>
      </w:pPr>
      <w:r>
        <w:rPr>
          <w:rFonts w:hint="eastAsia" w:cs="Times New Roman"/>
          <w:b/>
          <w:color w:val="000000" w:themeColor="text1"/>
          <w:sz w:val="28"/>
          <w:szCs w:val="28"/>
        </w:rPr>
        <w:t>目 录</w:t>
      </w:r>
      <w:r>
        <w:rPr>
          <w:rFonts w:cs="Times New Roman"/>
          <w:b/>
          <w:color w:val="000000" w:themeColor="text1"/>
          <w:sz w:val="28"/>
          <w:szCs w:val="28"/>
        </w:rPr>
        <w:fldChar w:fldCharType="begin"/>
      </w:r>
      <w:r>
        <w:rPr>
          <w:rFonts w:cs="Times New Roman"/>
          <w:b/>
          <w:color w:val="000000" w:themeColor="text1"/>
          <w:sz w:val="28"/>
          <w:szCs w:val="28"/>
        </w:rPr>
        <w:instrText xml:space="preserve"> TOC \o "1-2" \h \z \u </w:instrText>
      </w:r>
      <w:r>
        <w:rPr>
          <w:rFonts w:cs="Times New Roman"/>
          <w:b/>
          <w:color w:val="000000" w:themeColor="text1"/>
          <w:sz w:val="28"/>
          <w:szCs w:val="28"/>
        </w:rPr>
        <w:fldChar w:fldCharType="separate"/>
      </w:r>
    </w:p>
    <w:p>
      <w:pPr>
        <w:pStyle w:val="28"/>
        <w:tabs>
          <w:tab w:val="right" w:leader="dot" w:pos="9026"/>
        </w:tabs>
        <w:jc w:val="center"/>
        <w:rPr>
          <w:rFonts w:ascii="Times New Roman" w:hAnsi="Times New Roman" w:cs="Times New Roman"/>
        </w:rPr>
      </w:pPr>
      <w:r>
        <w:fldChar w:fldCharType="begin"/>
      </w:r>
      <w:r>
        <w:instrText xml:space="preserve"> HYPERLINK \l "_Toc17073" </w:instrText>
      </w:r>
      <w:r>
        <w:fldChar w:fldCharType="separate"/>
      </w:r>
      <w:r>
        <w:rPr>
          <w:rFonts w:ascii="Times New Roman" w:hAnsi="Times New Roman" w:cs="Times New Roman"/>
        </w:rPr>
        <w:t>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_Toc17073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"_Toc23854" </w:instrText>
      </w:r>
      <w:r>
        <w:fldChar w:fldCharType="separate"/>
      </w:r>
      <w:r>
        <w:rPr>
          <w:rFonts w:ascii="Times New Roman" w:hAnsi="Times New Roman" w:cs="Times New Roman"/>
          <w:i w:val="0"/>
          <w:iCs w:val="0"/>
        </w:rPr>
        <w:t>Ⅰ项目由来</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_Toc23854 </w:instrText>
      </w:r>
      <w:r>
        <w:rPr>
          <w:rFonts w:ascii="Times New Roman" w:hAnsi="Times New Roman" w:cs="Times New Roman"/>
          <w:i w:val="0"/>
          <w:iCs w:val="0"/>
        </w:rPr>
        <w:fldChar w:fldCharType="separate"/>
      </w:r>
      <w:r>
        <w:rPr>
          <w:rFonts w:ascii="Times New Roman" w:hAnsi="Times New Roman" w:cs="Times New Roman"/>
          <w:i w:val="0"/>
          <w:iCs w:val="0"/>
        </w:rPr>
        <w:t>1</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"_Toc28730" </w:instrText>
      </w:r>
      <w:r>
        <w:fldChar w:fldCharType="separate"/>
      </w:r>
      <w:r>
        <w:rPr>
          <w:rFonts w:ascii="Times New Roman" w:hAnsi="Times New Roman" w:cs="Times New Roman"/>
          <w:i w:val="0"/>
          <w:iCs w:val="0"/>
        </w:rPr>
        <w:t>Ⅱ评价目的和原则</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_Toc28730 </w:instrText>
      </w:r>
      <w:r>
        <w:rPr>
          <w:rFonts w:ascii="Times New Roman" w:hAnsi="Times New Roman" w:cs="Times New Roman"/>
          <w:i w:val="0"/>
          <w:iCs w:val="0"/>
        </w:rPr>
        <w:fldChar w:fldCharType="separate"/>
      </w:r>
      <w:r>
        <w:rPr>
          <w:rFonts w:ascii="Times New Roman" w:hAnsi="Times New Roman" w:cs="Times New Roman"/>
          <w:i w:val="0"/>
          <w:iCs w:val="0"/>
        </w:rPr>
        <w:t>2</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"_Toc6073" </w:instrText>
      </w:r>
      <w:r>
        <w:fldChar w:fldCharType="separate"/>
      </w:r>
      <w:r>
        <w:rPr>
          <w:rFonts w:ascii="Times New Roman" w:hAnsi="Times New Roman" w:cs="Times New Roman"/>
          <w:i w:val="0"/>
          <w:iCs w:val="0"/>
        </w:rPr>
        <w:t>Ⅲ环境影响评价工作过程</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_Toc6073 </w:instrText>
      </w:r>
      <w:r>
        <w:rPr>
          <w:rFonts w:ascii="Times New Roman" w:hAnsi="Times New Roman" w:cs="Times New Roman"/>
          <w:i w:val="0"/>
          <w:iCs w:val="0"/>
        </w:rPr>
        <w:fldChar w:fldCharType="separate"/>
      </w:r>
      <w:r>
        <w:rPr>
          <w:rFonts w:ascii="Times New Roman" w:hAnsi="Times New Roman" w:cs="Times New Roman"/>
          <w:i w:val="0"/>
          <w:iCs w:val="0"/>
        </w:rPr>
        <w:t>3</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"_Toc9924" </w:instrText>
      </w:r>
      <w:r>
        <w:fldChar w:fldCharType="separate"/>
      </w:r>
      <w:r>
        <w:rPr>
          <w:rFonts w:ascii="Times New Roman" w:hAnsi="Times New Roman" w:cs="Times New Roman"/>
          <w:i w:val="0"/>
          <w:iCs w:val="0"/>
        </w:rPr>
        <w:t>Ⅳ本次环境影响评价关注的主要问题</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_Toc9924 </w:instrText>
      </w:r>
      <w:r>
        <w:rPr>
          <w:rFonts w:ascii="Times New Roman" w:hAnsi="Times New Roman" w:cs="Times New Roman"/>
          <w:i w:val="0"/>
          <w:iCs w:val="0"/>
        </w:rPr>
        <w:fldChar w:fldCharType="separate"/>
      </w:r>
      <w:r>
        <w:rPr>
          <w:rFonts w:ascii="Times New Roman" w:hAnsi="Times New Roman" w:cs="Times New Roman"/>
          <w:i w:val="0"/>
          <w:iCs w:val="0"/>
        </w:rPr>
        <w:t>5</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"_Toc12990" </w:instrText>
      </w:r>
      <w:r>
        <w:fldChar w:fldCharType="separate"/>
      </w:r>
      <w:r>
        <w:rPr>
          <w:rFonts w:ascii="Times New Roman" w:hAnsi="Times New Roman" w:cs="Times New Roman"/>
          <w:i w:val="0"/>
          <w:iCs w:val="0"/>
        </w:rPr>
        <w:t>Ⅴ分析判定相关情况</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_Toc12990 </w:instrText>
      </w:r>
      <w:r>
        <w:rPr>
          <w:rFonts w:ascii="Times New Roman" w:hAnsi="Times New Roman" w:cs="Times New Roman"/>
          <w:i w:val="0"/>
          <w:iCs w:val="0"/>
        </w:rPr>
        <w:fldChar w:fldCharType="separate"/>
      </w:r>
      <w:r>
        <w:rPr>
          <w:rFonts w:ascii="Times New Roman" w:hAnsi="Times New Roman" w:cs="Times New Roman"/>
          <w:i w:val="0"/>
          <w:iCs w:val="0"/>
        </w:rPr>
        <w:t>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"_Toc18028" </w:instrText>
      </w:r>
      <w:r>
        <w:fldChar w:fldCharType="separate"/>
      </w:r>
      <w:r>
        <w:rPr>
          <w:rFonts w:ascii="Times New Roman" w:hAnsi="Times New Roman" w:cs="Times New Roman"/>
          <w:i w:val="0"/>
          <w:iCs w:val="0"/>
        </w:rPr>
        <w:t>Ⅵ本环评影响报告书的主要结论</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_Toc18028 </w:instrText>
      </w:r>
      <w:r>
        <w:rPr>
          <w:rFonts w:ascii="Times New Roman" w:hAnsi="Times New Roman" w:cs="Times New Roman"/>
          <w:i w:val="0"/>
          <w:iCs w:val="0"/>
        </w:rPr>
        <w:fldChar w:fldCharType="separate"/>
      </w:r>
      <w:r>
        <w:rPr>
          <w:rFonts w:ascii="Times New Roman" w:hAnsi="Times New Roman" w:cs="Times New Roman"/>
          <w:i w:val="0"/>
          <w:iCs w:val="0"/>
        </w:rPr>
        <w:t>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"_Toc31680" </w:instrText>
      </w:r>
      <w:r>
        <w:fldChar w:fldCharType="separate"/>
      </w:r>
      <w:r>
        <w:rPr>
          <w:rFonts w:ascii="Times New Roman" w:hAnsi="Times New Roman" w:cs="Times New Roman"/>
        </w:rPr>
        <w:t>1 总论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_Toc31680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"_Toc1312" </w:instrText>
      </w:r>
      <w:r>
        <w:fldChar w:fldCharType="separate"/>
      </w:r>
      <w:r>
        <w:rPr>
          <w:rFonts w:ascii="Times New Roman" w:hAnsi="Times New Roman" w:cs="Times New Roman"/>
          <w:i w:val="0"/>
          <w:iCs w:val="0"/>
        </w:rPr>
        <w:t>1.1 编制依据</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_Toc1312 </w:instrText>
      </w:r>
      <w:r>
        <w:rPr>
          <w:rFonts w:ascii="Times New Roman" w:hAnsi="Times New Roman" w:cs="Times New Roman"/>
          <w:i w:val="0"/>
          <w:iCs w:val="0"/>
        </w:rPr>
        <w:fldChar w:fldCharType="separate"/>
      </w:r>
      <w:r>
        <w:rPr>
          <w:rFonts w:ascii="Times New Roman" w:hAnsi="Times New Roman" w:cs="Times New Roman"/>
          <w:i w:val="0"/>
          <w:iCs w:val="0"/>
        </w:rPr>
        <w:t>7</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"_Toc15769" </w:instrText>
      </w:r>
      <w:r>
        <w:fldChar w:fldCharType="separate"/>
      </w:r>
      <w:r>
        <w:rPr>
          <w:rFonts w:ascii="Times New Roman" w:hAnsi="Times New Roman" w:cs="Times New Roman"/>
          <w:i w:val="0"/>
          <w:iCs w:val="0"/>
        </w:rPr>
        <w:t>1.2 环境影响因素识别和评价因子筛选</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_Toc15769 </w:instrText>
      </w:r>
      <w:r>
        <w:rPr>
          <w:rFonts w:ascii="Times New Roman" w:hAnsi="Times New Roman" w:cs="Times New Roman"/>
          <w:i w:val="0"/>
          <w:iCs w:val="0"/>
        </w:rPr>
        <w:fldChar w:fldCharType="separate"/>
      </w:r>
      <w:r>
        <w:rPr>
          <w:rFonts w:ascii="Times New Roman" w:hAnsi="Times New Roman" w:cs="Times New Roman"/>
          <w:i w:val="0"/>
          <w:iCs w:val="0"/>
        </w:rPr>
        <w:t>8</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"_Toc25678" </w:instrText>
      </w:r>
      <w:r>
        <w:fldChar w:fldCharType="separate"/>
      </w:r>
      <w:r>
        <w:rPr>
          <w:rFonts w:ascii="Times New Roman" w:hAnsi="Times New Roman" w:cs="Times New Roman"/>
          <w:i w:val="0"/>
          <w:iCs w:val="0"/>
        </w:rPr>
        <w:t>1.3 评价标准</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_Toc25678 </w:instrText>
      </w:r>
      <w:r>
        <w:rPr>
          <w:rFonts w:ascii="Times New Roman" w:hAnsi="Times New Roman" w:cs="Times New Roman"/>
          <w:i w:val="0"/>
          <w:iCs w:val="0"/>
        </w:rPr>
        <w:fldChar w:fldCharType="separate"/>
      </w:r>
      <w:r>
        <w:rPr>
          <w:rFonts w:ascii="Times New Roman" w:hAnsi="Times New Roman" w:cs="Times New Roman"/>
          <w:i w:val="0"/>
          <w:iCs w:val="0"/>
        </w:rPr>
        <w:t>12</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"_Toc22017" </w:instrText>
      </w:r>
      <w:r>
        <w:fldChar w:fldCharType="separate"/>
      </w:r>
      <w:r>
        <w:rPr>
          <w:rFonts w:ascii="Times New Roman" w:hAnsi="Times New Roman" w:cs="Times New Roman"/>
          <w:i w:val="0"/>
          <w:iCs w:val="0"/>
        </w:rPr>
        <w:t>1.4 评价等级</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_Toc22017 </w:instrText>
      </w:r>
      <w:r>
        <w:rPr>
          <w:rFonts w:ascii="Times New Roman" w:hAnsi="Times New Roman" w:cs="Times New Roman"/>
          <w:i w:val="0"/>
          <w:iCs w:val="0"/>
        </w:rPr>
        <w:fldChar w:fldCharType="separate"/>
      </w:r>
      <w:r>
        <w:rPr>
          <w:rFonts w:ascii="Times New Roman" w:hAnsi="Times New Roman" w:cs="Times New Roman"/>
          <w:i w:val="0"/>
          <w:iCs w:val="0"/>
        </w:rPr>
        <w:t>16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"_Toc3303" </w:instrText>
      </w:r>
      <w:r>
        <w:fldChar w:fldCharType="separate"/>
      </w:r>
      <w:r>
        <w:rPr>
          <w:rFonts w:ascii="Times New Roman" w:hAnsi="Times New Roman" w:cs="Times New Roman"/>
          <w:i w:val="0"/>
          <w:iCs w:val="0"/>
        </w:rPr>
        <w:t>1.5 评价范围</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_Toc3303 </w:instrText>
      </w:r>
      <w:r>
        <w:rPr>
          <w:rFonts w:ascii="Times New Roman" w:hAnsi="Times New Roman" w:cs="Times New Roman"/>
          <w:i w:val="0"/>
          <w:iCs w:val="0"/>
        </w:rPr>
        <w:fldChar w:fldCharType="separate"/>
      </w:r>
      <w:r>
        <w:rPr>
          <w:rFonts w:ascii="Times New Roman" w:hAnsi="Times New Roman" w:cs="Times New Roman"/>
          <w:i w:val="0"/>
          <w:iCs w:val="0"/>
        </w:rPr>
        <w:t>22</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"_Toc19434" </w:instrText>
      </w:r>
      <w:r>
        <w:fldChar w:fldCharType="separate"/>
      </w:r>
      <w:r>
        <w:rPr>
          <w:rFonts w:ascii="Times New Roman" w:hAnsi="Times New Roman" w:cs="Times New Roman"/>
          <w:i w:val="0"/>
          <w:iCs w:val="0"/>
        </w:rPr>
        <w:t>1.6 环境保护目标</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_Toc19434 </w:instrText>
      </w:r>
      <w:r>
        <w:rPr>
          <w:rFonts w:ascii="Times New Roman" w:hAnsi="Times New Roman" w:cs="Times New Roman"/>
          <w:i w:val="0"/>
          <w:iCs w:val="0"/>
        </w:rPr>
        <w:fldChar w:fldCharType="separate"/>
      </w:r>
      <w:r>
        <w:rPr>
          <w:rFonts w:ascii="Times New Roman" w:hAnsi="Times New Roman" w:cs="Times New Roman"/>
          <w:i w:val="0"/>
          <w:iCs w:val="0"/>
        </w:rPr>
        <w:t>23</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"_Toc3248" </w:instrText>
      </w:r>
      <w:r>
        <w:fldChar w:fldCharType="separate"/>
      </w:r>
      <w:r>
        <w:rPr>
          <w:rFonts w:ascii="Times New Roman" w:hAnsi="Times New Roman" w:cs="Times New Roman"/>
        </w:rPr>
        <w:t>2 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_Toc3248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"_Toc5663" </w:instrText>
      </w:r>
      <w:r>
        <w:fldChar w:fldCharType="separate"/>
      </w:r>
      <w:r>
        <w:rPr>
          <w:rFonts w:ascii="Times New Roman" w:hAnsi="Times New Roman" w:cs="Times New Roman"/>
          <w:i w:val="0"/>
          <w:iCs w:val="0"/>
        </w:rPr>
        <w:t>2.1 工程概况</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_Toc5663 </w:instrText>
      </w:r>
      <w:r>
        <w:rPr>
          <w:rFonts w:ascii="Times New Roman" w:hAnsi="Times New Roman" w:cs="Times New Roman"/>
          <w:i w:val="0"/>
          <w:iCs w:val="0"/>
        </w:rPr>
        <w:fldChar w:fldCharType="separate"/>
      </w:r>
      <w:r>
        <w:rPr>
          <w:rFonts w:ascii="Times New Roman" w:hAnsi="Times New Roman" w:cs="Times New Roman"/>
          <w:i w:val="0"/>
          <w:iCs w:val="0"/>
        </w:rPr>
        <w:t>25</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"_Toc1788" </w:instrText>
      </w:r>
      <w:r>
        <w:fldChar w:fldCharType="separate"/>
      </w:r>
      <w:r>
        <w:rPr>
          <w:rFonts w:ascii="Times New Roman" w:hAnsi="Times New Roman" w:cs="Times New Roman"/>
          <w:i w:val="0"/>
          <w:iCs w:val="0"/>
        </w:rPr>
        <w:t>2.2 工艺流程简介</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_Toc1788 </w:instrText>
      </w:r>
      <w:r>
        <w:rPr>
          <w:rFonts w:ascii="Times New Roman" w:hAnsi="Times New Roman" w:cs="Times New Roman"/>
          <w:i w:val="0"/>
          <w:iCs w:val="0"/>
        </w:rPr>
        <w:fldChar w:fldCharType="separate"/>
      </w:r>
      <w:r>
        <w:rPr>
          <w:rFonts w:ascii="Times New Roman" w:hAnsi="Times New Roman" w:cs="Times New Roman"/>
          <w:i w:val="0"/>
          <w:iCs w:val="0"/>
        </w:rPr>
        <w:t>49</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"_Toc31634" </w:instrText>
      </w:r>
      <w:r>
        <w:fldChar w:fldCharType="separate"/>
      </w:r>
      <w:r>
        <w:rPr>
          <w:rFonts w:ascii="Times New Roman" w:hAnsi="Times New Roman" w:cs="Times New Roman"/>
          <w:i w:val="0"/>
          <w:iCs w:val="0"/>
        </w:rPr>
        <w:t>2.3 工程分析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_Toc31634 </w:instrText>
      </w:r>
      <w:r>
        <w:rPr>
          <w:rFonts w:ascii="Times New Roman" w:hAnsi="Times New Roman" w:cs="Times New Roman"/>
          <w:i w:val="0"/>
          <w:iCs w:val="0"/>
        </w:rPr>
        <w:fldChar w:fldCharType="separate"/>
      </w:r>
      <w:r>
        <w:rPr>
          <w:rFonts w:ascii="Times New Roman" w:hAnsi="Times New Roman" w:cs="Times New Roman"/>
          <w:i w:val="0"/>
          <w:iCs w:val="0"/>
        </w:rPr>
        <w:t>52</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"_Toc15421" </w:instrText>
      </w:r>
      <w:r>
        <w:fldChar w:fldCharType="separate"/>
      </w:r>
      <w:r>
        <w:rPr>
          <w:rFonts w:ascii="Times New Roman" w:hAnsi="Times New Roman" w:cs="Times New Roman"/>
          <w:i w:val="0"/>
          <w:iCs w:val="0"/>
        </w:rPr>
        <w:t>2.4 工程污染源分析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_Toc15421 </w:instrText>
      </w:r>
      <w:r>
        <w:rPr>
          <w:rFonts w:ascii="Times New Roman" w:hAnsi="Times New Roman" w:cs="Times New Roman"/>
          <w:i w:val="0"/>
          <w:iCs w:val="0"/>
        </w:rPr>
        <w:fldChar w:fldCharType="separate"/>
      </w:r>
      <w:r>
        <w:rPr>
          <w:rFonts w:ascii="Times New Roman" w:hAnsi="Times New Roman" w:cs="Times New Roman"/>
          <w:i w:val="0"/>
          <w:iCs w:val="0"/>
        </w:rPr>
        <w:t>53</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"_Toc808" </w:instrText>
      </w:r>
      <w:r>
        <w:fldChar w:fldCharType="separate"/>
      </w:r>
      <w:r>
        <w:rPr>
          <w:rFonts w:ascii="Times New Roman" w:hAnsi="Times New Roman" w:cs="Times New Roman"/>
          <w:i w:val="0"/>
          <w:iCs w:val="0"/>
        </w:rPr>
        <w:t>2.5 现有工程“三废”排放情况监测统计</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_Toc808 </w:instrText>
      </w:r>
      <w:r>
        <w:rPr>
          <w:rFonts w:ascii="Times New Roman" w:hAnsi="Times New Roman" w:cs="Times New Roman"/>
          <w:i w:val="0"/>
          <w:iCs w:val="0"/>
        </w:rPr>
        <w:fldChar w:fldCharType="separate"/>
      </w:r>
      <w:r>
        <w:rPr>
          <w:rFonts w:ascii="Times New Roman" w:hAnsi="Times New Roman" w:cs="Times New Roman"/>
          <w:i w:val="0"/>
          <w:iCs w:val="0"/>
        </w:rPr>
        <w:t>58</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"_Toc9998" </w:instrText>
      </w:r>
      <w:r>
        <w:fldChar w:fldCharType="separate"/>
      </w:r>
      <w:r>
        <w:rPr>
          <w:rFonts w:ascii="Times New Roman" w:hAnsi="Times New Roman" w:cs="Times New Roman"/>
        </w:rPr>
        <w:t>3 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_Toc9998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"_Toc22300" </w:instrText>
      </w:r>
      <w:r>
        <w:fldChar w:fldCharType="separate"/>
      </w:r>
      <w:r>
        <w:rPr>
          <w:rFonts w:ascii="Times New Roman" w:hAnsi="Times New Roman" w:cs="Times New Roman"/>
          <w:i w:val="0"/>
          <w:iCs w:val="0"/>
        </w:rPr>
        <w:t>3.1 自然环境概况</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_Toc22300 </w:instrText>
      </w:r>
      <w:r>
        <w:rPr>
          <w:rFonts w:ascii="Times New Roman" w:hAnsi="Times New Roman" w:cs="Times New Roman"/>
          <w:i w:val="0"/>
          <w:iCs w:val="0"/>
        </w:rPr>
        <w:fldChar w:fldCharType="separate"/>
      </w:r>
      <w:r>
        <w:rPr>
          <w:rFonts w:ascii="Times New Roman" w:hAnsi="Times New Roman" w:cs="Times New Roman"/>
          <w:i w:val="0"/>
          <w:iCs w:val="0"/>
        </w:rPr>
        <w:t>64</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"_Toc8868" </w:instrText>
      </w:r>
      <w:r>
        <w:fldChar w:fldCharType="separate"/>
      </w:r>
      <w:r>
        <w:rPr>
          <w:rFonts w:ascii="Times New Roman" w:hAnsi="Times New Roman" w:cs="Times New Roman"/>
          <w:i w:val="0"/>
          <w:iCs w:val="0"/>
        </w:rPr>
        <w:t>3.2 华容县石伏工业园简介</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_Toc8868 </w:instrText>
      </w:r>
      <w:r>
        <w:rPr>
          <w:rFonts w:ascii="Times New Roman" w:hAnsi="Times New Roman" w:cs="Times New Roman"/>
          <w:i w:val="0"/>
          <w:iCs w:val="0"/>
        </w:rPr>
        <w:fldChar w:fldCharType="separate"/>
      </w:r>
      <w:r>
        <w:rPr>
          <w:rFonts w:ascii="Times New Roman" w:hAnsi="Times New Roman" w:cs="Times New Roman"/>
          <w:i w:val="0"/>
          <w:iCs w:val="0"/>
        </w:rPr>
        <w:t>68</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"_Toc24611" </w:instrText>
      </w:r>
      <w:r>
        <w:fldChar w:fldCharType="separate"/>
      </w:r>
      <w:r>
        <w:rPr>
          <w:rFonts w:ascii="Times New Roman" w:hAnsi="Times New Roman" w:cs="Times New Roman"/>
          <w:i w:val="0"/>
          <w:iCs w:val="0"/>
        </w:rPr>
        <w:t>3.3 环境质量现状监测与评价</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_Toc24611 </w:instrText>
      </w:r>
      <w:r>
        <w:rPr>
          <w:rFonts w:ascii="Times New Roman" w:hAnsi="Times New Roman" w:cs="Times New Roman"/>
          <w:i w:val="0"/>
          <w:iCs w:val="0"/>
        </w:rPr>
        <w:fldChar w:fldCharType="separate"/>
      </w:r>
      <w:r>
        <w:rPr>
          <w:rFonts w:ascii="Times New Roman" w:hAnsi="Times New Roman" w:cs="Times New Roman"/>
          <w:i w:val="0"/>
          <w:iCs w:val="0"/>
        </w:rPr>
        <w:t>71</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"_Toc28114" </w:instrText>
      </w:r>
      <w:r>
        <w:fldChar w:fldCharType="separate"/>
      </w:r>
      <w:r>
        <w:rPr>
          <w:rFonts w:ascii="Times New Roman" w:hAnsi="Times New Roman" w:cs="Times New Roman"/>
          <w:i w:val="0"/>
          <w:iCs w:val="0"/>
        </w:rPr>
        <w:t>3.4 小结</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_Toc28114 </w:instrText>
      </w:r>
      <w:r>
        <w:rPr>
          <w:rFonts w:ascii="Times New Roman" w:hAnsi="Times New Roman" w:cs="Times New Roman"/>
          <w:i w:val="0"/>
          <w:iCs w:val="0"/>
        </w:rPr>
        <w:fldChar w:fldCharType="separate"/>
      </w:r>
      <w:r>
        <w:rPr>
          <w:rFonts w:ascii="Times New Roman" w:hAnsi="Times New Roman" w:cs="Times New Roman"/>
          <w:i w:val="0"/>
          <w:iCs w:val="0"/>
        </w:rPr>
        <w:t>85</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"_Toc16115" </w:instrText>
      </w:r>
      <w:r>
        <w:fldChar w:fldCharType="separate"/>
      </w:r>
      <w:r>
        <w:rPr>
          <w:rFonts w:ascii="Times New Roman" w:hAnsi="Times New Roman" w:cs="Times New Roman"/>
        </w:rPr>
        <w:t>4 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_Toc16115 </w:instrText>
      </w:r>
      <w:r>
        <w:rPr>
          <w:rFonts w:ascii="Times New Roman" w:hAnsi="Times New Roman" w:cs="Times New Roman"/>
        </w:rPr>
        <w:fldChar w:fldCharType="separate"/>
      </w:r>
      <w:r>
        <w:rPr>
          <w:rFonts w:ascii="Times New Roman" w:hAnsi="Times New Roman" w:cs="Times New Roman"/>
        </w:rPr>
        <w:t>86</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"_Toc14070" </w:instrText>
      </w:r>
      <w:r>
        <w:fldChar w:fldCharType="separate"/>
      </w:r>
      <w:r>
        <w:rPr>
          <w:rFonts w:ascii="Times New Roman" w:hAnsi="Times New Roman" w:cs="Times New Roman"/>
          <w:i w:val="0"/>
          <w:iCs w:val="0"/>
        </w:rPr>
        <w:t>4.1 营运期环境影响分析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_Toc14070 </w:instrText>
      </w:r>
      <w:r>
        <w:rPr>
          <w:rFonts w:ascii="Times New Roman" w:hAnsi="Times New Roman" w:cs="Times New Roman"/>
          <w:i w:val="0"/>
          <w:iCs w:val="0"/>
        </w:rPr>
        <w:fldChar w:fldCharType="separate"/>
      </w:r>
      <w:r>
        <w:rPr>
          <w:rFonts w:ascii="Times New Roman" w:hAnsi="Times New Roman" w:cs="Times New Roman"/>
          <w:i w:val="0"/>
          <w:iCs w:val="0"/>
        </w:rPr>
        <w:t>86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"_Toc16104" </w:instrText>
      </w:r>
      <w:r>
        <w:fldChar w:fldCharType="separate"/>
      </w:r>
      <w:r>
        <w:rPr>
          <w:rFonts w:ascii="Times New Roman" w:hAnsi="Times New Roman" w:cs="Times New Roman"/>
        </w:rPr>
        <w:t>5 环境保护措施及可行性分析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_Toc16104 </w:instrText>
      </w:r>
      <w:r>
        <w:rPr>
          <w:rFonts w:ascii="Times New Roman" w:hAnsi="Times New Roman" w:cs="Times New Roman"/>
        </w:rPr>
        <w:fldChar w:fldCharType="separate"/>
      </w:r>
      <w:r>
        <w:rPr>
          <w:rFonts w:ascii="Times New Roman" w:hAnsi="Times New Roman" w:cs="Times New Roman"/>
        </w:rPr>
        <w:t>131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"_Toc143" </w:instrText>
      </w:r>
      <w:r>
        <w:fldChar w:fldCharType="separate"/>
      </w:r>
      <w:r>
        <w:rPr>
          <w:rFonts w:ascii="Times New Roman" w:hAnsi="Times New Roman" w:cs="Times New Roman"/>
          <w:i w:val="0"/>
          <w:iCs w:val="0"/>
        </w:rPr>
        <w:t>5.1 运营期污染防治措施</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_Toc143 </w:instrText>
      </w:r>
      <w:r>
        <w:rPr>
          <w:rFonts w:ascii="Times New Roman" w:hAnsi="Times New Roman" w:cs="Times New Roman"/>
          <w:i w:val="0"/>
          <w:iCs w:val="0"/>
        </w:rPr>
        <w:fldChar w:fldCharType="separate"/>
      </w:r>
      <w:r>
        <w:rPr>
          <w:rFonts w:ascii="Times New Roman" w:hAnsi="Times New Roman" w:cs="Times New Roman"/>
          <w:i w:val="0"/>
          <w:iCs w:val="0"/>
        </w:rPr>
        <w:t>131</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"_Toc29394" </w:instrText>
      </w:r>
      <w:r>
        <w:fldChar w:fldCharType="separate"/>
      </w:r>
      <w:r>
        <w:rPr>
          <w:rFonts w:ascii="Times New Roman" w:hAnsi="Times New Roman" w:cs="Times New Roman"/>
        </w:rPr>
        <w:t>6 环境影响经济损益分析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_Toc29394 </w:instrText>
      </w:r>
      <w:r>
        <w:rPr>
          <w:rFonts w:ascii="Times New Roman" w:hAnsi="Times New Roman" w:cs="Times New Roman"/>
        </w:rPr>
        <w:fldChar w:fldCharType="separate"/>
      </w:r>
      <w:r>
        <w:rPr>
          <w:rFonts w:ascii="Times New Roman" w:hAnsi="Times New Roman" w:cs="Times New Roman"/>
        </w:rPr>
        <w:t>140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"_Toc27471" </w:instrText>
      </w:r>
      <w:r>
        <w:fldChar w:fldCharType="separate"/>
      </w:r>
      <w:r>
        <w:rPr>
          <w:rFonts w:ascii="Times New Roman" w:hAnsi="Times New Roman" w:cs="Times New Roman"/>
          <w:i w:val="0"/>
          <w:iCs w:val="0"/>
        </w:rPr>
        <w:t>6.1 环境效益分析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_Toc27471 </w:instrText>
      </w:r>
      <w:r>
        <w:rPr>
          <w:rFonts w:ascii="Times New Roman" w:hAnsi="Times New Roman" w:cs="Times New Roman"/>
          <w:i w:val="0"/>
          <w:iCs w:val="0"/>
        </w:rPr>
        <w:fldChar w:fldCharType="separate"/>
      </w:r>
      <w:r>
        <w:rPr>
          <w:rFonts w:ascii="Times New Roman" w:hAnsi="Times New Roman" w:cs="Times New Roman"/>
          <w:i w:val="0"/>
          <w:iCs w:val="0"/>
        </w:rPr>
        <w:t>140</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"_Toc30005" </w:instrText>
      </w:r>
      <w:r>
        <w:fldChar w:fldCharType="separate"/>
      </w:r>
      <w:r>
        <w:rPr>
          <w:rFonts w:ascii="Times New Roman" w:hAnsi="Times New Roman" w:cs="Times New Roman"/>
          <w:i w:val="0"/>
          <w:iCs w:val="0"/>
        </w:rPr>
        <w:t>6.2 经济效益分析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_Toc30005 </w:instrText>
      </w:r>
      <w:r>
        <w:rPr>
          <w:rFonts w:ascii="Times New Roman" w:hAnsi="Times New Roman" w:cs="Times New Roman"/>
          <w:i w:val="0"/>
          <w:iCs w:val="0"/>
        </w:rPr>
        <w:fldChar w:fldCharType="separate"/>
      </w:r>
      <w:r>
        <w:rPr>
          <w:rFonts w:ascii="Times New Roman" w:hAnsi="Times New Roman" w:cs="Times New Roman"/>
          <w:i w:val="0"/>
          <w:iCs w:val="0"/>
        </w:rPr>
        <w:t>140</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"_Toc6624" </w:instrText>
      </w:r>
      <w:r>
        <w:fldChar w:fldCharType="separate"/>
      </w:r>
      <w:r>
        <w:rPr>
          <w:rFonts w:ascii="Times New Roman" w:hAnsi="Times New Roman" w:cs="Times New Roman"/>
          <w:i w:val="0"/>
          <w:iCs w:val="0"/>
        </w:rPr>
        <w:t>6.3 社会效益分析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_Toc6624 </w:instrText>
      </w:r>
      <w:r>
        <w:rPr>
          <w:rFonts w:ascii="Times New Roman" w:hAnsi="Times New Roman" w:cs="Times New Roman"/>
          <w:i w:val="0"/>
          <w:iCs w:val="0"/>
        </w:rPr>
        <w:fldChar w:fldCharType="separate"/>
      </w:r>
      <w:r>
        <w:rPr>
          <w:rFonts w:ascii="Times New Roman" w:hAnsi="Times New Roman" w:cs="Times New Roman"/>
          <w:i w:val="0"/>
          <w:iCs w:val="0"/>
        </w:rPr>
        <w:t>140</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"_Toc20349" </w:instrText>
      </w:r>
      <w:r>
        <w:fldChar w:fldCharType="separate"/>
      </w:r>
      <w:r>
        <w:rPr>
          <w:rFonts w:ascii="Times New Roman" w:hAnsi="Times New Roman" w:cs="Times New Roman"/>
          <w:i w:val="0"/>
          <w:iCs w:val="0"/>
          <w:kern w:val="0"/>
        </w:rPr>
        <w:t>6.4 小结</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_Toc20349 </w:instrText>
      </w:r>
      <w:r>
        <w:rPr>
          <w:rFonts w:ascii="Times New Roman" w:hAnsi="Times New Roman" w:cs="Times New Roman"/>
          <w:i w:val="0"/>
          <w:iCs w:val="0"/>
        </w:rPr>
        <w:fldChar w:fldCharType="separate"/>
      </w:r>
      <w:r>
        <w:rPr>
          <w:rFonts w:ascii="Times New Roman" w:hAnsi="Times New Roman" w:cs="Times New Roman"/>
          <w:i w:val="0"/>
          <w:iCs w:val="0"/>
        </w:rPr>
        <w:t>141</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"_Toc17337" </w:instrText>
      </w:r>
      <w:r>
        <w:fldChar w:fldCharType="separate"/>
      </w:r>
      <w:r>
        <w:rPr>
          <w:rFonts w:ascii="Times New Roman" w:hAnsi="Times New Roman" w:cs="Times New Roman"/>
        </w:rPr>
        <w:t>7 环境管理与环境监测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_Toc17337 </w:instrText>
      </w:r>
      <w:r>
        <w:rPr>
          <w:rFonts w:ascii="Times New Roman" w:hAnsi="Times New Roman" w:cs="Times New Roman"/>
        </w:rPr>
        <w:fldChar w:fldCharType="separate"/>
      </w:r>
      <w:r>
        <w:rPr>
          <w:rFonts w:ascii="Times New Roman" w:hAnsi="Times New Roman" w:cs="Times New Roman"/>
        </w:rPr>
        <w:t>142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"_Toc26621" </w:instrText>
      </w:r>
      <w:r>
        <w:fldChar w:fldCharType="separate"/>
      </w:r>
      <w:r>
        <w:rPr>
          <w:rFonts w:ascii="Times New Roman" w:hAnsi="Times New Roman" w:cs="Times New Roman"/>
          <w:i w:val="0"/>
          <w:iCs w:val="0"/>
        </w:rPr>
        <w:t>7.1 环境管理</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_Toc26621 </w:instrText>
      </w:r>
      <w:r>
        <w:rPr>
          <w:rFonts w:ascii="Times New Roman" w:hAnsi="Times New Roman" w:cs="Times New Roman"/>
          <w:i w:val="0"/>
          <w:iCs w:val="0"/>
        </w:rPr>
        <w:fldChar w:fldCharType="separate"/>
      </w:r>
      <w:r>
        <w:rPr>
          <w:rFonts w:ascii="Times New Roman" w:hAnsi="Times New Roman" w:cs="Times New Roman"/>
          <w:i w:val="0"/>
          <w:iCs w:val="0"/>
        </w:rPr>
        <w:t>142</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"_Toc30646" </w:instrText>
      </w:r>
      <w:r>
        <w:fldChar w:fldCharType="separate"/>
      </w:r>
      <w:r>
        <w:rPr>
          <w:rFonts w:ascii="Times New Roman" w:hAnsi="Times New Roman" w:cs="Times New Roman"/>
          <w:i w:val="0"/>
          <w:iCs w:val="0"/>
        </w:rPr>
        <w:t>7.2 环境监测</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_Toc30646 </w:instrText>
      </w:r>
      <w:r>
        <w:rPr>
          <w:rFonts w:ascii="Times New Roman" w:hAnsi="Times New Roman" w:cs="Times New Roman"/>
          <w:i w:val="0"/>
          <w:iCs w:val="0"/>
        </w:rPr>
        <w:fldChar w:fldCharType="separate"/>
      </w:r>
      <w:r>
        <w:rPr>
          <w:rFonts w:ascii="Times New Roman" w:hAnsi="Times New Roman" w:cs="Times New Roman"/>
          <w:i w:val="0"/>
          <w:iCs w:val="0"/>
        </w:rPr>
        <w:t>143</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"_Toc5295" </w:instrText>
      </w:r>
      <w:r>
        <w:fldChar w:fldCharType="separate"/>
      </w:r>
      <w:r>
        <w:rPr>
          <w:rFonts w:ascii="Times New Roman" w:hAnsi="Times New Roman" w:cs="Times New Roman"/>
          <w:i w:val="0"/>
          <w:iCs w:val="0"/>
        </w:rPr>
        <w:t>7.3 排污口规范化</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_Toc5295 </w:instrText>
      </w:r>
      <w:r>
        <w:rPr>
          <w:rFonts w:ascii="Times New Roman" w:hAnsi="Times New Roman" w:cs="Times New Roman"/>
          <w:i w:val="0"/>
          <w:iCs w:val="0"/>
        </w:rPr>
        <w:fldChar w:fldCharType="separate"/>
      </w:r>
      <w:r>
        <w:rPr>
          <w:rFonts w:ascii="Times New Roman" w:hAnsi="Times New Roman" w:cs="Times New Roman"/>
          <w:i w:val="0"/>
          <w:iCs w:val="0"/>
        </w:rPr>
        <w:t>146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"_Toc21581" </w:instrText>
      </w:r>
      <w:r>
        <w:fldChar w:fldCharType="separate"/>
      </w:r>
      <w:r>
        <w:rPr>
          <w:rFonts w:ascii="Times New Roman" w:hAnsi="Times New Roman" w:cs="Times New Roman"/>
          <w:i w:val="0"/>
          <w:iCs w:val="0"/>
        </w:rPr>
        <w:t>7.4 达标排放与总量控制</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_Toc21581 </w:instrText>
      </w:r>
      <w:r>
        <w:rPr>
          <w:rFonts w:ascii="Times New Roman" w:hAnsi="Times New Roman" w:cs="Times New Roman"/>
          <w:i w:val="0"/>
          <w:iCs w:val="0"/>
        </w:rPr>
        <w:fldChar w:fldCharType="separate"/>
      </w:r>
      <w:r>
        <w:rPr>
          <w:rFonts w:ascii="Times New Roman" w:hAnsi="Times New Roman" w:cs="Times New Roman"/>
          <w:i w:val="0"/>
          <w:iCs w:val="0"/>
        </w:rPr>
        <w:t>147</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"_Toc8451" </w:instrText>
      </w:r>
      <w:r>
        <w:fldChar w:fldCharType="separate"/>
      </w:r>
      <w:r>
        <w:rPr>
          <w:rFonts w:ascii="Times New Roman" w:hAnsi="Times New Roman" w:cs="Times New Roman"/>
          <w:i w:val="0"/>
          <w:iCs w:val="0"/>
        </w:rPr>
        <w:t>7.5 项目竣工环保验收要求</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_Toc8451 </w:instrText>
      </w:r>
      <w:r>
        <w:rPr>
          <w:rFonts w:ascii="Times New Roman" w:hAnsi="Times New Roman" w:cs="Times New Roman"/>
          <w:i w:val="0"/>
          <w:iCs w:val="0"/>
        </w:rPr>
        <w:fldChar w:fldCharType="separate"/>
      </w:r>
      <w:r>
        <w:rPr>
          <w:rFonts w:ascii="Times New Roman" w:hAnsi="Times New Roman" w:cs="Times New Roman"/>
          <w:i w:val="0"/>
          <w:iCs w:val="0"/>
        </w:rPr>
        <w:t>147</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"_Toc27292" </w:instrText>
      </w:r>
      <w:r>
        <w:fldChar w:fldCharType="separate"/>
      </w:r>
      <w:r>
        <w:rPr>
          <w:rFonts w:ascii="Times New Roman" w:hAnsi="Times New Roman" w:cs="Times New Roman"/>
        </w:rPr>
        <w:t>8 项目可行性分析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_Toc27292 </w:instrText>
      </w:r>
      <w:r>
        <w:rPr>
          <w:rFonts w:ascii="Times New Roman" w:hAnsi="Times New Roman" w:cs="Times New Roman"/>
        </w:rPr>
        <w:fldChar w:fldCharType="separate"/>
      </w:r>
      <w:r>
        <w:rPr>
          <w:rFonts w:ascii="Times New Roman" w:hAnsi="Times New Roman" w:cs="Times New Roman"/>
        </w:rPr>
        <w:t>149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"_Toc18259" </w:instrText>
      </w:r>
      <w:r>
        <w:fldChar w:fldCharType="separate"/>
      </w:r>
      <w:r>
        <w:rPr>
          <w:rFonts w:ascii="Times New Roman" w:hAnsi="Times New Roman" w:cs="Times New Roman"/>
          <w:i w:val="0"/>
          <w:iCs w:val="0"/>
        </w:rPr>
        <w:t>8.2 选址可行性分析</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_Toc18259 </w:instrText>
      </w:r>
      <w:r>
        <w:rPr>
          <w:rFonts w:ascii="Times New Roman" w:hAnsi="Times New Roman" w:cs="Times New Roman"/>
          <w:i w:val="0"/>
          <w:iCs w:val="0"/>
        </w:rPr>
        <w:fldChar w:fldCharType="separate"/>
      </w:r>
      <w:r>
        <w:rPr>
          <w:rFonts w:ascii="Times New Roman" w:hAnsi="Times New Roman" w:cs="Times New Roman"/>
          <w:i w:val="0"/>
          <w:iCs w:val="0"/>
        </w:rPr>
        <w:t>149</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"_Toc25256" </w:instrText>
      </w:r>
      <w:r>
        <w:fldChar w:fldCharType="separate"/>
      </w:r>
      <w:r>
        <w:rPr>
          <w:rFonts w:ascii="Times New Roman" w:hAnsi="Times New Roman" w:cs="Times New Roman"/>
          <w:i w:val="0"/>
          <w:iCs w:val="0"/>
        </w:rPr>
        <w:t>8.3 结论</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_Toc25256 </w:instrText>
      </w:r>
      <w:r>
        <w:rPr>
          <w:rFonts w:ascii="Times New Roman" w:hAnsi="Times New Roman" w:cs="Times New Roman"/>
          <w:i w:val="0"/>
          <w:iCs w:val="0"/>
        </w:rPr>
        <w:fldChar w:fldCharType="separate"/>
      </w:r>
      <w:r>
        <w:rPr>
          <w:rFonts w:ascii="Times New Roman" w:hAnsi="Times New Roman" w:cs="Times New Roman"/>
          <w:i w:val="0"/>
          <w:iCs w:val="0"/>
        </w:rPr>
        <w:t>152</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28"/>
        <w:tabs>
          <w:tab w:val="right" w:leader="dot" w:pos="9026"/>
        </w:tabs>
        <w:jc w:val="center"/>
        <w:rPr>
          <w:rFonts w:ascii="Times New Roman" w:hAnsi="Times New Roman" w:cs="Times New Roman"/>
        </w:rPr>
      </w:pPr>
      <w:r>
        <w:fldChar w:fldCharType="begin"/>
      </w:r>
      <w:r>
        <w:instrText xml:space="preserve"> HYPERLINK \l "_Toc27199" </w:instrText>
      </w:r>
      <w:r>
        <w:fldChar w:fldCharType="separate"/>
      </w:r>
      <w:r>
        <w:rPr>
          <w:rFonts w:ascii="Times New Roman" w:hAnsi="Times New Roman" w:cs="Times New Roman"/>
        </w:rPr>
        <w:t>9 结论与建议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_Toc27199 </w:instrText>
      </w:r>
      <w:r>
        <w:rPr>
          <w:rFonts w:ascii="Times New Roman" w:hAnsi="Times New Roman" w:cs="Times New Roman"/>
        </w:rPr>
        <w:fldChar w:fldCharType="separate"/>
      </w:r>
      <w:r>
        <w:rPr>
          <w:rFonts w:ascii="Times New Roman" w:hAnsi="Times New Roman" w:cs="Times New Roman"/>
        </w:rPr>
        <w:t>153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"_Toc1014" </w:instrText>
      </w:r>
      <w:r>
        <w:fldChar w:fldCharType="separate"/>
      </w:r>
      <w:r>
        <w:rPr>
          <w:rFonts w:ascii="Times New Roman" w:hAnsi="Times New Roman" w:cs="Times New Roman"/>
          <w:i w:val="0"/>
          <w:iCs w:val="0"/>
        </w:rPr>
        <w:t>9.1 建设项目概况</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_Toc1014 </w:instrText>
      </w:r>
      <w:r>
        <w:rPr>
          <w:rFonts w:ascii="Times New Roman" w:hAnsi="Times New Roman" w:cs="Times New Roman"/>
          <w:i w:val="0"/>
          <w:iCs w:val="0"/>
        </w:rPr>
        <w:fldChar w:fldCharType="separate"/>
      </w:r>
      <w:r>
        <w:rPr>
          <w:rFonts w:ascii="Times New Roman" w:hAnsi="Times New Roman" w:cs="Times New Roman"/>
          <w:i w:val="0"/>
          <w:iCs w:val="0"/>
        </w:rPr>
        <w:t>153</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"_Toc26189" </w:instrText>
      </w:r>
      <w:r>
        <w:fldChar w:fldCharType="separate"/>
      </w:r>
      <w:r>
        <w:rPr>
          <w:rFonts w:ascii="Times New Roman" w:hAnsi="Times New Roman" w:cs="Times New Roman"/>
          <w:i w:val="0"/>
          <w:iCs w:val="0"/>
        </w:rPr>
        <w:t>9.2 环境和质量现状</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_Toc26189 </w:instrText>
      </w:r>
      <w:r>
        <w:rPr>
          <w:rFonts w:ascii="Times New Roman" w:hAnsi="Times New Roman" w:cs="Times New Roman"/>
          <w:i w:val="0"/>
          <w:iCs w:val="0"/>
        </w:rPr>
        <w:fldChar w:fldCharType="separate"/>
      </w:r>
      <w:r>
        <w:rPr>
          <w:rFonts w:ascii="Times New Roman" w:hAnsi="Times New Roman" w:cs="Times New Roman"/>
          <w:i w:val="0"/>
          <w:iCs w:val="0"/>
        </w:rPr>
        <w:t>153</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"_Toc11777" </w:instrText>
      </w:r>
      <w:r>
        <w:fldChar w:fldCharType="separate"/>
      </w:r>
      <w:r>
        <w:rPr>
          <w:rFonts w:ascii="Times New Roman" w:hAnsi="Times New Roman" w:cs="Times New Roman"/>
          <w:i w:val="0"/>
          <w:iCs w:val="0"/>
        </w:rPr>
        <w:t>9.3 环境影响预测与评价</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_Toc11777 </w:instrText>
      </w:r>
      <w:r>
        <w:rPr>
          <w:rFonts w:ascii="Times New Roman" w:hAnsi="Times New Roman" w:cs="Times New Roman"/>
          <w:i w:val="0"/>
          <w:iCs w:val="0"/>
        </w:rPr>
        <w:fldChar w:fldCharType="separate"/>
      </w:r>
      <w:r>
        <w:rPr>
          <w:rFonts w:ascii="Times New Roman" w:hAnsi="Times New Roman" w:cs="Times New Roman"/>
          <w:i w:val="0"/>
          <w:iCs w:val="0"/>
        </w:rPr>
        <w:t>154</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"_Toc21293" </w:instrText>
      </w:r>
      <w:r>
        <w:fldChar w:fldCharType="separate"/>
      </w:r>
      <w:r>
        <w:rPr>
          <w:rFonts w:ascii="Times New Roman" w:hAnsi="Times New Roman" w:cs="Times New Roman"/>
          <w:i w:val="0"/>
          <w:iCs w:val="0"/>
        </w:rPr>
        <w:t>9.4 项目政策符合性和选址合理性</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_Toc21293 </w:instrText>
      </w:r>
      <w:r>
        <w:rPr>
          <w:rFonts w:ascii="Times New Roman" w:hAnsi="Times New Roman" w:cs="Times New Roman"/>
          <w:i w:val="0"/>
          <w:iCs w:val="0"/>
        </w:rPr>
        <w:fldChar w:fldCharType="separate"/>
      </w:r>
      <w:r>
        <w:rPr>
          <w:rFonts w:ascii="Times New Roman" w:hAnsi="Times New Roman" w:cs="Times New Roman"/>
          <w:i w:val="0"/>
          <w:iCs w:val="0"/>
        </w:rPr>
        <w:t>155</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"_Toc21885" </w:instrText>
      </w:r>
      <w:r>
        <w:fldChar w:fldCharType="separate"/>
      </w:r>
      <w:r>
        <w:rPr>
          <w:rFonts w:ascii="Times New Roman" w:hAnsi="Times New Roman" w:cs="Times New Roman"/>
          <w:i w:val="0"/>
          <w:iCs w:val="0"/>
        </w:rPr>
        <w:t>9.5 公众参与</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_Toc21885 </w:instrText>
      </w:r>
      <w:r>
        <w:rPr>
          <w:rFonts w:ascii="Times New Roman" w:hAnsi="Times New Roman" w:cs="Times New Roman"/>
          <w:i w:val="0"/>
          <w:iCs w:val="0"/>
        </w:rPr>
        <w:fldChar w:fldCharType="separate"/>
      </w:r>
      <w:r>
        <w:rPr>
          <w:rFonts w:ascii="Times New Roman" w:hAnsi="Times New Roman" w:cs="Times New Roman"/>
          <w:i w:val="0"/>
          <w:iCs w:val="0"/>
        </w:rPr>
        <w:t>155</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"_Toc1287" </w:instrText>
      </w:r>
      <w:r>
        <w:fldChar w:fldCharType="separate"/>
      </w:r>
      <w:r>
        <w:rPr>
          <w:rFonts w:ascii="Times New Roman" w:hAnsi="Times New Roman" w:cs="Times New Roman"/>
          <w:i w:val="0"/>
          <w:iCs w:val="0"/>
        </w:rPr>
        <w:t>9.6 总结论</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_Toc1287 </w:instrText>
      </w:r>
      <w:r>
        <w:rPr>
          <w:rFonts w:ascii="Times New Roman" w:hAnsi="Times New Roman" w:cs="Times New Roman"/>
          <w:i w:val="0"/>
          <w:iCs w:val="0"/>
        </w:rPr>
        <w:fldChar w:fldCharType="separate"/>
      </w:r>
      <w:r>
        <w:rPr>
          <w:rFonts w:ascii="Times New Roman" w:hAnsi="Times New Roman" w:cs="Times New Roman"/>
          <w:i w:val="0"/>
          <w:iCs w:val="0"/>
        </w:rPr>
        <w:t>156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pStyle w:val="31"/>
        <w:tabs>
          <w:tab w:val="right" w:leader="dot" w:pos="9026"/>
        </w:tabs>
        <w:jc w:val="center"/>
        <w:rPr>
          <w:rFonts w:ascii="Times New Roman" w:hAnsi="Times New Roman" w:cs="Times New Roman"/>
          <w:i w:val="0"/>
          <w:iCs w:val="0"/>
        </w:rPr>
      </w:pPr>
      <w:r>
        <w:fldChar w:fldCharType="begin"/>
      </w:r>
      <w:r>
        <w:instrText xml:space="preserve"> HYPERLINK \l "_Toc28461" </w:instrText>
      </w:r>
      <w:r>
        <w:fldChar w:fldCharType="separate"/>
      </w:r>
      <w:r>
        <w:rPr>
          <w:rFonts w:ascii="Times New Roman" w:hAnsi="Times New Roman" w:cs="Times New Roman"/>
          <w:i w:val="0"/>
          <w:iCs w:val="0"/>
        </w:rPr>
        <w:t>9.7 建议</w:t>
      </w:r>
      <w:r>
        <w:rPr>
          <w:rFonts w:ascii="Times New Roman" w:hAnsi="Times New Roman" w:cs="Times New Roman"/>
          <w:i w:val="0"/>
          <w:iCs w:val="0"/>
        </w:rPr>
        <w:tab/>
      </w:r>
      <w:r>
        <w:rPr>
          <w:rFonts w:ascii="Times New Roman" w:hAnsi="Times New Roman" w:cs="Times New Roman"/>
          <w:i w:val="0"/>
          <w:iCs w:val="0"/>
        </w:rPr>
        <w:fldChar w:fldCharType="begin"/>
      </w:r>
      <w:r>
        <w:rPr>
          <w:rFonts w:ascii="Times New Roman" w:hAnsi="Times New Roman" w:cs="Times New Roman"/>
          <w:i w:val="0"/>
          <w:iCs w:val="0"/>
        </w:rPr>
        <w:instrText xml:space="preserve"> PAGEREF _Toc28461 </w:instrText>
      </w:r>
      <w:r>
        <w:rPr>
          <w:rFonts w:ascii="Times New Roman" w:hAnsi="Times New Roman" w:cs="Times New Roman"/>
          <w:i w:val="0"/>
          <w:iCs w:val="0"/>
        </w:rPr>
        <w:fldChar w:fldCharType="separate"/>
      </w:r>
      <w:r>
        <w:rPr>
          <w:rFonts w:ascii="Times New Roman" w:hAnsi="Times New Roman" w:cs="Times New Roman"/>
          <w:i w:val="0"/>
          <w:iCs w:val="0"/>
        </w:rPr>
        <w:t>156</w:t>
      </w:r>
      <w:r>
        <w:rPr>
          <w:rFonts w:ascii="Times New Roman" w:hAnsi="Times New Roman" w:cs="Times New Roman"/>
          <w:i w:val="0"/>
          <w:iCs w:val="0"/>
        </w:rPr>
        <w:fldChar w:fldCharType="end"/>
      </w:r>
      <w:r>
        <w:rPr>
          <w:rFonts w:ascii="Times New Roman" w:hAnsi="Times New Roman" w:cs="Times New Roman"/>
          <w:i w:val="0"/>
          <w:iCs w:val="0"/>
        </w:rPr>
        <w:fldChar w:fldCharType="end"/>
      </w:r>
    </w:p>
    <w:p>
      <w:pPr>
        <w:jc w:val="center"/>
        <w:rPr>
          <w:rFonts w:cs="Times New Roman"/>
          <w:b/>
          <w:color w:val="000000" w:themeColor="text1"/>
          <w:sz w:val="28"/>
          <w:szCs w:val="28"/>
        </w:rPr>
      </w:pPr>
      <w:r>
        <w:rPr>
          <w:rFonts w:cs="Times New Roman"/>
          <w:b/>
          <w:color w:val="000000" w:themeColor="text1"/>
          <w:sz w:val="28"/>
          <w:szCs w:val="28"/>
        </w:rPr>
        <w:fldChar w:fldCharType="end"/>
      </w:r>
    </w:p>
    <w:p>
      <w:pPr>
        <w:rPr>
          <w:rFonts w:cs="Times New Roman"/>
          <w:b/>
          <w:color w:val="000000" w:themeColor="text1"/>
        </w:rPr>
      </w:pPr>
    </w:p>
    <w:p>
      <w:pPr>
        <w:rPr>
          <w:rFonts w:cs="Times New Roman"/>
          <w:b/>
          <w:color w:val="000000" w:themeColor="text1"/>
        </w:rPr>
      </w:pPr>
    </w:p>
    <w:p>
      <w:pPr>
        <w:rPr>
          <w:rFonts w:cs="Times New Roman"/>
          <w:b/>
          <w:color w:val="000000" w:themeColor="text1"/>
        </w:rPr>
      </w:pPr>
    </w:p>
    <w:p>
      <w:pPr>
        <w:rPr>
          <w:rFonts w:cs="Times New Roman"/>
          <w:b/>
          <w:color w:val="000000" w:themeColor="text1"/>
        </w:rPr>
      </w:pPr>
    </w:p>
    <w:p>
      <w:pPr>
        <w:rPr>
          <w:rFonts w:cs="Times New Roman"/>
          <w:b/>
          <w:color w:val="000000" w:themeColor="text1"/>
        </w:rPr>
      </w:pPr>
    </w:p>
    <w:p>
      <w:pPr>
        <w:rPr>
          <w:rFonts w:cs="Times New Roman"/>
          <w:b/>
          <w:color w:val="000000" w:themeColor="text1"/>
        </w:rPr>
      </w:pPr>
    </w:p>
    <w:p>
      <w:pPr>
        <w:rPr>
          <w:rFonts w:cs="Times New Roman"/>
          <w:b/>
          <w:color w:val="000000" w:themeColor="text1"/>
        </w:rPr>
      </w:pPr>
    </w:p>
    <w:p>
      <w:pPr>
        <w:rPr>
          <w:rFonts w:cs="Times New Roman"/>
          <w:b/>
          <w:color w:val="000000" w:themeColor="text1"/>
        </w:rPr>
      </w:pPr>
      <w:bookmarkStart w:id="0" w:name="_Toc17073"/>
      <w:bookmarkStart w:id="1" w:name="_Toc532497587"/>
      <w:bookmarkStart w:id="2" w:name="_Toc532763179"/>
      <w:bookmarkStart w:id="3" w:name="_Toc532498715"/>
      <w:bookmarkStart w:id="4" w:name="_Toc532376122"/>
      <w:r>
        <w:rPr>
          <w:rFonts w:cs="Times New Roman"/>
          <w:b/>
          <w:color w:val="000000" w:themeColor="text1"/>
        </w:rPr>
        <w:t xml:space="preserve">附件:    </w:t>
      </w:r>
    </w:p>
    <w:p>
      <w:pPr>
        <w:ind w:firstLine="465"/>
        <w:rPr>
          <w:rFonts w:cs="Times New Roman"/>
          <w:color w:val="000000" w:themeColor="text1"/>
        </w:rPr>
      </w:pPr>
      <w:r>
        <w:rPr>
          <w:rFonts w:cs="Times New Roman"/>
          <w:color w:val="000000" w:themeColor="text1"/>
        </w:rPr>
        <w:t>附件1  项目委托书</w:t>
      </w:r>
    </w:p>
    <w:p>
      <w:pPr>
        <w:ind w:firstLine="465"/>
        <w:rPr>
          <w:rFonts w:cs="Times New Roman"/>
          <w:color w:val="000000" w:themeColor="text1"/>
        </w:rPr>
      </w:pPr>
      <w:r>
        <w:rPr>
          <w:rFonts w:cs="Times New Roman"/>
          <w:color w:val="000000" w:themeColor="text1"/>
        </w:rPr>
        <w:t xml:space="preserve">附件2  </w:t>
      </w:r>
      <w:r>
        <w:rPr>
          <w:rFonts w:hint="eastAsia" w:cs="Times New Roman"/>
          <w:color w:val="000000" w:themeColor="text1"/>
        </w:rPr>
        <w:t>原</w:t>
      </w:r>
      <w:r>
        <w:rPr>
          <w:rFonts w:cs="Times New Roman"/>
          <w:color w:val="000000" w:themeColor="text1"/>
        </w:rPr>
        <w:t>项目环评批复</w:t>
      </w:r>
    </w:p>
    <w:p>
      <w:pPr>
        <w:ind w:firstLine="465"/>
        <w:rPr>
          <w:rFonts w:cs="Times New Roman"/>
          <w:color w:val="000000" w:themeColor="text1"/>
        </w:rPr>
      </w:pPr>
      <w:r>
        <w:rPr>
          <w:rFonts w:cs="Times New Roman"/>
          <w:color w:val="000000" w:themeColor="text1"/>
        </w:rPr>
        <w:t>附件3  营业执照复印件</w:t>
      </w:r>
    </w:p>
    <w:p>
      <w:pPr>
        <w:ind w:firstLine="465"/>
        <w:rPr>
          <w:rFonts w:cs="Times New Roman"/>
          <w:color w:val="000000" w:themeColor="text1"/>
        </w:rPr>
      </w:pPr>
      <w:r>
        <w:rPr>
          <w:rFonts w:cs="Times New Roman"/>
          <w:color w:val="000000" w:themeColor="text1"/>
        </w:rPr>
        <w:t xml:space="preserve">附件4  </w:t>
      </w:r>
      <w:r>
        <w:rPr>
          <w:rFonts w:hint="eastAsia" w:cs="Times New Roman"/>
          <w:color w:val="000000" w:themeColor="text1"/>
        </w:rPr>
        <w:t>污泥</w:t>
      </w:r>
      <w:r>
        <w:rPr>
          <w:rFonts w:cs="Times New Roman"/>
          <w:color w:val="000000" w:themeColor="text1"/>
        </w:rPr>
        <w:t>处置合同</w:t>
      </w:r>
    </w:p>
    <w:p>
      <w:pPr>
        <w:ind w:firstLine="465"/>
        <w:rPr>
          <w:rFonts w:hint="eastAsia" w:cs="Times New Roman"/>
          <w:color w:val="000000" w:themeColor="text1"/>
          <w:lang w:val="en-US" w:eastAsia="zh-CN"/>
        </w:rPr>
      </w:pPr>
      <w:r>
        <w:rPr>
          <w:rFonts w:cs="Times New Roman"/>
          <w:color w:val="000000" w:themeColor="text1"/>
        </w:rPr>
        <w:t xml:space="preserve">附件5  </w:t>
      </w:r>
      <w:r>
        <w:rPr>
          <w:rFonts w:hint="eastAsia" w:cs="Times New Roman"/>
          <w:color w:val="000000" w:themeColor="text1"/>
          <w:lang w:val="en-US" w:eastAsia="zh-CN"/>
        </w:rPr>
        <w:t>关于桥东污水处理厂及配套管网设计初步设计的批复</w:t>
      </w:r>
    </w:p>
    <w:p>
      <w:pPr>
        <w:bidi w:val="0"/>
        <w:ind w:firstLine="480" w:firstLineChars="200"/>
        <w:rPr>
          <w:rFonts w:hint="eastAsia"/>
          <w:lang w:val="en-US" w:eastAsia="zh-CN"/>
        </w:rPr>
      </w:pPr>
      <w:r>
        <w:rPr>
          <w:rFonts w:hint="eastAsia"/>
          <w:lang w:val="en-US" w:eastAsia="zh-CN"/>
        </w:rPr>
        <w:t>附件6  污水处理厂排口土壤的监测报告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附件7  污水处理厂排口的监测报告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附件8  环境质量现状监测报告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附件9  土壤现状补充监测报告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附件10  2019年1月~12月桥东污水处理厂排口监测报告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附件11  华容大宏生猪交易有限公司废水排口监测报告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附件12  湖南喜多多食品有限公司废水排口监测报告</w:t>
      </w:r>
    </w:p>
    <w:p>
      <w:pPr>
        <w:ind w:firstLine="465"/>
        <w:rPr>
          <w:rFonts w:hint="eastAsia" w:cs="Times New Roman"/>
          <w:color w:val="000000" w:themeColor="text1"/>
          <w:lang w:val="en-US" w:eastAsia="zh-CN"/>
        </w:rPr>
      </w:pPr>
      <w:r>
        <w:rPr>
          <w:rFonts w:hint="eastAsia" w:cs="Times New Roman"/>
          <w:color w:val="000000" w:themeColor="text1"/>
          <w:lang w:val="en-US" w:eastAsia="zh-CN"/>
        </w:rPr>
        <w:t>附件13  岳阳宝丽纺织有限公司废水排口监测报告</w:t>
      </w:r>
    </w:p>
    <w:p>
      <w:pPr>
        <w:ind w:firstLine="465"/>
        <w:rPr>
          <w:rFonts w:hint="default" w:cs="Times New Roman"/>
          <w:color w:val="000000" w:themeColor="text1"/>
          <w:lang w:val="en-US" w:eastAsia="zh-CN"/>
        </w:rPr>
      </w:pPr>
      <w:r>
        <w:rPr>
          <w:rFonts w:hint="eastAsia" w:cs="Times New Roman"/>
          <w:color w:val="000000" w:themeColor="text1"/>
          <w:lang w:val="en-US" w:eastAsia="zh-CN"/>
        </w:rPr>
        <w:t>附件14  关于华容县城桥东污水处理厂入河排污口论证报告的批复</w:t>
      </w:r>
    </w:p>
    <w:p>
      <w:pPr>
        <w:pStyle w:val="18"/>
        <w:bidi w:val="0"/>
        <w:rPr>
          <w:rFonts w:hint="default"/>
          <w:lang w:val="en-US" w:eastAsia="zh-CN"/>
        </w:rPr>
      </w:pPr>
    </w:p>
    <w:p>
      <w:pPr>
        <w:rPr>
          <w:rFonts w:cs="Times New Roman"/>
          <w:b/>
          <w:color w:val="000000" w:themeColor="text1"/>
        </w:rPr>
      </w:pPr>
    </w:p>
    <w:p>
      <w:pPr>
        <w:rPr>
          <w:rFonts w:cs="Times New Roman"/>
          <w:b/>
          <w:color w:val="000000" w:themeColor="text1"/>
        </w:rPr>
      </w:pPr>
      <w:r>
        <w:rPr>
          <w:rFonts w:cs="Times New Roman"/>
          <w:b/>
          <w:color w:val="000000" w:themeColor="text1"/>
        </w:rPr>
        <w:t>附图:</w:t>
      </w:r>
    </w:p>
    <w:p>
      <w:pPr>
        <w:ind w:firstLine="465"/>
        <w:rPr>
          <w:rFonts w:cs="Times New Roman"/>
          <w:color w:val="000000" w:themeColor="text1"/>
        </w:rPr>
      </w:pPr>
      <w:r>
        <w:rPr>
          <w:rFonts w:cs="Times New Roman"/>
          <w:color w:val="000000" w:themeColor="text1"/>
        </w:rPr>
        <w:t>附图1  项目地理位置图</w:t>
      </w:r>
    </w:p>
    <w:p>
      <w:pPr>
        <w:ind w:firstLine="465"/>
        <w:rPr>
          <w:rFonts w:cs="Times New Roman"/>
          <w:color w:val="000000" w:themeColor="text1"/>
        </w:rPr>
      </w:pPr>
      <w:r>
        <w:rPr>
          <w:rFonts w:cs="Times New Roman"/>
          <w:color w:val="000000" w:themeColor="text1"/>
        </w:rPr>
        <w:t>附图2  项目环境保护目标图</w:t>
      </w:r>
    </w:p>
    <w:p>
      <w:pPr>
        <w:ind w:firstLine="465"/>
        <w:rPr>
          <w:rFonts w:cs="Times New Roman"/>
          <w:color w:val="000000" w:themeColor="text1"/>
        </w:rPr>
      </w:pPr>
      <w:r>
        <w:rPr>
          <w:rFonts w:cs="Times New Roman"/>
          <w:color w:val="000000" w:themeColor="text1"/>
        </w:rPr>
        <w:t>附图3  项目总平面布置图</w:t>
      </w:r>
    </w:p>
    <w:p>
      <w:pPr>
        <w:ind w:firstLine="465"/>
        <w:rPr>
          <w:rFonts w:cs="Times New Roman"/>
          <w:color w:val="000000" w:themeColor="text1"/>
        </w:rPr>
      </w:pPr>
      <w:r>
        <w:rPr>
          <w:rFonts w:cs="Times New Roman"/>
          <w:color w:val="000000" w:themeColor="text1"/>
        </w:rPr>
        <w:t xml:space="preserve">附图4  </w:t>
      </w:r>
      <w:r>
        <w:rPr>
          <w:rFonts w:hint="eastAsia" w:cs="Times New Roman"/>
          <w:color w:val="000000" w:themeColor="text1"/>
        </w:rPr>
        <w:t>本</w:t>
      </w:r>
      <w:r>
        <w:rPr>
          <w:rFonts w:cs="Times New Roman"/>
          <w:color w:val="000000" w:themeColor="text1"/>
        </w:rPr>
        <w:t>项目用地红线图</w:t>
      </w:r>
    </w:p>
    <w:p>
      <w:pPr>
        <w:ind w:firstLine="465"/>
        <w:rPr>
          <w:rFonts w:cs="Times New Roman"/>
          <w:color w:val="000000" w:themeColor="text1"/>
        </w:rPr>
      </w:pPr>
      <w:r>
        <w:rPr>
          <w:rFonts w:cs="Times New Roman"/>
          <w:color w:val="000000" w:themeColor="text1"/>
        </w:rPr>
        <w:t xml:space="preserve">附图5  </w:t>
      </w:r>
      <w:r>
        <w:rPr>
          <w:rFonts w:hint="eastAsia" w:cs="Times New Roman"/>
          <w:color w:val="000000" w:themeColor="text1"/>
        </w:rPr>
        <w:t>地下水</w:t>
      </w:r>
      <w:r>
        <w:rPr>
          <w:rFonts w:cs="Times New Roman"/>
          <w:color w:val="000000" w:themeColor="text1"/>
        </w:rPr>
        <w:t>分区防渗图</w:t>
      </w:r>
    </w:p>
    <w:p>
      <w:pPr>
        <w:ind w:firstLine="465"/>
        <w:rPr>
          <w:rFonts w:hint="default" w:cs="Times New Roman" w:eastAsiaTheme="minorEastAsia"/>
          <w:color w:val="000000" w:themeColor="text1"/>
          <w:lang w:val="en-US" w:eastAsia="zh-CN"/>
        </w:rPr>
      </w:pPr>
      <w:r>
        <w:rPr>
          <w:rFonts w:cs="Times New Roman"/>
          <w:color w:val="000000" w:themeColor="text1"/>
        </w:rPr>
        <w:t xml:space="preserve">附图6  </w:t>
      </w:r>
      <w:r>
        <w:rPr>
          <w:rFonts w:hint="eastAsia" w:cs="Times New Roman"/>
          <w:color w:val="000000" w:themeColor="text1"/>
          <w:lang w:val="en-US" w:eastAsia="zh-CN"/>
        </w:rPr>
        <w:t>本项目于石伏工业园内位置关系图</w:t>
      </w:r>
    </w:p>
    <w:p>
      <w:pPr>
        <w:ind w:firstLine="465"/>
        <w:rPr>
          <w:rFonts w:hint="eastAsia" w:cs="Times New Roman"/>
          <w:color w:val="000000" w:themeColor="text1"/>
          <w:lang w:val="en-US" w:eastAsia="zh-CN"/>
        </w:rPr>
      </w:pPr>
      <w:r>
        <w:rPr>
          <w:rFonts w:cs="Times New Roman"/>
          <w:color w:val="000000" w:themeColor="text1"/>
        </w:rPr>
        <w:t xml:space="preserve">附图7  </w:t>
      </w:r>
      <w:r>
        <w:rPr>
          <w:rFonts w:hint="eastAsia" w:cs="Times New Roman"/>
          <w:color w:val="000000" w:themeColor="text1"/>
          <w:lang w:val="en-US" w:eastAsia="zh-CN"/>
        </w:rPr>
        <w:t>监测布点图</w:t>
      </w:r>
    </w:p>
    <w:p>
      <w:pPr>
        <w:bidi w:val="0"/>
        <w:ind w:firstLine="480" w:firstLineChars="200"/>
        <w:rPr>
          <w:rFonts w:hint="eastAsia"/>
          <w:lang w:val="en-US" w:eastAsia="zh-CN"/>
        </w:rPr>
      </w:pPr>
      <w:r>
        <w:rPr>
          <w:rFonts w:hint="eastAsia"/>
          <w:lang w:val="en-US" w:eastAsia="zh-CN"/>
        </w:rPr>
        <w:t>附图8  地下水引用数据点位于本项目位置关系图</w:t>
      </w:r>
    </w:p>
    <w:p>
      <w:pPr>
        <w:ind w:firstLine="465"/>
        <w:rPr>
          <w:rFonts w:hint="default" w:cs="Times New Roman"/>
          <w:color w:val="000000" w:themeColor="text1"/>
          <w:lang w:val="en-US" w:eastAsia="zh-CN"/>
        </w:rPr>
      </w:pPr>
      <w:r>
        <w:rPr>
          <w:rFonts w:hint="eastAsia" w:cs="Times New Roman"/>
          <w:color w:val="000000" w:themeColor="text1"/>
          <w:lang w:val="en-US" w:eastAsia="zh-CN"/>
        </w:rPr>
        <w:t>附件9  本项目周边水系图</w:t>
      </w:r>
    </w:p>
    <w:p>
      <w:pPr>
        <w:ind w:firstLine="470" w:firstLineChars="196"/>
        <w:rPr>
          <w:rFonts w:cs="Times New Roman"/>
          <w:color w:val="000000" w:themeColor="text1"/>
        </w:rPr>
      </w:pPr>
    </w:p>
    <w:p>
      <w:pPr>
        <w:rPr>
          <w:rFonts w:cs="Times New Roman"/>
          <w:b/>
          <w:color w:val="000000" w:themeColor="text1"/>
        </w:rPr>
      </w:pPr>
      <w:r>
        <w:rPr>
          <w:rFonts w:cs="Times New Roman"/>
          <w:b/>
          <w:color w:val="000000" w:themeColor="text1"/>
        </w:rPr>
        <w:t>附表:</w:t>
      </w:r>
    </w:p>
    <w:p>
      <w:pPr>
        <w:widowControl/>
        <w:ind w:firstLine="465"/>
        <w:jc w:val="left"/>
        <w:rPr>
          <w:rFonts w:cs="Times New Roman"/>
          <w:color w:val="000000" w:themeColor="text1"/>
          <w:szCs w:val="28"/>
        </w:rPr>
      </w:pPr>
      <w:r>
        <w:rPr>
          <w:rFonts w:cs="Times New Roman"/>
          <w:color w:val="000000" w:themeColor="text1"/>
          <w:szCs w:val="28"/>
        </w:rPr>
        <w:t>建设项目环评审批基础信息表</w:t>
      </w:r>
    </w:p>
    <w:p>
      <w:pPr>
        <w:pStyle w:val="2"/>
        <w:numPr>
          <w:ilvl w:val="0"/>
          <w:numId w:val="0"/>
        </w:numPr>
        <w:adjustRightInd w:val="0"/>
        <w:snapToGrid w:val="0"/>
        <w:spacing w:line="360" w:lineRule="auto"/>
        <w:rPr>
          <w:color w:val="000000" w:themeColor="text1"/>
        </w:rPr>
        <w:sectPr>
          <w:footerReference r:id="rId3"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425" w:num="1"/>
          <w:docGrid w:type="lines" w:linePitch="326" w:charSpace="0"/>
        </w:sectPr>
      </w:pPr>
    </w:p>
    <w:p>
      <w:pPr>
        <w:pStyle w:val="2"/>
        <w:numPr>
          <w:ilvl w:val="0"/>
          <w:numId w:val="0"/>
        </w:numPr>
        <w:adjustRightInd w:val="0"/>
        <w:snapToGrid w:val="0"/>
        <w:spacing w:line="360" w:lineRule="auto"/>
        <w:rPr>
          <w:color w:val="000000" w:themeColor="text1"/>
        </w:rPr>
      </w:pPr>
      <w:r>
        <w:rPr>
          <w:rFonts w:hint="eastAsia"/>
          <w:color w:val="000000" w:themeColor="text1"/>
        </w:rPr>
        <w:t>概述</w:t>
      </w:r>
      <w:bookmarkEnd w:id="0"/>
      <w:bookmarkEnd w:id="1"/>
      <w:bookmarkEnd w:id="2"/>
      <w:bookmarkEnd w:id="3"/>
      <w:bookmarkEnd w:id="4"/>
    </w:p>
    <w:p>
      <w:pPr>
        <w:pStyle w:val="4"/>
        <w:numPr>
          <w:ilvl w:val="0"/>
          <w:numId w:val="0"/>
        </w:numPr>
        <w:adjustRightInd w:val="0"/>
        <w:snapToGrid w:val="0"/>
        <w:ind w:left="576" w:hanging="576"/>
        <w:rPr>
          <w:color w:val="000000" w:themeColor="text1"/>
        </w:rPr>
      </w:pPr>
      <w:bookmarkStart w:id="5" w:name="_Toc23854"/>
      <w:bookmarkStart w:id="6" w:name="_Toc532763180"/>
      <w:bookmarkStart w:id="7" w:name="_Toc532498716"/>
      <w:bookmarkStart w:id="8" w:name="_Toc532376123"/>
      <w:bookmarkStart w:id="9" w:name="_Toc532497588"/>
      <w:r>
        <w:rPr>
          <w:rFonts w:hint="eastAsia"/>
          <w:color w:val="000000" w:themeColor="text1"/>
        </w:rPr>
        <w:t>Ⅰ项目由来</w:t>
      </w:r>
      <w:bookmarkEnd w:id="5"/>
      <w:bookmarkEnd w:id="6"/>
      <w:bookmarkEnd w:id="7"/>
      <w:bookmarkEnd w:id="8"/>
      <w:bookmarkEnd w:id="9"/>
    </w:p>
    <w:p>
      <w:pPr>
        <w:autoSpaceDE w:val="0"/>
        <w:autoSpaceDN w:val="0"/>
        <w:adjustRightInd w:val="0"/>
        <w:spacing w:line="360" w:lineRule="auto"/>
        <w:ind w:firstLine="480" w:firstLineChars="200"/>
        <w:jc w:val="left"/>
        <w:rPr>
          <w:rFonts w:eastAsia="宋体" w:cs="Times New Roman"/>
          <w:color w:val="000000" w:themeColor="text1"/>
          <w:kern w:val="0"/>
          <w:szCs w:val="24"/>
          <w:u w:val="single"/>
        </w:rPr>
      </w:pPr>
      <w:r>
        <w:rPr>
          <w:rFonts w:hint="eastAsia" w:eastAsia="宋体" w:cs="Times New Roman"/>
          <w:color w:val="000000" w:themeColor="text1"/>
          <w:kern w:val="0"/>
          <w:szCs w:val="24"/>
          <w:u w:val="single"/>
        </w:rPr>
        <w:t>由于</w:t>
      </w:r>
      <w:r>
        <w:rPr>
          <w:rFonts w:eastAsia="宋体" w:cs="Times New Roman"/>
          <w:color w:val="000000" w:themeColor="text1"/>
          <w:kern w:val="0"/>
          <w:szCs w:val="24"/>
          <w:u w:val="single"/>
        </w:rPr>
        <w:t>华容县桥东片区内污水处理设施，截污管网不完善，排水系统主要是利用防洪系统中的撇洪渠和水利排灌系统排水，造成排水不畅、卫生状况较差的状况。因此，新建华容县桥东污水处理厂及配套截污干管工程已十分迫切。</w:t>
      </w:r>
    </w:p>
    <w:p>
      <w:pPr>
        <w:spacing w:line="360" w:lineRule="auto"/>
        <w:ind w:firstLine="480" w:firstLineChars="200"/>
        <w:rPr>
          <w:rFonts w:cs="Times New Roman"/>
          <w:color w:val="FF0000"/>
          <w:szCs w:val="24"/>
          <w:u w:val="single"/>
        </w:rPr>
      </w:pPr>
      <w:r>
        <w:rPr>
          <w:rFonts w:cs="Times New Roman"/>
          <w:color w:val="000000" w:themeColor="text1"/>
          <w:szCs w:val="24"/>
          <w:u w:val="single"/>
        </w:rPr>
        <w:t>华容县桥东污水处理厂位于湖南省岳阳市华容县石伏</w:t>
      </w:r>
      <w:r>
        <w:rPr>
          <w:rFonts w:hint="eastAsia" w:cs="Times New Roman"/>
          <w:color w:val="000000" w:themeColor="text1"/>
          <w:szCs w:val="24"/>
          <w:u w:val="single"/>
        </w:rPr>
        <w:t>工业园</w:t>
      </w:r>
      <w:r>
        <w:rPr>
          <w:rFonts w:cs="Times New Roman"/>
          <w:color w:val="000000" w:themeColor="text1"/>
          <w:szCs w:val="24"/>
          <w:u w:val="single"/>
        </w:rPr>
        <w:t>，2016年7月湖南道和环保科技有限公司完成了《华容县桥东污水处理厂及配套管建设项目环境影响报告表》的编制，2016年8月由岳阳市环境保护局对该污水处理厂进行了批复，同意该项目建设（环评批复见附件</w:t>
      </w:r>
      <w:r>
        <w:rPr>
          <w:rFonts w:hint="eastAsia" w:cs="Times New Roman"/>
          <w:color w:val="000000" w:themeColor="text1"/>
          <w:szCs w:val="24"/>
          <w:u w:val="single"/>
        </w:rPr>
        <w:t>2</w:t>
      </w:r>
      <w:r>
        <w:rPr>
          <w:rFonts w:cs="Times New Roman"/>
          <w:color w:val="000000" w:themeColor="text1"/>
          <w:szCs w:val="24"/>
          <w:u w:val="single"/>
        </w:rPr>
        <w:t>），批复处理规模为日处理生活污水2万m</w:t>
      </w:r>
      <w:r>
        <w:rPr>
          <w:rFonts w:cs="Times New Roman"/>
          <w:color w:val="000000" w:themeColor="text1"/>
          <w:szCs w:val="24"/>
          <w:u w:val="single"/>
          <w:vertAlign w:val="superscript"/>
        </w:rPr>
        <w:t>3</w:t>
      </w:r>
      <w:r>
        <w:rPr>
          <w:rFonts w:cs="Times New Roman"/>
          <w:color w:val="000000" w:themeColor="text1"/>
          <w:szCs w:val="24"/>
          <w:u w:val="single"/>
        </w:rPr>
        <w:t>/d，主要处理华容县桥东片区生活污水，污水收集范围为8.5km</w:t>
      </w:r>
      <w:r>
        <w:rPr>
          <w:rFonts w:cs="Times New Roman"/>
          <w:color w:val="000000" w:themeColor="text1"/>
          <w:szCs w:val="24"/>
          <w:u w:val="single"/>
          <w:vertAlign w:val="superscript"/>
        </w:rPr>
        <w:t>2</w:t>
      </w:r>
      <w:r>
        <w:rPr>
          <w:rFonts w:cs="Times New Roman"/>
          <w:color w:val="000000" w:themeColor="text1"/>
          <w:szCs w:val="24"/>
          <w:u w:val="single"/>
        </w:rPr>
        <w:t>，服务人口8.5万人。主要建设内容包括：（1）污水处理厂：主要包括粗格栅及污水提升泵站、细格栅及沉砂池、BDP生物池、高效混凝沉淀池、滤布滤池、接触消毒池、贮泥池、污泥脱水间、综合加药间、综合楼及配套设施等。（2）污水管网：配套建设截污管网14.33km，主干管沿桥东路铺设，并向北沿朱家胡西路等道路连接华容大道东路，主干管总长度为6.84km；支管沿书院路、新村北路、陵园路、李新路等道路铺设，支管总长为7.49km；管道主要依靠重力流，在桥东路主干管（位于污水处理厂西侧830m处）设有一提升站，占地为120m</w:t>
      </w:r>
      <w:r>
        <w:rPr>
          <w:rFonts w:cs="Times New Roman"/>
          <w:color w:val="000000" w:themeColor="text1"/>
          <w:szCs w:val="24"/>
          <w:u w:val="single"/>
          <w:vertAlign w:val="superscript"/>
        </w:rPr>
        <w:t>2</w:t>
      </w:r>
      <w:r>
        <w:rPr>
          <w:rFonts w:cs="Times New Roman"/>
          <w:color w:val="000000" w:themeColor="text1"/>
          <w:szCs w:val="24"/>
          <w:u w:val="single"/>
        </w:rPr>
        <w:t>，为一体化地下预制泵站，内设3台变频潜水泵</w:t>
      </w:r>
      <w:r>
        <w:rPr>
          <w:rFonts w:cs="Times New Roman" w:hAnsiTheme="minorEastAsia"/>
          <w:color w:val="000000" w:themeColor="text1"/>
          <w:szCs w:val="24"/>
          <w:u w:val="single"/>
        </w:rPr>
        <w:t>（两用一备）格栅和超声波液位计。</w:t>
      </w:r>
    </w:p>
    <w:p>
      <w:pPr>
        <w:autoSpaceDE w:val="0"/>
        <w:autoSpaceDN w:val="0"/>
        <w:adjustRightInd w:val="0"/>
        <w:spacing w:line="360" w:lineRule="auto"/>
        <w:ind w:firstLine="480" w:firstLineChars="200"/>
        <w:jc w:val="left"/>
        <w:rPr>
          <w:rFonts w:eastAsia="宋体" w:cs="Times New Roman"/>
          <w:color w:val="000000" w:themeColor="text1"/>
          <w:kern w:val="0"/>
          <w:szCs w:val="24"/>
          <w:u w:val="single"/>
        </w:rPr>
      </w:pPr>
      <w:r>
        <w:rPr>
          <w:rFonts w:eastAsia="宋体" w:cs="Times New Roman"/>
          <w:color w:val="000000" w:themeColor="text1"/>
          <w:kern w:val="0"/>
          <w:szCs w:val="24"/>
          <w:u w:val="single"/>
        </w:rPr>
        <w:t>桥东污水处理厂于</w:t>
      </w:r>
      <w:r>
        <w:rPr>
          <w:rFonts w:hint="eastAsia" w:eastAsia="宋体" w:cs="Times New Roman"/>
          <w:color w:val="000000" w:themeColor="text1"/>
          <w:kern w:val="0"/>
          <w:szCs w:val="24"/>
          <w:u w:val="single"/>
        </w:rPr>
        <w:t>2018年</w:t>
      </w:r>
      <w:r>
        <w:rPr>
          <w:rFonts w:eastAsia="宋体" w:cs="Times New Roman"/>
          <w:color w:val="000000" w:themeColor="text1"/>
          <w:kern w:val="0"/>
          <w:szCs w:val="24"/>
          <w:u w:val="single"/>
        </w:rPr>
        <w:t>4月28日建好</w:t>
      </w:r>
      <w:r>
        <w:rPr>
          <w:rFonts w:hint="eastAsia" w:eastAsia="宋体" w:cs="Times New Roman"/>
          <w:color w:val="000000" w:themeColor="text1"/>
          <w:kern w:val="0"/>
          <w:szCs w:val="24"/>
          <w:u w:val="single"/>
        </w:rPr>
        <w:t>并</w:t>
      </w:r>
      <w:r>
        <w:rPr>
          <w:rFonts w:eastAsia="宋体" w:cs="Times New Roman"/>
          <w:color w:val="000000" w:themeColor="text1"/>
          <w:kern w:val="0"/>
          <w:szCs w:val="24"/>
          <w:u w:val="single"/>
        </w:rPr>
        <w:t>正式通水运行。</w:t>
      </w:r>
      <w:r>
        <w:rPr>
          <w:rFonts w:hint="eastAsia" w:eastAsia="宋体" w:cs="Times New Roman"/>
          <w:color w:val="000000" w:themeColor="text1"/>
          <w:kern w:val="0"/>
          <w:szCs w:val="24"/>
          <w:u w:val="single"/>
        </w:rPr>
        <w:t>桥东污水处理厂的建设的工艺流程发生变动，实际建设情况和环评中编写的工艺流程不相符，并且桥东污水处理厂有接纳华容县石伏工业园的废水。实际建设的内容主要为：（1）污水处理厂：粗格栅及提升泵站、细格栅及</w:t>
      </w:r>
      <w:r>
        <w:rPr>
          <w:rFonts w:hint="eastAsia" w:eastAsia="宋体" w:cs="Times New Roman"/>
          <w:color w:val="000000" w:themeColor="text1"/>
          <w:kern w:val="0"/>
          <w:szCs w:val="24"/>
          <w:u w:val="single"/>
          <w:lang w:eastAsia="zh-CN"/>
        </w:rPr>
        <w:t>平</w:t>
      </w:r>
      <w:r>
        <w:rPr>
          <w:rFonts w:hint="eastAsia" w:eastAsia="宋体" w:cs="Times New Roman"/>
          <w:color w:val="000000" w:themeColor="text1"/>
          <w:kern w:val="0"/>
          <w:szCs w:val="24"/>
          <w:u w:val="single"/>
        </w:rPr>
        <w:t>流沉砂池</w:t>
      </w:r>
      <w:r>
        <w:rPr>
          <w:rFonts w:cs="Times New Roman"/>
          <w:color w:val="000000" w:themeColor="text1"/>
          <w:szCs w:val="24"/>
          <w:u w:val="single"/>
        </w:rPr>
        <w:t>、</w:t>
      </w:r>
      <w:r>
        <w:rPr>
          <w:rFonts w:hint="eastAsia" w:cs="Times New Roman"/>
          <w:color w:val="000000" w:themeColor="text1"/>
          <w:szCs w:val="24"/>
          <w:u w:val="single"/>
        </w:rPr>
        <w:t>组合池（水解酸化池、AAO生物池、矩形二沉池）、高效沉淀池、滤布滤池、接触消毒池、污泥泵站、污泥浓缩池、污泥深度脱水车间及加药间、生物除臭措施等。实际建设与2016年批的环评报告对比，</w:t>
      </w:r>
      <w:r>
        <w:rPr>
          <w:rFonts w:cs="Times New Roman"/>
          <w:u w:val="single"/>
        </w:rPr>
        <w:t>之前</w:t>
      </w:r>
      <w:r>
        <w:rPr>
          <w:rFonts w:hint="eastAsia" w:cs="Times New Roman"/>
          <w:u w:val="single"/>
        </w:rPr>
        <w:t>设计建设的</w:t>
      </w:r>
      <w:r>
        <w:rPr>
          <w:rFonts w:cs="Times New Roman"/>
          <w:u w:val="single"/>
        </w:rPr>
        <w:t>的BDP</w:t>
      </w:r>
      <w:r>
        <w:rPr>
          <w:rFonts w:cs="Times New Roman"/>
          <w:u w:val="single"/>
          <w:vertAlign w:val="superscript"/>
        </w:rPr>
        <w:t>®</w:t>
      </w:r>
      <w:r>
        <w:rPr>
          <w:rFonts w:cs="Times New Roman"/>
          <w:u w:val="single"/>
        </w:rPr>
        <w:t>生物池不用了，新增了组合池</w:t>
      </w:r>
      <w:r>
        <w:rPr>
          <w:rFonts w:hint="eastAsia" w:cs="Times New Roman"/>
          <w:u w:val="single"/>
        </w:rPr>
        <w:t>（</w:t>
      </w:r>
      <w:r>
        <w:rPr>
          <w:rFonts w:cs="Times New Roman"/>
          <w:u w:val="single"/>
        </w:rPr>
        <w:t>组合池由水解酸化池、AAO生物池、矩形二沉池组成</w:t>
      </w:r>
      <w:r>
        <w:rPr>
          <w:rFonts w:hint="eastAsia" w:cs="Times New Roman"/>
          <w:u w:val="single"/>
        </w:rPr>
        <w:t>）、新增巴氏计量槽及尾水泵站，将</w:t>
      </w:r>
      <w:r>
        <w:rPr>
          <w:rFonts w:cs="Times New Roman"/>
          <w:u w:val="single"/>
        </w:rPr>
        <w:t>贮泥池</w:t>
      </w:r>
      <w:r>
        <w:rPr>
          <w:rFonts w:hint="eastAsia" w:cs="Times New Roman"/>
          <w:u w:val="single"/>
        </w:rPr>
        <w:t>改成</w:t>
      </w:r>
      <w:r>
        <w:rPr>
          <w:rFonts w:cs="Times New Roman"/>
          <w:u w:val="single"/>
        </w:rPr>
        <w:t>污泥浓缩池</w:t>
      </w:r>
      <w:r>
        <w:rPr>
          <w:rFonts w:hint="eastAsia" w:cs="Times New Roman"/>
          <w:u w:val="single"/>
        </w:rPr>
        <w:t>，</w:t>
      </w:r>
      <w:r>
        <w:rPr>
          <w:rFonts w:cs="Times New Roman"/>
          <w:u w:val="single"/>
        </w:rPr>
        <w:t>污泥生物干化车间改成脱泥效果更好的污泥深度脱水间及加药间</w:t>
      </w:r>
      <w:r>
        <w:rPr>
          <w:rFonts w:hint="eastAsia" w:cs="Times New Roman"/>
          <w:u w:val="single"/>
        </w:rPr>
        <w:t>。</w:t>
      </w:r>
      <w:r>
        <w:rPr>
          <w:rFonts w:cs="Times New Roman"/>
          <w:color w:val="000000" w:themeColor="text1"/>
          <w:u w:val="single"/>
        </w:rPr>
        <w:t>（2）污水管网：本次新修污水管网</w:t>
      </w:r>
      <w:r>
        <w:rPr>
          <w:rFonts w:cs="Times New Roman"/>
          <w:color w:val="000000" w:themeColor="text1"/>
          <w:szCs w:val="24"/>
          <w:u w:val="single"/>
        </w:rPr>
        <w:t>5.55km，本线路进水管自新华门业公司沿华容河边敷设至桥东污水厂粗格栅前端。工业园主干管F线起端自宝丽纺织，穿越岳华公路后沿沟渠边接至B线B10井，D线起端自二桥东路沿沟渠接至B5井，沿线收集周边居民生活污水及工业废水。</w:t>
      </w:r>
      <w:r>
        <w:rPr>
          <w:rFonts w:hint="eastAsia" w:cs="Times New Roman"/>
          <w:color w:val="000000" w:themeColor="text1"/>
          <w:szCs w:val="24"/>
        </w:rPr>
        <w:t>2</w:t>
      </w:r>
      <w:r>
        <w:rPr>
          <w:rFonts w:eastAsia="宋体" w:cs="Times New Roman"/>
          <w:color w:val="000000" w:themeColor="text1"/>
          <w:kern w:val="0"/>
          <w:szCs w:val="24"/>
          <w:u w:val="single"/>
        </w:rPr>
        <w:t>018年12月15日华容县环境保护局对桥东污水处理厂进行现场检查，发现项目性质和采用的生产工艺发生重大变动，未依法重新报批建设项目的环境影响文件，违反了《中华人民共和国环境影响评价法》第二十四条第一款，建设项目的环境影响评价文件经批准后，建设项目的性质、规模、地点、采用的生产工艺或防治污染、防止生态破坏的措施发生重大变动的，建设单位应当重新报批建设项目的环境影响评价文件的规定。依据《中华人民共和国环境影响评价法》第三十一条第一款，建设单位未依法报批建设项目环境影响报告书、报告表，或者未依照本法第二十四条的规定重新报批或者报请重新审核环境影响</w:t>
      </w:r>
    </w:p>
    <w:p>
      <w:pPr>
        <w:autoSpaceDE w:val="0"/>
        <w:autoSpaceDN w:val="0"/>
        <w:adjustRightInd w:val="0"/>
        <w:spacing w:line="360" w:lineRule="auto"/>
        <w:ind w:firstLine="480" w:firstLineChars="200"/>
        <w:jc w:val="left"/>
        <w:rPr>
          <w:rFonts w:cs="Times New Roman"/>
          <w:color w:val="000000" w:themeColor="text1"/>
          <w:kern w:val="0"/>
          <w:szCs w:val="24"/>
          <w:u w:val="single"/>
        </w:rPr>
      </w:pPr>
      <w:r>
        <w:rPr>
          <w:rFonts w:eastAsia="宋体" w:cs="Times New Roman"/>
          <w:color w:val="000000" w:themeColor="text1"/>
          <w:kern w:val="0"/>
          <w:szCs w:val="24"/>
          <w:u w:val="single"/>
        </w:rPr>
        <w:t>报告书、报告表。擅自开工建设的，有县级以上环境保护行政主管部门责令停止建设，根据违法情节和危害后果，处建设项目总投资百分之一以上百分之五一下的罚款。华容县环境保护局对其违法行为进行了处罚（处罚号：华环罚字【2019】1号）。</w:t>
      </w:r>
      <w:r>
        <w:rPr>
          <w:rFonts w:hint="eastAsia" w:eastAsia="宋体" w:cs="Times New Roman"/>
          <w:color w:val="000000" w:themeColor="text1"/>
          <w:kern w:val="0"/>
          <w:szCs w:val="24"/>
          <w:u w:val="single"/>
        </w:rPr>
        <w:t>桥东污水处理厂再递交罚款后，重新委托</w:t>
      </w:r>
      <w:r>
        <w:rPr>
          <w:rFonts w:cs="Times New Roman"/>
          <w:color w:val="000000" w:themeColor="text1"/>
          <w:szCs w:val="24"/>
          <w:u w:val="single"/>
        </w:rPr>
        <w:t>江西景瑞祥环保科技有限公司</w:t>
      </w:r>
      <w:r>
        <w:rPr>
          <w:rFonts w:hint="eastAsia" w:cs="Times New Roman"/>
          <w:color w:val="000000" w:themeColor="text1"/>
          <w:szCs w:val="24"/>
          <w:u w:val="single"/>
        </w:rPr>
        <w:t>编写《华容县桥东污水处理厂2万m</w:t>
      </w:r>
      <w:r>
        <w:rPr>
          <w:rFonts w:hint="eastAsia" w:cs="Times New Roman"/>
          <w:color w:val="000000" w:themeColor="text1"/>
          <w:szCs w:val="24"/>
          <w:u w:val="single"/>
          <w:vertAlign w:val="superscript"/>
        </w:rPr>
        <w:t>3</w:t>
      </w:r>
      <w:r>
        <w:rPr>
          <w:rFonts w:hint="eastAsia" w:cs="Times New Roman"/>
          <w:color w:val="000000" w:themeColor="text1"/>
          <w:szCs w:val="24"/>
          <w:u w:val="single"/>
        </w:rPr>
        <w:t>/d建设项目》的环境影响报告书。</w:t>
      </w:r>
    </w:p>
    <w:p>
      <w:pPr>
        <w:spacing w:line="360" w:lineRule="auto"/>
        <w:ind w:firstLine="480" w:firstLineChars="200"/>
        <w:rPr>
          <w:rFonts w:cs="Times New Roman"/>
          <w:color w:val="FF0000"/>
          <w:szCs w:val="24"/>
        </w:rPr>
      </w:pPr>
      <w:r>
        <w:rPr>
          <w:rFonts w:cs="Times New Roman"/>
          <w:color w:val="000000" w:themeColor="text1"/>
          <w:szCs w:val="24"/>
          <w:u w:val="single"/>
        </w:rPr>
        <w:t>根据《中华人民共和国环境保护法》（2015年1月1日）、《中华人民共和国环境影响评价法》（2018年12月29日）和《建设项目环境影响评价分类管理名录》（2018年本）的有关规定，本项目属于《建设项目环境影响评价分类管理名录》（2018年本）中“三十三、水的生产和供应业-96，生活污水集中处理”中的“其他”和“三十三、水的生产和供应业-97，工业废水处理”中的“新建、扩建集中处理的”，</w:t>
      </w:r>
      <w:r>
        <w:rPr>
          <w:rFonts w:cs="Times New Roman"/>
          <w:color w:val="000000" w:themeColor="text1"/>
          <w:u w:val="single"/>
        </w:rPr>
        <w:t>根据《建设项目环境影响评价分类管理名录》中的第五条：跨行业、复合型建设项目、其环境影响评价类别按其单项等级最高的确定，按要求应编制环境影响报告书</w:t>
      </w:r>
      <w:r>
        <w:rPr>
          <w:rFonts w:cs="Times New Roman"/>
          <w:color w:val="000000" w:themeColor="text1"/>
          <w:szCs w:val="24"/>
          <w:u w:val="single"/>
        </w:rPr>
        <w:t>。因此建设单位委托江西景瑞祥环保科技有限公司承担该项目的环境影响评价编制工作。</w:t>
      </w:r>
      <w:r>
        <w:rPr>
          <w:rFonts w:cs="Times New Roman"/>
          <w:color w:val="000000" w:themeColor="text1"/>
          <w:u w:val="single"/>
        </w:rPr>
        <w:t>根据环政法函【2018】31号《环境保护部关于建设项目“未批先建”违法行为法律适用问题的意见》规定，建设单位已处罚且主动补交环境影响报告书并报送环保部门审查的，环保部门应当受理。</w:t>
      </w:r>
    </w:p>
    <w:p>
      <w:pPr>
        <w:pStyle w:val="4"/>
        <w:numPr>
          <w:ilvl w:val="0"/>
          <w:numId w:val="0"/>
        </w:numPr>
        <w:adjustRightInd w:val="0"/>
        <w:snapToGrid w:val="0"/>
        <w:ind w:left="576" w:hanging="576"/>
        <w:rPr>
          <w:color w:val="000000" w:themeColor="text1"/>
        </w:rPr>
      </w:pPr>
      <w:bookmarkStart w:id="10" w:name="_Toc28730"/>
      <w:bookmarkStart w:id="11" w:name="_Toc532763182"/>
      <w:bookmarkStart w:id="12" w:name="_Toc532376125"/>
      <w:bookmarkStart w:id="13" w:name="_Toc532497590"/>
      <w:bookmarkStart w:id="14" w:name="_Toc532498718"/>
      <w:r>
        <w:rPr>
          <w:rFonts w:hint="eastAsia"/>
          <w:color w:val="000000" w:themeColor="text1"/>
        </w:rPr>
        <w:t>Ⅱ评价目的和原则</w:t>
      </w:r>
      <w:bookmarkEnd w:id="10"/>
    </w:p>
    <w:p>
      <w:pPr>
        <w:numPr>
          <w:ilvl w:val="0"/>
          <w:numId w:val="3"/>
        </w:numPr>
        <w:spacing w:line="360" w:lineRule="auto"/>
        <w:ind w:firstLine="480" w:firstLineChars="200"/>
        <w:rPr>
          <w:color w:val="000000" w:themeColor="text1"/>
        </w:rPr>
      </w:pPr>
      <w:r>
        <w:rPr>
          <w:rFonts w:hint="eastAsia"/>
          <w:color w:val="000000" w:themeColor="text1"/>
        </w:rPr>
        <w:t>评价目的</w:t>
      </w:r>
    </w:p>
    <w:p>
      <w:pPr>
        <w:spacing w:line="360" w:lineRule="auto"/>
        <w:ind w:firstLine="480" w:firstLineChars="200"/>
        <w:rPr>
          <w:rFonts w:eastAsia="宋体" w:cs="宋体"/>
          <w:szCs w:val="24"/>
        </w:rPr>
      </w:pPr>
      <w:r>
        <w:rPr>
          <w:rFonts w:hint="eastAsia" w:eastAsia="宋体" w:cs="宋体"/>
          <w:szCs w:val="24"/>
        </w:rPr>
        <w:t>开展环境影响评价的目的就是通过查清环境背景、现有工程存在的环境问题，明确环境保护目标，对项目环境问题进行剖析，提出整改措施，确保项目所有污染物均能达标排放，以求将不利的环境影响减小到最低程度，促使项目运行过程中取得最佳的社会、环境和经济综合效益。</w:t>
      </w:r>
    </w:p>
    <w:p>
      <w:pPr>
        <w:numPr>
          <w:ilvl w:val="0"/>
          <w:numId w:val="3"/>
        </w:numPr>
        <w:spacing w:line="360" w:lineRule="auto"/>
        <w:ind w:firstLine="480" w:firstLineChars="200"/>
        <w:rPr>
          <w:rFonts w:eastAsia="宋体" w:cs="宋体"/>
          <w:szCs w:val="24"/>
        </w:rPr>
      </w:pPr>
      <w:r>
        <w:rPr>
          <w:rFonts w:hint="eastAsia" w:eastAsia="宋体" w:cs="宋体"/>
          <w:szCs w:val="24"/>
        </w:rPr>
        <w:t>评价原则</w:t>
      </w:r>
    </w:p>
    <w:p>
      <w:pPr>
        <w:spacing w:line="360" w:lineRule="auto"/>
        <w:ind w:firstLine="480" w:firstLineChars="200"/>
        <w:rPr>
          <w:szCs w:val="24"/>
        </w:rPr>
      </w:pPr>
      <w:r>
        <w:rPr>
          <w:rFonts w:hint="eastAsia" w:eastAsia="宋体" w:cs="宋体"/>
          <w:szCs w:val="24"/>
        </w:rPr>
        <w:t>按照以人为本、建设资源节约型、环境友好型社会和科学发展的要求，遵循以下原则开展环境影响评价工作：</w:t>
      </w:r>
    </w:p>
    <w:p>
      <w:pPr>
        <w:spacing w:line="360" w:lineRule="auto"/>
        <w:ind w:firstLine="480" w:firstLineChars="200"/>
        <w:rPr>
          <w:szCs w:val="24"/>
        </w:rPr>
      </w:pPr>
      <w:r>
        <w:rPr>
          <w:rFonts w:hint="eastAsia" w:eastAsia="宋体" w:cs="宋体"/>
          <w:szCs w:val="24"/>
        </w:rPr>
        <w:t>（</w:t>
      </w:r>
      <w:r>
        <w:rPr>
          <w:rFonts w:eastAsia="宋体" w:cs="Times New Roman"/>
          <w:szCs w:val="24"/>
        </w:rPr>
        <w:t>1</w:t>
      </w:r>
      <w:r>
        <w:rPr>
          <w:rFonts w:hint="eastAsia" w:eastAsia="宋体" w:cs="宋体"/>
          <w:szCs w:val="24"/>
        </w:rPr>
        <w:t>）依法评价原则</w:t>
      </w:r>
    </w:p>
    <w:p>
      <w:pPr>
        <w:spacing w:line="360" w:lineRule="auto"/>
        <w:ind w:firstLine="480" w:firstLineChars="200"/>
        <w:rPr>
          <w:szCs w:val="24"/>
        </w:rPr>
      </w:pPr>
      <w:r>
        <w:rPr>
          <w:rFonts w:hint="eastAsia" w:eastAsia="宋体" w:cs="宋体"/>
          <w:szCs w:val="24"/>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pPr>
        <w:spacing w:line="360" w:lineRule="auto"/>
        <w:ind w:firstLine="480" w:firstLineChars="200"/>
        <w:rPr>
          <w:szCs w:val="24"/>
        </w:rPr>
      </w:pPr>
      <w:r>
        <w:rPr>
          <w:rFonts w:hint="eastAsia" w:eastAsia="宋体" w:cs="宋体"/>
          <w:szCs w:val="24"/>
        </w:rPr>
        <w:t>（</w:t>
      </w:r>
      <w:r>
        <w:rPr>
          <w:rFonts w:eastAsia="宋体" w:cs="Times New Roman"/>
          <w:szCs w:val="24"/>
        </w:rPr>
        <w:t>2</w:t>
      </w:r>
      <w:r>
        <w:rPr>
          <w:rFonts w:hint="eastAsia" w:eastAsia="宋体" w:cs="宋体"/>
          <w:szCs w:val="24"/>
        </w:rPr>
        <w:t>）科学评价原则</w:t>
      </w:r>
    </w:p>
    <w:p>
      <w:pPr>
        <w:spacing w:line="360" w:lineRule="auto"/>
        <w:ind w:firstLine="480" w:firstLineChars="200"/>
        <w:rPr>
          <w:szCs w:val="24"/>
        </w:rPr>
      </w:pPr>
      <w:r>
        <w:rPr>
          <w:rFonts w:hint="eastAsia" w:eastAsia="宋体" w:cs="宋体"/>
          <w:szCs w:val="24"/>
        </w:rPr>
        <w:t>环境影响评价应采用规范的评价防范，科学分析项目建设对环境质量的影响。</w:t>
      </w:r>
    </w:p>
    <w:p>
      <w:pPr>
        <w:spacing w:line="360" w:lineRule="auto"/>
        <w:ind w:firstLine="480" w:firstLineChars="200"/>
        <w:rPr>
          <w:szCs w:val="24"/>
        </w:rPr>
      </w:pPr>
      <w:r>
        <w:rPr>
          <w:rFonts w:hint="eastAsia" w:eastAsia="宋体" w:cs="宋体"/>
          <w:szCs w:val="24"/>
        </w:rPr>
        <w:t>（</w:t>
      </w:r>
      <w:r>
        <w:rPr>
          <w:rFonts w:eastAsia="宋体" w:cs="Times New Roman"/>
          <w:szCs w:val="24"/>
        </w:rPr>
        <w:t>3</w:t>
      </w:r>
      <w:r>
        <w:rPr>
          <w:rFonts w:hint="eastAsia" w:eastAsia="宋体" w:cs="宋体"/>
          <w:szCs w:val="24"/>
        </w:rPr>
        <w:t>）突出重点原则</w:t>
      </w:r>
    </w:p>
    <w:p>
      <w:pPr>
        <w:spacing w:line="360" w:lineRule="auto"/>
        <w:ind w:firstLine="480" w:firstLineChars="200"/>
        <w:rPr>
          <w:szCs w:val="24"/>
        </w:rPr>
      </w:pPr>
      <w:r>
        <w:rPr>
          <w:rFonts w:hint="eastAsia" w:eastAsia="宋体" w:cs="宋体"/>
          <w:szCs w:val="24"/>
        </w:rPr>
        <w:t>根据建设项目的工程内容及其特征，对工程内容、影响时段、影响因子和作用因子进行分析、评价，充分利用符合时效的数据资料及成果，对建设项目主要环境影响，突出环境影响评价重点。</w:t>
      </w:r>
    </w:p>
    <w:p>
      <w:pPr>
        <w:numPr>
          <w:ilvl w:val="0"/>
          <w:numId w:val="3"/>
        </w:numPr>
        <w:spacing w:line="360" w:lineRule="auto"/>
        <w:ind w:firstLine="480" w:firstLineChars="200"/>
        <w:rPr>
          <w:rFonts w:eastAsia="宋体" w:cs="宋体"/>
          <w:szCs w:val="24"/>
        </w:rPr>
      </w:pPr>
      <w:r>
        <w:rPr>
          <w:rFonts w:hint="eastAsia" w:eastAsia="宋体" w:cs="宋体"/>
          <w:szCs w:val="24"/>
        </w:rPr>
        <w:t>评价方法</w:t>
      </w:r>
    </w:p>
    <w:p>
      <w:pPr>
        <w:spacing w:line="360" w:lineRule="auto"/>
        <w:ind w:firstLine="480" w:firstLineChars="200"/>
        <w:rPr>
          <w:szCs w:val="24"/>
        </w:rPr>
      </w:pPr>
      <w:r>
        <w:rPr>
          <w:rFonts w:hint="eastAsia" w:eastAsia="宋体" w:cs="宋体"/>
          <w:szCs w:val="24"/>
        </w:rPr>
        <w:t>（</w:t>
      </w:r>
      <w:r>
        <w:rPr>
          <w:rFonts w:eastAsia="宋体" w:cs="Times New Roman"/>
          <w:szCs w:val="24"/>
        </w:rPr>
        <w:t>1</w:t>
      </w:r>
      <w:r>
        <w:rPr>
          <w:rFonts w:hint="eastAsia" w:eastAsia="宋体" w:cs="宋体"/>
          <w:szCs w:val="24"/>
        </w:rPr>
        <w:t>）环境质量现状评价采用监测和资料调查法；</w:t>
      </w:r>
    </w:p>
    <w:p>
      <w:pPr>
        <w:spacing w:line="360" w:lineRule="auto"/>
        <w:ind w:firstLine="480" w:firstLineChars="200"/>
        <w:rPr>
          <w:szCs w:val="24"/>
        </w:rPr>
      </w:pPr>
      <w:r>
        <w:rPr>
          <w:rFonts w:hint="eastAsia" w:eastAsia="宋体" w:cs="宋体"/>
          <w:szCs w:val="24"/>
        </w:rPr>
        <w:t>（</w:t>
      </w:r>
      <w:r>
        <w:rPr>
          <w:rFonts w:eastAsia="宋体" w:cs="Times New Roman"/>
          <w:szCs w:val="24"/>
        </w:rPr>
        <w:t>2</w:t>
      </w:r>
      <w:r>
        <w:rPr>
          <w:rFonts w:hint="eastAsia" w:eastAsia="宋体" w:cs="宋体"/>
          <w:szCs w:val="24"/>
        </w:rPr>
        <w:t>）工程分析优先采用现状实测法；</w:t>
      </w:r>
    </w:p>
    <w:p>
      <w:pPr>
        <w:spacing w:line="360" w:lineRule="auto"/>
        <w:ind w:firstLine="480" w:firstLineChars="200"/>
        <w:rPr>
          <w:szCs w:val="24"/>
        </w:rPr>
      </w:pPr>
      <w:r>
        <w:rPr>
          <w:rFonts w:hint="eastAsia" w:eastAsia="宋体" w:cs="宋体"/>
          <w:szCs w:val="24"/>
        </w:rPr>
        <w:t>（</w:t>
      </w:r>
      <w:r>
        <w:rPr>
          <w:rFonts w:eastAsia="宋体" w:cs="Times New Roman"/>
          <w:szCs w:val="24"/>
        </w:rPr>
        <w:t>3</w:t>
      </w:r>
      <w:r>
        <w:rPr>
          <w:rFonts w:hint="eastAsia" w:eastAsia="宋体" w:cs="宋体"/>
          <w:szCs w:val="24"/>
        </w:rPr>
        <w:t>）设置合理的评价专题，将项目现有情况及存在的环境、建设项目工程分析、环境影响分析与评价、污染防治措施分析等专题列为重点评价专题。</w:t>
      </w:r>
    </w:p>
    <w:p>
      <w:pPr>
        <w:pStyle w:val="4"/>
        <w:numPr>
          <w:ilvl w:val="0"/>
          <w:numId w:val="0"/>
        </w:numPr>
        <w:adjustRightInd w:val="0"/>
        <w:snapToGrid w:val="0"/>
        <w:ind w:left="576" w:hanging="576"/>
        <w:rPr>
          <w:color w:val="000000" w:themeColor="text1"/>
        </w:rPr>
      </w:pPr>
      <w:bookmarkStart w:id="15" w:name="_Toc6073"/>
      <w:r>
        <w:rPr>
          <w:rFonts w:hint="eastAsia"/>
          <w:color w:val="000000" w:themeColor="text1"/>
        </w:rPr>
        <w:t>Ⅲ环境影响评价工作过程</w:t>
      </w:r>
      <w:bookmarkEnd w:id="11"/>
      <w:bookmarkEnd w:id="12"/>
      <w:bookmarkEnd w:id="13"/>
      <w:bookmarkEnd w:id="14"/>
      <w:bookmarkEnd w:id="15"/>
    </w:p>
    <w:p>
      <w:pPr>
        <w:adjustRightInd w:val="0"/>
        <w:snapToGrid w:val="0"/>
        <w:spacing w:line="360" w:lineRule="auto"/>
        <w:ind w:firstLine="480" w:firstLineChars="200"/>
        <w:rPr>
          <w:rFonts w:cs="Times New Roman"/>
          <w:color w:val="000000" w:themeColor="text1"/>
        </w:rPr>
      </w:pPr>
      <w:r>
        <w:rPr>
          <w:rFonts w:cs="Times New Roman"/>
          <w:color w:val="000000" w:themeColor="text1"/>
        </w:rPr>
        <w:t>环境影响评价一般分为三个阶段，即前期准备、调研和工作方案阶段，分析论证和影响评价阶段，环境影响评价文件编制阶段。具体流程见图1。</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2019年5月，华容国祯惠华环保科技有限责任公司委托江西景瑞祥环保科技有限公司承担华容县桥东污水处理厂2万m</w:t>
      </w:r>
      <w:r>
        <w:rPr>
          <w:rFonts w:cs="Times New Roman"/>
          <w:color w:val="000000" w:themeColor="text1"/>
          <w:vertAlign w:val="superscript"/>
        </w:rPr>
        <w:t>3</w:t>
      </w:r>
      <w:r>
        <w:rPr>
          <w:rFonts w:cs="Times New Roman"/>
          <w:color w:val="000000" w:themeColor="text1"/>
        </w:rPr>
        <w:t>/d建设项目的环境影响评价工作。</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江西景瑞祥环保科技有限公司承接任务后，随即组成环境影响评价工作组，安排有关环评技术人员赴现场进行调查，收集有关资料，调查厂址周围的地表水、环境空气、声环境、地下水和土壤环境质量现状资料，收集了项目所在区近期环境质量现状监测数据以及业主征询当地群众及企业单位的意见；并根据项目的规模、污染排放量及其“三废”处理措施，分析项目可能对周围环境产生的影响程度和范围，提出相应的减缓环境影响的对策和措施。</w:t>
      </w:r>
    </w:p>
    <w:p>
      <w:pPr>
        <w:adjustRightInd w:val="0"/>
        <w:snapToGrid w:val="0"/>
        <w:spacing w:line="360" w:lineRule="auto"/>
        <w:ind w:firstLine="480" w:firstLineChars="200"/>
        <w:rPr>
          <w:color w:val="000000" w:themeColor="text1"/>
        </w:rPr>
      </w:pPr>
      <w:r>
        <w:rPr>
          <w:rFonts w:hint="eastAsia"/>
          <w:color w:val="000000" w:themeColor="text1"/>
        </w:rPr>
        <w:t>在以上工作的基础上，根据国家、省、市的有关环保法规及《环境影响评价技术导则》中的有关要求和技术规范，并结合本项目的特点，编制了《华容县桥东污水处理厂2万m</w:t>
      </w:r>
      <w:r>
        <w:rPr>
          <w:rFonts w:hint="eastAsia"/>
          <w:color w:val="000000" w:themeColor="text1"/>
          <w:vertAlign w:val="superscript"/>
        </w:rPr>
        <w:t>3</w:t>
      </w:r>
      <w:r>
        <w:rPr>
          <w:rFonts w:hint="eastAsia"/>
          <w:color w:val="000000" w:themeColor="text1"/>
        </w:rPr>
        <w:t>/d建设项目环境影响报告书》。</w:t>
      </w:r>
    </w:p>
    <w:p>
      <w:pPr>
        <w:adjustRightInd w:val="0"/>
        <w:snapToGrid w:val="0"/>
        <w:spacing w:line="360" w:lineRule="auto"/>
        <w:ind w:firstLine="480" w:firstLineChars="200"/>
        <w:rPr>
          <w:color w:val="000000" w:themeColor="text1"/>
        </w:rPr>
      </w:pPr>
      <w:r>
        <w:rPr>
          <w:rFonts w:hint="eastAsia" w:asciiTheme="minorEastAsia" w:hAnsiTheme="minorEastAsia"/>
          <w:color w:val="000000" w:themeColor="text1"/>
        </w:rPr>
        <w:t>本项目环境影响程序如下图所示：</w:t>
      </w:r>
    </w:p>
    <w:p>
      <w:pPr>
        <w:ind w:firstLine="480"/>
        <w:jc w:val="center"/>
        <w:rPr>
          <w:color w:val="000000" w:themeColor="text1"/>
          <w:kern w:val="0"/>
          <w:szCs w:val="24"/>
        </w:rPr>
      </w:pPr>
      <w:r>
        <w:rPr>
          <w:color w:val="000000" w:themeColor="text1"/>
          <w:kern w:val="0"/>
          <w:szCs w:val="24"/>
        </w:rPr>
        <w:drawing>
          <wp:inline distT="0" distB="0" distL="0" distR="0">
            <wp:extent cx="5328920" cy="6437630"/>
            <wp:effectExtent l="0" t="0" r="5080" b="1270"/>
            <wp:docPr id="1" name="图片 5" descr="C:\Users\Administrator\Desktop\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istrator\Desktop\32423.jpg"/>
                    <pic:cNvPicPr>
                      <a:picLocks noChangeAspect="1" noChangeArrowheads="1"/>
                    </pic:cNvPicPr>
                  </pic:nvPicPr>
                  <pic:blipFill>
                    <a:blip r:embed="rId6" cstate="print"/>
                    <a:srcRect l="2450" t="2724" r="2572" b="1686"/>
                    <a:stretch>
                      <a:fillRect/>
                    </a:stretch>
                  </pic:blipFill>
                  <pic:spPr>
                    <a:xfrm>
                      <a:off x="0" y="0"/>
                      <a:ext cx="5328920" cy="6437630"/>
                    </a:xfrm>
                    <a:prstGeom prst="rect">
                      <a:avLst/>
                    </a:prstGeom>
                    <a:noFill/>
                    <a:ln w="9525">
                      <a:noFill/>
                      <a:miter lim="800000"/>
                      <a:headEnd/>
                      <a:tailEnd/>
                    </a:ln>
                  </pic:spPr>
                </pic:pic>
              </a:graphicData>
            </a:graphic>
          </wp:inline>
        </w:drawing>
      </w:r>
    </w:p>
    <w:p>
      <w:pPr>
        <w:pStyle w:val="14"/>
        <w:rPr>
          <w:color w:val="000000" w:themeColor="text1"/>
        </w:rPr>
      </w:pPr>
      <w:bookmarkStart w:id="16" w:name="_Ref468349102"/>
      <w:r>
        <w:rPr>
          <w:rFonts w:hint="eastAsia"/>
          <w:color w:val="000000" w:themeColor="text1"/>
        </w:rPr>
        <w:t>图</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0</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图 \* ARABIC \s 2</w:instrText>
      </w:r>
      <w:r>
        <w:rPr>
          <w:color w:val="000000" w:themeColor="text1"/>
        </w:rPr>
        <w:fldChar w:fldCharType="separate"/>
      </w:r>
      <w:r>
        <w:rPr>
          <w:rFonts w:hint="eastAsia"/>
          <w:color w:val="000000" w:themeColor="text1"/>
        </w:rPr>
        <w:t>1</w:t>
      </w:r>
      <w:r>
        <w:rPr>
          <w:color w:val="000000" w:themeColor="text1"/>
        </w:rPr>
        <w:fldChar w:fldCharType="end"/>
      </w:r>
      <w:bookmarkEnd w:id="16"/>
      <w:r>
        <w:rPr>
          <w:rFonts w:hint="eastAsia"/>
          <w:color w:val="000000" w:themeColor="text1"/>
        </w:rPr>
        <w:t xml:space="preserve"> 环境影响评价工作程序图</w:t>
      </w:r>
    </w:p>
    <w:p>
      <w:pPr>
        <w:pStyle w:val="4"/>
        <w:numPr>
          <w:ilvl w:val="0"/>
          <w:numId w:val="0"/>
        </w:numPr>
        <w:ind w:left="576" w:hanging="576"/>
        <w:rPr>
          <w:color w:val="000000" w:themeColor="text1"/>
        </w:rPr>
      </w:pPr>
      <w:bookmarkStart w:id="17" w:name="_Toc532763183"/>
      <w:bookmarkStart w:id="18" w:name="_Toc532376126"/>
      <w:bookmarkStart w:id="19" w:name="_Toc532497591"/>
      <w:bookmarkStart w:id="20" w:name="_Toc9924"/>
      <w:bookmarkStart w:id="21" w:name="_Toc532498719"/>
      <w:r>
        <w:rPr>
          <w:rFonts w:hint="eastAsia"/>
          <w:color w:val="000000" w:themeColor="text1"/>
        </w:rPr>
        <w:t>Ⅳ本次环境影响评价关注的主要问题</w:t>
      </w:r>
      <w:bookmarkEnd w:id="17"/>
      <w:bookmarkEnd w:id="18"/>
      <w:bookmarkEnd w:id="19"/>
      <w:bookmarkEnd w:id="20"/>
      <w:bookmarkEnd w:id="21"/>
    </w:p>
    <w:p>
      <w:pPr>
        <w:tabs>
          <w:tab w:val="left" w:pos="8154"/>
        </w:tabs>
        <w:spacing w:line="360" w:lineRule="auto"/>
        <w:ind w:firstLine="480" w:firstLineChars="200"/>
        <w:rPr>
          <w:rFonts w:cs="Times New Roman"/>
          <w:color w:val="000000" w:themeColor="text1"/>
          <w:szCs w:val="24"/>
        </w:rPr>
      </w:pPr>
      <w:r>
        <w:rPr>
          <w:rFonts w:hint="eastAsia" w:cs="Times New Roman"/>
          <w:color w:val="000000" w:themeColor="text1"/>
          <w:szCs w:val="24"/>
        </w:rPr>
        <w:t>本项目</w:t>
      </w:r>
      <w:r>
        <w:rPr>
          <w:rFonts w:cs="Times New Roman"/>
          <w:color w:val="000000" w:themeColor="text1"/>
          <w:szCs w:val="24"/>
        </w:rPr>
        <w:t>需要关注的主要环境问题如下</w:t>
      </w:r>
      <w:r>
        <w:rPr>
          <w:rFonts w:cs="Times New Roman" w:hAnsiTheme="minorEastAsia"/>
          <w:color w:val="000000" w:themeColor="text1"/>
          <w:szCs w:val="24"/>
        </w:rPr>
        <w:t>：</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1</w:t>
      </w:r>
      <w:r>
        <w:rPr>
          <w:rFonts w:cs="Times New Roman" w:hAnsiTheme="minorEastAsia"/>
          <w:color w:val="000000" w:themeColor="text1"/>
          <w:szCs w:val="24"/>
        </w:rPr>
        <w:t>）本项目是否符合相关国家和地方的产业政策；</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2</w:t>
      </w:r>
      <w:r>
        <w:rPr>
          <w:rFonts w:cs="Times New Roman" w:hAnsiTheme="minorEastAsia"/>
          <w:color w:val="000000" w:themeColor="text1"/>
          <w:szCs w:val="24"/>
        </w:rPr>
        <w:t>）本项目是否符合相关规范要求；</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3</w:t>
      </w:r>
      <w:r>
        <w:rPr>
          <w:rFonts w:cs="Times New Roman" w:hAnsiTheme="minorEastAsia"/>
          <w:color w:val="000000" w:themeColor="text1"/>
          <w:szCs w:val="24"/>
        </w:rPr>
        <w:t>）</w:t>
      </w:r>
      <w:r>
        <w:rPr>
          <w:rFonts w:hint="eastAsia" w:cs="Times New Roman" w:hAnsiTheme="minorEastAsia"/>
          <w:color w:val="000000" w:themeColor="text1"/>
          <w:szCs w:val="24"/>
        </w:rPr>
        <w:t>本项目需要关注预防污水泄漏扩散对环境的影响和需要关注项目尾水排放对水环境的影响；</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4</w:t>
      </w:r>
      <w:r>
        <w:rPr>
          <w:rFonts w:cs="Times New Roman" w:hAnsiTheme="minorEastAsia"/>
          <w:color w:val="000000" w:themeColor="text1"/>
          <w:szCs w:val="24"/>
        </w:rPr>
        <w:t>）周边敏感目标对本项目的态度等。</w:t>
      </w:r>
      <w:r>
        <w:rPr>
          <w:szCs w:val="24"/>
        </w:rPr>
        <w:tab/>
      </w:r>
    </w:p>
    <w:p>
      <w:pPr>
        <w:pStyle w:val="4"/>
        <w:numPr>
          <w:ilvl w:val="0"/>
          <w:numId w:val="0"/>
        </w:numPr>
        <w:ind w:left="576" w:hanging="576"/>
        <w:rPr>
          <w:color w:val="000000" w:themeColor="text1"/>
        </w:rPr>
      </w:pPr>
      <w:bookmarkStart w:id="22" w:name="_Toc532376127"/>
      <w:bookmarkStart w:id="23" w:name="_Toc532763184"/>
      <w:bookmarkStart w:id="24" w:name="_Toc532498720"/>
      <w:bookmarkStart w:id="25" w:name="_Toc532497592"/>
      <w:bookmarkStart w:id="26" w:name="_Toc12990"/>
      <w:r>
        <w:rPr>
          <w:rFonts w:hint="eastAsia"/>
          <w:color w:val="000000" w:themeColor="text1"/>
        </w:rPr>
        <w:t>Ⅴ</w:t>
      </w:r>
      <w:bookmarkEnd w:id="22"/>
      <w:bookmarkEnd w:id="23"/>
      <w:bookmarkEnd w:id="24"/>
      <w:bookmarkEnd w:id="25"/>
      <w:bookmarkEnd w:id="26"/>
      <w:r>
        <w:rPr>
          <w:rFonts w:hint="eastAsia"/>
          <w:color w:val="000000" w:themeColor="text1"/>
        </w:rPr>
        <w:t>本环评影响报告书的主要结论</w:t>
      </w:r>
    </w:p>
    <w:p>
      <w:pPr>
        <w:pStyle w:val="100"/>
        <w:spacing w:line="360" w:lineRule="auto"/>
        <w:ind w:firstLine="480"/>
      </w:pPr>
      <w:r>
        <w:rPr>
          <w:rFonts w:hint="eastAsia"/>
          <w:color w:val="000000" w:themeColor="text1"/>
        </w:rPr>
        <w:t>华容县桥东污水处理厂2万m</w:t>
      </w:r>
      <w:r>
        <w:rPr>
          <w:rFonts w:hint="eastAsia"/>
          <w:color w:val="000000" w:themeColor="text1"/>
          <w:vertAlign w:val="superscript"/>
        </w:rPr>
        <w:t>3</w:t>
      </w:r>
      <w:r>
        <w:rPr>
          <w:rFonts w:hint="eastAsia"/>
          <w:color w:val="000000" w:themeColor="text1"/>
        </w:rPr>
        <w:t>/d建设项目位于</w:t>
      </w:r>
      <w:r>
        <w:rPr>
          <w:color w:val="000000" w:themeColor="text1"/>
        </w:rPr>
        <w:t>湖南省岳阳市华容县</w:t>
      </w:r>
      <w:r>
        <w:rPr>
          <w:rFonts w:hint="eastAsia"/>
          <w:color w:val="000000" w:themeColor="text1"/>
        </w:rPr>
        <w:t>石伏工业园</w:t>
      </w:r>
      <w:r>
        <w:rPr>
          <w:color w:val="000000" w:themeColor="text1"/>
        </w:rPr>
        <w:t>，</w:t>
      </w:r>
      <w:r>
        <w:rPr>
          <w:rFonts w:hint="eastAsia"/>
        </w:rPr>
        <w:t>利用</w:t>
      </w:r>
      <w:r>
        <w:t>公司现有场地、厂房；本项目</w:t>
      </w:r>
      <w:r>
        <w:rPr>
          <w:rFonts w:hint="eastAsia"/>
        </w:rPr>
        <w:t>是污水治理工程</w:t>
      </w:r>
      <w:r>
        <w:t>，属于</w:t>
      </w:r>
      <w:r>
        <w:rPr>
          <w:color w:val="000000" w:themeColor="text1"/>
          <w:szCs w:val="24"/>
        </w:rPr>
        <w:t>《产业结构调整指导目录》</w:t>
      </w:r>
      <w:r>
        <w:rPr>
          <w:rFonts w:hAnsiTheme="minorEastAsia"/>
          <w:color w:val="000000" w:themeColor="text1"/>
          <w:szCs w:val="24"/>
        </w:rPr>
        <w:t>（</w:t>
      </w:r>
      <w:r>
        <w:rPr>
          <w:color w:val="000000" w:themeColor="text1"/>
          <w:szCs w:val="24"/>
        </w:rPr>
        <w:t>201</w:t>
      </w:r>
      <w:r>
        <w:rPr>
          <w:rFonts w:hint="eastAsia"/>
          <w:color w:val="000000" w:themeColor="text1"/>
          <w:szCs w:val="24"/>
        </w:rPr>
        <w:t>9</w:t>
      </w:r>
      <w:r>
        <w:rPr>
          <w:rFonts w:hAnsiTheme="minorEastAsia"/>
          <w:color w:val="000000" w:themeColor="text1"/>
          <w:szCs w:val="24"/>
        </w:rPr>
        <w:t>年本），本项目属于</w:t>
      </w:r>
      <w:r>
        <w:rPr>
          <w:rFonts w:asciiTheme="minorEastAsia" w:hAnsiTheme="minorEastAsia"/>
          <w:color w:val="000000" w:themeColor="text1"/>
          <w:szCs w:val="24"/>
        </w:rPr>
        <w:t>“</w:t>
      </w:r>
      <w:r>
        <w:rPr>
          <w:rFonts w:hAnsiTheme="minorEastAsia"/>
          <w:color w:val="000000" w:themeColor="text1"/>
          <w:szCs w:val="24"/>
        </w:rPr>
        <w:t>鼓励类</w:t>
      </w:r>
      <w:r>
        <w:rPr>
          <w:rFonts w:asciiTheme="minorEastAsia" w:hAnsiTheme="minorEastAsia"/>
          <w:color w:val="000000" w:themeColor="text1"/>
          <w:szCs w:val="24"/>
        </w:rPr>
        <w:t>”</w:t>
      </w:r>
      <w:r>
        <w:rPr>
          <w:rFonts w:hAnsiTheme="minorEastAsia"/>
          <w:color w:val="000000" w:themeColor="text1"/>
          <w:szCs w:val="24"/>
        </w:rPr>
        <w:t>第</w:t>
      </w:r>
      <w:r>
        <w:rPr>
          <w:rFonts w:hint="eastAsia" w:hAnsiTheme="minorEastAsia"/>
          <w:color w:val="000000" w:themeColor="text1"/>
          <w:szCs w:val="24"/>
        </w:rPr>
        <w:t>四十三</w:t>
      </w:r>
      <w:r>
        <w:rPr>
          <w:rFonts w:hAnsiTheme="minorEastAsia"/>
          <w:color w:val="000000" w:themeColor="text1"/>
          <w:szCs w:val="24"/>
        </w:rPr>
        <w:t>条</w:t>
      </w:r>
      <w:r>
        <w:rPr>
          <w:rFonts w:asciiTheme="minorEastAsia" w:hAnsiTheme="minorEastAsia"/>
          <w:color w:val="000000" w:themeColor="text1"/>
          <w:szCs w:val="24"/>
        </w:rPr>
        <w:t>“</w:t>
      </w:r>
      <w:r>
        <w:rPr>
          <w:rFonts w:hint="eastAsia" w:hAnsiTheme="minorEastAsia"/>
          <w:color w:val="000000" w:themeColor="text1"/>
          <w:szCs w:val="24"/>
        </w:rPr>
        <w:t>环境保护与资源节约综合利用</w:t>
      </w:r>
      <w:r>
        <w:rPr>
          <w:rFonts w:asciiTheme="minorEastAsia" w:hAnsiTheme="minorEastAsia"/>
          <w:color w:val="000000" w:themeColor="text1"/>
          <w:szCs w:val="24"/>
        </w:rPr>
        <w:t>”</w:t>
      </w:r>
      <w:r>
        <w:rPr>
          <w:rFonts w:hAnsiTheme="minorEastAsia"/>
          <w:color w:val="000000" w:themeColor="text1"/>
          <w:szCs w:val="24"/>
        </w:rPr>
        <w:t>中的</w:t>
      </w:r>
      <w:r>
        <w:rPr>
          <w:rFonts w:hint="eastAsia" w:hAnsiTheme="minorEastAsia"/>
          <w:color w:val="000000" w:themeColor="text1"/>
          <w:szCs w:val="24"/>
        </w:rPr>
        <w:t>第15条</w:t>
      </w:r>
      <w:r>
        <w:rPr>
          <w:rFonts w:asciiTheme="minorEastAsia" w:hAnsiTheme="minorEastAsia"/>
          <w:color w:val="000000" w:themeColor="text1"/>
          <w:szCs w:val="24"/>
        </w:rPr>
        <w:t>“</w:t>
      </w:r>
      <w:r>
        <w:rPr>
          <w:rFonts w:hint="eastAsia" w:hAnsiTheme="minorEastAsia"/>
          <w:color w:val="000000" w:themeColor="text1"/>
          <w:szCs w:val="24"/>
        </w:rPr>
        <w:t>三废综合利用及治理工程</w:t>
      </w:r>
      <w:r>
        <w:rPr>
          <w:rFonts w:asciiTheme="minorEastAsia" w:hAnsiTheme="minorEastAsia"/>
          <w:color w:val="000000" w:themeColor="text1"/>
          <w:szCs w:val="24"/>
        </w:rPr>
        <w:t>”</w:t>
      </w:r>
      <w:r>
        <w:t>。</w:t>
      </w:r>
      <w:r>
        <w:rPr>
          <w:rFonts w:hint="eastAsia"/>
        </w:rPr>
        <w:t>出水水质标准为《城镇污水处理厂污染物排放标准》（GB18918-2002）一级A标准，处理后的尾水排入华容河。本项目采用的工艺、设备不属于限制类和淘汰类中的相关内容。因此，本项目符合国家现行产业政策。</w:t>
      </w:r>
      <w:r>
        <w:t>工程配套建设完善的污染防治设施，相关污染物可实现达标排放，项目建设投产后能做到社会效益、经济效益和环境效益的统一。</w:t>
      </w:r>
    </w:p>
    <w:p>
      <w:pPr>
        <w:pStyle w:val="100"/>
        <w:spacing w:line="360" w:lineRule="auto"/>
        <w:ind w:firstLine="480"/>
      </w:pPr>
      <w:r>
        <w:t>本项目选址符合相关规划，项目</w:t>
      </w:r>
      <w:r>
        <w:rPr>
          <w:rFonts w:hint="eastAsia"/>
        </w:rPr>
        <w:t>处理</w:t>
      </w:r>
      <w:r>
        <w:t>所采用的原料和设备、所采用的</w:t>
      </w:r>
      <w:r>
        <w:rPr>
          <w:rFonts w:hint="eastAsia"/>
        </w:rPr>
        <w:t>处理</w:t>
      </w:r>
      <w:r>
        <w:t>工艺符合国家现行产业政策，其所采取的污染防治措施可行，正常情况下不会对区域环境质量产生大的影响。建设单位须严格遵守“三同时”的管理规定，落实本报告提出的各项环保措施，确保本项目所在区域的环境质量不因本项目的建设而受到不良影响，努力做到环境保护与经济建设的可持续协调发展。</w:t>
      </w:r>
    </w:p>
    <w:p>
      <w:pPr>
        <w:adjustRightInd w:val="0"/>
        <w:snapToGrid w:val="0"/>
        <w:spacing w:line="360" w:lineRule="auto"/>
        <w:ind w:firstLine="480" w:firstLineChars="200"/>
        <w:rPr>
          <w:rFonts w:cs="Times New Roman"/>
          <w:bCs/>
          <w:color w:val="000000" w:themeColor="text1"/>
        </w:rPr>
        <w:sectPr>
          <w:footerReference r:id="rId4"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425" w:num="1"/>
          <w:docGrid w:type="lines" w:linePitch="326" w:charSpace="0"/>
        </w:sectPr>
      </w:pPr>
      <w:r>
        <w:t>项目建成后，应立即组织竣工环保验收，</w:t>
      </w:r>
      <w:r>
        <w:rPr>
          <w:rFonts w:hint="eastAsia"/>
        </w:rPr>
        <w:t>运行过程</w:t>
      </w:r>
      <w:r>
        <w:t>中应加强对设备的维修保养，确保环保设施的正常运转。在认真执行本报告所提出的各项环保措施和要求的情况下，</w:t>
      </w:r>
      <w:r>
        <w:rPr>
          <w:rFonts w:hint="eastAsia"/>
        </w:rPr>
        <w:t>华容县桥东污水处理厂2万m</w:t>
      </w:r>
      <w:r>
        <w:rPr>
          <w:rFonts w:hint="eastAsia"/>
          <w:vertAlign w:val="superscript"/>
        </w:rPr>
        <w:t>3</w:t>
      </w:r>
      <w:r>
        <w:rPr>
          <w:rFonts w:hint="eastAsia"/>
        </w:rPr>
        <w:t>/d建设项目</w:t>
      </w:r>
      <w:r>
        <w:t>的建设将对周围环境影响较小，从环保角度而言，该项目的建设是可行的。</w:t>
      </w:r>
    </w:p>
    <w:p>
      <w:pPr>
        <w:pStyle w:val="2"/>
        <w:adjustRightInd w:val="0"/>
        <w:snapToGrid w:val="0"/>
        <w:spacing w:line="360" w:lineRule="auto"/>
        <w:rPr>
          <w:color w:val="000000" w:themeColor="text1"/>
        </w:rPr>
      </w:pPr>
      <w:bookmarkStart w:id="27" w:name="_Toc31680"/>
      <w:bookmarkStart w:id="28" w:name="_Toc532376129"/>
      <w:bookmarkStart w:id="29" w:name="_Toc532498722"/>
      <w:bookmarkStart w:id="30" w:name="_Toc532763186"/>
      <w:bookmarkStart w:id="31" w:name="_Toc532497594"/>
      <w:r>
        <w:rPr>
          <w:rFonts w:hint="eastAsia"/>
          <w:color w:val="000000" w:themeColor="text1"/>
        </w:rPr>
        <w:t>总论</w:t>
      </w:r>
      <w:bookmarkEnd w:id="27"/>
      <w:bookmarkEnd w:id="28"/>
      <w:bookmarkEnd w:id="29"/>
      <w:bookmarkEnd w:id="30"/>
      <w:bookmarkEnd w:id="31"/>
    </w:p>
    <w:p>
      <w:pPr>
        <w:pStyle w:val="4"/>
        <w:adjustRightInd w:val="0"/>
        <w:snapToGrid w:val="0"/>
        <w:rPr>
          <w:color w:val="000000" w:themeColor="text1"/>
        </w:rPr>
      </w:pPr>
      <w:bookmarkStart w:id="32" w:name="_Toc532376130"/>
      <w:bookmarkStart w:id="33" w:name="_Toc532497595"/>
      <w:bookmarkStart w:id="34" w:name="_Toc532763187"/>
      <w:bookmarkStart w:id="35" w:name="_Toc532498723"/>
      <w:bookmarkStart w:id="36" w:name="_Toc1312"/>
      <w:r>
        <w:rPr>
          <w:rFonts w:hint="eastAsia"/>
          <w:color w:val="000000" w:themeColor="text1"/>
        </w:rPr>
        <w:t>编制依据</w:t>
      </w:r>
      <w:bookmarkEnd w:id="32"/>
      <w:bookmarkEnd w:id="33"/>
      <w:bookmarkEnd w:id="34"/>
      <w:bookmarkEnd w:id="35"/>
      <w:bookmarkEnd w:id="36"/>
    </w:p>
    <w:p>
      <w:pPr>
        <w:pStyle w:val="5"/>
        <w:ind w:right="240"/>
        <w:rPr>
          <w:color w:val="000000" w:themeColor="text1"/>
        </w:rPr>
      </w:pPr>
      <w:bookmarkStart w:id="37" w:name="_Toc532497596"/>
      <w:r>
        <w:rPr>
          <w:rFonts w:hint="eastAsia"/>
          <w:color w:val="000000" w:themeColor="text1"/>
        </w:rPr>
        <w:t>法律法规、政策性文件</w:t>
      </w:r>
      <w:bookmarkEnd w:id="37"/>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（1）《中华人民共和国环境保护法》，2014年4月24日修订，2015年1月1日起实施；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（2）《中华人民共和国环境影响评价法》，2018年12月29日修订实施；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（3）《中华人民共和国水污染防治法》，2017年6月27日修订，2018年1月1日起实施；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（4）《中华人民共和国大气污染防治法》，2018年10月26日修订实施；</w:t>
      </w:r>
    </w:p>
    <w:p>
      <w:pPr>
        <w:pStyle w:val="100"/>
        <w:spacing w:before="0" w:line="360" w:lineRule="auto"/>
        <w:ind w:firstLine="480"/>
        <w:rPr>
          <w:rFonts w:hint="default" w:ascii="Times New Roman" w:hAnsi="Times New Roman" w:cs="Times New Roman"/>
          <w:color w:val="000000" w:themeColor="text1"/>
          <w:u w:val="single"/>
        </w:rPr>
      </w:pPr>
      <w:r>
        <w:rPr>
          <w:rFonts w:hint="default" w:ascii="Times New Roman" w:hAnsi="Times New Roman" w:cs="Times New Roman"/>
          <w:color w:val="000000" w:themeColor="text1"/>
          <w:u w:val="single"/>
        </w:rPr>
        <w:t>（5）《中华人民共和国固体废物污染环境防治法》，2020年4月29日修订；</w:t>
      </w:r>
    </w:p>
    <w:p>
      <w:pPr>
        <w:pStyle w:val="100"/>
        <w:spacing w:before="0" w:line="360" w:lineRule="auto"/>
        <w:ind w:firstLine="480"/>
        <w:rPr>
          <w:rFonts w:hint="default" w:ascii="Times New Roman" w:hAnsi="Times New Roman" w:eastAsia="宋体" w:cs="Times New Roman"/>
          <w:color w:val="000000" w:themeColor="text1"/>
          <w:u w:val="single"/>
          <w:lang w:val="en-US" w:eastAsia="zh-CN"/>
        </w:rPr>
      </w:pPr>
      <w:r>
        <w:rPr>
          <w:rFonts w:hint="default" w:ascii="Times New Roman" w:hAnsi="Times New Roman" w:cs="Times New Roman"/>
          <w:color w:val="000000" w:themeColor="text1"/>
          <w:u w:val="single"/>
        </w:rPr>
        <w:t>（6）</w:t>
      </w:r>
      <w:r>
        <w:rPr>
          <w:rFonts w:hint="default" w:ascii="Times New Roman" w:hAnsi="Times New Roman" w:cs="Times New Roman"/>
          <w:color w:val="000000" w:themeColor="text1"/>
          <w:u w:val="single"/>
          <w:lang w:eastAsia="zh-CN"/>
        </w:rPr>
        <w:t>《</w:t>
      </w:r>
      <w:r>
        <w:rPr>
          <w:rFonts w:hint="default" w:ascii="Times New Roman" w:hAnsi="Times New Roman" w:cs="Times New Roman"/>
          <w:color w:val="000000" w:themeColor="text1"/>
          <w:u w:val="single"/>
          <w:lang w:val="en-US" w:eastAsia="zh-CN"/>
        </w:rPr>
        <w:t>中华人民共和国土壤污染防治法</w:t>
      </w:r>
      <w:r>
        <w:rPr>
          <w:rFonts w:hint="default" w:ascii="Times New Roman" w:hAnsi="Times New Roman" w:cs="Times New Roman"/>
          <w:color w:val="000000" w:themeColor="text1"/>
          <w:u w:val="single"/>
          <w:lang w:eastAsia="zh-CN"/>
        </w:rPr>
        <w:t>》，</w:t>
      </w:r>
      <w:r>
        <w:rPr>
          <w:rFonts w:hint="default" w:ascii="Times New Roman" w:hAnsi="Times New Roman" w:cs="Times New Roman"/>
          <w:color w:val="000000" w:themeColor="text1"/>
          <w:u w:val="single"/>
          <w:lang w:val="en-US" w:eastAsia="zh-CN"/>
        </w:rPr>
        <w:t>2019年1月1日施行；</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（7）《中华人民共和国环境噪声污染防治法》，2018年12月29日修订实施；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（8）《建设项目环境保护管理条例》，（国务院令第682号），2017年8月1日修订，2017年10月1日起实施；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（9）《建设项目环境影响评价分类管理名录》，生态环境部第1号令，2018年4月28日起实施；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（10）《环境影响评价公众参与办法》，生态环境部第4号令，2019年1月1日公布实施；</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（11）《关于切实加强风险防范严格环境影响评价管理的通知》，环发[2012]98号；</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（12）</w:t>
      </w:r>
      <w:r>
        <w:rPr>
          <w:rFonts w:hint="default" w:ascii="Times New Roman" w:hAnsi="Times New Roman" w:cs="Times New Roman"/>
          <w:color w:val="000000" w:themeColor="text1"/>
          <w:u w:val="single"/>
        </w:rPr>
        <w:t>《产业结构调整指导目录（2019年本）》， 2020年1月1日起实施</w:t>
      </w:r>
      <w:r>
        <w:rPr>
          <w:rFonts w:hint="default" w:ascii="Times New Roman" w:hAnsi="Times New Roman" w:cs="Times New Roman"/>
          <w:color w:val="000000" w:themeColor="text1"/>
        </w:rPr>
        <w:t>；</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（13）《土壤污染防治行动计划》（国发〔2016〕31号）；</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（14）关于发布《一般工业固体废物贮存、处置场污染控制标准》（GB18599-2001）等3项国家污染物控制标准修改单的公告，环保部公告2013年第36号；</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（15）《建设项目危险废物环境影响评价指南》（公告 2017 年第43号）；</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（16）《关于加强城镇污水处理厂污泥污染防治工作的通知》（环办[2010]157号）；</w:t>
      </w:r>
    </w:p>
    <w:p>
      <w:pPr>
        <w:pStyle w:val="100"/>
        <w:spacing w:before="0" w:line="360" w:lineRule="auto"/>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（17）《城镇污水处理厂污泥处理处置及污染防治技术政策（试行）》（建城[2009]23号）；</w:t>
      </w:r>
    </w:p>
    <w:p>
      <w:pPr>
        <w:pStyle w:val="100"/>
        <w:spacing w:before="0" w:line="360" w:lineRule="auto"/>
        <w:ind w:firstLine="480"/>
        <w:rPr>
          <w:rFonts w:hint="default" w:ascii="Times New Roman" w:hAnsi="Times New Roman" w:eastAsia="宋体" w:cs="Times New Roman"/>
          <w:color w:val="000000" w:themeColor="text1"/>
          <w:lang w:eastAsia="zh-CN"/>
        </w:rPr>
      </w:pP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18</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《城镇污水处理厂运行监督管理技术规范》（HJ 2038-2014）</w:t>
      </w:r>
      <w:r>
        <w:rPr>
          <w:rFonts w:hint="default" w:ascii="Times New Roman" w:hAnsi="Times New Roman" w:cs="Times New Roman"/>
          <w:color w:val="000000" w:themeColor="text1"/>
          <w:lang w:eastAsia="zh-CN"/>
        </w:rPr>
        <w:t>。</w:t>
      </w:r>
    </w:p>
    <w:p>
      <w:pPr>
        <w:pStyle w:val="5"/>
        <w:rPr>
          <w:color w:val="000000" w:themeColor="text1"/>
        </w:rPr>
      </w:pPr>
      <w:bookmarkStart w:id="38" w:name="_Toc532497597"/>
      <w:r>
        <w:rPr>
          <w:rFonts w:hint="eastAsia"/>
          <w:color w:val="000000" w:themeColor="text1"/>
        </w:rPr>
        <w:t>地方性法律法规、政策性文件</w:t>
      </w:r>
      <w:bookmarkEnd w:id="38"/>
    </w:p>
    <w:p>
      <w:pPr>
        <w:pStyle w:val="69"/>
        <w:numPr>
          <w:ilvl w:val="0"/>
          <w:numId w:val="4"/>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《湖南省主要水系地表水环境功能区划》（DB43/023-2005）；</w:t>
      </w:r>
    </w:p>
    <w:p>
      <w:pPr>
        <w:pStyle w:val="69"/>
        <w:numPr>
          <w:ilvl w:val="0"/>
          <w:numId w:val="4"/>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《湖南省建设项目环境保护管理办法》（湖南省人民政府令（第215号））；</w:t>
      </w:r>
    </w:p>
    <w:p>
      <w:pPr>
        <w:pStyle w:val="69"/>
        <w:numPr>
          <w:ilvl w:val="0"/>
          <w:numId w:val="4"/>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《湖南省环境保护条例（2013年修正）》湖南省人大常委会；</w:t>
      </w:r>
    </w:p>
    <w:p>
      <w:pPr>
        <w:pStyle w:val="100"/>
        <w:numPr>
          <w:ilvl w:val="0"/>
          <w:numId w:val="4"/>
        </w:numPr>
        <w:spacing w:line="360" w:lineRule="auto"/>
        <w:ind w:firstLine="480"/>
        <w:rPr>
          <w:color w:val="000000" w:themeColor="text1"/>
        </w:rPr>
      </w:pPr>
      <w:r>
        <w:rPr>
          <w:rFonts w:hint="eastAsia"/>
          <w:color w:val="000000" w:themeColor="text1"/>
        </w:rPr>
        <w:t>《关于公布湖南省县级以上地表水集中式饮用水水源保护区划定方案的通知》（湘政函（2016）176号）。</w:t>
      </w:r>
    </w:p>
    <w:p>
      <w:pPr>
        <w:pStyle w:val="69"/>
        <w:numPr>
          <w:ilvl w:val="0"/>
          <w:numId w:val="4"/>
        </w:numPr>
        <w:adjustRightInd w:val="0"/>
        <w:snapToGrid w:val="0"/>
        <w:spacing w:line="360" w:lineRule="auto"/>
        <w:ind w:firstLine="480"/>
        <w:rPr>
          <w:rFonts w:cs="Times New Roman"/>
          <w:color w:val="000000" w:themeColor="text1"/>
          <w:szCs w:val="24"/>
        </w:rPr>
      </w:pPr>
      <w:r>
        <w:rPr>
          <w:rFonts w:cs="Times New Roman"/>
          <w:color w:val="000000" w:themeColor="text1"/>
          <w:szCs w:val="24"/>
        </w:rPr>
        <w:t>《关于进一步规范我省固体（危险）废物转移管理的通知》）（湘环发[2014]22号）；</w:t>
      </w:r>
    </w:p>
    <w:p>
      <w:pPr>
        <w:pStyle w:val="69"/>
        <w:numPr>
          <w:ilvl w:val="0"/>
          <w:numId w:val="4"/>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湖南省地方标准《用水定额》（DB43/T388-2014）；</w:t>
      </w:r>
    </w:p>
    <w:p>
      <w:pPr>
        <w:pStyle w:val="69"/>
        <w:numPr>
          <w:ilvl w:val="0"/>
          <w:numId w:val="4"/>
        </w:numPr>
        <w:adjustRightInd w:val="0"/>
        <w:snapToGrid w:val="0"/>
        <w:spacing w:line="360" w:lineRule="auto"/>
        <w:ind w:firstLine="480"/>
        <w:rPr>
          <w:rFonts w:cs="Times New Roman"/>
          <w:color w:val="000000" w:themeColor="text1"/>
          <w:szCs w:val="24"/>
        </w:rPr>
      </w:pPr>
      <w:r>
        <w:rPr>
          <w:rFonts w:cs="Times New Roman"/>
          <w:color w:val="000000" w:themeColor="text1"/>
          <w:szCs w:val="24"/>
        </w:rPr>
        <w:t>岳阳市人民政府办公室关于印发《岳阳市水环境功能区管理规定》和《岳阳市水环境功能区划分》的通知（岳政办发[2010]30号）</w:t>
      </w:r>
      <w:r>
        <w:rPr>
          <w:rFonts w:hint="eastAsia" w:cs="Times New Roman"/>
          <w:color w:val="000000" w:themeColor="text1"/>
          <w:szCs w:val="24"/>
          <w:lang w:eastAsia="zh-CN"/>
        </w:rPr>
        <w:t>。</w:t>
      </w:r>
    </w:p>
    <w:p>
      <w:pPr>
        <w:pStyle w:val="5"/>
        <w:ind w:right="240"/>
        <w:rPr>
          <w:color w:val="000000" w:themeColor="text1"/>
        </w:rPr>
      </w:pPr>
      <w:bookmarkStart w:id="39" w:name="_Toc532497598"/>
      <w:r>
        <w:rPr>
          <w:rFonts w:hint="eastAsia"/>
          <w:color w:val="000000" w:themeColor="text1"/>
        </w:rPr>
        <w:t>环境影响评价技术导则与规范</w:t>
      </w:r>
      <w:bookmarkEnd w:id="39"/>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《建设项目环境影响评价技术导则—总纲》（HJ2.1-2016）；</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《环境影响评价技术导则—大气环境》（HJ2.2-2018）；</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《环境影响评价技术导则—地表水环境》（HJ2.3-2018）；</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《环境影响评价技术导则—地下水环境》（HJ 610-2016）；</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《环境影响评价技术导则—土壤环境</w:t>
      </w:r>
      <w:r>
        <w:rPr>
          <w:rFonts w:cs="Times New Roman" w:hAnsiTheme="minorEastAsia"/>
          <w:color w:val="000000" w:themeColor="text1"/>
          <w:szCs w:val="24"/>
        </w:rPr>
        <w:t>（试行）</w:t>
      </w:r>
      <w:r>
        <w:rPr>
          <w:rFonts w:cs="Times New Roman"/>
          <w:color w:val="000000" w:themeColor="text1"/>
          <w:szCs w:val="24"/>
        </w:rPr>
        <w:t>》（HJ 964-2018）；</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《环境影响评价技术导则—声环境》（HJ2.4-2009）；</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《环境影响评价技术导则—生态影响》（HJ19-2011）；</w:t>
      </w:r>
    </w:p>
    <w:p>
      <w:pPr>
        <w:pStyle w:val="69"/>
        <w:numPr>
          <w:ilvl w:val="0"/>
          <w:numId w:val="5"/>
        </w:numPr>
        <w:adjustRightInd w:val="0"/>
        <w:snapToGrid w:val="0"/>
        <w:spacing w:line="360" w:lineRule="auto"/>
        <w:ind w:firstLineChars="0"/>
        <w:rPr>
          <w:rFonts w:cs="Times New Roman"/>
          <w:color w:val="000000" w:themeColor="text1"/>
          <w:szCs w:val="24"/>
        </w:rPr>
      </w:pPr>
      <w:r>
        <w:rPr>
          <w:rFonts w:cs="Times New Roman"/>
          <w:color w:val="000000" w:themeColor="text1"/>
          <w:szCs w:val="24"/>
        </w:rPr>
        <w:t>《建设项目环境风险评价技术导则》（HJ169-2018）</w:t>
      </w:r>
      <w:r>
        <w:rPr>
          <w:rFonts w:hint="eastAsia" w:cs="Times New Roman"/>
          <w:color w:val="000000" w:themeColor="text1"/>
          <w:szCs w:val="24"/>
          <w:lang w:eastAsia="zh-CN"/>
        </w:rPr>
        <w:t>。</w:t>
      </w:r>
    </w:p>
    <w:p>
      <w:pPr>
        <w:pStyle w:val="5"/>
        <w:ind w:right="240"/>
        <w:rPr>
          <w:color w:val="000000" w:themeColor="text1"/>
          <w:kern w:val="10"/>
          <w:lang w:val="zh-CN"/>
        </w:rPr>
      </w:pPr>
      <w:bookmarkStart w:id="40" w:name="_Toc532497599"/>
      <w:r>
        <w:rPr>
          <w:rFonts w:hint="eastAsia"/>
          <w:color w:val="000000" w:themeColor="text1"/>
          <w:kern w:val="10"/>
          <w:lang w:val="zh-CN"/>
        </w:rPr>
        <w:t>技术性文件及相关资料</w:t>
      </w:r>
      <w:bookmarkEnd w:id="40"/>
    </w:p>
    <w:p>
      <w:pPr>
        <w:pStyle w:val="69"/>
        <w:numPr>
          <w:ilvl w:val="0"/>
          <w:numId w:val="6"/>
        </w:numPr>
        <w:adjustRightInd w:val="0"/>
        <w:snapToGrid w:val="0"/>
        <w:spacing w:line="360" w:lineRule="auto"/>
        <w:ind w:firstLine="480"/>
        <w:rPr>
          <w:rFonts w:cs="Times New Roman"/>
          <w:color w:val="000000" w:themeColor="text1"/>
          <w:szCs w:val="24"/>
        </w:rPr>
      </w:pPr>
      <w:r>
        <w:rPr>
          <w:rFonts w:cs="Times New Roman"/>
          <w:color w:val="000000" w:themeColor="text1"/>
          <w:szCs w:val="24"/>
        </w:rPr>
        <w:t>环评委托书；</w:t>
      </w:r>
    </w:p>
    <w:p>
      <w:pPr>
        <w:pStyle w:val="69"/>
        <w:numPr>
          <w:ilvl w:val="0"/>
          <w:numId w:val="6"/>
        </w:numPr>
        <w:adjustRightInd w:val="0"/>
        <w:snapToGrid w:val="0"/>
        <w:spacing w:line="360" w:lineRule="auto"/>
        <w:ind w:firstLine="480"/>
        <w:rPr>
          <w:rFonts w:cs="Times New Roman"/>
          <w:snapToGrid w:val="0"/>
          <w:color w:val="000000" w:themeColor="text1"/>
          <w:kern w:val="0"/>
        </w:rPr>
      </w:pPr>
      <w:r>
        <w:rPr>
          <w:rFonts w:cs="Times New Roman"/>
          <w:snapToGrid w:val="0"/>
          <w:color w:val="000000" w:themeColor="text1"/>
          <w:kern w:val="0"/>
        </w:rPr>
        <w:t>营业执照</w:t>
      </w:r>
    </w:p>
    <w:p>
      <w:pPr>
        <w:pStyle w:val="69"/>
        <w:numPr>
          <w:ilvl w:val="0"/>
          <w:numId w:val="6"/>
        </w:numPr>
        <w:adjustRightInd w:val="0"/>
        <w:snapToGrid w:val="0"/>
        <w:spacing w:line="360" w:lineRule="auto"/>
        <w:ind w:firstLine="480"/>
        <w:rPr>
          <w:rFonts w:cs="Times New Roman"/>
          <w:color w:val="000000" w:themeColor="text1"/>
          <w:szCs w:val="24"/>
        </w:rPr>
      </w:pPr>
      <w:r>
        <w:rPr>
          <w:rFonts w:cs="Times New Roman"/>
          <w:color w:val="000000" w:themeColor="text1"/>
          <w:szCs w:val="24"/>
        </w:rPr>
        <w:t>监测报告及质保单；</w:t>
      </w:r>
    </w:p>
    <w:p>
      <w:pPr>
        <w:pStyle w:val="69"/>
        <w:numPr>
          <w:ilvl w:val="0"/>
          <w:numId w:val="6"/>
        </w:numPr>
        <w:adjustRightInd w:val="0"/>
        <w:snapToGrid w:val="0"/>
        <w:spacing w:line="360" w:lineRule="auto"/>
        <w:ind w:firstLine="480"/>
        <w:rPr>
          <w:rFonts w:cs="Times New Roman"/>
          <w:color w:val="000000" w:themeColor="text1"/>
          <w:szCs w:val="24"/>
        </w:rPr>
      </w:pPr>
      <w:r>
        <w:rPr>
          <w:rFonts w:cs="Times New Roman"/>
          <w:color w:val="000000" w:themeColor="text1"/>
          <w:szCs w:val="24"/>
        </w:rPr>
        <w:t>建设单位提供的其他关于本项目的技术资料。</w:t>
      </w:r>
    </w:p>
    <w:p>
      <w:pPr>
        <w:pStyle w:val="4"/>
        <w:adjustRightInd w:val="0"/>
        <w:snapToGrid w:val="0"/>
        <w:rPr>
          <w:color w:val="000000" w:themeColor="text1"/>
        </w:rPr>
      </w:pPr>
      <w:bookmarkStart w:id="41" w:name="_Toc532763190"/>
      <w:bookmarkStart w:id="42" w:name="_Toc15769"/>
      <w:bookmarkStart w:id="43" w:name="_Toc532497604"/>
      <w:bookmarkStart w:id="44" w:name="_Toc532498726"/>
      <w:bookmarkStart w:id="45" w:name="_Toc532376133"/>
      <w:r>
        <w:rPr>
          <w:rFonts w:hint="eastAsia"/>
          <w:color w:val="000000" w:themeColor="text1"/>
        </w:rPr>
        <w:t>环境影响因素识别和评价因子筛选</w:t>
      </w:r>
      <w:bookmarkEnd w:id="41"/>
      <w:bookmarkEnd w:id="42"/>
      <w:bookmarkEnd w:id="43"/>
      <w:bookmarkEnd w:id="44"/>
      <w:bookmarkEnd w:id="45"/>
    </w:p>
    <w:p>
      <w:pPr>
        <w:pStyle w:val="5"/>
        <w:rPr>
          <w:color w:val="000000" w:themeColor="text1"/>
        </w:rPr>
      </w:pPr>
      <w:bookmarkStart w:id="46" w:name="_Toc532497605"/>
      <w:r>
        <w:rPr>
          <w:rFonts w:hint="eastAsia"/>
          <w:color w:val="000000" w:themeColor="text1"/>
        </w:rPr>
        <w:t>环境影响因素识别</w:t>
      </w:r>
      <w:bookmarkEnd w:id="46"/>
    </w:p>
    <w:p>
      <w:pPr>
        <w:spacing w:line="360" w:lineRule="auto"/>
        <w:ind w:firstLine="480" w:firstLineChars="200"/>
        <w:rPr>
          <w:rFonts w:cs="Times New Roman"/>
        </w:rPr>
      </w:pPr>
      <w:r>
        <w:rPr>
          <w:rFonts w:cs="Times New Roman"/>
        </w:rPr>
        <w:t>本项目工程概况和环境概况分析的基础上，通过对各环境要素影响的初步分析，建立主要环境要素识别矩阵和评价因子筛选矩阵，详见</w:t>
      </w:r>
      <w:r>
        <w:fldChar w:fldCharType="begin"/>
      </w:r>
      <w:r>
        <w:instrText xml:space="preserve"> REF _Ref16491161 \h  \* MERGEFORMAT </w:instrText>
      </w:r>
      <w:r>
        <w:fldChar w:fldCharType="separate"/>
      </w:r>
      <w:r>
        <w:rPr>
          <w:rFonts w:cs="Times New Roman"/>
        </w:rPr>
        <w:t>表1.2</w:t>
      </w:r>
      <w:r>
        <w:rPr>
          <w:rFonts w:cs="Times New Roman"/>
        </w:rPr>
        <w:noBreakHyphen/>
      </w:r>
      <w:r>
        <w:rPr>
          <w:rFonts w:cs="Times New Roman"/>
        </w:rPr>
        <w:t>1</w:t>
      </w:r>
      <w:r>
        <w:rPr>
          <w:rFonts w:cs="Times New Roman"/>
        </w:rPr>
        <w:fldChar w:fldCharType="end"/>
      </w:r>
      <w:r>
        <w:rPr>
          <w:rFonts w:cs="Times New Roman"/>
        </w:rPr>
        <w:t>。</w:t>
      </w:r>
    </w:p>
    <w:p>
      <w:pPr>
        <w:pStyle w:val="14"/>
        <w:spacing w:line="240" w:lineRule="auto"/>
      </w:pPr>
      <w:bookmarkStart w:id="47" w:name="_Ref16491161"/>
      <w:r>
        <w:rPr>
          <w:rFonts w:hint="eastAsia"/>
        </w:rPr>
        <w:t>表</w:t>
      </w:r>
      <w:r>
        <w:fldChar w:fldCharType="begin"/>
      </w:r>
      <w:r>
        <w:instrText xml:space="preserve"> STYLEREF 2 \s </w:instrText>
      </w:r>
      <w:r>
        <w:fldChar w:fldCharType="separate"/>
      </w:r>
      <w:r>
        <w:t>1.2</w:t>
      </w:r>
      <w:r>
        <w:fldChar w:fldCharType="end"/>
      </w:r>
      <w:r>
        <w:noBreakHyphen/>
      </w:r>
      <w:r>
        <w:fldChar w:fldCharType="begin"/>
      </w:r>
      <w:r>
        <w:rPr>
          <w:rFonts w:hint="eastAsia"/>
        </w:rPr>
        <w:instrText xml:space="preserve">SEQ 表 \* ARABIC \s 2</w:instrText>
      </w:r>
      <w:r>
        <w:fldChar w:fldCharType="separate"/>
      </w:r>
      <w:r>
        <w:rPr>
          <w:rFonts w:hint="eastAsia"/>
        </w:rPr>
        <w:t>1</w:t>
      </w:r>
      <w:r>
        <w:fldChar w:fldCharType="end"/>
      </w:r>
      <w:bookmarkEnd w:id="47"/>
      <w:r>
        <w:rPr>
          <w:rFonts w:hint="eastAsia"/>
        </w:rPr>
        <w:t xml:space="preserve">  主要环境要素影响识别矩阵</w:t>
      </w:r>
    </w:p>
    <w:tbl>
      <w:tblPr>
        <w:tblStyle w:val="38"/>
        <w:tblW w:w="90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2203"/>
        <w:gridCol w:w="1097"/>
        <w:gridCol w:w="1097"/>
        <w:gridCol w:w="1077"/>
        <w:gridCol w:w="1099"/>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3" w:type="dxa"/>
            <w:gridSpan w:val="2"/>
            <w:vMerge w:val="restart"/>
            <w:tcBorders>
              <w:tl2br w:val="single" w:color="auto" w:sz="4" w:space="0"/>
            </w:tcBorders>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ind w:firstLine="480"/>
              <w:jc w:val="right"/>
              <w:textAlignment w:val="auto"/>
              <w:rPr>
                <w:kern w:val="2"/>
                <w:szCs w:val="24"/>
              </w:rPr>
            </w:pPr>
            <w:r>
              <w:rPr>
                <w:kern w:val="2"/>
                <w:szCs w:val="24"/>
              </w:rPr>
              <w:t>工程行为</w:t>
            </w:r>
          </w:p>
          <w:p>
            <w:pPr>
              <w:pStyle w:val="122"/>
              <w:keepNext w:val="0"/>
              <w:keepLines w:val="0"/>
              <w:pageBreakBefore w:val="0"/>
              <w:widowControl w:val="0"/>
              <w:kinsoku/>
              <w:wordWrap/>
              <w:overflowPunct/>
              <w:topLinePunct w:val="0"/>
              <w:autoSpaceDE/>
              <w:autoSpaceDN/>
              <w:bidi w:val="0"/>
              <w:adjustRightInd/>
              <w:snapToGrid/>
              <w:jc w:val="left"/>
              <w:textAlignment w:val="auto"/>
              <w:rPr>
                <w:kern w:val="2"/>
                <w:szCs w:val="24"/>
              </w:rPr>
            </w:pPr>
            <w:r>
              <w:rPr>
                <w:kern w:val="2"/>
                <w:szCs w:val="24"/>
              </w:rPr>
              <w:t>环境资源</w:t>
            </w:r>
          </w:p>
        </w:tc>
        <w:tc>
          <w:tcPr>
            <w:tcW w:w="5469" w:type="dxa"/>
            <w:gridSpan w:val="5"/>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3" w:type="dxa"/>
            <w:gridSpan w:val="2"/>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物料</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运输</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生</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产</w:t>
            </w: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废水</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排放</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废气</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排放</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固体</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restart"/>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社会</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发展</w:t>
            </w: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劳动就业</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Cs w:val="24"/>
              </w:rPr>
              <w:t>☆</w:t>
            </w: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经济发展</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土地作用</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restart"/>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自然</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资源</w:t>
            </w: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地表水体</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地下水体</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植被</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restart"/>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居民</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生活</w:t>
            </w:r>
          </w:p>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质量</w:t>
            </w: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空气质量</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地表水质量</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声学环境</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居住条件</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0" w:type="dxa"/>
            <w:vMerge w:val="continue"/>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2203"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kern w:val="2"/>
                <w:szCs w:val="24"/>
              </w:rPr>
              <w:t>经济收入</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77"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r>
              <w:rPr>
                <w:rFonts w:hint="eastAsia"/>
                <w:kern w:val="2"/>
                <w:szCs w:val="24"/>
              </w:rPr>
              <w:t>☆</w:t>
            </w: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c>
          <w:tcPr>
            <w:tcW w:w="1099" w:type="dxa"/>
            <w:tcMar>
              <w:left w:w="28" w:type="dxa"/>
              <w:right w:w="28" w:type="dxa"/>
            </w:tcMar>
            <w:vAlign w:val="center"/>
          </w:tcPr>
          <w:p>
            <w:pPr>
              <w:pStyle w:val="122"/>
              <w:keepNext w:val="0"/>
              <w:keepLines w:val="0"/>
              <w:pageBreakBefore w:val="0"/>
              <w:widowControl w:val="0"/>
              <w:kinsoku/>
              <w:wordWrap/>
              <w:overflowPunct/>
              <w:topLinePunct w:val="0"/>
              <w:autoSpaceDE/>
              <w:autoSpaceDN/>
              <w:bidi w:val="0"/>
              <w:adjustRightInd/>
              <w:snapToGrid/>
              <w:textAlignment w:val="auto"/>
              <w:rPr>
                <w:kern w:val="2"/>
                <w:szCs w:val="24"/>
              </w:rPr>
            </w:pPr>
          </w:p>
        </w:tc>
      </w:tr>
    </w:tbl>
    <w:p>
      <w:pPr>
        <w:snapToGrid w:val="0"/>
        <w:ind w:firstLine="422" w:firstLineChars="200"/>
        <w:rPr>
          <w:b/>
          <w:bCs/>
          <w:sz w:val="21"/>
        </w:rPr>
      </w:pPr>
      <w:r>
        <w:rPr>
          <w:b/>
          <w:bCs/>
          <w:sz w:val="21"/>
        </w:rPr>
        <w:t>注：★/☆表示长期不利影响/有利影响；▲/△表示短期不利影响/有利影响，空格表示影响不明显或没有影响。</w:t>
      </w:r>
    </w:p>
    <w:p>
      <w:pPr>
        <w:adjustRightInd w:val="0"/>
        <w:snapToGrid w:val="0"/>
        <w:spacing w:line="360" w:lineRule="auto"/>
        <w:ind w:firstLine="480" w:firstLineChars="200"/>
        <w:rPr>
          <w:rFonts w:cs="Times New Roman"/>
          <w:bCs/>
          <w:kern w:val="0"/>
        </w:rPr>
      </w:pPr>
      <w:r>
        <w:rPr>
          <w:rFonts w:cs="Times New Roman"/>
          <w:bCs/>
          <w:kern w:val="0"/>
        </w:rPr>
        <w:t>综合分析认为：</w:t>
      </w:r>
    </w:p>
    <w:p>
      <w:pPr>
        <w:pStyle w:val="100"/>
        <w:spacing w:line="360" w:lineRule="auto"/>
        <w:ind w:firstLine="480"/>
      </w:pPr>
      <w:r>
        <w:t>（1）本工程运营后，对区域的劳动就业、地表水环境和经济发展呈有利影响。</w:t>
      </w:r>
    </w:p>
    <w:p>
      <w:pPr>
        <w:pStyle w:val="100"/>
        <w:spacing w:line="360" w:lineRule="auto"/>
        <w:ind w:firstLine="480"/>
        <w:rPr>
          <w:bCs/>
        </w:rPr>
      </w:pPr>
      <w:r>
        <w:rPr>
          <w:bCs/>
        </w:rPr>
        <w:t>（2）本项目利用现有场地进行建设，故无需进行基础工程建设。</w:t>
      </w:r>
    </w:p>
    <w:p>
      <w:pPr>
        <w:adjustRightInd w:val="0"/>
        <w:snapToGrid w:val="0"/>
        <w:spacing w:line="360" w:lineRule="auto"/>
        <w:ind w:firstLine="480" w:firstLineChars="200"/>
        <w:rPr>
          <w:rFonts w:cs="Times New Roman"/>
          <w:bCs/>
          <w:kern w:val="0"/>
        </w:rPr>
      </w:pPr>
      <w:r>
        <w:rPr>
          <w:rFonts w:cs="Times New Roman"/>
          <w:bCs/>
          <w:kern w:val="0"/>
        </w:rPr>
        <w:t>（3）营运期的主要环境影响：废气排放对环境空气质量的影响；生产设备运转等产生的噪声对环境的影响；固废产生对环境质量的影响。</w:t>
      </w:r>
    </w:p>
    <w:p>
      <w:pPr>
        <w:pStyle w:val="100"/>
        <w:spacing w:line="360" w:lineRule="auto"/>
        <w:ind w:firstLine="480"/>
      </w:pPr>
      <w:r>
        <w:t>根据项目特点，确定本项目营运期主要环境影响是废水、废气和噪声排放、固体废物处理及环境风险。</w:t>
      </w:r>
    </w:p>
    <w:p>
      <w:pPr>
        <w:pStyle w:val="100"/>
        <w:spacing w:line="360" w:lineRule="auto"/>
        <w:ind w:firstLine="480"/>
      </w:pPr>
      <w:r>
        <w:t>废水污染源主要是：生活污水、工业废水。</w:t>
      </w:r>
    </w:p>
    <w:p>
      <w:pPr>
        <w:pStyle w:val="100"/>
        <w:spacing w:line="360" w:lineRule="auto"/>
        <w:ind w:firstLine="480"/>
      </w:pPr>
      <w:r>
        <w:t>废气污染源为：项目污水处理设施在正常运行情况下产生的氨气和硫化氢。</w:t>
      </w:r>
    </w:p>
    <w:p>
      <w:pPr>
        <w:pStyle w:val="100"/>
        <w:spacing w:line="360" w:lineRule="auto"/>
        <w:ind w:firstLine="480"/>
      </w:pPr>
      <w:r>
        <w:t>固体废弃物主要来源：（1）栅渣、沉砂、污泥；（2）职工办公</w:t>
      </w:r>
      <w:bookmarkStart w:id="48" w:name="OLE_LINK58"/>
      <w:r>
        <w:t>生活垃圾</w:t>
      </w:r>
      <w:bookmarkEnd w:id="48"/>
      <w:r>
        <w:t>。</w:t>
      </w:r>
    </w:p>
    <w:p>
      <w:pPr>
        <w:pStyle w:val="100"/>
        <w:spacing w:line="360" w:lineRule="auto"/>
        <w:ind w:firstLine="480"/>
      </w:pPr>
      <w:r>
        <w:t>噪声污染源：项目噪声主要来自于较大功率的机械设备，如泵等。</w:t>
      </w:r>
    </w:p>
    <w:p>
      <w:pPr>
        <w:pStyle w:val="5"/>
        <w:rPr>
          <w:color w:val="000000" w:themeColor="text1"/>
        </w:rPr>
      </w:pPr>
      <w:bookmarkStart w:id="49" w:name="_Toc532497606"/>
      <w:r>
        <w:rPr>
          <w:rFonts w:hint="eastAsia"/>
          <w:color w:val="000000" w:themeColor="text1"/>
        </w:rPr>
        <w:t>评价因为筛选</w:t>
      </w:r>
    </w:p>
    <w:p>
      <w:pPr>
        <w:spacing w:line="360" w:lineRule="auto"/>
        <w:ind w:firstLine="480" w:firstLineChars="200"/>
        <w:rPr>
          <w:color w:val="000000" w:themeColor="text1"/>
        </w:rPr>
      </w:pPr>
      <w:r>
        <w:rPr>
          <w:color w:val="000000" w:themeColor="text1"/>
        </w:rPr>
        <w:t>根据项目工程分析和环境影响因子识别结果，结合当地环境特征和本工程情况，筛选出本次评价因子见</w:t>
      </w:r>
      <w:r>
        <w:fldChar w:fldCharType="begin"/>
      </w:r>
      <w:r>
        <w:instrText xml:space="preserve"> REF _Ref493597934 \h  \* MERGEFORMAT </w:instrText>
      </w:r>
      <w:r>
        <w:fldChar w:fldCharType="separate"/>
      </w:r>
      <w:r>
        <w:rPr>
          <w:rFonts w:hint="eastAsia"/>
          <w:color w:val="000000" w:themeColor="text1"/>
        </w:rPr>
        <w:t>表</w:t>
      </w:r>
      <w:r>
        <w:rPr>
          <w:color w:val="000000" w:themeColor="text1"/>
        </w:rPr>
        <w:t>1.2</w:t>
      </w:r>
      <w:r>
        <w:rPr>
          <w:color w:val="000000" w:themeColor="text1"/>
        </w:rPr>
        <w:noBreakHyphen/>
      </w:r>
      <w:r>
        <w:rPr>
          <w:color w:val="000000" w:themeColor="text1"/>
        </w:rPr>
        <w:t>2</w:t>
      </w:r>
      <w:r>
        <w:rPr>
          <w:color w:val="000000" w:themeColor="text1"/>
        </w:rPr>
        <w:fldChar w:fldCharType="end"/>
      </w:r>
      <w:r>
        <w:rPr>
          <w:rFonts w:hint="eastAsia"/>
          <w:color w:val="000000" w:themeColor="text1"/>
        </w:rPr>
        <w:t>。</w:t>
      </w:r>
    </w:p>
    <w:p>
      <w:pPr>
        <w:pStyle w:val="43"/>
        <w:rPr>
          <w:color w:val="000000" w:themeColor="text1"/>
        </w:rPr>
      </w:pPr>
    </w:p>
    <w:p>
      <w:pPr>
        <w:pStyle w:val="48"/>
        <w:ind w:firstLine="420"/>
      </w:pPr>
    </w:p>
    <w:p>
      <w:pPr>
        <w:keepNext/>
        <w:ind w:firstLine="482" w:firstLineChars="200"/>
        <w:jc w:val="center"/>
        <w:rPr>
          <w:b/>
          <w:color w:val="000000" w:themeColor="text1"/>
        </w:rPr>
      </w:pPr>
      <w:bookmarkStart w:id="50" w:name="_Ref493597934"/>
      <w:r>
        <w:rPr>
          <w:rFonts w:hint="eastAsia"/>
          <w:b/>
          <w:color w:val="000000" w:themeColor="text1"/>
        </w:rPr>
        <w:t>表</w:t>
      </w:r>
      <w:r>
        <w:rPr>
          <w:b/>
          <w:color w:val="000000" w:themeColor="text1"/>
        </w:rPr>
        <w:fldChar w:fldCharType="begin"/>
      </w:r>
      <w:r>
        <w:rPr>
          <w:rFonts w:hint="eastAsia"/>
          <w:b/>
          <w:color w:val="000000" w:themeColor="text1"/>
        </w:rPr>
        <w:instrText xml:space="preserve">STYLEREF 2 \s</w:instrText>
      </w:r>
      <w:r>
        <w:rPr>
          <w:b/>
          <w:color w:val="000000" w:themeColor="text1"/>
        </w:rPr>
        <w:fldChar w:fldCharType="separate"/>
      </w:r>
      <w:r>
        <w:rPr>
          <w:b/>
          <w:color w:val="000000" w:themeColor="text1"/>
        </w:rPr>
        <w:t>1.2</w:t>
      </w:r>
      <w:r>
        <w:rPr>
          <w:b/>
          <w:color w:val="000000" w:themeColor="text1"/>
        </w:rPr>
        <w:fldChar w:fldCharType="end"/>
      </w:r>
      <w:r>
        <w:rPr>
          <w:b/>
          <w:color w:val="000000" w:themeColor="text1"/>
        </w:rPr>
        <w:noBreakHyphen/>
      </w:r>
      <w:r>
        <w:rPr>
          <w:b/>
          <w:color w:val="000000" w:themeColor="text1"/>
        </w:rPr>
        <w:fldChar w:fldCharType="begin"/>
      </w:r>
      <w:r>
        <w:rPr>
          <w:rFonts w:hint="eastAsia"/>
          <w:b/>
          <w:color w:val="000000" w:themeColor="text1"/>
        </w:rPr>
        <w:instrText xml:space="preserve">SEQ 表 \* ARABIC \s 2</w:instrText>
      </w:r>
      <w:r>
        <w:rPr>
          <w:b/>
          <w:color w:val="000000" w:themeColor="text1"/>
        </w:rPr>
        <w:fldChar w:fldCharType="separate"/>
      </w:r>
      <w:r>
        <w:rPr>
          <w:rFonts w:hint="eastAsia"/>
          <w:b/>
          <w:color w:val="000000" w:themeColor="text1"/>
        </w:rPr>
        <w:t>2</w:t>
      </w:r>
      <w:r>
        <w:rPr>
          <w:b/>
          <w:color w:val="000000" w:themeColor="text1"/>
        </w:rPr>
        <w:fldChar w:fldCharType="end"/>
      </w:r>
      <w:bookmarkEnd w:id="50"/>
      <w:r>
        <w:rPr>
          <w:rFonts w:hint="eastAsia"/>
          <w:b/>
          <w:color w:val="000000" w:themeColor="text1"/>
        </w:rPr>
        <w:t xml:space="preserve">  评价因子识别结果一览表</w:t>
      </w:r>
    </w:p>
    <w:tbl>
      <w:tblPr>
        <w:tblStyle w:val="38"/>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344"/>
        <w:gridCol w:w="6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Align w:val="center"/>
          </w:tcPr>
          <w:p>
            <w:pPr>
              <w:jc w:val="center"/>
              <w:rPr>
                <w:rFonts w:cs="Times New Roman"/>
                <w:color w:val="000000" w:themeColor="text1"/>
                <w:kern w:val="21"/>
                <w:sz w:val="21"/>
              </w:rPr>
            </w:pPr>
            <w:r>
              <w:rPr>
                <w:rFonts w:cs="Times New Roman"/>
                <w:color w:val="000000" w:themeColor="text1"/>
                <w:kern w:val="21"/>
                <w:sz w:val="21"/>
              </w:rPr>
              <w:t>环境要素</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评价类别</w:t>
            </w:r>
          </w:p>
        </w:tc>
        <w:tc>
          <w:tcPr>
            <w:tcW w:w="6100" w:type="dxa"/>
            <w:vAlign w:val="center"/>
          </w:tcPr>
          <w:p>
            <w:pPr>
              <w:jc w:val="center"/>
              <w:rPr>
                <w:rFonts w:cs="Times New Roman"/>
                <w:color w:val="000000" w:themeColor="text1"/>
                <w:kern w:val="21"/>
                <w:sz w:val="21"/>
              </w:rPr>
            </w:pPr>
            <w:r>
              <w:rPr>
                <w:rFonts w:cs="Times New Roman"/>
                <w:color w:val="000000" w:themeColor="text1"/>
                <w:kern w:val="21"/>
                <w:sz w:val="21"/>
              </w:rP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restart"/>
            <w:vAlign w:val="center"/>
          </w:tcPr>
          <w:p>
            <w:pPr>
              <w:jc w:val="center"/>
              <w:rPr>
                <w:rFonts w:cs="Times New Roman"/>
                <w:color w:val="000000" w:themeColor="text1"/>
                <w:kern w:val="21"/>
                <w:sz w:val="21"/>
              </w:rPr>
            </w:pPr>
            <w:r>
              <w:rPr>
                <w:rFonts w:cs="Times New Roman"/>
                <w:color w:val="000000" w:themeColor="text1"/>
                <w:kern w:val="21"/>
                <w:sz w:val="21"/>
              </w:rPr>
              <w:t>大气环境</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现状评价</w:t>
            </w:r>
          </w:p>
        </w:tc>
        <w:tc>
          <w:tcPr>
            <w:tcW w:w="6100" w:type="dxa"/>
            <w:vAlign w:val="center"/>
          </w:tcPr>
          <w:p>
            <w:pPr>
              <w:ind w:firstLine="420"/>
              <w:jc w:val="center"/>
              <w:rPr>
                <w:rFonts w:cs="Times New Roman"/>
                <w:color w:val="000000" w:themeColor="text1"/>
                <w:kern w:val="21"/>
                <w:sz w:val="21"/>
              </w:rPr>
            </w:pPr>
            <w:r>
              <w:rPr>
                <w:rFonts w:cs="Times New Roman"/>
                <w:sz w:val="21"/>
              </w:rPr>
              <w:t>SO</w:t>
            </w:r>
            <w:r>
              <w:rPr>
                <w:rFonts w:cs="Times New Roman"/>
                <w:sz w:val="21"/>
                <w:vertAlign w:val="subscript"/>
              </w:rPr>
              <w:t>2</w:t>
            </w:r>
            <w:r>
              <w:rPr>
                <w:rFonts w:cs="Times New Roman"/>
                <w:sz w:val="21"/>
              </w:rPr>
              <w:t>、NO</w:t>
            </w:r>
            <w:r>
              <w:rPr>
                <w:rFonts w:cs="Times New Roman"/>
                <w:sz w:val="21"/>
                <w:vertAlign w:val="subscript"/>
              </w:rPr>
              <w:t>2</w:t>
            </w:r>
            <w:r>
              <w:rPr>
                <w:rFonts w:cs="Times New Roman"/>
                <w:sz w:val="21"/>
              </w:rPr>
              <w:t>、CO、O</w:t>
            </w:r>
            <w:r>
              <w:rPr>
                <w:rFonts w:cs="Times New Roman"/>
                <w:sz w:val="21"/>
                <w:vertAlign w:val="subscript"/>
              </w:rPr>
              <w:t>3</w:t>
            </w:r>
            <w:r>
              <w:rPr>
                <w:rFonts w:cs="Times New Roman"/>
                <w:sz w:val="21"/>
              </w:rPr>
              <w:t>、PM</w:t>
            </w:r>
            <w:r>
              <w:rPr>
                <w:rFonts w:cs="Times New Roman"/>
                <w:sz w:val="21"/>
                <w:vertAlign w:val="subscript"/>
              </w:rPr>
              <w:t>10</w:t>
            </w:r>
            <w:r>
              <w:rPr>
                <w:rFonts w:cs="Times New Roman"/>
                <w:sz w:val="21"/>
              </w:rPr>
              <w:t>、PM</w:t>
            </w:r>
            <w:r>
              <w:rPr>
                <w:rFonts w:cs="Times New Roman"/>
                <w:sz w:val="21"/>
                <w:vertAlign w:val="subscript"/>
              </w:rPr>
              <w:t>2.5</w:t>
            </w:r>
            <w:r>
              <w:rPr>
                <w:rFonts w:cs="Times New Roman"/>
                <w:sz w:val="21"/>
              </w:rPr>
              <w:t>、H</w:t>
            </w:r>
            <w:r>
              <w:rPr>
                <w:rFonts w:cs="Times New Roman"/>
                <w:sz w:val="21"/>
                <w:vertAlign w:val="subscript"/>
              </w:rPr>
              <w:t>2</w:t>
            </w:r>
            <w:r>
              <w:rPr>
                <w:rFonts w:cs="Times New Roman"/>
                <w:sz w:val="21"/>
              </w:rPr>
              <w:t>S、NH</w:t>
            </w:r>
            <w:r>
              <w:rPr>
                <w:rFonts w:cs="Times New Roman"/>
                <w:sz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continue"/>
            <w:vAlign w:val="center"/>
          </w:tcPr>
          <w:p>
            <w:pPr>
              <w:ind w:firstLine="420"/>
              <w:jc w:val="center"/>
              <w:rPr>
                <w:rFonts w:cs="Times New Roman"/>
                <w:color w:val="000000" w:themeColor="text1"/>
                <w:kern w:val="21"/>
                <w:sz w:val="21"/>
              </w:rPr>
            </w:pP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影响分析</w:t>
            </w:r>
          </w:p>
        </w:tc>
        <w:tc>
          <w:tcPr>
            <w:tcW w:w="6100" w:type="dxa"/>
            <w:vAlign w:val="center"/>
          </w:tcPr>
          <w:p>
            <w:pPr>
              <w:ind w:firstLine="420"/>
              <w:jc w:val="center"/>
              <w:rPr>
                <w:rFonts w:cs="Times New Roman"/>
                <w:sz w:val="21"/>
              </w:rPr>
            </w:pPr>
            <w:r>
              <w:rPr>
                <w:rFonts w:cs="Times New Roman"/>
                <w:sz w:val="21"/>
              </w:rPr>
              <w:t>H</w:t>
            </w:r>
            <w:r>
              <w:rPr>
                <w:rFonts w:cs="Times New Roman"/>
                <w:sz w:val="21"/>
                <w:vertAlign w:val="subscript"/>
              </w:rPr>
              <w:t>2</w:t>
            </w:r>
            <w:r>
              <w:rPr>
                <w:rFonts w:cs="Times New Roman"/>
                <w:sz w:val="21"/>
              </w:rPr>
              <w:t>S、NH</w:t>
            </w:r>
            <w:r>
              <w:rPr>
                <w:rFonts w:cs="Times New Roman"/>
                <w:sz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restart"/>
            <w:vAlign w:val="center"/>
          </w:tcPr>
          <w:p>
            <w:pPr>
              <w:jc w:val="center"/>
              <w:rPr>
                <w:rFonts w:cs="Times New Roman"/>
                <w:color w:val="000000" w:themeColor="text1"/>
                <w:kern w:val="21"/>
                <w:sz w:val="21"/>
              </w:rPr>
            </w:pPr>
            <w:r>
              <w:rPr>
                <w:rFonts w:cs="Times New Roman"/>
                <w:color w:val="000000" w:themeColor="text1"/>
                <w:kern w:val="21"/>
                <w:sz w:val="21"/>
              </w:rPr>
              <w:t>地表水环境</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现状评价</w:t>
            </w:r>
          </w:p>
        </w:tc>
        <w:tc>
          <w:tcPr>
            <w:tcW w:w="6100" w:type="dxa"/>
            <w:vAlign w:val="center"/>
          </w:tcPr>
          <w:p>
            <w:pPr>
              <w:jc w:val="center"/>
              <w:rPr>
                <w:rFonts w:cs="Times New Roman"/>
                <w:color w:val="000000" w:themeColor="text1"/>
                <w:sz w:val="21"/>
              </w:rPr>
            </w:pPr>
            <w:r>
              <w:rPr>
                <w:rFonts w:cs="Times New Roman"/>
                <w:sz w:val="21"/>
              </w:rPr>
              <w:t>pH、COD、BOD</w:t>
            </w:r>
            <w:r>
              <w:rPr>
                <w:rFonts w:cs="Times New Roman"/>
                <w:sz w:val="21"/>
                <w:vertAlign w:val="subscript"/>
              </w:rPr>
              <w:t>5</w:t>
            </w:r>
            <w:r>
              <w:rPr>
                <w:rFonts w:cs="Times New Roman"/>
                <w:sz w:val="21"/>
              </w:rPr>
              <w:t>、氨氮</w:t>
            </w:r>
            <w:r>
              <w:rPr>
                <w:rStyle w:val="42"/>
                <w:rFonts w:cs="Times New Roman"/>
              </w:rPr>
              <w:t>、</w:t>
            </w:r>
            <w:r>
              <w:rPr>
                <w:rFonts w:cs="Times New Roman"/>
                <w:sz w:val="21"/>
              </w:rPr>
              <w:t>总磷、溶解氧、石油类、阴离子表面活性剂、粪大肠菌群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continue"/>
            <w:vAlign w:val="center"/>
          </w:tcPr>
          <w:p>
            <w:pPr>
              <w:jc w:val="center"/>
              <w:rPr>
                <w:rFonts w:cs="Times New Roman"/>
                <w:color w:val="000000" w:themeColor="text1"/>
                <w:kern w:val="21"/>
                <w:sz w:val="21"/>
              </w:rPr>
            </w:pP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影响分析</w:t>
            </w:r>
          </w:p>
        </w:tc>
        <w:tc>
          <w:tcPr>
            <w:tcW w:w="6100" w:type="dxa"/>
            <w:vAlign w:val="center"/>
          </w:tcPr>
          <w:p>
            <w:pPr>
              <w:jc w:val="center"/>
              <w:rPr>
                <w:rFonts w:cs="Times New Roman"/>
                <w:color w:val="000000" w:themeColor="text1"/>
                <w:sz w:val="21"/>
              </w:rPr>
            </w:pPr>
            <w:r>
              <w:rPr>
                <w:rFonts w:cs="Times New Roman"/>
                <w:color w:val="000000" w:themeColor="text1"/>
                <w:sz w:val="21"/>
              </w:rPr>
              <w:t>CODcr、NH</w:t>
            </w:r>
            <w:r>
              <w:rPr>
                <w:rFonts w:cs="Times New Roman"/>
                <w:color w:val="000000" w:themeColor="text1"/>
                <w:sz w:val="21"/>
                <w:vertAlign w:val="subscript"/>
              </w:rPr>
              <w:t>3</w:t>
            </w:r>
            <w:r>
              <w:rPr>
                <w:rFonts w:cs="Times New Roman"/>
                <w:color w:val="000000" w:themeColor="text1"/>
                <w:sz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877" w:type="dxa"/>
            <w:vMerge w:val="restart"/>
            <w:vAlign w:val="center"/>
          </w:tcPr>
          <w:p>
            <w:pPr>
              <w:jc w:val="center"/>
              <w:rPr>
                <w:rFonts w:cs="Times New Roman"/>
                <w:color w:val="000000" w:themeColor="text1"/>
                <w:kern w:val="21"/>
                <w:sz w:val="21"/>
              </w:rPr>
            </w:pPr>
            <w:r>
              <w:rPr>
                <w:rFonts w:cs="Times New Roman"/>
                <w:color w:val="000000" w:themeColor="text1"/>
                <w:kern w:val="21"/>
                <w:sz w:val="21"/>
              </w:rPr>
              <w:t>地下水环境</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现状评价</w:t>
            </w:r>
          </w:p>
        </w:tc>
        <w:tc>
          <w:tcPr>
            <w:tcW w:w="6100" w:type="dxa"/>
            <w:vAlign w:val="center"/>
          </w:tcPr>
          <w:p>
            <w:pPr>
              <w:pStyle w:val="78"/>
              <w:ind w:firstLine="420"/>
              <w:jc w:val="center"/>
              <w:rPr>
                <w:color w:val="000000" w:themeColor="text1"/>
                <w:kern w:val="21"/>
                <w:sz w:val="21"/>
                <w:szCs w:val="21"/>
              </w:rPr>
            </w:pPr>
            <w:r>
              <w:rPr>
                <w:color w:val="000000" w:themeColor="text1"/>
                <w:kern w:val="2"/>
                <w:sz w:val="21"/>
              </w:rPr>
              <w:t>pH、溶解性总固体、总硬度、氨氮、硝酸盐、亚硝酸、挥发性酚类、耗氧量、砷、汞、六价铬、铅、镍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877" w:type="dxa"/>
            <w:vMerge w:val="continue"/>
            <w:vAlign w:val="center"/>
          </w:tcPr>
          <w:p>
            <w:pPr>
              <w:jc w:val="center"/>
              <w:rPr>
                <w:rFonts w:cs="Times New Roman"/>
                <w:color w:val="000000" w:themeColor="text1"/>
                <w:kern w:val="21"/>
                <w:sz w:val="21"/>
              </w:rPr>
            </w:pP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影响分析</w:t>
            </w:r>
          </w:p>
        </w:tc>
        <w:tc>
          <w:tcPr>
            <w:tcW w:w="6100" w:type="dxa"/>
            <w:vAlign w:val="center"/>
          </w:tcPr>
          <w:p>
            <w:pPr>
              <w:pStyle w:val="78"/>
              <w:ind w:firstLine="420"/>
              <w:jc w:val="center"/>
              <w:rPr>
                <w:color w:val="FF0000"/>
                <w:kern w:val="2"/>
                <w:sz w:val="21"/>
              </w:rPr>
            </w:pPr>
            <w:r>
              <w:rPr>
                <w:color w:val="000000" w:themeColor="text1"/>
                <w:kern w:val="2"/>
                <w:sz w:val="21"/>
              </w:rPr>
              <w:t>pH、溶解性总固体、总硬度、氨氮、硝酸盐、亚硝酸、挥发性酚类、耗氧量、砷、汞、六价铬、铅、镍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77" w:type="dxa"/>
            <w:vAlign w:val="center"/>
          </w:tcPr>
          <w:p>
            <w:pPr>
              <w:jc w:val="center"/>
              <w:rPr>
                <w:rFonts w:cs="Times New Roman"/>
                <w:color w:val="000000" w:themeColor="text1"/>
                <w:kern w:val="21"/>
                <w:sz w:val="21"/>
              </w:rPr>
            </w:pPr>
            <w:r>
              <w:rPr>
                <w:rFonts w:cs="Times New Roman"/>
                <w:color w:val="000000" w:themeColor="text1"/>
                <w:kern w:val="21"/>
                <w:sz w:val="21"/>
              </w:rPr>
              <w:t>声环境</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现状评价</w:t>
            </w:r>
          </w:p>
          <w:p>
            <w:pPr>
              <w:jc w:val="center"/>
              <w:rPr>
                <w:rFonts w:cs="Times New Roman"/>
                <w:color w:val="000000" w:themeColor="text1"/>
                <w:kern w:val="21"/>
                <w:sz w:val="21"/>
              </w:rPr>
            </w:pPr>
            <w:r>
              <w:rPr>
                <w:rFonts w:cs="Times New Roman"/>
                <w:color w:val="000000" w:themeColor="text1"/>
                <w:kern w:val="21"/>
                <w:sz w:val="21"/>
              </w:rPr>
              <w:t>影响分析</w:t>
            </w:r>
          </w:p>
        </w:tc>
        <w:tc>
          <w:tcPr>
            <w:tcW w:w="6100" w:type="dxa"/>
            <w:vAlign w:val="center"/>
          </w:tcPr>
          <w:p>
            <w:pPr>
              <w:ind w:firstLine="420"/>
              <w:jc w:val="center"/>
              <w:rPr>
                <w:rFonts w:cs="Times New Roman"/>
                <w:color w:val="000000" w:themeColor="text1"/>
                <w:kern w:val="21"/>
                <w:sz w:val="21"/>
              </w:rPr>
            </w:pPr>
            <w:r>
              <w:rPr>
                <w:rFonts w:eastAsia="宋体" w:cs="Times New Roman"/>
                <w:color w:val="000000" w:themeColor="text1"/>
                <w:sz w:val="21"/>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77" w:type="dxa"/>
            <w:vAlign w:val="center"/>
          </w:tcPr>
          <w:p>
            <w:pPr>
              <w:jc w:val="center"/>
              <w:rPr>
                <w:rFonts w:cs="Times New Roman"/>
                <w:color w:val="000000" w:themeColor="text1"/>
                <w:kern w:val="21"/>
                <w:sz w:val="21"/>
              </w:rPr>
            </w:pPr>
            <w:r>
              <w:rPr>
                <w:rFonts w:cs="Times New Roman"/>
                <w:color w:val="000000" w:themeColor="text1"/>
                <w:kern w:val="21"/>
                <w:sz w:val="21"/>
              </w:rPr>
              <w:t>土壤环境</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现状评价</w:t>
            </w:r>
          </w:p>
        </w:tc>
        <w:tc>
          <w:tcPr>
            <w:tcW w:w="6100" w:type="dxa"/>
            <w:vAlign w:val="center"/>
          </w:tcPr>
          <w:p>
            <w:pPr>
              <w:ind w:firstLine="420"/>
              <w:jc w:val="center"/>
              <w:rPr>
                <w:rFonts w:cs="Times New Roman"/>
                <w:color w:val="000000" w:themeColor="text1"/>
                <w:kern w:val="21"/>
                <w:sz w:val="21"/>
              </w:rPr>
            </w:pPr>
            <w:r>
              <w:rPr>
                <w:rFonts w:cs="Times New Roman"/>
                <w:color w:val="000000" w:themeColor="text1"/>
                <w:kern w:val="21"/>
                <w:sz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Align w:val="center"/>
          </w:tcPr>
          <w:p>
            <w:pPr>
              <w:jc w:val="center"/>
              <w:rPr>
                <w:rFonts w:cs="Times New Roman"/>
                <w:color w:val="000000" w:themeColor="text1"/>
                <w:kern w:val="21"/>
                <w:sz w:val="21"/>
              </w:rPr>
            </w:pPr>
            <w:r>
              <w:rPr>
                <w:rFonts w:cs="Times New Roman"/>
                <w:color w:val="000000" w:themeColor="text1"/>
                <w:kern w:val="21"/>
                <w:sz w:val="21"/>
              </w:rPr>
              <w:t>固体废物</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影响分析</w:t>
            </w:r>
          </w:p>
        </w:tc>
        <w:tc>
          <w:tcPr>
            <w:tcW w:w="6100" w:type="dxa"/>
            <w:vAlign w:val="center"/>
          </w:tcPr>
          <w:p>
            <w:pPr>
              <w:ind w:firstLine="420"/>
              <w:jc w:val="center"/>
              <w:rPr>
                <w:rFonts w:cs="Times New Roman"/>
                <w:color w:val="000000" w:themeColor="text1"/>
                <w:kern w:val="21"/>
                <w:sz w:val="21"/>
              </w:rPr>
            </w:pPr>
            <w:r>
              <w:rPr>
                <w:rFonts w:cs="Times New Roman"/>
                <w:color w:val="000000" w:themeColor="text1"/>
                <w:kern w:val="21"/>
                <w:sz w:val="21"/>
              </w:rPr>
              <w:t>固体废物产生量及处置情况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restart"/>
            <w:vAlign w:val="center"/>
          </w:tcPr>
          <w:p>
            <w:pPr>
              <w:jc w:val="center"/>
              <w:rPr>
                <w:rFonts w:cs="Times New Roman"/>
                <w:color w:val="000000" w:themeColor="text1"/>
                <w:kern w:val="21"/>
                <w:sz w:val="21"/>
              </w:rPr>
            </w:pPr>
            <w:r>
              <w:rPr>
                <w:rFonts w:cs="Times New Roman"/>
                <w:color w:val="000000" w:themeColor="text1"/>
                <w:kern w:val="21"/>
                <w:sz w:val="21"/>
              </w:rPr>
              <w:t>生态环境</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现状评价</w:t>
            </w:r>
          </w:p>
        </w:tc>
        <w:tc>
          <w:tcPr>
            <w:tcW w:w="6100" w:type="dxa"/>
            <w:vAlign w:val="center"/>
          </w:tcPr>
          <w:p>
            <w:pPr>
              <w:ind w:firstLine="420"/>
              <w:jc w:val="center"/>
              <w:rPr>
                <w:rFonts w:cs="Times New Roman"/>
                <w:color w:val="000000" w:themeColor="text1"/>
                <w:kern w:val="21"/>
                <w:sz w:val="21"/>
              </w:rPr>
            </w:pPr>
            <w:r>
              <w:rPr>
                <w:rFonts w:cs="Times New Roman"/>
                <w:color w:val="000000" w:themeColor="text1"/>
                <w:kern w:val="21"/>
                <w:sz w:val="21"/>
              </w:rPr>
              <w:t>土地利用、动植物资源及种类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continue"/>
            <w:vAlign w:val="center"/>
          </w:tcPr>
          <w:p>
            <w:pPr>
              <w:ind w:firstLine="420"/>
              <w:jc w:val="center"/>
              <w:rPr>
                <w:rFonts w:cs="Times New Roman"/>
                <w:color w:val="000000" w:themeColor="text1"/>
                <w:kern w:val="21"/>
                <w:sz w:val="21"/>
              </w:rPr>
            </w:pP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影响分析</w:t>
            </w:r>
          </w:p>
        </w:tc>
        <w:tc>
          <w:tcPr>
            <w:tcW w:w="6100" w:type="dxa"/>
            <w:vAlign w:val="center"/>
          </w:tcPr>
          <w:p>
            <w:pPr>
              <w:ind w:firstLine="420"/>
              <w:jc w:val="center"/>
              <w:rPr>
                <w:rFonts w:cs="Times New Roman"/>
                <w:color w:val="000000" w:themeColor="text1"/>
                <w:kern w:val="21"/>
                <w:sz w:val="21"/>
              </w:rPr>
            </w:pPr>
            <w:r>
              <w:rPr>
                <w:rFonts w:cs="Times New Roman"/>
                <w:color w:val="000000" w:themeColor="text1"/>
                <w:kern w:val="21"/>
                <w:sz w:val="21"/>
              </w:rPr>
              <w:t>土地利用、水土流失、动植物资源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restart"/>
            <w:vAlign w:val="center"/>
          </w:tcPr>
          <w:p>
            <w:pPr>
              <w:ind w:firstLine="210" w:firstLineChars="100"/>
              <w:rPr>
                <w:rFonts w:cs="Times New Roman"/>
                <w:color w:val="000000" w:themeColor="text1"/>
                <w:kern w:val="21"/>
                <w:sz w:val="21"/>
              </w:rPr>
            </w:pPr>
            <w:r>
              <w:rPr>
                <w:rFonts w:cs="Times New Roman"/>
                <w:color w:val="000000" w:themeColor="text1"/>
                <w:kern w:val="21"/>
                <w:sz w:val="21"/>
              </w:rPr>
              <w:t>总量控制因子</w:t>
            </w: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废气</w:t>
            </w:r>
          </w:p>
        </w:tc>
        <w:tc>
          <w:tcPr>
            <w:tcW w:w="6100" w:type="dxa"/>
            <w:vAlign w:val="center"/>
          </w:tcPr>
          <w:p>
            <w:pPr>
              <w:ind w:firstLine="420"/>
              <w:jc w:val="center"/>
              <w:rPr>
                <w:rFonts w:cs="Times New Roman"/>
                <w:color w:val="000000" w:themeColor="text1"/>
                <w:kern w:val="21"/>
                <w:sz w:val="21"/>
              </w:rPr>
            </w:pPr>
            <w:r>
              <w:rPr>
                <w:rFonts w:cs="Times New Roman"/>
                <w:color w:val="000000" w:themeColor="text1"/>
                <w:kern w:val="2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7" w:type="dxa"/>
            <w:vMerge w:val="continue"/>
            <w:vAlign w:val="center"/>
          </w:tcPr>
          <w:p>
            <w:pPr>
              <w:ind w:firstLine="420"/>
              <w:jc w:val="center"/>
              <w:rPr>
                <w:rFonts w:cs="Times New Roman"/>
                <w:color w:val="000000" w:themeColor="text1"/>
                <w:kern w:val="21"/>
                <w:sz w:val="21"/>
              </w:rPr>
            </w:pPr>
          </w:p>
        </w:tc>
        <w:tc>
          <w:tcPr>
            <w:tcW w:w="1344" w:type="dxa"/>
            <w:vAlign w:val="center"/>
          </w:tcPr>
          <w:p>
            <w:pPr>
              <w:jc w:val="center"/>
              <w:rPr>
                <w:rFonts w:cs="Times New Roman"/>
                <w:color w:val="000000" w:themeColor="text1"/>
                <w:kern w:val="21"/>
                <w:sz w:val="21"/>
              </w:rPr>
            </w:pPr>
            <w:r>
              <w:rPr>
                <w:rFonts w:cs="Times New Roman"/>
                <w:color w:val="000000" w:themeColor="text1"/>
                <w:kern w:val="21"/>
                <w:sz w:val="21"/>
              </w:rPr>
              <w:t>废水</w:t>
            </w:r>
          </w:p>
        </w:tc>
        <w:tc>
          <w:tcPr>
            <w:tcW w:w="6100" w:type="dxa"/>
            <w:vAlign w:val="center"/>
          </w:tcPr>
          <w:p>
            <w:pPr>
              <w:ind w:firstLine="420"/>
              <w:jc w:val="center"/>
              <w:rPr>
                <w:rFonts w:cs="Times New Roman"/>
                <w:color w:val="000000" w:themeColor="text1"/>
                <w:kern w:val="21"/>
                <w:sz w:val="21"/>
              </w:rPr>
            </w:pPr>
            <w:r>
              <w:rPr>
                <w:rFonts w:eastAsia="宋体" w:cs="Times New Roman"/>
                <w:color w:val="000000" w:themeColor="text1"/>
                <w:sz w:val="21"/>
              </w:rPr>
              <w:t>COD</w:t>
            </w:r>
            <w:r>
              <w:rPr>
                <w:rFonts w:cs="Times New Roman"/>
                <w:color w:val="000000" w:themeColor="text1"/>
                <w:kern w:val="21"/>
                <w:sz w:val="21"/>
              </w:rPr>
              <w:t>、</w:t>
            </w:r>
            <w:r>
              <w:rPr>
                <w:rFonts w:eastAsia="宋体" w:cs="Times New Roman"/>
                <w:color w:val="000000" w:themeColor="text1"/>
                <w:sz w:val="21"/>
              </w:rPr>
              <w:t>氨氮</w:t>
            </w:r>
          </w:p>
        </w:tc>
      </w:tr>
    </w:tbl>
    <w:p>
      <w:pPr>
        <w:pStyle w:val="5"/>
        <w:rPr>
          <w:color w:val="000000" w:themeColor="text1"/>
        </w:rPr>
      </w:pPr>
      <w:r>
        <w:rPr>
          <w:rFonts w:hint="eastAsia"/>
          <w:color w:val="000000" w:themeColor="text1"/>
        </w:rPr>
        <w:t>环境功能区划</w:t>
      </w:r>
    </w:p>
    <w:p>
      <w:pPr>
        <w:pStyle w:val="100"/>
        <w:spacing w:line="360" w:lineRule="auto"/>
        <w:ind w:firstLine="480"/>
      </w:pPr>
      <w:r>
        <w:t>（1）地表水环境</w:t>
      </w:r>
    </w:p>
    <w:p>
      <w:pPr>
        <w:adjustRightInd w:val="0"/>
        <w:snapToGrid w:val="0"/>
        <w:spacing w:line="360" w:lineRule="auto"/>
        <w:ind w:firstLine="480" w:firstLineChars="200"/>
      </w:pPr>
      <w:r>
        <w:rPr>
          <w:rFonts w:hint="eastAsia"/>
        </w:rPr>
        <w:t>本项目排污口位于华容县石伏工业园，位于华容县城境内华容河流域下游，</w:t>
      </w:r>
      <w:r>
        <w:t>根据《</w:t>
      </w:r>
      <w:r>
        <w:rPr>
          <w:rFonts w:hint="eastAsia"/>
        </w:rPr>
        <w:t>湖南省主要地表水系水环境功能区划</w:t>
      </w:r>
      <w:r>
        <w:t>》（</w:t>
      </w:r>
      <w:r>
        <w:rPr>
          <w:rFonts w:hint="eastAsia"/>
        </w:rPr>
        <w:t>DB43023-2005</w:t>
      </w:r>
      <w:r>
        <w:t>）</w:t>
      </w:r>
      <w:r>
        <w:rPr>
          <w:rFonts w:hint="eastAsia"/>
        </w:rPr>
        <w:t>，项目排污河段为华容河华容大桥至六门闸（北支）</w:t>
      </w:r>
      <w:r>
        <w:t>水质达到国家Ⅲ类水质标准，</w:t>
      </w:r>
      <w:r>
        <w:rPr>
          <w:rFonts w:hint="eastAsia"/>
        </w:rPr>
        <w:t>属渔业用水区。根据环境现状监测结果，评价区地表水环境现状符合《地表水环境质量标准》</w:t>
      </w:r>
      <w:r>
        <w:t>（GB3095-20</w:t>
      </w:r>
      <w:r>
        <w:rPr>
          <w:rFonts w:hint="eastAsia"/>
        </w:rPr>
        <w:t>0</w:t>
      </w:r>
      <w:r>
        <w:t>2）Ⅲ类水质标准</w:t>
      </w:r>
      <w:r>
        <w:rPr>
          <w:rFonts w:hint="eastAsia"/>
        </w:rPr>
        <w:t>。</w:t>
      </w:r>
    </w:p>
    <w:p>
      <w:pPr>
        <w:pStyle w:val="100"/>
        <w:spacing w:line="360" w:lineRule="auto"/>
        <w:ind w:firstLine="480"/>
      </w:pPr>
      <w:r>
        <w:t>（2）大气环境</w:t>
      </w:r>
    </w:p>
    <w:p>
      <w:pPr>
        <w:pStyle w:val="100"/>
        <w:spacing w:before="0" w:line="360" w:lineRule="auto"/>
        <w:ind w:firstLine="480"/>
      </w:pPr>
      <w:r>
        <w:t>本项目评价区环境空气功能属于二类功能区，执行《环境空气质量标准》（GB3095-2012）中的二级标准。</w:t>
      </w:r>
      <w:r>
        <w:rPr>
          <w:rFonts w:hint="eastAsia"/>
        </w:rPr>
        <w:t>根据引用数据可知</w:t>
      </w:r>
      <w:r>
        <w:t>，评价区环境空气质量现状可符合《环境空气质量标准》（GB3095-2012）二级标准</w:t>
      </w:r>
      <w:r>
        <w:rPr>
          <w:rFonts w:hint="eastAsia"/>
        </w:rPr>
        <w:t>。</w:t>
      </w:r>
      <w:r>
        <w:t>本项目建设符合环境空气功能区划要求。</w:t>
      </w:r>
    </w:p>
    <w:p>
      <w:pPr>
        <w:pStyle w:val="100"/>
        <w:spacing w:line="360" w:lineRule="auto"/>
        <w:ind w:firstLine="480"/>
      </w:pPr>
      <w:r>
        <w:t>（3）声环境</w:t>
      </w:r>
    </w:p>
    <w:p>
      <w:pPr>
        <w:adjustRightInd w:val="0"/>
        <w:snapToGrid w:val="0"/>
        <w:spacing w:line="360" w:lineRule="auto"/>
        <w:ind w:firstLine="480" w:firstLineChars="200"/>
      </w:pPr>
      <w:r>
        <w:t>本项目所处区域声环境适用《声环境质量标准》（GB3096-2008）中</w:t>
      </w:r>
      <w:r>
        <w:rPr>
          <w:rFonts w:hint="eastAsia"/>
        </w:rPr>
        <w:t>3</w:t>
      </w:r>
      <w:r>
        <w:t>类声环境功能区，执行《声环境质量标准》（GB3096-2008）中的</w:t>
      </w:r>
      <w:r>
        <w:rPr>
          <w:rFonts w:hint="eastAsia"/>
        </w:rPr>
        <w:t>3</w:t>
      </w:r>
      <w:r>
        <w:t>类环境噪声限值。根据环评期间的环境噪声现状监测结果，厂界声环境均可达到《声环境质量标准》(GB3096-2008)中</w:t>
      </w:r>
      <w:r>
        <w:rPr>
          <w:rFonts w:hint="eastAsia"/>
        </w:rPr>
        <w:t>3</w:t>
      </w:r>
      <w:r>
        <w:t>类标准要求，可满足本项目建设的需要。</w:t>
      </w:r>
    </w:p>
    <w:p>
      <w:pPr>
        <w:pStyle w:val="100"/>
        <w:spacing w:line="360" w:lineRule="auto"/>
        <w:ind w:firstLine="480"/>
        <w:rPr>
          <w:color w:val="000000" w:themeColor="text1"/>
        </w:rPr>
      </w:pPr>
      <w:r>
        <w:rPr>
          <w:color w:val="000000" w:themeColor="text1"/>
        </w:rPr>
        <w:t>（4）地下水环境</w:t>
      </w:r>
    </w:p>
    <w:p>
      <w:pPr>
        <w:adjustRightInd w:val="0"/>
        <w:snapToGrid w:val="0"/>
        <w:spacing w:line="360" w:lineRule="auto"/>
        <w:ind w:firstLine="480" w:firstLineChars="200"/>
        <w:rPr>
          <w:color w:val="000000" w:themeColor="text1"/>
        </w:rPr>
      </w:pPr>
      <w:r>
        <w:rPr>
          <w:color w:val="000000" w:themeColor="text1"/>
        </w:rPr>
        <w:t>本项目所在地的地下水执行《地下水环境质量标准》（GB14848-2017）中的Ⅲ类标准，监测点处各监测因子满足《地下水环境质量标准》（GB/T14848-2017）Ⅲ类标准要求。</w:t>
      </w:r>
    </w:p>
    <w:p>
      <w:pPr>
        <w:pStyle w:val="100"/>
        <w:spacing w:line="360" w:lineRule="auto"/>
        <w:ind w:firstLine="480"/>
        <w:rPr>
          <w:color w:val="000000" w:themeColor="text1"/>
        </w:rPr>
      </w:pPr>
      <w:r>
        <w:rPr>
          <w:color w:val="000000" w:themeColor="text1"/>
        </w:rPr>
        <w:t>（5）土壤环境</w:t>
      </w:r>
    </w:p>
    <w:p>
      <w:pPr>
        <w:adjustRightInd w:val="0"/>
        <w:snapToGrid w:val="0"/>
        <w:spacing w:line="360" w:lineRule="auto"/>
        <w:ind w:firstLine="480" w:firstLineChars="200"/>
        <w:rPr>
          <w:color w:val="000000" w:themeColor="text1"/>
        </w:rPr>
      </w:pPr>
      <w:r>
        <w:rPr>
          <w:color w:val="000000" w:themeColor="text1"/>
        </w:rPr>
        <w:t>项目拟建地土壤环境执行《土壤环境质量建设用地土壤污染风险管控标准（试行）》（GB36600-2018）中第二类用地筛选值标准要求，根据土壤的监测结果，项目区域土壤各监测因子均能达标，可满足项目建设的需要。</w:t>
      </w:r>
    </w:p>
    <w:p>
      <w:pPr>
        <w:pStyle w:val="14"/>
        <w:adjustRightInd w:val="0"/>
        <w:snapToGrid w:val="0"/>
        <w:spacing w:line="240" w:lineRule="auto"/>
        <w:rPr>
          <w:rFonts w:cs="Times New Roman"/>
          <w:color w:val="000000" w:themeColor="text1"/>
        </w:rPr>
      </w:pPr>
      <w:r>
        <w:rPr>
          <w:rFonts w:hint="eastAsia" w:cs="Times New Roman"/>
          <w:color w:val="000000" w:themeColor="text1"/>
        </w:rPr>
        <w:t>表</w:t>
      </w:r>
      <w:r>
        <w:rPr>
          <w:rFonts w:cs="Times New Roman"/>
          <w:color w:val="000000" w:themeColor="text1"/>
        </w:rPr>
        <w:fldChar w:fldCharType="begin"/>
      </w:r>
      <w:r>
        <w:rPr>
          <w:rFonts w:hint="eastAsia" w:cs="Times New Roman"/>
          <w:color w:val="000000" w:themeColor="text1"/>
        </w:rPr>
        <w:instrText xml:space="preserve">STYLEREF 2 \s</w:instrText>
      </w:r>
      <w:r>
        <w:rPr>
          <w:rFonts w:cs="Times New Roman"/>
          <w:color w:val="000000" w:themeColor="text1"/>
        </w:rPr>
        <w:fldChar w:fldCharType="separate"/>
      </w:r>
      <w:r>
        <w:rPr>
          <w:rFonts w:cs="Times New Roman"/>
          <w:color w:val="000000" w:themeColor="text1"/>
        </w:rPr>
        <w:t>1.2</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hint="eastAsia" w:cs="Times New Roman"/>
          <w:color w:val="000000" w:themeColor="text1"/>
        </w:rPr>
        <w:instrText xml:space="preserve">SEQ 表 \* ARABIC \s 2</w:instrText>
      </w:r>
      <w:r>
        <w:rPr>
          <w:rFonts w:cs="Times New Roman"/>
          <w:color w:val="000000" w:themeColor="text1"/>
        </w:rPr>
        <w:fldChar w:fldCharType="separate"/>
      </w:r>
      <w:r>
        <w:rPr>
          <w:rFonts w:hint="eastAsia" w:cs="Times New Roman"/>
          <w:color w:val="000000" w:themeColor="text1"/>
        </w:rPr>
        <w:t>3</w:t>
      </w:r>
      <w:r>
        <w:rPr>
          <w:rFonts w:cs="Times New Roman"/>
          <w:color w:val="000000" w:themeColor="text1"/>
        </w:rPr>
        <w:fldChar w:fldCharType="end"/>
      </w:r>
      <w:r>
        <w:rPr>
          <w:rFonts w:hint="eastAsia" w:cs="Times New Roman"/>
          <w:color w:val="000000" w:themeColor="text1"/>
        </w:rPr>
        <w:t xml:space="preserve"> 项目拟选址环境功能区属性</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987"/>
        <w:gridCol w:w="5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cs="Times New Roman"/>
                <w:color w:val="000000" w:themeColor="text1"/>
              </w:rPr>
              <w:t>编号</w:t>
            </w:r>
          </w:p>
        </w:tc>
        <w:tc>
          <w:tcPr>
            <w:tcW w:w="2987" w:type="dxa"/>
            <w:vAlign w:val="center"/>
          </w:tcPr>
          <w:p>
            <w:pPr>
              <w:pStyle w:val="122"/>
              <w:rPr>
                <w:rFonts w:cs="Times New Roman"/>
                <w:color w:val="000000" w:themeColor="text1"/>
              </w:rPr>
            </w:pPr>
            <w:r>
              <w:rPr>
                <w:rFonts w:cs="Times New Roman"/>
                <w:color w:val="000000" w:themeColor="text1"/>
              </w:rPr>
              <w:t>项目</w:t>
            </w:r>
          </w:p>
        </w:tc>
        <w:tc>
          <w:tcPr>
            <w:tcW w:w="5521" w:type="dxa"/>
            <w:vAlign w:val="center"/>
          </w:tcPr>
          <w:p>
            <w:pPr>
              <w:pStyle w:val="122"/>
              <w:ind w:firstLine="480"/>
              <w:rPr>
                <w:rFonts w:cs="Times New Roman"/>
                <w:color w:val="000000" w:themeColor="text1"/>
              </w:rPr>
            </w:pPr>
            <w:r>
              <w:rPr>
                <w:rFonts w:cs="Times New Roman"/>
                <w:color w:val="000000" w:themeColor="text1"/>
              </w:rPr>
              <w:t>功能区类别及执行标准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cs="Times New Roman"/>
                <w:color w:val="000000" w:themeColor="text1"/>
              </w:rPr>
              <w:t>1</w:t>
            </w:r>
          </w:p>
        </w:tc>
        <w:tc>
          <w:tcPr>
            <w:tcW w:w="2987" w:type="dxa"/>
            <w:vAlign w:val="center"/>
          </w:tcPr>
          <w:p>
            <w:pPr>
              <w:pStyle w:val="122"/>
              <w:rPr>
                <w:rFonts w:cs="Times New Roman"/>
                <w:color w:val="000000" w:themeColor="text1"/>
              </w:rPr>
            </w:pPr>
            <w:r>
              <w:rPr>
                <w:rFonts w:cs="Times New Roman"/>
                <w:color w:val="000000" w:themeColor="text1"/>
              </w:rPr>
              <w:t>环境空气质量功能区</w:t>
            </w:r>
          </w:p>
        </w:tc>
        <w:tc>
          <w:tcPr>
            <w:tcW w:w="5521" w:type="dxa"/>
            <w:vAlign w:val="center"/>
          </w:tcPr>
          <w:p>
            <w:pPr>
              <w:pStyle w:val="122"/>
              <w:rPr>
                <w:rFonts w:cs="Times New Roman"/>
                <w:color w:val="000000" w:themeColor="text1"/>
              </w:rPr>
            </w:pPr>
            <w:r>
              <w:rPr>
                <w:rFonts w:cs="Times New Roman"/>
                <w:color w:val="000000" w:themeColor="text1"/>
              </w:rPr>
              <w:t>二类区，环境空气质量执行《环境空气质量标准》（GB3095-2012）二级标准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cs="Times New Roman"/>
                <w:color w:val="000000" w:themeColor="text1"/>
              </w:rPr>
              <w:t>2</w:t>
            </w:r>
          </w:p>
        </w:tc>
        <w:tc>
          <w:tcPr>
            <w:tcW w:w="2987" w:type="dxa"/>
            <w:vAlign w:val="center"/>
          </w:tcPr>
          <w:p>
            <w:pPr>
              <w:pStyle w:val="122"/>
              <w:rPr>
                <w:rFonts w:cs="Times New Roman"/>
                <w:color w:val="000000" w:themeColor="text1"/>
              </w:rPr>
            </w:pPr>
            <w:r>
              <w:rPr>
                <w:rFonts w:cs="Times New Roman"/>
                <w:color w:val="000000" w:themeColor="text1"/>
              </w:rPr>
              <w:t>声环境功能区</w:t>
            </w:r>
          </w:p>
        </w:tc>
        <w:tc>
          <w:tcPr>
            <w:tcW w:w="5521" w:type="dxa"/>
            <w:vAlign w:val="center"/>
          </w:tcPr>
          <w:p>
            <w:pPr>
              <w:pStyle w:val="122"/>
              <w:ind w:firstLine="480"/>
              <w:rPr>
                <w:rFonts w:cs="Times New Roman"/>
                <w:color w:val="000000" w:themeColor="text1"/>
              </w:rPr>
            </w:pPr>
            <w:r>
              <w:rPr>
                <w:rFonts w:hint="eastAsia" w:cs="Times New Roman"/>
                <w:color w:val="000000" w:themeColor="text1"/>
              </w:rPr>
              <w:t>3</w:t>
            </w:r>
            <w:r>
              <w:rPr>
                <w:rFonts w:cs="Times New Roman"/>
                <w:color w:val="000000" w:themeColor="text1"/>
              </w:rPr>
              <w:t>类声环境功能区，厂界东、北、西、南侧执行《声环境质量标准》（GB3096-2008）</w:t>
            </w:r>
            <w:r>
              <w:rPr>
                <w:rFonts w:hint="eastAsia" w:cs="Times New Roman"/>
                <w:color w:val="000000" w:themeColor="text1"/>
              </w:rPr>
              <w:t>3</w:t>
            </w:r>
            <w:r>
              <w:rPr>
                <w:rFonts w:cs="Times New Roman"/>
                <w:color w:val="000000" w:themeColor="text1"/>
              </w:rPr>
              <w:t>类环境噪声限值。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cs="Times New Roman"/>
                <w:color w:val="000000" w:themeColor="text1"/>
              </w:rPr>
              <w:t>3</w:t>
            </w:r>
          </w:p>
        </w:tc>
        <w:tc>
          <w:tcPr>
            <w:tcW w:w="2987" w:type="dxa"/>
            <w:vAlign w:val="center"/>
          </w:tcPr>
          <w:p>
            <w:pPr>
              <w:pStyle w:val="122"/>
              <w:rPr>
                <w:rFonts w:cs="Times New Roman"/>
                <w:color w:val="000000" w:themeColor="text1"/>
              </w:rPr>
            </w:pPr>
            <w:r>
              <w:rPr>
                <w:rFonts w:cs="Times New Roman"/>
                <w:color w:val="000000" w:themeColor="text1"/>
              </w:rPr>
              <w:t>地表水环境功能区</w:t>
            </w:r>
          </w:p>
        </w:tc>
        <w:tc>
          <w:tcPr>
            <w:tcW w:w="5521" w:type="dxa"/>
            <w:vAlign w:val="center"/>
          </w:tcPr>
          <w:p>
            <w:pPr>
              <w:pStyle w:val="122"/>
              <w:ind w:firstLine="480"/>
              <w:rPr>
                <w:rFonts w:cs="Times New Roman"/>
                <w:color w:val="000000" w:themeColor="text1"/>
              </w:rPr>
            </w:pPr>
            <w:r>
              <w:rPr>
                <w:rFonts w:cs="Times New Roman"/>
                <w:color w:val="000000" w:themeColor="text1"/>
              </w:rPr>
              <w:t>本项目排污口位于华容县石伏</w:t>
            </w:r>
            <w:r>
              <w:rPr>
                <w:rFonts w:hint="eastAsia" w:cs="Times New Roman"/>
                <w:color w:val="000000" w:themeColor="text1"/>
              </w:rPr>
              <w:t>工业园，</w:t>
            </w:r>
            <w:r>
              <w:rPr>
                <w:rFonts w:cs="Times New Roman"/>
                <w:color w:val="000000" w:themeColor="text1"/>
              </w:rPr>
              <w:t>属于华容河位于华容县城境内流域下游</w:t>
            </w:r>
            <w:r>
              <w:rPr>
                <w:rFonts w:hint="eastAsia" w:cs="Times New Roman"/>
                <w:color w:val="000000" w:themeColor="text1"/>
              </w:rPr>
              <w:t>，</w:t>
            </w:r>
            <w:r>
              <w:rPr>
                <w:rFonts w:cs="Times New Roman"/>
                <w:color w:val="000000" w:themeColor="text1"/>
              </w:rPr>
              <w:t>根据</w:t>
            </w:r>
            <w:r>
              <w:rPr>
                <w:rFonts w:hint="eastAsia" w:cs="Times New Roman"/>
                <w:color w:val="000000" w:themeColor="text1"/>
              </w:rPr>
              <w:t>《湖南省主要地表水系水环境功能区》</w:t>
            </w:r>
            <w:r>
              <w:rPr>
                <w:rFonts w:cs="Times New Roman"/>
                <w:color w:val="000000" w:themeColor="text1"/>
              </w:rPr>
              <w:t>（</w:t>
            </w:r>
            <w:r>
              <w:rPr>
                <w:rFonts w:hint="eastAsia" w:cs="Times New Roman"/>
                <w:color w:val="000000" w:themeColor="text1"/>
              </w:rPr>
              <w:t>DB43023-2005</w:t>
            </w:r>
            <w:r>
              <w:rPr>
                <w:rFonts w:cs="Times New Roman"/>
                <w:color w:val="000000" w:themeColor="text1"/>
              </w:rPr>
              <w:t>）</w:t>
            </w:r>
            <w:r>
              <w:rPr>
                <w:rFonts w:hint="eastAsia" w:cs="Times New Roman"/>
                <w:color w:val="000000" w:themeColor="text1"/>
              </w:rPr>
              <w:t>，项目排污河段为华容河华容大桥至六门闸（北支）</w:t>
            </w:r>
            <w:r>
              <w:rPr>
                <w:rFonts w:cs="Times New Roman"/>
                <w:color w:val="000000" w:themeColor="text1"/>
              </w:rPr>
              <w:t>水质达到国家Ⅲ类水质标准，</w:t>
            </w:r>
            <w:r>
              <w:rPr>
                <w:rFonts w:hint="eastAsia" w:cs="Times New Roman"/>
                <w:color w:val="000000" w:themeColor="text1"/>
              </w:rPr>
              <w:t>属渔业用水区，执行《地表水环境质量标准》</w:t>
            </w:r>
            <w:r>
              <w:rPr>
                <w:color w:val="000000" w:themeColor="text1"/>
              </w:rPr>
              <w:t>（GB</w:t>
            </w:r>
            <w:r>
              <w:rPr>
                <w:rFonts w:hint="eastAsia"/>
                <w:color w:val="000000" w:themeColor="text1"/>
              </w:rPr>
              <w:t>3838</w:t>
            </w:r>
            <w:r>
              <w:rPr>
                <w:color w:val="000000" w:themeColor="text1"/>
              </w:rPr>
              <w:t>-200</w:t>
            </w:r>
            <w:r>
              <w:rPr>
                <w:rFonts w:hint="eastAsia"/>
                <w:color w:val="000000" w:themeColor="text1"/>
              </w:rPr>
              <w:t>2</w:t>
            </w:r>
            <w:r>
              <w:rPr>
                <w:color w:val="000000" w:themeColor="text1"/>
              </w:rPr>
              <w:t>）中的</w:t>
            </w:r>
            <w:r>
              <w:rPr>
                <w:rFonts w:cs="Times New Roman"/>
                <w:color w:val="000000" w:themeColor="text1"/>
              </w:rPr>
              <w:t>Ⅲ类水域标准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4</w:t>
            </w:r>
          </w:p>
        </w:tc>
        <w:tc>
          <w:tcPr>
            <w:tcW w:w="2987" w:type="dxa"/>
            <w:vAlign w:val="center"/>
          </w:tcPr>
          <w:p>
            <w:pPr>
              <w:pStyle w:val="122"/>
              <w:rPr>
                <w:rFonts w:cs="Times New Roman"/>
                <w:color w:val="000000" w:themeColor="text1"/>
              </w:rPr>
            </w:pPr>
            <w:r>
              <w:rPr>
                <w:rFonts w:cs="Times New Roman"/>
                <w:color w:val="000000" w:themeColor="text1"/>
              </w:rPr>
              <w:t>地下水环境功能区</w:t>
            </w:r>
          </w:p>
        </w:tc>
        <w:tc>
          <w:tcPr>
            <w:tcW w:w="5521" w:type="dxa"/>
            <w:vAlign w:val="center"/>
          </w:tcPr>
          <w:p>
            <w:pPr>
              <w:pStyle w:val="122"/>
              <w:rPr>
                <w:rFonts w:cs="Times New Roman"/>
                <w:color w:val="000000" w:themeColor="text1"/>
              </w:rPr>
            </w:pPr>
            <w:r>
              <w:rPr>
                <w:rFonts w:cs="Times New Roman"/>
                <w:color w:val="000000" w:themeColor="text1"/>
              </w:rPr>
              <w:t>Ⅲ类区，执行《地下水质量标准》（GB/T14848-2017）Ⅲ类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5</w:t>
            </w:r>
          </w:p>
        </w:tc>
        <w:tc>
          <w:tcPr>
            <w:tcW w:w="2987" w:type="dxa"/>
            <w:vAlign w:val="center"/>
          </w:tcPr>
          <w:p>
            <w:pPr>
              <w:pStyle w:val="122"/>
              <w:rPr>
                <w:rFonts w:cs="Times New Roman"/>
                <w:color w:val="000000" w:themeColor="text1"/>
              </w:rPr>
            </w:pPr>
            <w:r>
              <w:rPr>
                <w:rFonts w:cs="Times New Roman"/>
                <w:color w:val="000000" w:themeColor="text1"/>
              </w:rPr>
              <w:t>土壤环境功能区</w:t>
            </w:r>
          </w:p>
        </w:tc>
        <w:tc>
          <w:tcPr>
            <w:tcW w:w="5521" w:type="dxa"/>
            <w:vAlign w:val="center"/>
          </w:tcPr>
          <w:p>
            <w:pPr>
              <w:pStyle w:val="122"/>
              <w:ind w:firstLine="480"/>
              <w:rPr>
                <w:rFonts w:cs="Times New Roman"/>
                <w:color w:val="000000" w:themeColor="text1"/>
              </w:rPr>
            </w:pPr>
            <w:r>
              <w:rPr>
                <w:rFonts w:cs="Times New Roman"/>
                <w:color w:val="000000" w:themeColor="text1"/>
              </w:rPr>
              <w:t>《土壤环境质量建设用地土壤污染风险管控标准》（GB</w:t>
            </w:r>
            <w:r>
              <w:rPr>
                <w:rFonts w:hint="eastAsia" w:cs="Times New Roman"/>
                <w:color w:val="000000" w:themeColor="text1"/>
              </w:rPr>
              <w:t>36600</w:t>
            </w:r>
            <w:r>
              <w:rPr>
                <w:rFonts w:cs="Times New Roman"/>
                <w:color w:val="000000" w:themeColor="text1"/>
              </w:rPr>
              <w:t>-</w:t>
            </w:r>
            <w:r>
              <w:rPr>
                <w:rFonts w:hint="eastAsia" w:cs="Times New Roman"/>
                <w:color w:val="000000" w:themeColor="text1"/>
              </w:rPr>
              <w:t>2018</w:t>
            </w:r>
            <w:r>
              <w:rPr>
                <w:rFonts w:cs="Times New Roman"/>
                <w:color w:val="000000" w:themeColor="text1"/>
              </w:rPr>
              <w:t>）中筛选值第二类用地标准值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6</w:t>
            </w:r>
          </w:p>
        </w:tc>
        <w:tc>
          <w:tcPr>
            <w:tcW w:w="2987" w:type="dxa"/>
            <w:vAlign w:val="center"/>
          </w:tcPr>
          <w:p>
            <w:pPr>
              <w:pStyle w:val="122"/>
              <w:rPr>
                <w:rFonts w:cs="Times New Roman"/>
                <w:color w:val="000000" w:themeColor="text1"/>
              </w:rPr>
            </w:pPr>
            <w:r>
              <w:rPr>
                <w:rFonts w:cs="Times New Roman"/>
                <w:color w:val="000000" w:themeColor="text1"/>
              </w:rPr>
              <w:t>是否基本农田保护区</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7</w:t>
            </w:r>
          </w:p>
        </w:tc>
        <w:tc>
          <w:tcPr>
            <w:tcW w:w="2987" w:type="dxa"/>
            <w:vAlign w:val="center"/>
          </w:tcPr>
          <w:p>
            <w:pPr>
              <w:pStyle w:val="122"/>
              <w:rPr>
                <w:rFonts w:cs="Times New Roman"/>
                <w:color w:val="000000" w:themeColor="text1"/>
              </w:rPr>
            </w:pPr>
            <w:r>
              <w:rPr>
                <w:rFonts w:cs="Times New Roman"/>
                <w:color w:val="000000" w:themeColor="text1"/>
              </w:rPr>
              <w:t>是否森林公园</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8</w:t>
            </w:r>
          </w:p>
        </w:tc>
        <w:tc>
          <w:tcPr>
            <w:tcW w:w="2987" w:type="dxa"/>
            <w:vAlign w:val="center"/>
          </w:tcPr>
          <w:p>
            <w:pPr>
              <w:pStyle w:val="122"/>
              <w:rPr>
                <w:rFonts w:cs="Times New Roman"/>
                <w:color w:val="000000" w:themeColor="text1"/>
              </w:rPr>
            </w:pPr>
            <w:r>
              <w:rPr>
                <w:rFonts w:cs="Times New Roman"/>
                <w:color w:val="000000" w:themeColor="text1"/>
              </w:rPr>
              <w:t>是否生态功能保护区</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9</w:t>
            </w:r>
          </w:p>
        </w:tc>
        <w:tc>
          <w:tcPr>
            <w:tcW w:w="2987" w:type="dxa"/>
            <w:vAlign w:val="center"/>
          </w:tcPr>
          <w:p>
            <w:pPr>
              <w:pStyle w:val="122"/>
              <w:rPr>
                <w:rFonts w:cs="Times New Roman"/>
                <w:color w:val="000000" w:themeColor="text1"/>
              </w:rPr>
            </w:pPr>
            <w:r>
              <w:rPr>
                <w:rFonts w:cs="Times New Roman"/>
                <w:color w:val="000000" w:themeColor="text1"/>
              </w:rPr>
              <w:t>是否水土流失重点防治区</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10</w:t>
            </w:r>
          </w:p>
        </w:tc>
        <w:tc>
          <w:tcPr>
            <w:tcW w:w="2987" w:type="dxa"/>
            <w:vAlign w:val="center"/>
          </w:tcPr>
          <w:p>
            <w:pPr>
              <w:pStyle w:val="122"/>
              <w:rPr>
                <w:rFonts w:cs="Times New Roman"/>
                <w:color w:val="000000" w:themeColor="text1"/>
              </w:rPr>
            </w:pPr>
            <w:r>
              <w:rPr>
                <w:rFonts w:cs="Times New Roman"/>
                <w:color w:val="000000" w:themeColor="text1"/>
              </w:rPr>
              <w:t>是否人口密集区</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11</w:t>
            </w:r>
          </w:p>
        </w:tc>
        <w:tc>
          <w:tcPr>
            <w:tcW w:w="2987" w:type="dxa"/>
            <w:vAlign w:val="center"/>
          </w:tcPr>
          <w:p>
            <w:pPr>
              <w:pStyle w:val="122"/>
              <w:rPr>
                <w:rFonts w:cs="Times New Roman"/>
                <w:color w:val="000000" w:themeColor="text1"/>
              </w:rPr>
            </w:pPr>
            <w:r>
              <w:rPr>
                <w:rFonts w:cs="Times New Roman"/>
                <w:color w:val="000000" w:themeColor="text1"/>
              </w:rPr>
              <w:t>是否重点文物保护单位</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12</w:t>
            </w:r>
          </w:p>
        </w:tc>
        <w:tc>
          <w:tcPr>
            <w:tcW w:w="2987" w:type="dxa"/>
            <w:vAlign w:val="center"/>
          </w:tcPr>
          <w:p>
            <w:pPr>
              <w:pStyle w:val="122"/>
              <w:rPr>
                <w:rFonts w:cs="Times New Roman"/>
                <w:color w:val="000000" w:themeColor="text1"/>
              </w:rPr>
            </w:pPr>
            <w:r>
              <w:rPr>
                <w:rFonts w:cs="Times New Roman"/>
                <w:color w:val="000000" w:themeColor="text1"/>
              </w:rPr>
              <w:t>是否三河、三湖、两控区</w:t>
            </w:r>
          </w:p>
        </w:tc>
        <w:tc>
          <w:tcPr>
            <w:tcW w:w="5521" w:type="dxa"/>
            <w:vAlign w:val="center"/>
          </w:tcPr>
          <w:p>
            <w:pPr>
              <w:pStyle w:val="122"/>
              <w:ind w:firstLine="480"/>
              <w:rPr>
                <w:rFonts w:cs="Times New Roman"/>
                <w:color w:val="000000" w:themeColor="text1"/>
              </w:rPr>
            </w:pPr>
            <w:r>
              <w:rPr>
                <w:rFonts w:cs="Times New Roman"/>
                <w:color w:val="000000" w:themeColor="text1"/>
              </w:rPr>
              <w:t>是（两控区）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13</w:t>
            </w:r>
          </w:p>
        </w:tc>
        <w:tc>
          <w:tcPr>
            <w:tcW w:w="2987" w:type="dxa"/>
            <w:vAlign w:val="center"/>
          </w:tcPr>
          <w:p>
            <w:pPr>
              <w:pStyle w:val="122"/>
              <w:rPr>
                <w:rFonts w:cs="Times New Roman"/>
                <w:color w:val="000000" w:themeColor="text1"/>
              </w:rPr>
            </w:pPr>
            <w:r>
              <w:rPr>
                <w:rFonts w:cs="Times New Roman"/>
                <w:color w:val="000000" w:themeColor="text1"/>
              </w:rPr>
              <w:t>是否水库库区</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14</w:t>
            </w:r>
          </w:p>
        </w:tc>
        <w:tc>
          <w:tcPr>
            <w:tcW w:w="2987" w:type="dxa"/>
            <w:vAlign w:val="center"/>
          </w:tcPr>
          <w:p>
            <w:pPr>
              <w:pStyle w:val="122"/>
              <w:rPr>
                <w:rFonts w:cs="Times New Roman"/>
                <w:color w:val="000000" w:themeColor="text1"/>
              </w:rPr>
            </w:pPr>
            <w:r>
              <w:rPr>
                <w:rFonts w:cs="Times New Roman"/>
                <w:color w:val="000000" w:themeColor="text1"/>
              </w:rPr>
              <w:t>是否污水处理厂集水范围</w:t>
            </w:r>
          </w:p>
        </w:tc>
        <w:tc>
          <w:tcPr>
            <w:tcW w:w="5521" w:type="dxa"/>
            <w:vAlign w:val="center"/>
          </w:tcPr>
          <w:p>
            <w:pPr>
              <w:pStyle w:val="122"/>
              <w:ind w:firstLine="480"/>
              <w:rPr>
                <w:rFonts w:cs="Times New Roman"/>
                <w:color w:val="000000" w:themeColor="text1"/>
              </w:rPr>
            </w:pPr>
            <w:r>
              <w:rPr>
                <w:rFonts w:cs="Times New Roman"/>
                <w:color w:val="000000" w:themeColor="text1"/>
              </w:rPr>
              <w:t>是</w:t>
            </w:r>
            <w:r>
              <w:rPr>
                <w:rFonts w:hint="eastAsia" w:cs="Times New Roman"/>
                <w:color w:val="000000" w:themeColor="text1"/>
              </w:rPr>
              <w:t>（华容县桥东污水处理厂）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pPr>
              <w:pStyle w:val="122"/>
              <w:rPr>
                <w:rFonts w:cs="Times New Roman"/>
                <w:color w:val="000000" w:themeColor="text1"/>
              </w:rPr>
            </w:pPr>
            <w:r>
              <w:rPr>
                <w:rFonts w:hint="eastAsia" w:cs="Times New Roman"/>
                <w:color w:val="000000" w:themeColor="text1"/>
              </w:rPr>
              <w:t>15</w:t>
            </w:r>
          </w:p>
        </w:tc>
        <w:tc>
          <w:tcPr>
            <w:tcW w:w="2987" w:type="dxa"/>
            <w:vAlign w:val="center"/>
          </w:tcPr>
          <w:p>
            <w:pPr>
              <w:pStyle w:val="122"/>
              <w:rPr>
                <w:rFonts w:cs="Times New Roman"/>
                <w:color w:val="000000" w:themeColor="text1"/>
              </w:rPr>
            </w:pPr>
            <w:r>
              <w:rPr>
                <w:rFonts w:cs="Times New Roman"/>
                <w:color w:val="000000" w:themeColor="text1"/>
              </w:rPr>
              <w:t>是否属于生态敏感与脆弱区</w:t>
            </w:r>
          </w:p>
        </w:tc>
        <w:tc>
          <w:tcPr>
            <w:tcW w:w="5521" w:type="dxa"/>
            <w:vAlign w:val="center"/>
          </w:tcPr>
          <w:p>
            <w:pPr>
              <w:pStyle w:val="122"/>
              <w:ind w:firstLine="480"/>
              <w:rPr>
                <w:rFonts w:cs="Times New Roman"/>
                <w:color w:val="000000" w:themeColor="text1"/>
              </w:rPr>
            </w:pPr>
            <w:r>
              <w:rPr>
                <w:rFonts w:cs="Times New Roman"/>
                <w:color w:val="000000" w:themeColor="text1"/>
              </w:rPr>
              <w:t>否</w:t>
            </w:r>
          </w:p>
        </w:tc>
      </w:tr>
      <w:bookmarkEnd w:id="49"/>
    </w:tbl>
    <w:p>
      <w:pPr>
        <w:pStyle w:val="4"/>
        <w:adjustRightInd w:val="0"/>
        <w:snapToGrid w:val="0"/>
        <w:rPr>
          <w:color w:val="000000" w:themeColor="text1"/>
        </w:rPr>
      </w:pPr>
      <w:bookmarkStart w:id="51" w:name="_Toc532497608"/>
      <w:bookmarkStart w:id="52" w:name="_Toc532763192"/>
      <w:bookmarkStart w:id="53" w:name="_Toc532376135"/>
      <w:bookmarkStart w:id="54" w:name="_Toc532498728"/>
      <w:bookmarkStart w:id="55" w:name="_Toc25678"/>
      <w:r>
        <w:rPr>
          <w:rFonts w:hint="eastAsia"/>
          <w:color w:val="000000" w:themeColor="text1"/>
        </w:rPr>
        <w:t>评价标准</w:t>
      </w:r>
      <w:bookmarkEnd w:id="51"/>
      <w:bookmarkEnd w:id="52"/>
      <w:bookmarkEnd w:id="53"/>
      <w:bookmarkEnd w:id="54"/>
      <w:bookmarkEnd w:id="55"/>
    </w:p>
    <w:p>
      <w:pPr>
        <w:adjustRightInd w:val="0"/>
        <w:snapToGrid w:val="0"/>
        <w:spacing w:line="360" w:lineRule="auto"/>
        <w:ind w:firstLine="480" w:firstLineChars="200"/>
        <w:rPr>
          <w:color w:val="000000" w:themeColor="text1"/>
        </w:rPr>
      </w:pPr>
      <w:bookmarkStart w:id="56" w:name="_Ref229931109"/>
      <w:bookmarkStart w:id="57" w:name="_Ref229931098"/>
      <w:r>
        <w:rPr>
          <w:color w:val="000000" w:themeColor="text1"/>
        </w:rPr>
        <w:t>根据本项目的排污特点和区域环境功能区划要求，本次评价拟执行标准如下：</w:t>
      </w:r>
      <w:bookmarkEnd w:id="56"/>
      <w:bookmarkEnd w:id="57"/>
    </w:p>
    <w:p>
      <w:pPr>
        <w:pStyle w:val="5"/>
        <w:rPr>
          <w:color w:val="000000" w:themeColor="text1"/>
        </w:rPr>
      </w:pPr>
      <w:bookmarkStart w:id="58" w:name="_Toc532497609"/>
      <w:r>
        <w:rPr>
          <w:rFonts w:hint="eastAsia"/>
          <w:color w:val="000000" w:themeColor="text1"/>
        </w:rPr>
        <w:t>环境质量标准</w:t>
      </w:r>
      <w:bookmarkEnd w:id="58"/>
    </w:p>
    <w:p>
      <w:pPr>
        <w:pStyle w:val="61"/>
        <w:adjustRightInd w:val="0"/>
        <w:snapToGrid w:val="0"/>
        <w:rPr>
          <w:rFonts w:cs="Times New Roman"/>
          <w:color w:val="000000" w:themeColor="text1"/>
        </w:rPr>
      </w:pPr>
      <w:r>
        <w:rPr>
          <w:rFonts w:cs="Times New Roman"/>
          <w:color w:val="000000" w:themeColor="text1"/>
        </w:rPr>
        <w:t>大气环境</w:t>
      </w:r>
    </w:p>
    <w:p>
      <w:pPr>
        <w:spacing w:line="360" w:lineRule="auto"/>
        <w:ind w:firstLine="480" w:firstLineChars="200"/>
        <w:rPr>
          <w:rFonts w:cs="Times New Roman"/>
          <w:color w:val="000000" w:themeColor="text1"/>
        </w:rPr>
      </w:pPr>
      <w:r>
        <w:rPr>
          <w:rFonts w:cs="Times New Roman"/>
          <w:color w:val="000000" w:themeColor="text1"/>
        </w:rPr>
        <w:t>项目所在区域属于环境空气二类功能区，环境空气质量执行《环境空气质量标准》（GB3095-2012）中的二级标准限定值，对《环境空气质量标准》（GB3095-2012）中没有的特征因子，参照执行《环境影响评价技术导则 大气环境》（HJ2.2-2018）中附录D.1“其他污染物空气质量浓度参考限值”，标准值见</w:t>
      </w:r>
      <w:r>
        <w:fldChar w:fldCharType="begin"/>
      </w:r>
      <w:r>
        <w:instrText xml:space="preserve"> REF _Ref493600324 \h  \* MERGEFORMAT </w:instrText>
      </w:r>
      <w:r>
        <w:fldChar w:fldCharType="separate"/>
      </w:r>
      <w:r>
        <w:rPr>
          <w:rFonts w:cs="Times New Roman"/>
          <w:color w:val="000000" w:themeColor="text1"/>
        </w:rPr>
        <w:t>表1.4</w:t>
      </w:r>
      <w:r>
        <w:rPr>
          <w:rFonts w:cs="Times New Roman"/>
          <w:color w:val="000000" w:themeColor="text1"/>
        </w:rPr>
        <w:noBreakHyphen/>
      </w:r>
      <w:r>
        <w:rPr>
          <w:rFonts w:cs="Times New Roman"/>
          <w:color w:val="000000" w:themeColor="text1"/>
        </w:rPr>
        <w:t>1</w:t>
      </w:r>
      <w:r>
        <w:rPr>
          <w:rFonts w:cs="Times New Roman"/>
          <w:color w:val="000000" w:themeColor="text1"/>
        </w:rPr>
        <w:fldChar w:fldCharType="end"/>
      </w:r>
      <w:r>
        <w:rPr>
          <w:rFonts w:cs="Times New Roman"/>
          <w:color w:val="000000" w:themeColor="text1"/>
        </w:rPr>
        <w:t>。</w:t>
      </w:r>
    </w:p>
    <w:p>
      <w:pPr>
        <w:pStyle w:val="61"/>
        <w:keepNext w:val="0"/>
        <w:keepLines w:val="0"/>
        <w:numPr>
          <w:ilvl w:val="0"/>
          <w:numId w:val="0"/>
        </w:numPr>
        <w:adjustRightInd w:val="0"/>
        <w:snapToGrid w:val="0"/>
        <w:spacing w:line="240" w:lineRule="auto"/>
        <w:ind w:firstLine="482" w:firstLineChars="200"/>
        <w:jc w:val="center"/>
        <w:outlineLvl w:val="9"/>
        <w:rPr>
          <w:rFonts w:cs="Times New Roman"/>
          <w:color w:val="000000" w:themeColor="text1"/>
        </w:rPr>
      </w:pPr>
      <w:bookmarkStart w:id="59" w:name="_Ref493600324"/>
      <w:r>
        <w:rPr>
          <w:rFonts w:cs="Times New Roman"/>
          <w:color w:val="000000" w:themeColor="text1"/>
        </w:rPr>
        <w:t>表</w:t>
      </w:r>
      <w:r>
        <w:rPr>
          <w:rFonts w:cs="Times New Roman"/>
          <w:color w:val="000000" w:themeColor="text1"/>
        </w:rPr>
        <w:fldChar w:fldCharType="begin"/>
      </w:r>
      <w:r>
        <w:rPr>
          <w:rFonts w:cs="Times New Roman"/>
          <w:color w:val="000000" w:themeColor="text1"/>
        </w:rPr>
        <w:instrText xml:space="preserve"> STYLEREF 2 \s </w:instrText>
      </w:r>
      <w:r>
        <w:rPr>
          <w:rFonts w:cs="Times New Roman"/>
          <w:color w:val="000000" w:themeColor="text1"/>
        </w:rPr>
        <w:fldChar w:fldCharType="separate"/>
      </w:r>
      <w:r>
        <w:rPr>
          <w:rFonts w:cs="Times New Roman"/>
          <w:color w:val="000000" w:themeColor="text1"/>
        </w:rPr>
        <w:t>1.4</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cs="Times New Roman"/>
          <w:color w:val="000000" w:themeColor="text1"/>
        </w:rPr>
        <w:instrText xml:space="preserve"> SEQ 表 \* ARABIC \s 2 </w:instrText>
      </w:r>
      <w:r>
        <w:rPr>
          <w:rFonts w:cs="Times New Roman"/>
          <w:color w:val="000000" w:themeColor="text1"/>
        </w:rPr>
        <w:fldChar w:fldCharType="separate"/>
      </w:r>
      <w:r>
        <w:rPr>
          <w:rFonts w:cs="Times New Roman"/>
          <w:color w:val="000000" w:themeColor="text1"/>
        </w:rPr>
        <w:t>1</w:t>
      </w:r>
      <w:r>
        <w:rPr>
          <w:rFonts w:cs="Times New Roman"/>
          <w:color w:val="000000" w:themeColor="text1"/>
        </w:rPr>
        <w:fldChar w:fldCharType="end"/>
      </w:r>
      <w:bookmarkEnd w:id="59"/>
      <w:r>
        <w:rPr>
          <w:rFonts w:cs="Times New Roman"/>
          <w:color w:val="000000" w:themeColor="text1"/>
        </w:rPr>
        <w:t xml:space="preserve"> 环境空气质量浓度限值  </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984"/>
        <w:gridCol w:w="1843"/>
        <w:gridCol w:w="3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污染物名称</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取值时间</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浓度限值</w:t>
            </w:r>
          </w:p>
        </w:tc>
        <w:tc>
          <w:tcPr>
            <w:tcW w:w="3889"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eastAsia="宋体"/>
                <w:b w:val="0"/>
                <w:snapToGrid w:val="0"/>
                <w:color w:val="000000" w:themeColor="text1"/>
                <w:kern w:val="0"/>
                <w:sz w:val="21"/>
                <w:szCs w:val="21"/>
              </w:rPr>
              <w:t>SO</w:t>
            </w:r>
            <w:r>
              <w:rPr>
                <w:rFonts w:eastAsia="宋体"/>
                <w:b w:val="0"/>
                <w:snapToGrid w:val="0"/>
                <w:color w:val="000000" w:themeColor="text1"/>
                <w:kern w:val="0"/>
                <w:sz w:val="21"/>
                <w:szCs w:val="21"/>
                <w:vertAlign w:val="subscript"/>
              </w:rPr>
              <w:t>2</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60ug/m</w:t>
            </w:r>
            <w:r>
              <w:rPr>
                <w:rFonts w:hint="eastAsia" w:eastAsia="宋体"/>
                <w:b w:val="0"/>
                <w:color w:val="000000" w:themeColor="text1"/>
                <w:sz w:val="21"/>
                <w:szCs w:val="21"/>
                <w:vertAlign w:val="superscript"/>
              </w:rPr>
              <w:t>3</w:t>
            </w:r>
          </w:p>
        </w:tc>
        <w:tc>
          <w:tcPr>
            <w:tcW w:w="3889" w:type="dxa"/>
            <w:vMerge w:val="restart"/>
            <w:vAlign w:val="center"/>
          </w:tcPr>
          <w:p>
            <w:pPr>
              <w:adjustRightInd w:val="0"/>
              <w:snapToGrid w:val="0"/>
              <w:jc w:val="center"/>
              <w:rPr>
                <w:rFonts w:eastAsia="宋体" w:cs="Times New Roman"/>
                <w:snapToGrid w:val="0"/>
                <w:color w:val="000000" w:themeColor="text1"/>
                <w:kern w:val="0"/>
                <w:sz w:val="21"/>
              </w:rPr>
            </w:pPr>
            <w:r>
              <w:rPr>
                <w:rFonts w:eastAsia="宋体" w:cs="Times New Roman"/>
                <w:snapToGrid w:val="0"/>
                <w:color w:val="000000" w:themeColor="text1"/>
                <w:kern w:val="0"/>
                <w:sz w:val="21"/>
              </w:rPr>
              <w:t>《环境空气质量标准》</w:t>
            </w:r>
          </w:p>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eastAsia="宋体"/>
                <w:b w:val="0"/>
                <w:snapToGrid w:val="0"/>
                <w:color w:val="000000" w:themeColor="text1"/>
                <w:kern w:val="0"/>
                <w:sz w:val="21"/>
                <w:szCs w:val="21"/>
              </w:rPr>
              <w:t>GB3095-2012</w:t>
            </w:r>
            <w:r>
              <w:rPr>
                <w:rFonts w:hint="eastAsia" w:eastAsia="宋体"/>
                <w:b w:val="0"/>
                <w:snapToGrid w:val="0"/>
                <w:color w:val="000000" w:themeColor="text1"/>
                <w:kern w:val="0"/>
                <w:sz w:val="21"/>
                <w:szCs w:val="21"/>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150ug/m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500ug/m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snapToGrid w:val="0"/>
                <w:color w:val="000000" w:themeColor="text1"/>
                <w:sz w:val="21"/>
                <w:szCs w:val="21"/>
              </w:rPr>
              <w:t>PM</w:t>
            </w:r>
            <w:r>
              <w:rPr>
                <w:rFonts w:hint="eastAsia" w:eastAsia="宋体"/>
                <w:b w:val="0"/>
                <w:snapToGrid w:val="0"/>
                <w:color w:val="000000" w:themeColor="text1"/>
                <w:sz w:val="21"/>
                <w:szCs w:val="21"/>
                <w:vertAlign w:val="subscript"/>
              </w:rPr>
              <w:t>10</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70ug/m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150ug/m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snapToGrid w:val="0"/>
                <w:color w:val="000000" w:themeColor="text1"/>
                <w:sz w:val="21"/>
                <w:szCs w:val="21"/>
              </w:rPr>
              <w:t>PM</w:t>
            </w:r>
            <w:r>
              <w:rPr>
                <w:rFonts w:hint="eastAsia" w:eastAsia="宋体"/>
                <w:b w:val="0"/>
                <w:snapToGrid w:val="0"/>
                <w:color w:val="000000" w:themeColor="text1"/>
                <w:sz w:val="21"/>
                <w:szCs w:val="21"/>
                <w:vertAlign w:val="subscript"/>
              </w:rPr>
              <w:t>2.5</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35ug/m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75ug/m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eastAsia="宋体"/>
                <w:b w:val="0"/>
                <w:color w:val="000000" w:themeColor="text1"/>
                <w:sz w:val="21"/>
                <w:szCs w:val="21"/>
                <w:lang w:val="en-GB"/>
              </w:rPr>
              <w:t>NO</w:t>
            </w:r>
            <w:r>
              <w:rPr>
                <w:rFonts w:eastAsia="宋体"/>
                <w:b w:val="0"/>
                <w:color w:val="000000" w:themeColor="text1"/>
                <w:sz w:val="21"/>
                <w:szCs w:val="21"/>
                <w:vertAlign w:val="subscript"/>
                <w:lang w:val="en-GB"/>
              </w:rPr>
              <w:t>2</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40ug/m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80ug/m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200ug/m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CO</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日均值</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4mg/m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10mg/m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O</w:t>
            </w:r>
            <w:r>
              <w:rPr>
                <w:rFonts w:hint="eastAsia" w:eastAsia="宋体"/>
                <w:b w:val="0"/>
                <w:color w:val="000000" w:themeColor="text1"/>
                <w:sz w:val="21"/>
                <w:szCs w:val="21"/>
                <w:vertAlign w:val="subscript"/>
              </w:rPr>
              <w:t>3</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日最大8小时平均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160ug/m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200ug/m</w:t>
            </w:r>
            <w:r>
              <w:rPr>
                <w:rFonts w:hint="eastAsia" w:eastAsia="宋体"/>
                <w:b w:val="0"/>
                <w:color w:val="000000" w:themeColor="text1"/>
                <w:sz w:val="21"/>
                <w:szCs w:val="21"/>
                <w:vertAlign w:val="superscript"/>
              </w:rPr>
              <w:t>3</w:t>
            </w:r>
          </w:p>
        </w:tc>
        <w:tc>
          <w:tcPr>
            <w:tcW w:w="3889" w:type="dxa"/>
            <w:vMerge w:val="continue"/>
            <w:vAlign w:val="center"/>
          </w:tcPr>
          <w:p>
            <w:pPr>
              <w:pStyle w:val="61"/>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26" w:type="dxa"/>
            <w:vAlign w:val="center"/>
          </w:tcPr>
          <w:p>
            <w:pPr>
              <w:pStyle w:val="61"/>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H</w:t>
            </w:r>
            <w:r>
              <w:rPr>
                <w:rFonts w:hint="eastAsia" w:eastAsia="宋体" w:cs="Times New Roman"/>
                <w:b w:val="0"/>
                <w:color w:val="000000" w:themeColor="text1"/>
                <w:sz w:val="21"/>
                <w:szCs w:val="21"/>
                <w:vertAlign w:val="subscript"/>
              </w:rPr>
              <w:t>2</w:t>
            </w:r>
            <w:r>
              <w:rPr>
                <w:rFonts w:hint="eastAsia" w:eastAsia="宋体" w:cs="Times New Roman"/>
                <w:b w:val="0"/>
                <w:color w:val="000000" w:themeColor="text1"/>
                <w:sz w:val="21"/>
                <w:szCs w:val="21"/>
              </w:rPr>
              <w:t>S</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1小时平均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10</w:t>
            </w:r>
            <w:r>
              <w:rPr>
                <w:rFonts w:hint="eastAsia" w:eastAsia="宋体"/>
                <w:b w:val="0"/>
                <w:color w:val="000000" w:themeColor="text1"/>
                <w:sz w:val="21"/>
                <w:szCs w:val="21"/>
              </w:rPr>
              <w:t>ug/m</w:t>
            </w:r>
            <w:r>
              <w:rPr>
                <w:rFonts w:hint="eastAsia" w:eastAsia="宋体"/>
                <w:b w:val="0"/>
                <w:color w:val="000000" w:themeColor="text1"/>
                <w:sz w:val="21"/>
                <w:szCs w:val="21"/>
                <w:vertAlign w:val="superscript"/>
              </w:rPr>
              <w:t>3</w:t>
            </w:r>
          </w:p>
        </w:tc>
        <w:tc>
          <w:tcPr>
            <w:tcW w:w="3889" w:type="dxa"/>
            <w:vMerge w:val="restart"/>
            <w:vAlign w:val="center"/>
          </w:tcPr>
          <w:p>
            <w:pPr>
              <w:adjustRightInd w:val="0"/>
              <w:snapToGrid w:val="0"/>
              <w:jc w:val="center"/>
              <w:rPr>
                <w:rFonts w:eastAsia="宋体" w:cs="Times New Roman"/>
                <w:snapToGrid w:val="0"/>
                <w:color w:val="000000" w:themeColor="text1"/>
                <w:kern w:val="0"/>
                <w:sz w:val="21"/>
              </w:rPr>
            </w:pPr>
            <w:r>
              <w:rPr>
                <w:rFonts w:eastAsia="宋体" w:cs="Times New Roman"/>
                <w:snapToGrid w:val="0"/>
                <w:color w:val="000000" w:themeColor="text1"/>
                <w:kern w:val="0"/>
                <w:sz w:val="21"/>
              </w:rPr>
              <w:t>《环境影响评价技术导则大气环境》（HJ2.2-2018）中附录 D.1“其他污染物空气质量浓度参考限值”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6" w:type="dxa"/>
            <w:vAlign w:val="center"/>
          </w:tcPr>
          <w:p>
            <w:pPr>
              <w:pStyle w:val="61"/>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NH</w:t>
            </w:r>
            <w:r>
              <w:rPr>
                <w:rFonts w:hint="eastAsia" w:eastAsia="宋体" w:cs="Times New Roman"/>
                <w:b w:val="0"/>
                <w:color w:val="000000" w:themeColor="text1"/>
                <w:sz w:val="21"/>
                <w:szCs w:val="21"/>
                <w:vertAlign w:val="subscript"/>
              </w:rPr>
              <w:t>3</w:t>
            </w:r>
          </w:p>
        </w:tc>
        <w:tc>
          <w:tcPr>
            <w:tcW w:w="1984" w:type="dxa"/>
            <w:vAlign w:val="center"/>
          </w:tcPr>
          <w:p>
            <w:pPr>
              <w:pStyle w:val="61"/>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1小时平均</w:t>
            </w:r>
          </w:p>
        </w:tc>
        <w:tc>
          <w:tcPr>
            <w:tcW w:w="1843" w:type="dxa"/>
            <w:vAlign w:val="center"/>
          </w:tcPr>
          <w:p>
            <w:pPr>
              <w:pStyle w:val="61"/>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200</w:t>
            </w:r>
            <w:r>
              <w:rPr>
                <w:rFonts w:hint="eastAsia" w:eastAsia="宋体"/>
                <w:b w:val="0"/>
                <w:color w:val="000000" w:themeColor="text1"/>
                <w:sz w:val="21"/>
                <w:szCs w:val="21"/>
              </w:rPr>
              <w:t>ug/m</w:t>
            </w:r>
            <w:r>
              <w:rPr>
                <w:rFonts w:hint="eastAsia" w:eastAsia="宋体"/>
                <w:b w:val="0"/>
                <w:color w:val="000000" w:themeColor="text1"/>
                <w:sz w:val="21"/>
                <w:szCs w:val="21"/>
                <w:vertAlign w:val="superscript"/>
              </w:rPr>
              <w:t>3</w:t>
            </w:r>
          </w:p>
        </w:tc>
        <w:tc>
          <w:tcPr>
            <w:tcW w:w="3889" w:type="dxa"/>
            <w:vMerge w:val="continue"/>
            <w:vAlign w:val="center"/>
          </w:tcPr>
          <w:p>
            <w:pPr>
              <w:adjustRightInd w:val="0"/>
              <w:snapToGrid w:val="0"/>
              <w:jc w:val="center"/>
              <w:rPr>
                <w:rFonts w:eastAsia="宋体" w:cs="Times New Roman"/>
                <w:snapToGrid w:val="0"/>
                <w:color w:val="000000" w:themeColor="text1"/>
                <w:kern w:val="0"/>
                <w:sz w:val="21"/>
              </w:rPr>
            </w:pPr>
          </w:p>
        </w:tc>
      </w:tr>
    </w:tbl>
    <w:p>
      <w:pPr>
        <w:pStyle w:val="61"/>
        <w:adjustRightInd w:val="0"/>
        <w:snapToGrid w:val="0"/>
        <w:rPr>
          <w:color w:val="000000" w:themeColor="text1"/>
        </w:rPr>
      </w:pPr>
      <w:r>
        <w:rPr>
          <w:rFonts w:hint="eastAsia"/>
          <w:color w:val="000000" w:themeColor="text1"/>
        </w:rPr>
        <w:t>地表水</w:t>
      </w:r>
    </w:p>
    <w:p>
      <w:pPr>
        <w:spacing w:line="360" w:lineRule="auto"/>
        <w:ind w:firstLine="480" w:firstLineChars="200"/>
        <w:rPr>
          <w:rFonts w:cs="Times New Roman"/>
          <w:color w:val="000000" w:themeColor="text1"/>
        </w:rPr>
      </w:pPr>
      <w:r>
        <w:rPr>
          <w:rFonts w:cs="Times New Roman"/>
          <w:color w:val="000000" w:themeColor="text1"/>
        </w:rPr>
        <w:t>地表水：本项目排污口位于华容县石伏</w:t>
      </w:r>
      <w:r>
        <w:rPr>
          <w:rFonts w:hint="eastAsia" w:cs="Times New Roman"/>
          <w:color w:val="000000" w:themeColor="text1"/>
        </w:rPr>
        <w:t>工业园</w:t>
      </w:r>
      <w:r>
        <w:rPr>
          <w:rFonts w:cs="Times New Roman"/>
          <w:color w:val="000000" w:themeColor="text1"/>
        </w:rPr>
        <w:t>，属于华容河，具体位于华容县城境内流域下游，根据《湖南省主要地表水系水环境功能区划》</w:t>
      </w:r>
      <w:r>
        <w:rPr>
          <w:rFonts w:cs="Times New Roman" w:hAnsiTheme="minorEastAsia"/>
          <w:color w:val="000000" w:themeColor="text1"/>
        </w:rPr>
        <w:t>（</w:t>
      </w:r>
      <w:r>
        <w:rPr>
          <w:rFonts w:cs="Times New Roman"/>
          <w:color w:val="000000" w:themeColor="text1"/>
        </w:rPr>
        <w:t>DB43023-2005</w:t>
      </w:r>
      <w:r>
        <w:rPr>
          <w:rFonts w:cs="Times New Roman" w:hAnsiTheme="minorEastAsia"/>
          <w:color w:val="000000" w:themeColor="text1"/>
        </w:rPr>
        <w:t>），项目排污河段为华容河华容大桥至六门闸（北支）水质达到国家</w:t>
      </w:r>
      <w:r>
        <w:rPr>
          <w:rFonts w:cs="Times New Roman"/>
          <w:color w:val="000000" w:themeColor="text1"/>
        </w:rPr>
        <w:t>Ⅲ</w:t>
      </w:r>
      <w:r>
        <w:rPr>
          <w:rFonts w:cs="Times New Roman" w:hAnsiTheme="minorEastAsia"/>
          <w:color w:val="000000" w:themeColor="text1"/>
        </w:rPr>
        <w:t>类水质标准，属渔业用水区，</w:t>
      </w:r>
      <w:r>
        <w:rPr>
          <w:rFonts w:cs="Times New Roman"/>
          <w:color w:val="000000" w:themeColor="text1"/>
        </w:rPr>
        <w:t>执行《地表水环境质量标准》（GB3838-2002）中的Ⅲ</w:t>
      </w:r>
      <w:r>
        <w:rPr>
          <w:rFonts w:cs="Times New Roman" w:hAnsiTheme="minorEastAsia"/>
          <w:color w:val="000000" w:themeColor="text1"/>
        </w:rPr>
        <w:t>类</w:t>
      </w:r>
      <w:r>
        <w:rPr>
          <w:rFonts w:cs="Times New Roman"/>
          <w:color w:val="000000" w:themeColor="text1"/>
        </w:rPr>
        <w:t>标准。</w:t>
      </w:r>
    </w:p>
    <w:p>
      <w:pPr>
        <w:pStyle w:val="61"/>
        <w:numPr>
          <w:ilvl w:val="0"/>
          <w:numId w:val="0"/>
        </w:numPr>
        <w:adjustRightInd w:val="0"/>
        <w:snapToGrid w:val="0"/>
        <w:spacing w:line="240" w:lineRule="auto"/>
        <w:ind w:firstLine="482" w:firstLineChars="200"/>
        <w:jc w:val="center"/>
        <w:outlineLvl w:val="9"/>
        <w:rPr>
          <w:color w:val="000000" w:themeColor="text1"/>
        </w:rPr>
      </w:pPr>
      <w:r>
        <w:rPr>
          <w:rFonts w:hint="eastAsia"/>
          <w:color w:val="000000" w:themeColor="text1"/>
          <w:kern w:val="0"/>
        </w:rPr>
        <w:t>表</w:t>
      </w:r>
      <w:r>
        <w:rPr>
          <w:color w:val="000000" w:themeColor="text1"/>
          <w:kern w:val="0"/>
        </w:rPr>
        <w:fldChar w:fldCharType="begin"/>
      </w:r>
      <w:r>
        <w:rPr>
          <w:rFonts w:hint="eastAsia"/>
          <w:color w:val="000000" w:themeColor="text1"/>
          <w:kern w:val="0"/>
        </w:rPr>
        <w:instrText xml:space="preserve">STYLEREF 2 \s</w:instrText>
      </w:r>
      <w:r>
        <w:rPr>
          <w:color w:val="000000" w:themeColor="text1"/>
          <w:kern w:val="0"/>
        </w:rPr>
        <w:fldChar w:fldCharType="separate"/>
      </w:r>
      <w:r>
        <w:rPr>
          <w:color w:val="000000" w:themeColor="text1"/>
          <w:kern w:val="0"/>
        </w:rPr>
        <w:t>1.4</w:t>
      </w:r>
      <w:r>
        <w:rPr>
          <w:color w:val="000000" w:themeColor="text1"/>
          <w:kern w:val="0"/>
        </w:rPr>
        <w:fldChar w:fldCharType="end"/>
      </w:r>
      <w:r>
        <w:rPr>
          <w:color w:val="000000" w:themeColor="text1"/>
          <w:kern w:val="0"/>
        </w:rPr>
        <w:noBreakHyphen/>
      </w:r>
      <w:r>
        <w:rPr>
          <w:color w:val="000000" w:themeColor="text1"/>
          <w:kern w:val="0"/>
        </w:rPr>
        <w:fldChar w:fldCharType="begin"/>
      </w:r>
      <w:r>
        <w:rPr>
          <w:rFonts w:hint="eastAsia"/>
          <w:color w:val="000000" w:themeColor="text1"/>
          <w:kern w:val="0"/>
        </w:rPr>
        <w:instrText xml:space="preserve">SEQ 表 \* ARABIC \s 2</w:instrText>
      </w:r>
      <w:r>
        <w:rPr>
          <w:color w:val="000000" w:themeColor="text1"/>
          <w:kern w:val="0"/>
        </w:rPr>
        <w:fldChar w:fldCharType="separate"/>
      </w:r>
      <w:r>
        <w:rPr>
          <w:rFonts w:hint="eastAsia"/>
          <w:color w:val="000000" w:themeColor="text1"/>
          <w:kern w:val="0"/>
        </w:rPr>
        <w:t>2</w:t>
      </w:r>
      <w:r>
        <w:rPr>
          <w:color w:val="000000" w:themeColor="text1"/>
          <w:kern w:val="0"/>
        </w:rPr>
        <w:fldChar w:fldCharType="end"/>
      </w:r>
      <w:r>
        <w:rPr>
          <w:rFonts w:hint="eastAsia"/>
          <w:color w:val="000000" w:themeColor="text1"/>
        </w:rPr>
        <w:t>地表水环境质量标准  单位：mg/L(pH除外)</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2582"/>
        <w:gridCol w:w="4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Align w:val="center"/>
          </w:tcPr>
          <w:p>
            <w:pPr>
              <w:jc w:val="center"/>
              <w:rPr>
                <w:rFonts w:eastAsia="Times New Roman" w:cs="Times New Roman"/>
                <w:bCs/>
                <w:color w:val="000000" w:themeColor="text1"/>
                <w:sz w:val="21"/>
              </w:rPr>
            </w:pPr>
            <w:r>
              <w:rPr>
                <w:rFonts w:cs="Times New Roman"/>
                <w:bCs/>
                <w:color w:val="000000" w:themeColor="text1"/>
                <w:sz w:val="21"/>
              </w:rPr>
              <w:t>类别</w:t>
            </w:r>
          </w:p>
        </w:tc>
        <w:tc>
          <w:tcPr>
            <w:tcW w:w="2582" w:type="dxa"/>
            <w:vAlign w:val="center"/>
          </w:tcPr>
          <w:p>
            <w:pPr>
              <w:jc w:val="center"/>
              <w:rPr>
                <w:rFonts w:eastAsia="Times New Roman" w:cs="Times New Roman"/>
                <w:bCs/>
                <w:color w:val="000000" w:themeColor="text1"/>
                <w:sz w:val="21"/>
              </w:rPr>
            </w:pPr>
            <w:r>
              <w:rPr>
                <w:rFonts w:cs="Times New Roman"/>
                <w:bCs/>
                <w:color w:val="000000" w:themeColor="text1"/>
                <w:sz w:val="21"/>
              </w:rPr>
              <w:t>项目</w:t>
            </w:r>
          </w:p>
        </w:tc>
        <w:tc>
          <w:tcPr>
            <w:tcW w:w="4501" w:type="dxa"/>
          </w:tcPr>
          <w:p>
            <w:pPr>
              <w:jc w:val="center"/>
              <w:rPr>
                <w:rFonts w:cs="Times New Roman"/>
                <w:bCs/>
                <w:color w:val="000000" w:themeColor="text1"/>
                <w:sz w:val="21"/>
              </w:rPr>
            </w:pPr>
            <w:r>
              <w:rPr>
                <w:rFonts w:cs="Times New Roman"/>
                <w:color w:val="000000" w:themeColor="text1"/>
                <w:kern w:val="0"/>
                <w:sz w:val="21"/>
              </w:rPr>
              <w:t>Ⅲ类</w:t>
            </w:r>
            <w:r>
              <w:rPr>
                <w:rFonts w:cs="Times New Roman"/>
                <w:bCs/>
                <w:color w:val="000000" w:themeColor="text1"/>
                <w:sz w:val="21"/>
              </w:rPr>
              <w:t>标准值（mg/L）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restart"/>
            <w:vAlign w:val="center"/>
          </w:tcPr>
          <w:p>
            <w:pPr>
              <w:jc w:val="center"/>
              <w:rPr>
                <w:rFonts w:eastAsia="Times New Roman" w:cs="Times New Roman"/>
                <w:color w:val="000000" w:themeColor="text1"/>
                <w:sz w:val="21"/>
              </w:rPr>
            </w:pPr>
            <w:r>
              <w:rPr>
                <w:rFonts w:cs="Times New Roman"/>
                <w:color w:val="000000" w:themeColor="text1"/>
                <w:sz w:val="21"/>
              </w:rPr>
              <w:t>地表水</w:t>
            </w:r>
          </w:p>
        </w:tc>
        <w:tc>
          <w:tcPr>
            <w:tcW w:w="2582" w:type="dxa"/>
            <w:vAlign w:val="center"/>
          </w:tcPr>
          <w:p>
            <w:pPr>
              <w:jc w:val="center"/>
              <w:rPr>
                <w:rFonts w:cs="Times New Roman"/>
                <w:color w:val="000000" w:themeColor="text1"/>
                <w:sz w:val="21"/>
              </w:rPr>
            </w:pPr>
            <w:r>
              <w:rPr>
                <w:rFonts w:cs="Times New Roman"/>
                <w:color w:val="000000" w:themeColor="text1"/>
                <w:sz w:val="21"/>
              </w:rPr>
              <w:t>pH</w:t>
            </w:r>
          </w:p>
        </w:tc>
        <w:tc>
          <w:tcPr>
            <w:tcW w:w="4501" w:type="dxa"/>
            <w:vAlign w:val="center"/>
          </w:tcPr>
          <w:p>
            <w:pPr>
              <w:jc w:val="center"/>
              <w:rPr>
                <w:rFonts w:cs="Times New Roman"/>
                <w:color w:val="000000" w:themeColor="text1"/>
                <w:sz w:val="21"/>
              </w:rPr>
            </w:pPr>
            <w:r>
              <w:rPr>
                <w:rFonts w:cs="Times New Roman"/>
                <w:color w:val="000000" w:themeColor="text1"/>
                <w:sz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eastAsia="Times New Roman" w:cs="Times New Roman"/>
                <w:color w:val="000000" w:themeColor="text1"/>
                <w:sz w:val="21"/>
              </w:rPr>
            </w:pPr>
            <w:r>
              <w:rPr>
                <w:rFonts w:cs="Times New Roman"/>
                <w:color w:val="000000" w:themeColor="text1"/>
                <w:sz w:val="21"/>
              </w:rPr>
              <w:t>CODcr</w:t>
            </w:r>
          </w:p>
        </w:tc>
        <w:tc>
          <w:tcPr>
            <w:tcW w:w="4501" w:type="dxa"/>
            <w:vAlign w:val="center"/>
          </w:tcPr>
          <w:p>
            <w:pPr>
              <w:jc w:val="center"/>
              <w:rPr>
                <w:rFonts w:cs="Times New Roman"/>
                <w:color w:val="000000" w:themeColor="text1"/>
                <w:sz w:val="21"/>
              </w:rPr>
            </w:pPr>
            <w:r>
              <w:rPr>
                <w:rFonts w:eastAsia="宋体" w:cs="Times New Roman"/>
                <w:color w:val="000000" w:themeColor="text1"/>
                <w:kern w:val="0"/>
                <w:sz w:val="21"/>
              </w:rPr>
              <w:t>≤</w:t>
            </w:r>
            <w:r>
              <w:rPr>
                <w:rFonts w:cs="Times New Roman"/>
                <w:color w:val="000000" w:themeColor="text1"/>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cs="Times New Roman"/>
                <w:color w:val="000000" w:themeColor="text1"/>
                <w:sz w:val="21"/>
              </w:rPr>
            </w:pPr>
            <w:r>
              <w:rPr>
                <w:rFonts w:cs="Times New Roman"/>
                <w:bCs/>
                <w:color w:val="000000" w:themeColor="text1"/>
                <w:sz w:val="21"/>
              </w:rPr>
              <w:t>BOD</w:t>
            </w:r>
            <w:r>
              <w:rPr>
                <w:rFonts w:cs="Times New Roman"/>
                <w:bCs/>
                <w:color w:val="000000" w:themeColor="text1"/>
                <w:sz w:val="21"/>
                <w:vertAlign w:val="subscript"/>
              </w:rPr>
              <w:t>5</w:t>
            </w:r>
          </w:p>
        </w:tc>
        <w:tc>
          <w:tcPr>
            <w:tcW w:w="4501" w:type="dxa"/>
            <w:vAlign w:val="center"/>
          </w:tcPr>
          <w:p>
            <w:pPr>
              <w:jc w:val="center"/>
              <w:rPr>
                <w:rFonts w:cs="Times New Roman"/>
                <w:color w:val="000000" w:themeColor="text1"/>
                <w:sz w:val="21"/>
              </w:rPr>
            </w:pPr>
            <w:r>
              <w:rPr>
                <w:rFonts w:eastAsia="宋体" w:cs="Times New Roman"/>
                <w:color w:val="000000" w:themeColor="text1"/>
                <w:kern w:val="0"/>
                <w:sz w:val="21"/>
              </w:rPr>
              <w:t>≤</w:t>
            </w:r>
            <w:r>
              <w:rPr>
                <w:rFonts w:cs="Times New Roman"/>
                <w:color w:val="000000" w:themeColor="text1"/>
                <w:sz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cs="Times New Roman"/>
                <w:color w:val="000000" w:themeColor="text1"/>
                <w:sz w:val="21"/>
              </w:rPr>
            </w:pPr>
            <w:r>
              <w:rPr>
                <w:rFonts w:cs="Times New Roman"/>
                <w:color w:val="000000" w:themeColor="text1"/>
                <w:sz w:val="21"/>
              </w:rPr>
              <w:t>NH</w:t>
            </w:r>
            <w:r>
              <w:rPr>
                <w:rFonts w:cs="Times New Roman"/>
                <w:color w:val="000000" w:themeColor="text1"/>
                <w:sz w:val="21"/>
                <w:vertAlign w:val="subscript"/>
              </w:rPr>
              <w:t>3</w:t>
            </w:r>
            <w:r>
              <w:rPr>
                <w:rFonts w:cs="Times New Roman"/>
                <w:color w:val="000000" w:themeColor="text1"/>
                <w:sz w:val="21"/>
              </w:rPr>
              <w:t>-N</w:t>
            </w:r>
          </w:p>
        </w:tc>
        <w:tc>
          <w:tcPr>
            <w:tcW w:w="4501" w:type="dxa"/>
            <w:vAlign w:val="center"/>
          </w:tcPr>
          <w:p>
            <w:pPr>
              <w:jc w:val="center"/>
              <w:rPr>
                <w:rFonts w:cs="Times New Roman"/>
                <w:color w:val="000000" w:themeColor="text1"/>
                <w:sz w:val="21"/>
              </w:rPr>
            </w:pPr>
            <w:r>
              <w:rPr>
                <w:rFonts w:eastAsia="宋体" w:cs="Times New Roman"/>
                <w:color w:val="000000" w:themeColor="text1"/>
                <w:kern w:val="0"/>
                <w:sz w:val="21"/>
              </w:rPr>
              <w:t>≤</w:t>
            </w:r>
            <w:r>
              <w:rPr>
                <w:rFonts w:cs="Times New Roman"/>
                <w:color w:val="000000" w:themeColor="text1"/>
                <w:sz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eastAsia="宋体" w:cs="Times New Roman"/>
                <w:color w:val="000000" w:themeColor="text1"/>
                <w:sz w:val="21"/>
              </w:rPr>
            </w:pPr>
            <w:r>
              <w:rPr>
                <w:rFonts w:cs="Times New Roman"/>
                <w:color w:val="000000" w:themeColor="text1"/>
                <w:sz w:val="21"/>
              </w:rPr>
              <w:t>总磷</w:t>
            </w:r>
          </w:p>
        </w:tc>
        <w:tc>
          <w:tcPr>
            <w:tcW w:w="4501" w:type="dxa"/>
            <w:vAlign w:val="center"/>
          </w:tcPr>
          <w:p>
            <w:pPr>
              <w:jc w:val="center"/>
              <w:rPr>
                <w:rFonts w:eastAsia="宋体" w:cs="Times New Roman"/>
                <w:color w:val="000000" w:themeColor="text1"/>
                <w:sz w:val="21"/>
              </w:rPr>
            </w:pPr>
            <w:r>
              <w:rPr>
                <w:rFonts w:eastAsia="宋体" w:cs="Times New Roman"/>
                <w:color w:val="000000" w:themeColor="text1"/>
                <w:kern w:val="0"/>
                <w:sz w:val="21"/>
              </w:rPr>
              <w:t>≤</w:t>
            </w:r>
            <w:r>
              <w:rPr>
                <w:rFonts w:cs="Times New Roman"/>
                <w:color w:val="000000" w:themeColor="text1"/>
                <w:sz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cs="Times New Roman"/>
                <w:color w:val="000000" w:themeColor="text1"/>
                <w:sz w:val="21"/>
              </w:rPr>
            </w:pPr>
            <w:r>
              <w:rPr>
                <w:rFonts w:cs="Times New Roman"/>
                <w:color w:val="000000" w:themeColor="text1"/>
                <w:sz w:val="21"/>
              </w:rPr>
              <w:t>总氮</w:t>
            </w:r>
          </w:p>
        </w:tc>
        <w:tc>
          <w:tcPr>
            <w:tcW w:w="450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w:t>
            </w:r>
            <w:r>
              <w:rPr>
                <w:rFonts w:cs="Times New Roman"/>
                <w:color w:val="000000" w:themeColor="text1"/>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cs="Times New Roman"/>
                <w:color w:val="000000" w:themeColor="text1"/>
                <w:sz w:val="21"/>
              </w:rPr>
            </w:pPr>
            <w:r>
              <w:rPr>
                <w:rFonts w:cs="Times New Roman"/>
                <w:color w:val="000000" w:themeColor="text1"/>
                <w:sz w:val="21"/>
              </w:rPr>
              <w:t>粪大肠菌群</w:t>
            </w:r>
          </w:p>
        </w:tc>
        <w:tc>
          <w:tcPr>
            <w:tcW w:w="4501" w:type="dxa"/>
            <w:vAlign w:val="center"/>
          </w:tcPr>
          <w:p>
            <w:pPr>
              <w:jc w:val="center"/>
              <w:rPr>
                <w:rFonts w:eastAsia="宋体" w:cs="Times New Roman"/>
                <w:color w:val="000000" w:themeColor="text1"/>
                <w:kern w:val="0"/>
                <w:sz w:val="21"/>
              </w:rPr>
            </w:pPr>
            <w:r>
              <w:rPr>
                <w:rFonts w:cs="Times New Roman"/>
                <w:color w:val="000000" w:themeColor="text1"/>
                <w:sz w:val="21"/>
              </w:rPr>
              <w:t>≤</w:t>
            </w:r>
            <w:r>
              <w:rPr>
                <w:rFonts w:eastAsia="宋体" w:cs="Times New Roman"/>
                <w:color w:val="000000" w:themeColor="text1"/>
                <w:kern w:val="0"/>
                <w:sz w:val="21"/>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9" w:type="dxa"/>
            <w:vMerge w:val="continue"/>
            <w:vAlign w:val="center"/>
          </w:tcPr>
          <w:p>
            <w:pPr>
              <w:jc w:val="center"/>
              <w:rPr>
                <w:rFonts w:eastAsia="Times New Roman" w:cs="Times New Roman"/>
                <w:color w:val="000000" w:themeColor="text1"/>
                <w:sz w:val="21"/>
              </w:rPr>
            </w:pPr>
          </w:p>
        </w:tc>
        <w:tc>
          <w:tcPr>
            <w:tcW w:w="2582" w:type="dxa"/>
            <w:vAlign w:val="center"/>
          </w:tcPr>
          <w:p>
            <w:pPr>
              <w:jc w:val="center"/>
              <w:rPr>
                <w:rFonts w:cs="Times New Roman"/>
                <w:color w:val="000000" w:themeColor="text1"/>
                <w:sz w:val="21"/>
              </w:rPr>
            </w:pPr>
            <w:r>
              <w:rPr>
                <w:rFonts w:cs="Times New Roman"/>
                <w:color w:val="000000" w:themeColor="text1"/>
                <w:sz w:val="21"/>
              </w:rPr>
              <w:t>石油类</w:t>
            </w:r>
          </w:p>
        </w:tc>
        <w:tc>
          <w:tcPr>
            <w:tcW w:w="4501" w:type="dxa"/>
            <w:vAlign w:val="center"/>
          </w:tcPr>
          <w:p>
            <w:pPr>
              <w:jc w:val="center"/>
              <w:rPr>
                <w:rFonts w:cs="Times New Roman"/>
                <w:color w:val="000000" w:themeColor="text1"/>
                <w:sz w:val="21"/>
              </w:rPr>
            </w:pPr>
            <w:r>
              <w:rPr>
                <w:rFonts w:eastAsia="宋体" w:cs="Times New Roman"/>
                <w:color w:val="000000" w:themeColor="text1"/>
                <w:kern w:val="0"/>
                <w:sz w:val="21"/>
              </w:rPr>
              <w:t>≤</w:t>
            </w:r>
            <w:r>
              <w:rPr>
                <w:rFonts w:cs="Times New Roman"/>
                <w:color w:val="000000" w:themeColor="text1"/>
                <w:sz w:val="21"/>
              </w:rPr>
              <w:t>0.05</w:t>
            </w:r>
          </w:p>
        </w:tc>
      </w:tr>
    </w:tbl>
    <w:p>
      <w:pPr>
        <w:pStyle w:val="61"/>
        <w:rPr>
          <w:color w:val="000000" w:themeColor="text1"/>
        </w:rPr>
      </w:pPr>
      <w:r>
        <w:rPr>
          <w:rFonts w:hint="eastAsia"/>
          <w:color w:val="000000" w:themeColor="text1"/>
        </w:rPr>
        <w:t>地下水</w:t>
      </w:r>
    </w:p>
    <w:p>
      <w:pPr>
        <w:spacing w:line="360" w:lineRule="auto"/>
        <w:ind w:firstLine="480" w:firstLineChars="200"/>
        <w:rPr>
          <w:color w:val="000000" w:themeColor="text1"/>
        </w:rPr>
      </w:pPr>
      <w:r>
        <w:rPr>
          <w:rFonts w:hint="eastAsia"/>
          <w:color w:val="000000" w:themeColor="text1"/>
        </w:rPr>
        <w:t>地下水执行《地下水质量标准》（GB/T14848-2017）Ⅲ类水质标准。</w:t>
      </w:r>
    </w:p>
    <w:p>
      <w:pPr>
        <w:pStyle w:val="61"/>
        <w:numPr>
          <w:ilvl w:val="0"/>
          <w:numId w:val="0"/>
        </w:numPr>
        <w:spacing w:line="240" w:lineRule="auto"/>
        <w:ind w:firstLine="482" w:firstLineChars="200"/>
        <w:jc w:val="center"/>
        <w:outlineLvl w:val="9"/>
        <w:rPr>
          <w:color w:val="000000" w:themeColor="text1"/>
        </w:rPr>
      </w:pPr>
      <w:r>
        <w:rPr>
          <w:rFonts w:hint="eastAsia" w:cs="宋体"/>
          <w:color w:val="000000" w:themeColor="text1"/>
          <w:kern w:val="0"/>
          <w:szCs w:val="24"/>
        </w:rPr>
        <w:t>表</w:t>
      </w:r>
      <w:r>
        <w:rPr>
          <w:rFonts w:cs="宋体"/>
          <w:color w:val="000000" w:themeColor="text1"/>
          <w:kern w:val="0"/>
          <w:szCs w:val="24"/>
        </w:rPr>
        <w:fldChar w:fldCharType="begin"/>
      </w:r>
      <w:r>
        <w:rPr>
          <w:rFonts w:hint="eastAsia" w:cs="宋体"/>
          <w:color w:val="000000" w:themeColor="text1"/>
          <w:kern w:val="0"/>
          <w:szCs w:val="24"/>
        </w:rPr>
        <w:instrText xml:space="preserve">STYLEREF 2 \s</w:instrText>
      </w:r>
      <w:r>
        <w:rPr>
          <w:rFonts w:cs="宋体"/>
          <w:color w:val="000000" w:themeColor="text1"/>
          <w:kern w:val="0"/>
          <w:szCs w:val="24"/>
        </w:rPr>
        <w:fldChar w:fldCharType="separate"/>
      </w:r>
      <w:r>
        <w:rPr>
          <w:rFonts w:cs="宋体"/>
          <w:color w:val="000000" w:themeColor="text1"/>
          <w:kern w:val="0"/>
          <w:szCs w:val="24"/>
        </w:rPr>
        <w:t>1.4</w:t>
      </w:r>
      <w:r>
        <w:rPr>
          <w:rFonts w:cs="宋体"/>
          <w:color w:val="000000" w:themeColor="text1"/>
          <w:kern w:val="0"/>
          <w:szCs w:val="24"/>
        </w:rPr>
        <w:fldChar w:fldCharType="end"/>
      </w:r>
      <w:r>
        <w:rPr>
          <w:rFonts w:cs="宋体"/>
          <w:color w:val="000000" w:themeColor="text1"/>
          <w:kern w:val="0"/>
          <w:szCs w:val="24"/>
        </w:rPr>
        <w:noBreakHyphen/>
      </w:r>
      <w:r>
        <w:rPr>
          <w:rFonts w:cs="宋体"/>
          <w:color w:val="000000" w:themeColor="text1"/>
          <w:kern w:val="0"/>
          <w:szCs w:val="24"/>
        </w:rPr>
        <w:fldChar w:fldCharType="begin"/>
      </w:r>
      <w:r>
        <w:rPr>
          <w:rFonts w:hint="eastAsia" w:cs="宋体"/>
          <w:color w:val="000000" w:themeColor="text1"/>
          <w:kern w:val="0"/>
          <w:szCs w:val="24"/>
        </w:rPr>
        <w:instrText xml:space="preserve">SEQ 表 \* ARABIC \s 2</w:instrText>
      </w:r>
      <w:r>
        <w:rPr>
          <w:rFonts w:cs="宋体"/>
          <w:color w:val="000000" w:themeColor="text1"/>
          <w:kern w:val="0"/>
          <w:szCs w:val="24"/>
        </w:rPr>
        <w:fldChar w:fldCharType="separate"/>
      </w:r>
      <w:r>
        <w:rPr>
          <w:rFonts w:hint="eastAsia" w:cs="宋体"/>
          <w:color w:val="000000" w:themeColor="text1"/>
          <w:kern w:val="0"/>
          <w:szCs w:val="24"/>
        </w:rPr>
        <w:t>3</w:t>
      </w:r>
      <w:r>
        <w:rPr>
          <w:rFonts w:cs="宋体"/>
          <w:color w:val="000000" w:themeColor="text1"/>
          <w:kern w:val="0"/>
          <w:szCs w:val="24"/>
        </w:rPr>
        <w:fldChar w:fldCharType="end"/>
      </w:r>
      <w:r>
        <w:rPr>
          <w:rFonts w:hint="eastAsia"/>
          <w:color w:val="000000" w:themeColor="text1"/>
        </w:rPr>
        <w:t xml:space="preserve">  地下水环境标准限制 </w:t>
      </w:r>
      <w:r>
        <w:rPr>
          <w:rFonts w:cs="宋体"/>
          <w:color w:val="000000" w:themeColor="text1"/>
          <w:kern w:val="0"/>
          <w:szCs w:val="24"/>
        </w:rPr>
        <w:t>单位：mg/L，pH值除外</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99"/>
        <w:gridCol w:w="3675"/>
        <w:gridCol w:w="40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jc w:val="center"/>
              <w:rPr>
                <w:color w:val="000000" w:themeColor="text1"/>
                <w:sz w:val="21"/>
              </w:rPr>
            </w:pPr>
            <w:r>
              <w:rPr>
                <w:color w:val="000000" w:themeColor="text1"/>
                <w:sz w:val="21"/>
              </w:rPr>
              <w:t>序号</w:t>
            </w:r>
          </w:p>
        </w:tc>
        <w:tc>
          <w:tcPr>
            <w:tcW w:w="3675" w:type="dxa"/>
            <w:vAlign w:val="center"/>
          </w:tcPr>
          <w:p>
            <w:pPr>
              <w:pStyle w:val="28"/>
              <w:jc w:val="center"/>
              <w:rPr>
                <w:b w:val="0"/>
                <w:color w:val="000000" w:themeColor="text1"/>
                <w:sz w:val="21"/>
                <w:szCs w:val="21"/>
              </w:rPr>
            </w:pPr>
            <w:r>
              <w:rPr>
                <w:b w:val="0"/>
                <w:color w:val="000000" w:themeColor="text1"/>
                <w:sz w:val="21"/>
                <w:szCs w:val="21"/>
              </w:rPr>
              <w:t>项目</w:t>
            </w:r>
          </w:p>
        </w:tc>
        <w:tc>
          <w:tcPr>
            <w:tcW w:w="4068" w:type="dxa"/>
            <w:vAlign w:val="center"/>
          </w:tcPr>
          <w:p>
            <w:pPr>
              <w:ind w:firstLine="420"/>
              <w:jc w:val="center"/>
              <w:rPr>
                <w:color w:val="000000" w:themeColor="text1"/>
                <w:sz w:val="21"/>
              </w:rPr>
            </w:pPr>
            <w:r>
              <w:rPr>
                <w:rFonts w:hint="default" w:ascii="Times New Roman" w:hAnsi="Times New Roman" w:cs="Times New Roman"/>
                <w:color w:val="000000" w:themeColor="text1"/>
                <w:sz w:val="21"/>
              </w:rPr>
              <w:t>GB/T14848-2017Ⅲ类标准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jc w:val="center"/>
              <w:rPr>
                <w:color w:val="000000" w:themeColor="text1"/>
                <w:sz w:val="21"/>
              </w:rPr>
            </w:pPr>
            <w:r>
              <w:rPr>
                <w:color w:val="000000" w:themeColor="text1"/>
                <w:sz w:val="21"/>
              </w:rPr>
              <w:t>1</w:t>
            </w:r>
          </w:p>
        </w:tc>
        <w:tc>
          <w:tcPr>
            <w:tcW w:w="3675" w:type="dxa"/>
            <w:vAlign w:val="center"/>
          </w:tcPr>
          <w:p>
            <w:pPr>
              <w:jc w:val="center"/>
              <w:rPr>
                <w:color w:val="000000" w:themeColor="text1"/>
                <w:kern w:val="0"/>
                <w:sz w:val="21"/>
              </w:rPr>
            </w:pPr>
            <w:r>
              <w:rPr>
                <w:color w:val="000000" w:themeColor="text1"/>
                <w:kern w:val="0"/>
                <w:sz w:val="21"/>
              </w:rPr>
              <w:t>pH</w:t>
            </w:r>
          </w:p>
        </w:tc>
        <w:tc>
          <w:tcPr>
            <w:tcW w:w="4068" w:type="dxa"/>
            <w:vAlign w:val="center"/>
          </w:tcPr>
          <w:p>
            <w:pPr>
              <w:jc w:val="center"/>
              <w:rPr>
                <w:color w:val="000000" w:themeColor="text1"/>
                <w:kern w:val="0"/>
                <w:sz w:val="21"/>
              </w:rPr>
            </w:pPr>
            <w:r>
              <w:rPr>
                <w:rFonts w:hint="eastAsia"/>
                <w:color w:val="000000" w:themeColor="text1"/>
                <w:kern w:val="0"/>
                <w:sz w:val="21"/>
              </w:rPr>
              <w:t>6.5~8.5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color w:val="000000" w:themeColor="text1"/>
                <w:kern w:val="0"/>
                <w:sz w:val="21"/>
              </w:rPr>
              <w:t>2</w:t>
            </w:r>
          </w:p>
        </w:tc>
        <w:tc>
          <w:tcPr>
            <w:tcW w:w="3675" w:type="dxa"/>
            <w:vAlign w:val="center"/>
          </w:tcPr>
          <w:p>
            <w:pPr>
              <w:jc w:val="center"/>
              <w:rPr>
                <w:color w:val="000000" w:themeColor="text1"/>
                <w:kern w:val="0"/>
                <w:sz w:val="21"/>
              </w:rPr>
            </w:pPr>
            <w:r>
              <w:rPr>
                <w:rFonts w:hint="eastAsia"/>
                <w:color w:val="000000" w:themeColor="text1"/>
                <w:kern w:val="0"/>
                <w:sz w:val="21"/>
              </w:rPr>
              <w:t>溶解性总固体</w:t>
            </w:r>
          </w:p>
        </w:tc>
        <w:tc>
          <w:tcPr>
            <w:tcW w:w="4068" w:type="dxa"/>
            <w:vAlign w:val="center"/>
          </w:tcPr>
          <w:p>
            <w:pPr>
              <w:jc w:val="center"/>
              <w:rPr>
                <w:color w:val="000000" w:themeColor="text1"/>
                <w:kern w:val="0"/>
                <w:sz w:val="21"/>
              </w:rPr>
            </w:pPr>
            <w:r>
              <w:rPr>
                <w:rFonts w:hint="eastAsia"/>
                <w:color w:val="000000" w:themeColor="text1"/>
                <w:kern w:val="0"/>
                <w:sz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color w:val="000000" w:themeColor="text1"/>
                <w:kern w:val="0"/>
                <w:sz w:val="21"/>
              </w:rPr>
              <w:t>3</w:t>
            </w:r>
          </w:p>
        </w:tc>
        <w:tc>
          <w:tcPr>
            <w:tcW w:w="3675" w:type="dxa"/>
            <w:vAlign w:val="center"/>
          </w:tcPr>
          <w:p>
            <w:pPr>
              <w:jc w:val="center"/>
              <w:rPr>
                <w:color w:val="000000" w:themeColor="text1"/>
                <w:kern w:val="0"/>
                <w:sz w:val="21"/>
              </w:rPr>
            </w:pPr>
            <w:r>
              <w:rPr>
                <w:color w:val="000000" w:themeColor="text1"/>
                <w:kern w:val="0"/>
                <w:sz w:val="21"/>
              </w:rPr>
              <w:t>总硬度</w:t>
            </w:r>
          </w:p>
        </w:tc>
        <w:tc>
          <w:tcPr>
            <w:tcW w:w="4068" w:type="dxa"/>
            <w:vAlign w:val="center"/>
          </w:tcPr>
          <w:p>
            <w:pPr>
              <w:jc w:val="center"/>
              <w:rPr>
                <w:color w:val="000000" w:themeColor="text1"/>
                <w:kern w:val="0"/>
                <w:sz w:val="21"/>
              </w:rPr>
            </w:pPr>
            <w:r>
              <w:rPr>
                <w:rFonts w:hint="eastAsia"/>
                <w:color w:val="000000" w:themeColor="text1"/>
                <w:kern w:val="0"/>
                <w:sz w:val="21"/>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color w:val="000000" w:themeColor="text1"/>
                <w:kern w:val="0"/>
                <w:sz w:val="21"/>
              </w:rPr>
              <w:t>4</w:t>
            </w:r>
          </w:p>
        </w:tc>
        <w:tc>
          <w:tcPr>
            <w:tcW w:w="3675" w:type="dxa"/>
            <w:vAlign w:val="center"/>
          </w:tcPr>
          <w:p>
            <w:pPr>
              <w:jc w:val="center"/>
              <w:rPr>
                <w:color w:val="000000" w:themeColor="text1"/>
                <w:kern w:val="0"/>
                <w:sz w:val="21"/>
              </w:rPr>
            </w:pPr>
            <w:r>
              <w:rPr>
                <w:rFonts w:hint="eastAsia"/>
                <w:bCs/>
                <w:color w:val="000000" w:themeColor="text1"/>
                <w:kern w:val="0"/>
                <w:sz w:val="21"/>
              </w:rPr>
              <w:t>氨氮</w:t>
            </w:r>
          </w:p>
        </w:tc>
        <w:tc>
          <w:tcPr>
            <w:tcW w:w="4068" w:type="dxa"/>
            <w:vAlign w:val="center"/>
          </w:tcPr>
          <w:p>
            <w:pPr>
              <w:jc w:val="center"/>
              <w:rPr>
                <w:color w:val="000000" w:themeColor="text1"/>
                <w:kern w:val="0"/>
                <w:sz w:val="21"/>
              </w:rPr>
            </w:pPr>
            <w:r>
              <w:rPr>
                <w:rFonts w:hint="eastAsia"/>
                <w:color w:val="000000" w:themeColor="text1"/>
                <w:kern w:val="0"/>
                <w:sz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jc w:val="center"/>
              <w:rPr>
                <w:color w:val="000000" w:themeColor="text1"/>
                <w:kern w:val="0"/>
                <w:sz w:val="21"/>
              </w:rPr>
            </w:pPr>
            <w:r>
              <w:rPr>
                <w:color w:val="000000" w:themeColor="text1"/>
                <w:kern w:val="0"/>
                <w:sz w:val="21"/>
              </w:rPr>
              <w:t>5</w:t>
            </w:r>
          </w:p>
        </w:tc>
        <w:tc>
          <w:tcPr>
            <w:tcW w:w="3675" w:type="dxa"/>
            <w:vAlign w:val="center"/>
          </w:tcPr>
          <w:p>
            <w:pPr>
              <w:jc w:val="center"/>
              <w:rPr>
                <w:bCs/>
                <w:color w:val="000000" w:themeColor="text1"/>
                <w:kern w:val="0"/>
                <w:sz w:val="21"/>
              </w:rPr>
            </w:pPr>
            <w:r>
              <w:rPr>
                <w:rFonts w:hint="eastAsia"/>
                <w:bCs/>
                <w:color w:val="000000" w:themeColor="text1"/>
                <w:kern w:val="0"/>
                <w:sz w:val="21"/>
              </w:rPr>
              <w:t>硝酸盐</w:t>
            </w:r>
          </w:p>
        </w:tc>
        <w:tc>
          <w:tcPr>
            <w:tcW w:w="4068" w:type="dxa"/>
            <w:vAlign w:val="center"/>
          </w:tcPr>
          <w:p>
            <w:pPr>
              <w:jc w:val="center"/>
              <w:rPr>
                <w:color w:val="000000" w:themeColor="text1"/>
                <w:kern w:val="0"/>
                <w:sz w:val="21"/>
              </w:rPr>
            </w:pPr>
            <w:r>
              <w:rPr>
                <w:rFonts w:hint="eastAsia"/>
                <w:color w:val="000000" w:themeColor="text1"/>
                <w:kern w:val="0"/>
                <w:sz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color w:val="000000" w:themeColor="text1"/>
                <w:kern w:val="0"/>
                <w:sz w:val="21"/>
              </w:rPr>
              <w:t>6</w:t>
            </w:r>
          </w:p>
        </w:tc>
        <w:tc>
          <w:tcPr>
            <w:tcW w:w="3675" w:type="dxa"/>
            <w:vAlign w:val="center"/>
          </w:tcPr>
          <w:p>
            <w:pPr>
              <w:jc w:val="center"/>
              <w:rPr>
                <w:bCs/>
                <w:color w:val="000000" w:themeColor="text1"/>
                <w:kern w:val="0"/>
                <w:sz w:val="21"/>
              </w:rPr>
            </w:pPr>
            <w:r>
              <w:rPr>
                <w:rFonts w:hint="eastAsia"/>
                <w:bCs/>
                <w:color w:val="000000" w:themeColor="text1"/>
                <w:kern w:val="0"/>
                <w:sz w:val="21"/>
              </w:rPr>
              <w:t>亚硝酸盐</w:t>
            </w:r>
          </w:p>
        </w:tc>
        <w:tc>
          <w:tcPr>
            <w:tcW w:w="4068" w:type="dxa"/>
            <w:vAlign w:val="center"/>
          </w:tcPr>
          <w:p>
            <w:pPr>
              <w:jc w:val="center"/>
              <w:rPr>
                <w:color w:val="000000" w:themeColor="text1"/>
                <w:kern w:val="0"/>
                <w:sz w:val="21"/>
              </w:rPr>
            </w:pPr>
            <w:r>
              <w:rPr>
                <w:rFonts w:hint="eastAsia"/>
                <w:color w:val="000000" w:themeColor="text1"/>
                <w:kern w:val="0"/>
                <w:sz w:val="21"/>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color w:val="000000" w:themeColor="text1"/>
                <w:kern w:val="0"/>
                <w:sz w:val="21"/>
              </w:rPr>
              <w:t>7</w:t>
            </w:r>
          </w:p>
        </w:tc>
        <w:tc>
          <w:tcPr>
            <w:tcW w:w="3675" w:type="dxa"/>
            <w:vAlign w:val="center"/>
          </w:tcPr>
          <w:p>
            <w:pPr>
              <w:autoSpaceDE w:val="0"/>
              <w:jc w:val="center"/>
              <w:rPr>
                <w:rFonts w:ascii="Calibri" w:hAnsi="Calibri" w:eastAsia="宋体"/>
                <w:color w:val="000000"/>
                <w:spacing w:val="-5"/>
                <w:sz w:val="21"/>
              </w:rPr>
            </w:pPr>
            <w:r>
              <w:rPr>
                <w:color w:val="000000"/>
                <w:sz w:val="21"/>
              </w:rPr>
              <w:t>挥发酚</w:t>
            </w:r>
          </w:p>
        </w:tc>
        <w:tc>
          <w:tcPr>
            <w:tcW w:w="4068" w:type="dxa"/>
            <w:vAlign w:val="center"/>
          </w:tcPr>
          <w:p>
            <w:pPr>
              <w:jc w:val="center"/>
            </w:pPr>
            <w:r>
              <w:rPr>
                <w:rFonts w:hint="eastAsia"/>
                <w:color w:val="000000" w:themeColor="text1"/>
                <w:kern w:val="0"/>
                <w:sz w:val="21"/>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color w:val="000000" w:themeColor="text1"/>
                <w:kern w:val="0"/>
                <w:sz w:val="21"/>
              </w:rPr>
              <w:t>8</w:t>
            </w:r>
          </w:p>
        </w:tc>
        <w:tc>
          <w:tcPr>
            <w:tcW w:w="3675" w:type="dxa"/>
            <w:vAlign w:val="center"/>
          </w:tcPr>
          <w:p>
            <w:pPr>
              <w:pStyle w:val="141"/>
              <w:snapToGrid w:val="0"/>
              <w:jc w:val="center"/>
              <w:rPr>
                <w:color w:val="000000"/>
              </w:rPr>
            </w:pPr>
            <w:r>
              <w:rPr>
                <w:rFonts w:hint="eastAsia"/>
                <w:color w:val="000000"/>
              </w:rPr>
              <w:t>耗氧量</w:t>
            </w:r>
          </w:p>
        </w:tc>
        <w:tc>
          <w:tcPr>
            <w:tcW w:w="4068" w:type="dxa"/>
            <w:vAlign w:val="center"/>
          </w:tcPr>
          <w:p>
            <w:pPr>
              <w:jc w:val="center"/>
            </w:pPr>
            <w:r>
              <w:rPr>
                <w:rFonts w:hint="eastAsia"/>
                <w:color w:val="000000" w:themeColor="text1"/>
                <w:kern w:val="0"/>
                <w:sz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rFonts w:hint="eastAsia"/>
                <w:color w:val="000000" w:themeColor="text1"/>
                <w:kern w:val="0"/>
                <w:sz w:val="21"/>
              </w:rPr>
              <w:t>9</w:t>
            </w:r>
          </w:p>
        </w:tc>
        <w:tc>
          <w:tcPr>
            <w:tcW w:w="3675" w:type="dxa"/>
            <w:vAlign w:val="center"/>
          </w:tcPr>
          <w:p>
            <w:pPr>
              <w:pStyle w:val="142"/>
              <w:rPr>
                <w:rFonts w:ascii="Times New Roman" w:hAnsi="Times New Roman"/>
              </w:rPr>
            </w:pPr>
            <w:r>
              <w:rPr>
                <w:rFonts w:ascii="Times New Roman" w:hAnsi="Times New Roman"/>
              </w:rPr>
              <w:t>砷</w:t>
            </w:r>
          </w:p>
        </w:tc>
        <w:tc>
          <w:tcPr>
            <w:tcW w:w="4068" w:type="dxa"/>
            <w:vAlign w:val="center"/>
          </w:tcPr>
          <w:p>
            <w:pPr>
              <w:jc w:val="center"/>
            </w:pPr>
            <w:r>
              <w:rPr>
                <w:rFonts w:hint="eastAsia"/>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rFonts w:hint="eastAsia"/>
                <w:color w:val="000000" w:themeColor="text1"/>
                <w:kern w:val="0"/>
                <w:sz w:val="21"/>
              </w:rPr>
              <w:t>10</w:t>
            </w:r>
          </w:p>
        </w:tc>
        <w:tc>
          <w:tcPr>
            <w:tcW w:w="3675" w:type="dxa"/>
            <w:vAlign w:val="center"/>
          </w:tcPr>
          <w:p>
            <w:pPr>
              <w:pStyle w:val="142"/>
              <w:rPr>
                <w:rFonts w:ascii="Times New Roman" w:hAnsi="Times New Roman"/>
              </w:rPr>
            </w:pPr>
            <w:r>
              <w:rPr>
                <w:rFonts w:ascii="Times New Roman" w:hAnsi="Times New Roman"/>
              </w:rPr>
              <w:t>汞</w:t>
            </w:r>
          </w:p>
        </w:tc>
        <w:tc>
          <w:tcPr>
            <w:tcW w:w="4068" w:type="dxa"/>
            <w:vAlign w:val="center"/>
          </w:tcPr>
          <w:p>
            <w:pPr>
              <w:jc w:val="center"/>
            </w:pPr>
            <w:r>
              <w:rPr>
                <w:rFonts w:hint="eastAsia"/>
                <w:color w:val="000000" w:themeColor="text1"/>
                <w:kern w:val="0"/>
                <w:sz w:val="21"/>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rFonts w:hint="eastAsia"/>
                <w:color w:val="000000" w:themeColor="text1"/>
                <w:kern w:val="0"/>
                <w:sz w:val="21"/>
              </w:rPr>
              <w:t>11</w:t>
            </w:r>
          </w:p>
        </w:tc>
        <w:tc>
          <w:tcPr>
            <w:tcW w:w="3675" w:type="dxa"/>
            <w:vAlign w:val="center"/>
          </w:tcPr>
          <w:p>
            <w:pPr>
              <w:pStyle w:val="142"/>
              <w:rPr>
                <w:rFonts w:ascii="Times New Roman" w:hAnsi="Times New Roman"/>
              </w:rPr>
            </w:pPr>
            <w:r>
              <w:rPr>
                <w:rFonts w:ascii="Times New Roman" w:hAnsi="Times New Roman"/>
              </w:rPr>
              <w:t>六价铬</w:t>
            </w:r>
          </w:p>
        </w:tc>
        <w:tc>
          <w:tcPr>
            <w:tcW w:w="4068" w:type="dxa"/>
            <w:vAlign w:val="center"/>
          </w:tcPr>
          <w:p>
            <w:pPr>
              <w:jc w:val="center"/>
            </w:pPr>
            <w:r>
              <w:rPr>
                <w:rFonts w:hint="eastAsia"/>
                <w:color w:val="000000" w:themeColor="text1"/>
                <w:kern w:val="0"/>
                <w:sz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rFonts w:hint="eastAsia"/>
                <w:color w:val="000000" w:themeColor="text1"/>
                <w:kern w:val="0"/>
                <w:sz w:val="21"/>
              </w:rPr>
              <w:t>12</w:t>
            </w:r>
          </w:p>
        </w:tc>
        <w:tc>
          <w:tcPr>
            <w:tcW w:w="3675" w:type="dxa"/>
            <w:vAlign w:val="center"/>
          </w:tcPr>
          <w:p>
            <w:pPr>
              <w:jc w:val="center"/>
              <w:rPr>
                <w:rFonts w:eastAsia="宋体"/>
                <w:color w:val="000000"/>
                <w:sz w:val="21"/>
              </w:rPr>
            </w:pPr>
            <w:r>
              <w:rPr>
                <w:color w:val="000000"/>
                <w:sz w:val="21"/>
              </w:rPr>
              <w:t>铅</w:t>
            </w:r>
          </w:p>
        </w:tc>
        <w:tc>
          <w:tcPr>
            <w:tcW w:w="4068" w:type="dxa"/>
            <w:vAlign w:val="center"/>
          </w:tcPr>
          <w:p>
            <w:pPr>
              <w:jc w:val="center"/>
            </w:pPr>
            <w:r>
              <w:rPr>
                <w:rFonts w:hint="eastAsia"/>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99" w:type="dxa"/>
            <w:vAlign w:val="center"/>
          </w:tcPr>
          <w:p>
            <w:pPr>
              <w:widowControl/>
              <w:jc w:val="center"/>
              <w:rPr>
                <w:color w:val="000000" w:themeColor="text1"/>
                <w:kern w:val="0"/>
                <w:sz w:val="21"/>
              </w:rPr>
            </w:pPr>
            <w:r>
              <w:rPr>
                <w:rFonts w:hint="eastAsia"/>
                <w:color w:val="000000" w:themeColor="text1"/>
                <w:kern w:val="0"/>
                <w:sz w:val="21"/>
              </w:rPr>
              <w:t>13</w:t>
            </w:r>
          </w:p>
        </w:tc>
        <w:tc>
          <w:tcPr>
            <w:tcW w:w="3675" w:type="dxa"/>
            <w:vAlign w:val="center"/>
          </w:tcPr>
          <w:p>
            <w:pPr>
              <w:jc w:val="center"/>
              <w:rPr>
                <w:color w:val="000000"/>
                <w:sz w:val="21"/>
              </w:rPr>
            </w:pPr>
            <w:r>
              <w:rPr>
                <w:rFonts w:hint="eastAsia" w:ascii="宋体" w:hAnsi="宋体"/>
                <w:color w:val="000000"/>
                <w:sz w:val="21"/>
              </w:rPr>
              <w:t>镍</w:t>
            </w:r>
          </w:p>
        </w:tc>
        <w:tc>
          <w:tcPr>
            <w:tcW w:w="4068" w:type="dxa"/>
            <w:vAlign w:val="center"/>
          </w:tcPr>
          <w:p>
            <w:pPr>
              <w:jc w:val="center"/>
            </w:pPr>
            <w:r>
              <w:rPr>
                <w:rFonts w:hint="eastAsia"/>
                <w:color w:val="000000" w:themeColor="text1"/>
                <w:kern w:val="0"/>
                <w:sz w:val="21"/>
              </w:rPr>
              <w:t>≤0.02</w:t>
            </w:r>
          </w:p>
        </w:tc>
      </w:tr>
    </w:tbl>
    <w:p>
      <w:pPr>
        <w:pStyle w:val="61"/>
        <w:rPr>
          <w:color w:val="000000" w:themeColor="text1"/>
        </w:rPr>
      </w:pPr>
      <w:r>
        <w:rPr>
          <w:rFonts w:hint="eastAsia"/>
          <w:color w:val="000000" w:themeColor="text1"/>
        </w:rPr>
        <w:t>声环境</w:t>
      </w:r>
    </w:p>
    <w:p>
      <w:pPr>
        <w:spacing w:line="360" w:lineRule="auto"/>
        <w:ind w:firstLine="480" w:firstLineChars="200"/>
        <w:rPr>
          <w:b/>
          <w:color w:val="000000" w:themeColor="text1"/>
        </w:rPr>
      </w:pPr>
      <w:r>
        <w:rPr>
          <w:color w:val="000000" w:themeColor="text1"/>
        </w:rPr>
        <w:t>项目所在区域执行《声环境质量标准》（GB3096-2008）中</w:t>
      </w:r>
      <w:r>
        <w:rPr>
          <w:rFonts w:hint="eastAsia"/>
          <w:color w:val="000000" w:themeColor="text1"/>
        </w:rPr>
        <w:t>3</w:t>
      </w:r>
      <w:r>
        <w:rPr>
          <w:color w:val="000000" w:themeColor="text1"/>
        </w:rPr>
        <w:t>类</w:t>
      </w:r>
      <w:r>
        <w:rPr>
          <w:rFonts w:hint="eastAsia"/>
          <w:color w:val="000000" w:themeColor="text1"/>
        </w:rPr>
        <w:t>区</w:t>
      </w:r>
      <w:r>
        <w:rPr>
          <w:color w:val="000000" w:themeColor="text1"/>
        </w:rPr>
        <w:t>标准。</w:t>
      </w:r>
    </w:p>
    <w:p>
      <w:pPr>
        <w:pStyle w:val="61"/>
        <w:numPr>
          <w:ilvl w:val="0"/>
          <w:numId w:val="0"/>
        </w:numPr>
        <w:spacing w:line="240" w:lineRule="auto"/>
        <w:ind w:firstLine="482" w:firstLineChars="200"/>
        <w:jc w:val="center"/>
        <w:outlineLvl w:val="9"/>
        <w:rPr>
          <w:color w:val="000000" w:themeColor="text1"/>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1.4</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4</w:t>
      </w:r>
      <w:r>
        <w:rPr>
          <w:color w:val="000000" w:themeColor="text1"/>
        </w:rPr>
        <w:fldChar w:fldCharType="end"/>
      </w:r>
      <w:r>
        <w:rPr>
          <w:rFonts w:hint="eastAsia"/>
          <w:color w:val="000000" w:themeColor="text1"/>
        </w:rPr>
        <w:t xml:space="preserve">  声环境质量标准  </w:t>
      </w:r>
      <w:r>
        <w:rPr>
          <w:color w:val="000000" w:themeColor="text1"/>
        </w:rPr>
        <w:t>单位:dB（A）</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91"/>
        <w:gridCol w:w="2591"/>
        <w:gridCol w:w="23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1" w:type="dxa"/>
            <w:vAlign w:val="center"/>
          </w:tcPr>
          <w:p>
            <w:pPr>
              <w:tabs>
                <w:tab w:val="left" w:pos="360"/>
              </w:tabs>
              <w:ind w:firstLine="420"/>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类别</w:t>
            </w:r>
          </w:p>
        </w:tc>
        <w:tc>
          <w:tcPr>
            <w:tcW w:w="2591" w:type="dxa"/>
            <w:vAlign w:val="center"/>
          </w:tcPr>
          <w:p>
            <w:pPr>
              <w:tabs>
                <w:tab w:val="left" w:pos="360"/>
              </w:tabs>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昼间</w:t>
            </w:r>
          </w:p>
        </w:tc>
        <w:tc>
          <w:tcPr>
            <w:tcW w:w="2360" w:type="dxa"/>
            <w:vAlign w:val="center"/>
          </w:tcPr>
          <w:p>
            <w:pPr>
              <w:tabs>
                <w:tab w:val="left" w:pos="360"/>
              </w:tabs>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1" w:type="dxa"/>
            <w:vAlign w:val="center"/>
          </w:tcPr>
          <w:p>
            <w:pPr>
              <w:tabs>
                <w:tab w:val="left" w:pos="360"/>
              </w:tabs>
              <w:ind w:firstLine="420"/>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GB3096-2008 中3类区标准</w:t>
            </w:r>
          </w:p>
        </w:tc>
        <w:tc>
          <w:tcPr>
            <w:tcW w:w="2591" w:type="dxa"/>
            <w:vAlign w:val="center"/>
          </w:tcPr>
          <w:p>
            <w:pPr>
              <w:tabs>
                <w:tab w:val="left" w:pos="360"/>
              </w:tabs>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65</w:t>
            </w:r>
          </w:p>
        </w:tc>
        <w:tc>
          <w:tcPr>
            <w:tcW w:w="2360" w:type="dxa"/>
            <w:vAlign w:val="center"/>
          </w:tcPr>
          <w:p>
            <w:pPr>
              <w:tabs>
                <w:tab w:val="left" w:pos="360"/>
              </w:tabs>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55</w:t>
            </w:r>
          </w:p>
        </w:tc>
      </w:tr>
    </w:tbl>
    <w:p>
      <w:pPr>
        <w:pStyle w:val="61"/>
        <w:rPr>
          <w:color w:val="000000" w:themeColor="text1"/>
        </w:rPr>
      </w:pPr>
      <w:bookmarkStart w:id="60" w:name="_Toc532497610"/>
      <w:r>
        <w:rPr>
          <w:rFonts w:hint="eastAsia"/>
          <w:color w:val="000000" w:themeColor="text1"/>
        </w:rPr>
        <w:t>土壤标准及限制</w:t>
      </w:r>
    </w:p>
    <w:p>
      <w:pPr>
        <w:spacing w:line="360" w:lineRule="auto"/>
        <w:ind w:firstLine="480" w:firstLineChars="200"/>
        <w:rPr>
          <w:rFonts w:cs="Times New Roman"/>
          <w:color w:val="000000" w:themeColor="text1"/>
        </w:rPr>
      </w:pPr>
      <w:r>
        <w:t>项目</w:t>
      </w:r>
      <w:r>
        <w:rPr>
          <w:rFonts w:hint="eastAsia"/>
        </w:rPr>
        <w:t>建设地</w:t>
      </w:r>
      <w:r>
        <w:t>土壤环境执行《土壤环境质量建设用地土壤污染风险管控标准（试行）》（GB36600-2018）中第二类用地筛选值标准要求</w:t>
      </w:r>
      <w:r>
        <w:rPr>
          <w:rFonts w:cs="Times New Roman"/>
          <w:color w:val="000000" w:themeColor="text1"/>
        </w:rPr>
        <w:t>。</w:t>
      </w:r>
    </w:p>
    <w:p>
      <w:pPr>
        <w:pStyle w:val="14"/>
        <w:spacing w:line="240" w:lineRule="auto"/>
        <w:rPr>
          <w:rFonts w:cs="Times New Roman"/>
          <w:color w:val="000000" w:themeColor="text1"/>
        </w:rPr>
      </w:pPr>
      <w:r>
        <w:rPr>
          <w:rFonts w:hint="eastAsia" w:cs="Times New Roman"/>
          <w:color w:val="000000" w:themeColor="text1"/>
        </w:rPr>
        <w:t>表</w:t>
      </w:r>
      <w:r>
        <w:rPr>
          <w:rFonts w:cs="Times New Roman"/>
          <w:color w:val="000000" w:themeColor="text1"/>
        </w:rPr>
        <w:fldChar w:fldCharType="begin"/>
      </w:r>
      <w:r>
        <w:rPr>
          <w:rFonts w:hint="eastAsia" w:cs="Times New Roman"/>
          <w:color w:val="000000" w:themeColor="text1"/>
        </w:rPr>
        <w:instrText xml:space="preserve">STYLEREF 2 \s</w:instrText>
      </w:r>
      <w:r>
        <w:rPr>
          <w:rFonts w:cs="Times New Roman"/>
          <w:color w:val="000000" w:themeColor="text1"/>
        </w:rPr>
        <w:fldChar w:fldCharType="separate"/>
      </w:r>
      <w:r>
        <w:rPr>
          <w:rFonts w:cs="Times New Roman"/>
          <w:color w:val="000000" w:themeColor="text1"/>
        </w:rPr>
        <w:t>1.4</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hint="eastAsia" w:cs="Times New Roman"/>
          <w:color w:val="000000" w:themeColor="text1"/>
        </w:rPr>
        <w:instrText xml:space="preserve">SEQ 表 \* ARABIC \s 2</w:instrText>
      </w:r>
      <w:r>
        <w:rPr>
          <w:rFonts w:cs="Times New Roman"/>
          <w:color w:val="000000" w:themeColor="text1"/>
        </w:rPr>
        <w:fldChar w:fldCharType="separate"/>
      </w:r>
      <w:r>
        <w:rPr>
          <w:rFonts w:hint="eastAsia" w:cs="Times New Roman"/>
          <w:color w:val="000000" w:themeColor="text1"/>
        </w:rPr>
        <w:t>5</w:t>
      </w:r>
      <w:r>
        <w:rPr>
          <w:rFonts w:cs="Times New Roman"/>
          <w:color w:val="000000" w:themeColor="text1"/>
        </w:rPr>
        <w:fldChar w:fldCharType="end"/>
      </w:r>
      <w:r>
        <w:rPr>
          <w:rFonts w:hint="eastAsia"/>
          <w:color w:val="000000"/>
          <w:szCs w:val="24"/>
        </w:rPr>
        <w:t>土壤环境质量标准限值（单位：mg/kg，PH为无量纲）</w:t>
      </w:r>
    </w:p>
    <w:tbl>
      <w:tblPr>
        <w:tblStyle w:val="38"/>
        <w:tblW w:w="854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87"/>
        <w:gridCol w:w="3398"/>
        <w:gridCol w:w="37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jc w:val="center"/>
              <w:rPr>
                <w:color w:val="000000"/>
                <w:sz w:val="21"/>
              </w:rPr>
            </w:pPr>
            <w:r>
              <w:rPr>
                <w:color w:val="000000"/>
                <w:sz w:val="21"/>
              </w:rPr>
              <w:t>序号</w:t>
            </w:r>
          </w:p>
        </w:tc>
        <w:tc>
          <w:tcPr>
            <w:tcW w:w="3398" w:type="dxa"/>
            <w:vAlign w:val="center"/>
          </w:tcPr>
          <w:p>
            <w:pPr>
              <w:pStyle w:val="28"/>
              <w:jc w:val="center"/>
              <w:rPr>
                <w:rFonts w:ascii="Times New Roman" w:hAnsi="Times New Roman"/>
                <w:b w:val="0"/>
                <w:color w:val="000000"/>
                <w:sz w:val="21"/>
                <w:szCs w:val="21"/>
              </w:rPr>
            </w:pPr>
            <w:r>
              <w:rPr>
                <w:rFonts w:ascii="Times New Roman"/>
                <w:b w:val="0"/>
                <w:color w:val="000000"/>
                <w:sz w:val="21"/>
                <w:szCs w:val="21"/>
              </w:rPr>
              <w:t>项目</w:t>
            </w:r>
          </w:p>
        </w:tc>
        <w:tc>
          <w:tcPr>
            <w:tcW w:w="3762" w:type="dxa"/>
            <w:vAlign w:val="center"/>
          </w:tcPr>
          <w:p>
            <w:pPr>
              <w:ind w:firstLine="420"/>
              <w:jc w:val="center"/>
              <w:rPr>
                <w:color w:val="000000"/>
                <w:sz w:val="21"/>
              </w:rPr>
            </w:pPr>
            <w:r>
              <w:rPr>
                <w:color w:val="000000"/>
                <w:sz w:val="21"/>
              </w:rPr>
              <w:t>GB36600-2018</w:t>
            </w:r>
          </w:p>
          <w:p>
            <w:pPr>
              <w:ind w:firstLine="420"/>
              <w:jc w:val="center"/>
              <w:rPr>
                <w:color w:val="000000"/>
                <w:sz w:val="21"/>
              </w:rPr>
            </w:pPr>
            <w:r>
              <w:rPr>
                <w:color w:val="000000"/>
                <w:sz w:val="21"/>
              </w:rPr>
              <w:t>第二类用地筛选值标准要求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jc w:val="center"/>
              <w:rPr>
                <w:color w:val="000000"/>
                <w:sz w:val="21"/>
              </w:rPr>
            </w:pPr>
            <w:r>
              <w:rPr>
                <w:color w:val="000000"/>
                <w:sz w:val="21"/>
              </w:rPr>
              <w:t>1</w:t>
            </w:r>
          </w:p>
        </w:tc>
        <w:tc>
          <w:tcPr>
            <w:tcW w:w="3398" w:type="dxa"/>
            <w:vAlign w:val="center"/>
          </w:tcPr>
          <w:p>
            <w:pPr>
              <w:jc w:val="center"/>
              <w:rPr>
                <w:color w:val="000000"/>
                <w:sz w:val="21"/>
              </w:rPr>
            </w:pPr>
            <w:r>
              <w:rPr>
                <w:color w:val="000000"/>
                <w:sz w:val="21"/>
              </w:rPr>
              <w:t>砷</w:t>
            </w:r>
          </w:p>
        </w:tc>
        <w:tc>
          <w:tcPr>
            <w:tcW w:w="3762" w:type="dxa"/>
            <w:vAlign w:val="center"/>
          </w:tcPr>
          <w:p>
            <w:pPr>
              <w:jc w:val="center"/>
              <w:rPr>
                <w:color w:val="000000"/>
                <w:sz w:val="21"/>
              </w:rPr>
            </w:pPr>
            <w:r>
              <w:rPr>
                <w:color w:val="000000"/>
                <w:sz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w:t>
            </w:r>
          </w:p>
        </w:tc>
        <w:tc>
          <w:tcPr>
            <w:tcW w:w="3398" w:type="dxa"/>
            <w:vAlign w:val="center"/>
          </w:tcPr>
          <w:p>
            <w:pPr>
              <w:jc w:val="center"/>
              <w:rPr>
                <w:color w:val="000000"/>
                <w:sz w:val="21"/>
              </w:rPr>
            </w:pPr>
            <w:r>
              <w:rPr>
                <w:color w:val="000000"/>
                <w:sz w:val="21"/>
              </w:rPr>
              <w:t>镉</w:t>
            </w:r>
          </w:p>
        </w:tc>
        <w:tc>
          <w:tcPr>
            <w:tcW w:w="3762" w:type="dxa"/>
            <w:vAlign w:val="center"/>
          </w:tcPr>
          <w:p>
            <w:pPr>
              <w:widowControl/>
              <w:jc w:val="center"/>
              <w:rPr>
                <w:color w:val="000000"/>
                <w:kern w:val="0"/>
                <w:sz w:val="21"/>
              </w:rPr>
            </w:pPr>
            <w:r>
              <w:rPr>
                <w:color w:val="000000"/>
                <w:kern w:val="0"/>
                <w:sz w:val="21"/>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w:t>
            </w:r>
          </w:p>
        </w:tc>
        <w:tc>
          <w:tcPr>
            <w:tcW w:w="3398" w:type="dxa"/>
            <w:vAlign w:val="center"/>
          </w:tcPr>
          <w:p>
            <w:pPr>
              <w:jc w:val="center"/>
              <w:rPr>
                <w:color w:val="000000"/>
                <w:sz w:val="21"/>
              </w:rPr>
            </w:pPr>
            <w:r>
              <w:rPr>
                <w:color w:val="000000"/>
                <w:sz w:val="21"/>
              </w:rPr>
              <w:t>铬（六价）</w:t>
            </w:r>
          </w:p>
        </w:tc>
        <w:tc>
          <w:tcPr>
            <w:tcW w:w="3762" w:type="dxa"/>
            <w:vAlign w:val="center"/>
          </w:tcPr>
          <w:p>
            <w:pPr>
              <w:widowControl/>
              <w:jc w:val="center"/>
              <w:rPr>
                <w:color w:val="000000"/>
                <w:kern w:val="0"/>
                <w:sz w:val="21"/>
              </w:rPr>
            </w:pPr>
            <w:r>
              <w:rPr>
                <w:color w:val="000000"/>
                <w:kern w:val="0"/>
                <w:sz w:val="21"/>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w:t>
            </w:r>
          </w:p>
        </w:tc>
        <w:tc>
          <w:tcPr>
            <w:tcW w:w="3398" w:type="dxa"/>
            <w:vAlign w:val="center"/>
          </w:tcPr>
          <w:p>
            <w:pPr>
              <w:jc w:val="center"/>
              <w:rPr>
                <w:color w:val="000000"/>
                <w:sz w:val="21"/>
              </w:rPr>
            </w:pPr>
            <w:r>
              <w:rPr>
                <w:color w:val="000000"/>
                <w:sz w:val="21"/>
              </w:rPr>
              <w:t>铜</w:t>
            </w:r>
          </w:p>
        </w:tc>
        <w:tc>
          <w:tcPr>
            <w:tcW w:w="3762" w:type="dxa"/>
            <w:vAlign w:val="center"/>
          </w:tcPr>
          <w:p>
            <w:pPr>
              <w:jc w:val="center"/>
              <w:rPr>
                <w:color w:val="000000"/>
                <w:sz w:val="21"/>
              </w:rPr>
            </w:pPr>
            <w:r>
              <w:rPr>
                <w:color w:val="000000"/>
                <w:sz w:val="21"/>
              </w:rPr>
              <w:t>18000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jc w:val="center"/>
              <w:rPr>
                <w:color w:val="000000"/>
                <w:kern w:val="0"/>
                <w:sz w:val="21"/>
              </w:rPr>
            </w:pPr>
            <w:r>
              <w:rPr>
                <w:color w:val="000000"/>
                <w:kern w:val="0"/>
                <w:sz w:val="21"/>
              </w:rPr>
              <w:t>5</w:t>
            </w:r>
          </w:p>
        </w:tc>
        <w:tc>
          <w:tcPr>
            <w:tcW w:w="3398" w:type="dxa"/>
            <w:vAlign w:val="center"/>
          </w:tcPr>
          <w:p>
            <w:pPr>
              <w:jc w:val="center"/>
              <w:rPr>
                <w:color w:val="000000"/>
                <w:sz w:val="21"/>
              </w:rPr>
            </w:pPr>
            <w:r>
              <w:rPr>
                <w:color w:val="000000"/>
                <w:sz w:val="21"/>
              </w:rPr>
              <w:t>铅</w:t>
            </w:r>
          </w:p>
        </w:tc>
        <w:tc>
          <w:tcPr>
            <w:tcW w:w="3762" w:type="dxa"/>
            <w:vAlign w:val="center"/>
          </w:tcPr>
          <w:p>
            <w:pPr>
              <w:widowControl/>
              <w:jc w:val="center"/>
              <w:rPr>
                <w:color w:val="000000"/>
                <w:kern w:val="0"/>
                <w:sz w:val="21"/>
              </w:rPr>
            </w:pPr>
            <w:r>
              <w:rPr>
                <w:color w:val="000000"/>
                <w:kern w:val="0"/>
                <w:sz w:val="21"/>
              </w:rPr>
              <w:t>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6</w:t>
            </w:r>
          </w:p>
        </w:tc>
        <w:tc>
          <w:tcPr>
            <w:tcW w:w="3398" w:type="dxa"/>
            <w:vAlign w:val="center"/>
          </w:tcPr>
          <w:p>
            <w:pPr>
              <w:jc w:val="center"/>
              <w:rPr>
                <w:color w:val="000000"/>
                <w:sz w:val="21"/>
              </w:rPr>
            </w:pPr>
            <w:r>
              <w:rPr>
                <w:color w:val="000000"/>
                <w:sz w:val="21"/>
              </w:rPr>
              <w:t>汞</w:t>
            </w:r>
          </w:p>
        </w:tc>
        <w:tc>
          <w:tcPr>
            <w:tcW w:w="3762" w:type="dxa"/>
            <w:vAlign w:val="center"/>
          </w:tcPr>
          <w:p>
            <w:pPr>
              <w:widowControl/>
              <w:jc w:val="center"/>
              <w:rPr>
                <w:color w:val="000000"/>
                <w:kern w:val="0"/>
                <w:sz w:val="21"/>
              </w:rPr>
            </w:pPr>
            <w:r>
              <w:rPr>
                <w:color w:val="000000"/>
                <w:kern w:val="0"/>
                <w:sz w:val="21"/>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7</w:t>
            </w:r>
          </w:p>
        </w:tc>
        <w:tc>
          <w:tcPr>
            <w:tcW w:w="3398" w:type="dxa"/>
            <w:vAlign w:val="center"/>
          </w:tcPr>
          <w:p>
            <w:pPr>
              <w:jc w:val="center"/>
              <w:rPr>
                <w:color w:val="000000"/>
                <w:sz w:val="21"/>
              </w:rPr>
            </w:pPr>
            <w:r>
              <w:rPr>
                <w:color w:val="000000"/>
                <w:sz w:val="21"/>
              </w:rPr>
              <w:t>镍</w:t>
            </w:r>
          </w:p>
        </w:tc>
        <w:tc>
          <w:tcPr>
            <w:tcW w:w="3762" w:type="dxa"/>
            <w:vAlign w:val="center"/>
          </w:tcPr>
          <w:p>
            <w:pPr>
              <w:widowControl/>
              <w:jc w:val="center"/>
              <w:rPr>
                <w:color w:val="000000"/>
                <w:kern w:val="0"/>
                <w:sz w:val="21"/>
              </w:rPr>
            </w:pPr>
            <w:r>
              <w:rPr>
                <w:color w:val="000000"/>
                <w:kern w:val="0"/>
                <w:sz w:val="21"/>
              </w:rPr>
              <w:t>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8</w:t>
            </w:r>
          </w:p>
        </w:tc>
        <w:tc>
          <w:tcPr>
            <w:tcW w:w="3398" w:type="dxa"/>
            <w:vAlign w:val="center"/>
          </w:tcPr>
          <w:p>
            <w:pPr>
              <w:jc w:val="center"/>
              <w:rPr>
                <w:color w:val="000000"/>
                <w:sz w:val="21"/>
              </w:rPr>
            </w:pPr>
            <w:r>
              <w:rPr>
                <w:color w:val="000000"/>
                <w:sz w:val="21"/>
              </w:rPr>
              <w:t>四氯化碳</w:t>
            </w:r>
          </w:p>
        </w:tc>
        <w:tc>
          <w:tcPr>
            <w:tcW w:w="3762" w:type="dxa"/>
            <w:vAlign w:val="center"/>
          </w:tcPr>
          <w:p>
            <w:pPr>
              <w:widowControl/>
              <w:jc w:val="center"/>
              <w:rPr>
                <w:color w:val="000000"/>
                <w:kern w:val="0"/>
                <w:sz w:val="21"/>
              </w:rPr>
            </w:pPr>
            <w:r>
              <w:rPr>
                <w:color w:val="000000"/>
                <w:kern w:val="0"/>
                <w:sz w:val="21"/>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9</w:t>
            </w:r>
          </w:p>
        </w:tc>
        <w:tc>
          <w:tcPr>
            <w:tcW w:w="3398" w:type="dxa"/>
            <w:vAlign w:val="center"/>
          </w:tcPr>
          <w:p>
            <w:pPr>
              <w:jc w:val="center"/>
              <w:rPr>
                <w:color w:val="000000"/>
                <w:sz w:val="21"/>
              </w:rPr>
            </w:pPr>
            <w:r>
              <w:rPr>
                <w:color w:val="000000"/>
                <w:sz w:val="21"/>
              </w:rPr>
              <w:t>氯仿</w:t>
            </w:r>
          </w:p>
        </w:tc>
        <w:tc>
          <w:tcPr>
            <w:tcW w:w="3762" w:type="dxa"/>
            <w:vAlign w:val="center"/>
          </w:tcPr>
          <w:p>
            <w:pPr>
              <w:widowControl/>
              <w:jc w:val="center"/>
              <w:rPr>
                <w:color w:val="000000"/>
                <w:kern w:val="0"/>
                <w:sz w:val="21"/>
              </w:rPr>
            </w:pPr>
            <w:r>
              <w:rPr>
                <w:color w:val="000000"/>
                <w:kern w:val="0"/>
                <w:sz w:val="21"/>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10</w:t>
            </w:r>
          </w:p>
        </w:tc>
        <w:tc>
          <w:tcPr>
            <w:tcW w:w="3398" w:type="dxa"/>
            <w:vAlign w:val="center"/>
          </w:tcPr>
          <w:p>
            <w:pPr>
              <w:jc w:val="center"/>
              <w:rPr>
                <w:color w:val="000000"/>
                <w:sz w:val="21"/>
              </w:rPr>
            </w:pPr>
            <w:r>
              <w:rPr>
                <w:color w:val="000000"/>
                <w:sz w:val="21"/>
              </w:rPr>
              <w:t>氯甲烷</w:t>
            </w:r>
          </w:p>
        </w:tc>
        <w:tc>
          <w:tcPr>
            <w:tcW w:w="3762" w:type="dxa"/>
            <w:vAlign w:val="center"/>
          </w:tcPr>
          <w:p>
            <w:pPr>
              <w:widowControl/>
              <w:jc w:val="center"/>
              <w:rPr>
                <w:color w:val="000000"/>
                <w:kern w:val="0"/>
                <w:sz w:val="21"/>
              </w:rPr>
            </w:pPr>
            <w:r>
              <w:rPr>
                <w:color w:val="000000"/>
                <w:kern w:val="0"/>
                <w:sz w:val="21"/>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11</w:t>
            </w:r>
          </w:p>
        </w:tc>
        <w:tc>
          <w:tcPr>
            <w:tcW w:w="3398" w:type="dxa"/>
            <w:vAlign w:val="center"/>
          </w:tcPr>
          <w:p>
            <w:pPr>
              <w:jc w:val="center"/>
              <w:rPr>
                <w:color w:val="000000"/>
                <w:sz w:val="21"/>
              </w:rPr>
            </w:pPr>
            <w:r>
              <w:rPr>
                <w:color w:val="000000"/>
                <w:sz w:val="21"/>
              </w:rPr>
              <w:t>1,1-</w:t>
            </w:r>
            <w:r>
              <w:rPr>
                <w:rFonts w:hAnsi="宋体"/>
                <w:color w:val="000000"/>
                <w:sz w:val="21"/>
              </w:rPr>
              <w:t>二氯乙烷</w:t>
            </w:r>
          </w:p>
        </w:tc>
        <w:tc>
          <w:tcPr>
            <w:tcW w:w="3762" w:type="dxa"/>
            <w:vAlign w:val="center"/>
          </w:tcPr>
          <w:p>
            <w:pPr>
              <w:widowControl/>
              <w:jc w:val="center"/>
              <w:rPr>
                <w:color w:val="000000"/>
                <w:kern w:val="0"/>
                <w:sz w:val="21"/>
              </w:rPr>
            </w:pPr>
            <w:r>
              <w:rPr>
                <w:color w:val="000000"/>
                <w:kern w:val="0"/>
                <w:sz w:val="21"/>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12</w:t>
            </w:r>
          </w:p>
        </w:tc>
        <w:tc>
          <w:tcPr>
            <w:tcW w:w="3398" w:type="dxa"/>
            <w:vAlign w:val="center"/>
          </w:tcPr>
          <w:p>
            <w:pPr>
              <w:jc w:val="center"/>
              <w:rPr>
                <w:color w:val="000000"/>
                <w:sz w:val="21"/>
              </w:rPr>
            </w:pPr>
            <w:r>
              <w:rPr>
                <w:color w:val="000000"/>
                <w:sz w:val="21"/>
              </w:rPr>
              <w:t>1,2-</w:t>
            </w:r>
            <w:r>
              <w:rPr>
                <w:rFonts w:hAnsi="宋体"/>
                <w:color w:val="000000"/>
                <w:sz w:val="21"/>
              </w:rPr>
              <w:t>二氯乙烷</w:t>
            </w:r>
          </w:p>
        </w:tc>
        <w:tc>
          <w:tcPr>
            <w:tcW w:w="3762" w:type="dxa"/>
            <w:vAlign w:val="center"/>
          </w:tcPr>
          <w:p>
            <w:pPr>
              <w:widowControl/>
              <w:jc w:val="center"/>
              <w:rPr>
                <w:color w:val="000000"/>
                <w:kern w:val="0"/>
                <w:sz w:val="21"/>
              </w:rPr>
            </w:pPr>
            <w:r>
              <w:rPr>
                <w:color w:val="000000"/>
                <w:kern w:val="0"/>
                <w:sz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13</w:t>
            </w:r>
          </w:p>
        </w:tc>
        <w:tc>
          <w:tcPr>
            <w:tcW w:w="3398" w:type="dxa"/>
            <w:vAlign w:val="center"/>
          </w:tcPr>
          <w:p>
            <w:pPr>
              <w:jc w:val="center"/>
              <w:rPr>
                <w:color w:val="000000"/>
                <w:sz w:val="21"/>
              </w:rPr>
            </w:pPr>
            <w:r>
              <w:rPr>
                <w:color w:val="000000"/>
                <w:sz w:val="21"/>
              </w:rPr>
              <w:t>1,1-</w:t>
            </w:r>
            <w:r>
              <w:rPr>
                <w:rFonts w:hAnsi="宋体"/>
                <w:color w:val="000000"/>
                <w:sz w:val="21"/>
              </w:rPr>
              <w:t>二氯乙烯</w:t>
            </w:r>
          </w:p>
        </w:tc>
        <w:tc>
          <w:tcPr>
            <w:tcW w:w="3762" w:type="dxa"/>
            <w:vAlign w:val="center"/>
          </w:tcPr>
          <w:p>
            <w:pPr>
              <w:widowControl/>
              <w:jc w:val="center"/>
              <w:rPr>
                <w:color w:val="000000"/>
                <w:kern w:val="0"/>
                <w:sz w:val="21"/>
              </w:rPr>
            </w:pPr>
            <w:r>
              <w:rPr>
                <w:color w:val="000000"/>
                <w:kern w:val="0"/>
                <w:sz w:val="21"/>
              </w:rPr>
              <w:t>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14</w:t>
            </w:r>
          </w:p>
        </w:tc>
        <w:tc>
          <w:tcPr>
            <w:tcW w:w="3398" w:type="dxa"/>
            <w:vAlign w:val="center"/>
          </w:tcPr>
          <w:p>
            <w:pPr>
              <w:jc w:val="center"/>
              <w:rPr>
                <w:color w:val="000000"/>
                <w:sz w:val="21"/>
              </w:rPr>
            </w:pPr>
            <w:r>
              <w:rPr>
                <w:color w:val="000000"/>
                <w:sz w:val="21"/>
              </w:rPr>
              <w:t>顺1,2-</w:t>
            </w:r>
            <w:r>
              <w:rPr>
                <w:rFonts w:hAnsi="宋体"/>
                <w:color w:val="000000"/>
                <w:sz w:val="21"/>
              </w:rPr>
              <w:t>二氯乙烯</w:t>
            </w:r>
          </w:p>
        </w:tc>
        <w:tc>
          <w:tcPr>
            <w:tcW w:w="3762" w:type="dxa"/>
            <w:vAlign w:val="center"/>
          </w:tcPr>
          <w:p>
            <w:pPr>
              <w:widowControl/>
              <w:jc w:val="center"/>
              <w:rPr>
                <w:color w:val="000000"/>
                <w:kern w:val="0"/>
                <w:sz w:val="21"/>
              </w:rPr>
            </w:pPr>
            <w:r>
              <w:rPr>
                <w:color w:val="000000"/>
                <w:kern w:val="0"/>
                <w:sz w:val="21"/>
              </w:rPr>
              <w:t>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15</w:t>
            </w:r>
          </w:p>
        </w:tc>
        <w:tc>
          <w:tcPr>
            <w:tcW w:w="3398" w:type="dxa"/>
            <w:vAlign w:val="center"/>
          </w:tcPr>
          <w:p>
            <w:pPr>
              <w:jc w:val="center"/>
              <w:rPr>
                <w:color w:val="000000"/>
                <w:sz w:val="21"/>
              </w:rPr>
            </w:pPr>
            <w:r>
              <w:rPr>
                <w:color w:val="000000"/>
                <w:sz w:val="21"/>
              </w:rPr>
              <w:t>反1,2-</w:t>
            </w:r>
            <w:r>
              <w:rPr>
                <w:rFonts w:hAnsi="宋体"/>
                <w:color w:val="000000"/>
                <w:sz w:val="21"/>
              </w:rPr>
              <w:t>二氯乙烯</w:t>
            </w:r>
          </w:p>
        </w:tc>
        <w:tc>
          <w:tcPr>
            <w:tcW w:w="3762" w:type="dxa"/>
            <w:vAlign w:val="center"/>
          </w:tcPr>
          <w:p>
            <w:pPr>
              <w:widowControl/>
              <w:jc w:val="center"/>
              <w:rPr>
                <w:color w:val="000000"/>
                <w:kern w:val="0"/>
                <w:sz w:val="21"/>
              </w:rPr>
            </w:pPr>
            <w:r>
              <w:rPr>
                <w:color w:val="000000"/>
                <w:kern w:val="0"/>
                <w:sz w:val="21"/>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16</w:t>
            </w:r>
          </w:p>
        </w:tc>
        <w:tc>
          <w:tcPr>
            <w:tcW w:w="3398" w:type="dxa"/>
            <w:vAlign w:val="center"/>
          </w:tcPr>
          <w:p>
            <w:pPr>
              <w:jc w:val="center"/>
              <w:rPr>
                <w:color w:val="000000"/>
                <w:sz w:val="21"/>
              </w:rPr>
            </w:pPr>
            <w:r>
              <w:rPr>
                <w:color w:val="000000"/>
                <w:sz w:val="21"/>
              </w:rPr>
              <w:t>二氯</w:t>
            </w:r>
            <w:r>
              <w:rPr>
                <w:rFonts w:hint="eastAsia"/>
                <w:color w:val="000000"/>
                <w:sz w:val="21"/>
              </w:rPr>
              <w:t>甲</w:t>
            </w:r>
            <w:r>
              <w:rPr>
                <w:color w:val="000000"/>
                <w:sz w:val="21"/>
              </w:rPr>
              <w:t>烷</w:t>
            </w:r>
          </w:p>
        </w:tc>
        <w:tc>
          <w:tcPr>
            <w:tcW w:w="3762" w:type="dxa"/>
            <w:vAlign w:val="center"/>
          </w:tcPr>
          <w:p>
            <w:pPr>
              <w:widowControl/>
              <w:jc w:val="center"/>
              <w:rPr>
                <w:color w:val="000000"/>
                <w:kern w:val="0"/>
                <w:sz w:val="21"/>
              </w:rPr>
            </w:pPr>
            <w:r>
              <w:rPr>
                <w:color w:val="000000"/>
                <w:kern w:val="0"/>
                <w:sz w:val="21"/>
              </w:rPr>
              <w:t>616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17</w:t>
            </w:r>
          </w:p>
        </w:tc>
        <w:tc>
          <w:tcPr>
            <w:tcW w:w="3398" w:type="dxa"/>
            <w:vAlign w:val="center"/>
          </w:tcPr>
          <w:p>
            <w:pPr>
              <w:jc w:val="center"/>
              <w:rPr>
                <w:color w:val="000000"/>
                <w:sz w:val="21"/>
              </w:rPr>
            </w:pPr>
            <w:r>
              <w:rPr>
                <w:color w:val="000000"/>
                <w:sz w:val="21"/>
              </w:rPr>
              <w:t>1,2-</w:t>
            </w:r>
            <w:r>
              <w:rPr>
                <w:rFonts w:hAnsi="宋体"/>
                <w:color w:val="000000"/>
                <w:sz w:val="21"/>
              </w:rPr>
              <w:t>二氯丙烷</w:t>
            </w:r>
          </w:p>
        </w:tc>
        <w:tc>
          <w:tcPr>
            <w:tcW w:w="3762" w:type="dxa"/>
            <w:vAlign w:val="center"/>
          </w:tcPr>
          <w:p>
            <w:pPr>
              <w:widowControl/>
              <w:jc w:val="center"/>
              <w:rPr>
                <w:color w:val="000000"/>
                <w:kern w:val="0"/>
                <w:sz w:val="21"/>
              </w:rPr>
            </w:pPr>
            <w:r>
              <w:rPr>
                <w:color w:val="000000"/>
                <w:kern w:val="0"/>
                <w:sz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18</w:t>
            </w:r>
          </w:p>
        </w:tc>
        <w:tc>
          <w:tcPr>
            <w:tcW w:w="3398" w:type="dxa"/>
            <w:vAlign w:val="center"/>
          </w:tcPr>
          <w:p>
            <w:pPr>
              <w:jc w:val="center"/>
              <w:rPr>
                <w:color w:val="000000"/>
                <w:sz w:val="21"/>
              </w:rPr>
            </w:pPr>
            <w:r>
              <w:rPr>
                <w:color w:val="000000"/>
                <w:sz w:val="21"/>
              </w:rPr>
              <w:t>1,1,1,2-</w:t>
            </w:r>
            <w:r>
              <w:rPr>
                <w:rFonts w:hAnsi="宋体"/>
                <w:color w:val="000000"/>
                <w:sz w:val="21"/>
              </w:rPr>
              <w:t>四氯乙烷</w:t>
            </w:r>
          </w:p>
        </w:tc>
        <w:tc>
          <w:tcPr>
            <w:tcW w:w="3762" w:type="dxa"/>
            <w:vAlign w:val="center"/>
          </w:tcPr>
          <w:p>
            <w:pPr>
              <w:widowControl/>
              <w:jc w:val="center"/>
              <w:rPr>
                <w:color w:val="000000"/>
                <w:kern w:val="0"/>
                <w:sz w:val="21"/>
              </w:rPr>
            </w:pPr>
            <w:r>
              <w:rPr>
                <w:color w:val="000000"/>
                <w:kern w:val="0"/>
                <w:sz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19</w:t>
            </w:r>
          </w:p>
        </w:tc>
        <w:tc>
          <w:tcPr>
            <w:tcW w:w="3398" w:type="dxa"/>
            <w:vAlign w:val="center"/>
          </w:tcPr>
          <w:p>
            <w:pPr>
              <w:jc w:val="center"/>
              <w:rPr>
                <w:color w:val="000000"/>
                <w:sz w:val="21"/>
              </w:rPr>
            </w:pPr>
            <w:r>
              <w:rPr>
                <w:color w:val="000000"/>
                <w:sz w:val="21"/>
              </w:rPr>
              <w:t>1,1,2,2-</w:t>
            </w:r>
            <w:r>
              <w:rPr>
                <w:rFonts w:hAnsi="宋体"/>
                <w:color w:val="000000"/>
                <w:sz w:val="21"/>
              </w:rPr>
              <w:t>四氯乙烷</w:t>
            </w:r>
          </w:p>
        </w:tc>
        <w:tc>
          <w:tcPr>
            <w:tcW w:w="3762" w:type="dxa"/>
            <w:vAlign w:val="center"/>
          </w:tcPr>
          <w:p>
            <w:pPr>
              <w:widowControl/>
              <w:jc w:val="center"/>
              <w:rPr>
                <w:color w:val="000000"/>
                <w:kern w:val="0"/>
                <w:sz w:val="21"/>
              </w:rPr>
            </w:pPr>
            <w:r>
              <w:rPr>
                <w:color w:val="000000"/>
                <w:kern w:val="0"/>
                <w:sz w:val="21"/>
              </w:rPr>
              <w:t>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20</w:t>
            </w:r>
          </w:p>
        </w:tc>
        <w:tc>
          <w:tcPr>
            <w:tcW w:w="3398" w:type="dxa"/>
            <w:vAlign w:val="center"/>
          </w:tcPr>
          <w:p>
            <w:pPr>
              <w:jc w:val="center"/>
              <w:rPr>
                <w:color w:val="000000"/>
                <w:sz w:val="21"/>
              </w:rPr>
            </w:pPr>
            <w:r>
              <w:rPr>
                <w:color w:val="000000"/>
                <w:sz w:val="21"/>
              </w:rPr>
              <w:t>四氯乙烯</w:t>
            </w:r>
          </w:p>
        </w:tc>
        <w:tc>
          <w:tcPr>
            <w:tcW w:w="3762" w:type="dxa"/>
            <w:vAlign w:val="center"/>
          </w:tcPr>
          <w:p>
            <w:pPr>
              <w:widowControl/>
              <w:jc w:val="center"/>
              <w:rPr>
                <w:color w:val="000000"/>
                <w:kern w:val="0"/>
                <w:sz w:val="21"/>
              </w:rPr>
            </w:pPr>
            <w:r>
              <w:rPr>
                <w:color w:val="000000"/>
                <w:kern w:val="0"/>
                <w:sz w:val="21"/>
              </w:rPr>
              <w:t>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21</w:t>
            </w:r>
          </w:p>
        </w:tc>
        <w:tc>
          <w:tcPr>
            <w:tcW w:w="3398" w:type="dxa"/>
            <w:vAlign w:val="center"/>
          </w:tcPr>
          <w:p>
            <w:pPr>
              <w:jc w:val="center"/>
              <w:rPr>
                <w:color w:val="000000"/>
                <w:sz w:val="21"/>
              </w:rPr>
            </w:pPr>
            <w:r>
              <w:rPr>
                <w:color w:val="000000"/>
                <w:sz w:val="21"/>
              </w:rPr>
              <w:t>1,1,1-</w:t>
            </w:r>
            <w:r>
              <w:rPr>
                <w:rFonts w:hAnsi="宋体"/>
                <w:color w:val="000000"/>
                <w:sz w:val="21"/>
              </w:rPr>
              <w:t>三氯乙烷</w:t>
            </w:r>
          </w:p>
        </w:tc>
        <w:tc>
          <w:tcPr>
            <w:tcW w:w="3762" w:type="dxa"/>
            <w:vAlign w:val="center"/>
          </w:tcPr>
          <w:p>
            <w:pPr>
              <w:widowControl/>
              <w:jc w:val="center"/>
              <w:rPr>
                <w:color w:val="000000"/>
                <w:kern w:val="0"/>
                <w:sz w:val="21"/>
              </w:rPr>
            </w:pPr>
            <w:r>
              <w:rPr>
                <w:color w:val="000000"/>
                <w:kern w:val="0"/>
                <w:sz w:val="21"/>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22</w:t>
            </w:r>
          </w:p>
        </w:tc>
        <w:tc>
          <w:tcPr>
            <w:tcW w:w="3398" w:type="dxa"/>
            <w:vAlign w:val="center"/>
          </w:tcPr>
          <w:p>
            <w:pPr>
              <w:jc w:val="center"/>
              <w:rPr>
                <w:color w:val="000000"/>
                <w:sz w:val="21"/>
              </w:rPr>
            </w:pPr>
            <w:r>
              <w:rPr>
                <w:color w:val="000000"/>
                <w:sz w:val="21"/>
              </w:rPr>
              <w:t>1,1,2-</w:t>
            </w:r>
            <w:r>
              <w:rPr>
                <w:rFonts w:hAnsi="宋体"/>
                <w:color w:val="000000"/>
                <w:sz w:val="21"/>
              </w:rPr>
              <w:t>三氯乙烷</w:t>
            </w:r>
          </w:p>
        </w:tc>
        <w:tc>
          <w:tcPr>
            <w:tcW w:w="3762" w:type="dxa"/>
            <w:vAlign w:val="center"/>
          </w:tcPr>
          <w:p>
            <w:pPr>
              <w:widowControl/>
              <w:jc w:val="center"/>
              <w:rPr>
                <w:color w:val="000000"/>
                <w:kern w:val="0"/>
                <w:sz w:val="21"/>
              </w:rPr>
            </w:pPr>
            <w:r>
              <w:rPr>
                <w:color w:val="000000"/>
                <w:kern w:val="0"/>
                <w:sz w:val="21"/>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23</w:t>
            </w:r>
          </w:p>
        </w:tc>
        <w:tc>
          <w:tcPr>
            <w:tcW w:w="3398" w:type="dxa"/>
            <w:vAlign w:val="center"/>
          </w:tcPr>
          <w:p>
            <w:pPr>
              <w:jc w:val="center"/>
              <w:rPr>
                <w:color w:val="000000"/>
                <w:sz w:val="21"/>
              </w:rPr>
            </w:pPr>
            <w:r>
              <w:rPr>
                <w:color w:val="000000"/>
                <w:sz w:val="21"/>
              </w:rPr>
              <w:t>三氯乙烯</w:t>
            </w:r>
          </w:p>
        </w:tc>
        <w:tc>
          <w:tcPr>
            <w:tcW w:w="3762" w:type="dxa"/>
            <w:vAlign w:val="center"/>
          </w:tcPr>
          <w:p>
            <w:pPr>
              <w:widowControl/>
              <w:jc w:val="center"/>
              <w:rPr>
                <w:color w:val="000000"/>
                <w:kern w:val="0"/>
                <w:sz w:val="21"/>
              </w:rPr>
            </w:pPr>
            <w:r>
              <w:rPr>
                <w:color w:val="000000"/>
                <w:kern w:val="0"/>
                <w:sz w:val="21"/>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24</w:t>
            </w:r>
          </w:p>
        </w:tc>
        <w:tc>
          <w:tcPr>
            <w:tcW w:w="3398" w:type="dxa"/>
            <w:vAlign w:val="center"/>
          </w:tcPr>
          <w:p>
            <w:pPr>
              <w:jc w:val="center"/>
              <w:rPr>
                <w:color w:val="000000"/>
                <w:sz w:val="21"/>
              </w:rPr>
            </w:pPr>
            <w:r>
              <w:rPr>
                <w:color w:val="000000"/>
                <w:sz w:val="21"/>
              </w:rPr>
              <w:t>1,2,3-</w:t>
            </w:r>
            <w:r>
              <w:rPr>
                <w:rFonts w:hAnsi="宋体"/>
                <w:color w:val="000000"/>
                <w:sz w:val="21"/>
              </w:rPr>
              <w:t>三氯丙烷</w:t>
            </w:r>
          </w:p>
        </w:tc>
        <w:tc>
          <w:tcPr>
            <w:tcW w:w="3762" w:type="dxa"/>
            <w:vAlign w:val="center"/>
          </w:tcPr>
          <w:p>
            <w:pPr>
              <w:widowControl/>
              <w:jc w:val="center"/>
              <w:rPr>
                <w:color w:val="000000"/>
                <w:kern w:val="0"/>
                <w:sz w:val="21"/>
              </w:rPr>
            </w:pPr>
            <w:r>
              <w:rPr>
                <w:color w:val="000000"/>
                <w:kern w:val="0"/>
                <w:sz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25</w:t>
            </w:r>
          </w:p>
        </w:tc>
        <w:tc>
          <w:tcPr>
            <w:tcW w:w="3398" w:type="dxa"/>
            <w:vAlign w:val="center"/>
          </w:tcPr>
          <w:p>
            <w:pPr>
              <w:jc w:val="center"/>
              <w:rPr>
                <w:color w:val="000000"/>
                <w:sz w:val="21"/>
              </w:rPr>
            </w:pPr>
            <w:r>
              <w:rPr>
                <w:color w:val="000000"/>
                <w:sz w:val="21"/>
              </w:rPr>
              <w:t>氯乙烯</w:t>
            </w:r>
          </w:p>
        </w:tc>
        <w:tc>
          <w:tcPr>
            <w:tcW w:w="3762" w:type="dxa"/>
            <w:vAlign w:val="center"/>
          </w:tcPr>
          <w:p>
            <w:pPr>
              <w:widowControl/>
              <w:jc w:val="center"/>
              <w:rPr>
                <w:color w:val="000000"/>
                <w:kern w:val="0"/>
                <w:sz w:val="21"/>
              </w:rPr>
            </w:pPr>
            <w:r>
              <w:rPr>
                <w:color w:val="000000"/>
                <w:kern w:val="0"/>
                <w:sz w:val="21"/>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26</w:t>
            </w:r>
          </w:p>
        </w:tc>
        <w:tc>
          <w:tcPr>
            <w:tcW w:w="3398" w:type="dxa"/>
            <w:vAlign w:val="center"/>
          </w:tcPr>
          <w:p>
            <w:pPr>
              <w:jc w:val="center"/>
              <w:rPr>
                <w:color w:val="000000"/>
                <w:sz w:val="21"/>
              </w:rPr>
            </w:pPr>
            <w:r>
              <w:rPr>
                <w:color w:val="000000"/>
                <w:sz w:val="21"/>
              </w:rPr>
              <w:t>苯</w:t>
            </w:r>
          </w:p>
        </w:tc>
        <w:tc>
          <w:tcPr>
            <w:tcW w:w="3762" w:type="dxa"/>
            <w:vAlign w:val="center"/>
          </w:tcPr>
          <w:p>
            <w:pPr>
              <w:widowControl/>
              <w:jc w:val="center"/>
              <w:rPr>
                <w:color w:val="000000"/>
                <w:kern w:val="0"/>
                <w:sz w:val="21"/>
              </w:rPr>
            </w:pPr>
            <w:r>
              <w:rPr>
                <w:color w:val="000000"/>
                <w:kern w:val="0"/>
                <w:sz w:val="21"/>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27</w:t>
            </w:r>
          </w:p>
        </w:tc>
        <w:tc>
          <w:tcPr>
            <w:tcW w:w="3398" w:type="dxa"/>
            <w:vAlign w:val="center"/>
          </w:tcPr>
          <w:p>
            <w:pPr>
              <w:jc w:val="center"/>
              <w:rPr>
                <w:color w:val="000000"/>
                <w:sz w:val="21"/>
              </w:rPr>
            </w:pPr>
            <w:r>
              <w:rPr>
                <w:color w:val="000000"/>
                <w:sz w:val="21"/>
              </w:rPr>
              <w:t>氯苯</w:t>
            </w:r>
          </w:p>
        </w:tc>
        <w:tc>
          <w:tcPr>
            <w:tcW w:w="3762" w:type="dxa"/>
            <w:vAlign w:val="center"/>
          </w:tcPr>
          <w:p>
            <w:pPr>
              <w:widowControl/>
              <w:jc w:val="center"/>
              <w:rPr>
                <w:color w:val="000000"/>
                <w:kern w:val="0"/>
                <w:sz w:val="21"/>
              </w:rPr>
            </w:pPr>
            <w:r>
              <w:rPr>
                <w:color w:val="000000"/>
                <w:kern w:val="0"/>
                <w:sz w:val="21"/>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28</w:t>
            </w:r>
          </w:p>
        </w:tc>
        <w:tc>
          <w:tcPr>
            <w:tcW w:w="3398" w:type="dxa"/>
            <w:vAlign w:val="center"/>
          </w:tcPr>
          <w:p>
            <w:pPr>
              <w:jc w:val="center"/>
              <w:rPr>
                <w:color w:val="000000"/>
                <w:sz w:val="21"/>
              </w:rPr>
            </w:pPr>
            <w:r>
              <w:rPr>
                <w:color w:val="000000"/>
                <w:sz w:val="21"/>
              </w:rPr>
              <w:t>1,2-</w:t>
            </w:r>
            <w:r>
              <w:rPr>
                <w:rFonts w:hAnsi="宋体"/>
                <w:color w:val="000000"/>
                <w:sz w:val="21"/>
              </w:rPr>
              <w:t>二氯苯</w:t>
            </w:r>
          </w:p>
        </w:tc>
        <w:tc>
          <w:tcPr>
            <w:tcW w:w="3762" w:type="dxa"/>
            <w:vAlign w:val="center"/>
          </w:tcPr>
          <w:p>
            <w:pPr>
              <w:widowControl/>
              <w:jc w:val="center"/>
              <w:rPr>
                <w:color w:val="000000"/>
                <w:kern w:val="0"/>
                <w:sz w:val="21"/>
              </w:rPr>
            </w:pPr>
            <w:r>
              <w:rPr>
                <w:color w:val="000000"/>
                <w:kern w:val="0"/>
                <w:sz w:val="21"/>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29</w:t>
            </w:r>
          </w:p>
        </w:tc>
        <w:tc>
          <w:tcPr>
            <w:tcW w:w="3398" w:type="dxa"/>
            <w:vAlign w:val="center"/>
          </w:tcPr>
          <w:p>
            <w:pPr>
              <w:jc w:val="center"/>
              <w:rPr>
                <w:color w:val="000000"/>
                <w:sz w:val="21"/>
              </w:rPr>
            </w:pPr>
            <w:r>
              <w:rPr>
                <w:color w:val="000000"/>
                <w:sz w:val="21"/>
              </w:rPr>
              <w:t>1,4-</w:t>
            </w:r>
            <w:r>
              <w:rPr>
                <w:rFonts w:hAnsi="宋体"/>
                <w:color w:val="000000"/>
                <w:sz w:val="21"/>
              </w:rPr>
              <w:t>二氯苯</w:t>
            </w:r>
          </w:p>
        </w:tc>
        <w:tc>
          <w:tcPr>
            <w:tcW w:w="3762" w:type="dxa"/>
            <w:vAlign w:val="center"/>
          </w:tcPr>
          <w:p>
            <w:pPr>
              <w:widowControl/>
              <w:jc w:val="center"/>
              <w:rPr>
                <w:color w:val="000000"/>
                <w:kern w:val="0"/>
                <w:sz w:val="21"/>
              </w:rPr>
            </w:pPr>
            <w:r>
              <w:rPr>
                <w:color w:val="000000"/>
                <w:kern w:val="0"/>
                <w:sz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30</w:t>
            </w:r>
          </w:p>
        </w:tc>
        <w:tc>
          <w:tcPr>
            <w:tcW w:w="3398" w:type="dxa"/>
            <w:vAlign w:val="center"/>
          </w:tcPr>
          <w:p>
            <w:pPr>
              <w:jc w:val="center"/>
              <w:rPr>
                <w:color w:val="000000"/>
                <w:sz w:val="21"/>
              </w:rPr>
            </w:pPr>
            <w:r>
              <w:rPr>
                <w:color w:val="000000"/>
                <w:sz w:val="21"/>
              </w:rPr>
              <w:t>乙苯</w:t>
            </w:r>
          </w:p>
        </w:tc>
        <w:tc>
          <w:tcPr>
            <w:tcW w:w="3762" w:type="dxa"/>
            <w:vAlign w:val="center"/>
          </w:tcPr>
          <w:p>
            <w:pPr>
              <w:widowControl/>
              <w:jc w:val="center"/>
              <w:rPr>
                <w:color w:val="000000"/>
                <w:kern w:val="0"/>
                <w:sz w:val="21"/>
              </w:rPr>
            </w:pPr>
            <w:r>
              <w:rPr>
                <w:color w:val="000000"/>
                <w:kern w:val="0"/>
                <w:sz w:val="21"/>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31</w:t>
            </w:r>
          </w:p>
        </w:tc>
        <w:tc>
          <w:tcPr>
            <w:tcW w:w="3398" w:type="dxa"/>
            <w:vAlign w:val="center"/>
          </w:tcPr>
          <w:p>
            <w:pPr>
              <w:jc w:val="center"/>
              <w:rPr>
                <w:color w:val="000000"/>
                <w:sz w:val="21"/>
              </w:rPr>
            </w:pPr>
            <w:r>
              <w:rPr>
                <w:color w:val="000000"/>
                <w:sz w:val="21"/>
              </w:rPr>
              <w:t>苯乙烯</w:t>
            </w:r>
          </w:p>
        </w:tc>
        <w:tc>
          <w:tcPr>
            <w:tcW w:w="3762" w:type="dxa"/>
            <w:vAlign w:val="center"/>
          </w:tcPr>
          <w:p>
            <w:pPr>
              <w:widowControl/>
              <w:jc w:val="center"/>
              <w:rPr>
                <w:color w:val="000000"/>
                <w:kern w:val="0"/>
                <w:sz w:val="21"/>
              </w:rPr>
            </w:pPr>
            <w:r>
              <w:rPr>
                <w:color w:val="000000"/>
                <w:kern w:val="0"/>
                <w:sz w:val="21"/>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32</w:t>
            </w:r>
          </w:p>
        </w:tc>
        <w:tc>
          <w:tcPr>
            <w:tcW w:w="3398" w:type="dxa"/>
            <w:vAlign w:val="center"/>
          </w:tcPr>
          <w:p>
            <w:pPr>
              <w:jc w:val="center"/>
              <w:rPr>
                <w:color w:val="000000"/>
                <w:sz w:val="21"/>
              </w:rPr>
            </w:pPr>
            <w:r>
              <w:rPr>
                <w:color w:val="000000"/>
                <w:sz w:val="21"/>
              </w:rPr>
              <w:t>甲苯</w:t>
            </w:r>
          </w:p>
        </w:tc>
        <w:tc>
          <w:tcPr>
            <w:tcW w:w="3762" w:type="dxa"/>
            <w:vAlign w:val="center"/>
          </w:tcPr>
          <w:p>
            <w:pPr>
              <w:widowControl/>
              <w:jc w:val="center"/>
              <w:rPr>
                <w:color w:val="000000"/>
                <w:kern w:val="0"/>
                <w:sz w:val="21"/>
              </w:rPr>
            </w:pPr>
            <w:r>
              <w:rPr>
                <w:color w:val="000000"/>
                <w:kern w:val="0"/>
                <w:sz w:val="21"/>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33</w:t>
            </w:r>
          </w:p>
        </w:tc>
        <w:tc>
          <w:tcPr>
            <w:tcW w:w="3398" w:type="dxa"/>
            <w:vAlign w:val="center"/>
          </w:tcPr>
          <w:p>
            <w:pPr>
              <w:jc w:val="center"/>
              <w:rPr>
                <w:color w:val="000000"/>
                <w:sz w:val="21"/>
              </w:rPr>
            </w:pPr>
            <w:r>
              <w:rPr>
                <w:color w:val="000000"/>
                <w:sz w:val="21"/>
              </w:rPr>
              <w:t>间二甲苯+对二甲苯</w:t>
            </w:r>
          </w:p>
        </w:tc>
        <w:tc>
          <w:tcPr>
            <w:tcW w:w="3762" w:type="dxa"/>
            <w:vAlign w:val="center"/>
          </w:tcPr>
          <w:p>
            <w:pPr>
              <w:widowControl/>
              <w:jc w:val="center"/>
              <w:rPr>
                <w:color w:val="000000"/>
                <w:kern w:val="0"/>
                <w:sz w:val="21"/>
              </w:rPr>
            </w:pPr>
            <w:r>
              <w:rPr>
                <w:color w:val="000000"/>
                <w:kern w:val="0"/>
                <w:sz w:val="21"/>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34</w:t>
            </w:r>
          </w:p>
        </w:tc>
        <w:tc>
          <w:tcPr>
            <w:tcW w:w="3398" w:type="dxa"/>
            <w:vAlign w:val="center"/>
          </w:tcPr>
          <w:p>
            <w:pPr>
              <w:jc w:val="center"/>
              <w:rPr>
                <w:color w:val="000000"/>
                <w:sz w:val="21"/>
              </w:rPr>
            </w:pPr>
            <w:r>
              <w:rPr>
                <w:color w:val="000000"/>
                <w:sz w:val="21"/>
              </w:rPr>
              <w:t>邻二甲苯</w:t>
            </w:r>
          </w:p>
        </w:tc>
        <w:tc>
          <w:tcPr>
            <w:tcW w:w="3762" w:type="dxa"/>
            <w:vAlign w:val="center"/>
          </w:tcPr>
          <w:p>
            <w:pPr>
              <w:widowControl/>
              <w:jc w:val="center"/>
              <w:rPr>
                <w:color w:val="000000"/>
                <w:kern w:val="0"/>
                <w:sz w:val="21"/>
              </w:rPr>
            </w:pPr>
            <w:r>
              <w:rPr>
                <w:color w:val="000000"/>
                <w:kern w:val="0"/>
                <w:sz w:val="21"/>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35</w:t>
            </w:r>
          </w:p>
        </w:tc>
        <w:tc>
          <w:tcPr>
            <w:tcW w:w="3398" w:type="dxa"/>
            <w:vAlign w:val="center"/>
          </w:tcPr>
          <w:p>
            <w:pPr>
              <w:jc w:val="center"/>
              <w:rPr>
                <w:color w:val="000000"/>
                <w:sz w:val="21"/>
              </w:rPr>
            </w:pPr>
            <w:r>
              <w:rPr>
                <w:color w:val="000000"/>
                <w:sz w:val="21"/>
              </w:rPr>
              <w:t>硝基苯</w:t>
            </w:r>
          </w:p>
        </w:tc>
        <w:tc>
          <w:tcPr>
            <w:tcW w:w="3762" w:type="dxa"/>
            <w:vAlign w:val="center"/>
          </w:tcPr>
          <w:p>
            <w:pPr>
              <w:widowControl/>
              <w:jc w:val="center"/>
              <w:rPr>
                <w:color w:val="000000"/>
                <w:kern w:val="0"/>
                <w:sz w:val="21"/>
              </w:rPr>
            </w:pPr>
            <w:r>
              <w:rPr>
                <w:color w:val="000000"/>
                <w:kern w:val="0"/>
                <w:sz w:val="21"/>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36</w:t>
            </w:r>
          </w:p>
        </w:tc>
        <w:tc>
          <w:tcPr>
            <w:tcW w:w="3398" w:type="dxa"/>
            <w:vAlign w:val="center"/>
          </w:tcPr>
          <w:p>
            <w:pPr>
              <w:jc w:val="center"/>
              <w:rPr>
                <w:color w:val="000000"/>
                <w:sz w:val="21"/>
              </w:rPr>
            </w:pPr>
            <w:r>
              <w:rPr>
                <w:color w:val="000000"/>
                <w:sz w:val="21"/>
              </w:rPr>
              <w:t>苯胺</w:t>
            </w:r>
          </w:p>
        </w:tc>
        <w:tc>
          <w:tcPr>
            <w:tcW w:w="3762" w:type="dxa"/>
            <w:vAlign w:val="center"/>
          </w:tcPr>
          <w:p>
            <w:pPr>
              <w:widowControl/>
              <w:jc w:val="center"/>
              <w:rPr>
                <w:color w:val="000000"/>
                <w:kern w:val="0"/>
                <w:sz w:val="21"/>
              </w:rPr>
            </w:pPr>
            <w:r>
              <w:rPr>
                <w:color w:val="000000"/>
                <w:kern w:val="0"/>
                <w:sz w:val="21"/>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37</w:t>
            </w:r>
          </w:p>
        </w:tc>
        <w:tc>
          <w:tcPr>
            <w:tcW w:w="3398" w:type="dxa"/>
            <w:vAlign w:val="center"/>
          </w:tcPr>
          <w:p>
            <w:pPr>
              <w:jc w:val="center"/>
              <w:rPr>
                <w:color w:val="000000"/>
                <w:sz w:val="21"/>
              </w:rPr>
            </w:pPr>
            <w:r>
              <w:rPr>
                <w:color w:val="000000"/>
                <w:sz w:val="21"/>
              </w:rPr>
              <w:t>2-氯酚</w:t>
            </w:r>
          </w:p>
        </w:tc>
        <w:tc>
          <w:tcPr>
            <w:tcW w:w="3762" w:type="dxa"/>
            <w:vAlign w:val="center"/>
          </w:tcPr>
          <w:p>
            <w:pPr>
              <w:widowControl/>
              <w:jc w:val="center"/>
              <w:rPr>
                <w:color w:val="000000"/>
                <w:kern w:val="0"/>
                <w:sz w:val="21"/>
              </w:rPr>
            </w:pPr>
            <w:r>
              <w:rPr>
                <w:color w:val="000000"/>
                <w:kern w:val="0"/>
                <w:sz w:val="21"/>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38</w:t>
            </w:r>
          </w:p>
        </w:tc>
        <w:tc>
          <w:tcPr>
            <w:tcW w:w="3398" w:type="dxa"/>
            <w:vAlign w:val="center"/>
          </w:tcPr>
          <w:p>
            <w:pPr>
              <w:jc w:val="center"/>
              <w:rPr>
                <w:color w:val="000000"/>
                <w:sz w:val="21"/>
              </w:rPr>
            </w:pPr>
            <w:r>
              <w:rPr>
                <w:color w:val="000000"/>
                <w:sz w:val="21"/>
              </w:rPr>
              <w:t>苯并[a]蒽</w:t>
            </w:r>
          </w:p>
        </w:tc>
        <w:tc>
          <w:tcPr>
            <w:tcW w:w="3762" w:type="dxa"/>
            <w:vAlign w:val="center"/>
          </w:tcPr>
          <w:p>
            <w:pPr>
              <w:widowControl/>
              <w:jc w:val="center"/>
              <w:rPr>
                <w:color w:val="000000"/>
                <w:kern w:val="0"/>
                <w:sz w:val="21"/>
              </w:rPr>
            </w:pPr>
            <w:r>
              <w:rPr>
                <w:color w:val="000000"/>
                <w:kern w:val="0"/>
                <w:sz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39</w:t>
            </w:r>
          </w:p>
        </w:tc>
        <w:tc>
          <w:tcPr>
            <w:tcW w:w="3398" w:type="dxa"/>
            <w:vAlign w:val="center"/>
          </w:tcPr>
          <w:p>
            <w:pPr>
              <w:jc w:val="center"/>
              <w:rPr>
                <w:color w:val="000000"/>
                <w:sz w:val="21"/>
              </w:rPr>
            </w:pPr>
            <w:r>
              <w:rPr>
                <w:color w:val="000000"/>
                <w:sz w:val="21"/>
              </w:rPr>
              <w:t>苯并[a]芘</w:t>
            </w:r>
          </w:p>
        </w:tc>
        <w:tc>
          <w:tcPr>
            <w:tcW w:w="3762" w:type="dxa"/>
            <w:vAlign w:val="center"/>
          </w:tcPr>
          <w:p>
            <w:pPr>
              <w:widowControl/>
              <w:jc w:val="center"/>
              <w:rPr>
                <w:color w:val="000000"/>
                <w:kern w:val="0"/>
                <w:sz w:val="21"/>
              </w:rPr>
            </w:pPr>
            <w:r>
              <w:rPr>
                <w:color w:val="000000"/>
                <w:kern w:val="0"/>
                <w:sz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40</w:t>
            </w:r>
          </w:p>
        </w:tc>
        <w:tc>
          <w:tcPr>
            <w:tcW w:w="3398" w:type="dxa"/>
            <w:vAlign w:val="center"/>
          </w:tcPr>
          <w:p>
            <w:pPr>
              <w:jc w:val="center"/>
              <w:rPr>
                <w:color w:val="000000"/>
                <w:sz w:val="21"/>
              </w:rPr>
            </w:pPr>
            <w:r>
              <w:rPr>
                <w:color w:val="000000"/>
                <w:sz w:val="21"/>
              </w:rPr>
              <w:t>苯并[b]荧蒽</w:t>
            </w:r>
          </w:p>
        </w:tc>
        <w:tc>
          <w:tcPr>
            <w:tcW w:w="3762" w:type="dxa"/>
            <w:vAlign w:val="center"/>
          </w:tcPr>
          <w:p>
            <w:pPr>
              <w:widowControl/>
              <w:jc w:val="center"/>
              <w:rPr>
                <w:color w:val="000000"/>
                <w:kern w:val="0"/>
                <w:sz w:val="21"/>
              </w:rPr>
            </w:pPr>
            <w:r>
              <w:rPr>
                <w:color w:val="000000"/>
                <w:kern w:val="0"/>
                <w:sz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41</w:t>
            </w:r>
          </w:p>
        </w:tc>
        <w:tc>
          <w:tcPr>
            <w:tcW w:w="3398" w:type="dxa"/>
            <w:vAlign w:val="center"/>
          </w:tcPr>
          <w:p>
            <w:pPr>
              <w:jc w:val="center"/>
              <w:rPr>
                <w:color w:val="000000"/>
                <w:sz w:val="21"/>
              </w:rPr>
            </w:pPr>
            <w:r>
              <w:rPr>
                <w:color w:val="000000"/>
                <w:sz w:val="21"/>
              </w:rPr>
              <w:t>苯并[k]荧蒽</w:t>
            </w:r>
          </w:p>
        </w:tc>
        <w:tc>
          <w:tcPr>
            <w:tcW w:w="3762" w:type="dxa"/>
            <w:vAlign w:val="center"/>
          </w:tcPr>
          <w:p>
            <w:pPr>
              <w:widowControl/>
              <w:jc w:val="center"/>
              <w:rPr>
                <w:color w:val="000000"/>
                <w:kern w:val="0"/>
                <w:sz w:val="21"/>
              </w:rPr>
            </w:pPr>
            <w:r>
              <w:rPr>
                <w:color w:val="000000"/>
                <w:kern w:val="0"/>
                <w:sz w:val="21"/>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42</w:t>
            </w:r>
          </w:p>
        </w:tc>
        <w:tc>
          <w:tcPr>
            <w:tcW w:w="3398" w:type="dxa"/>
            <w:vAlign w:val="center"/>
          </w:tcPr>
          <w:p>
            <w:pPr>
              <w:jc w:val="center"/>
              <w:rPr>
                <w:color w:val="000000"/>
                <w:sz w:val="21"/>
              </w:rPr>
            </w:pPr>
            <w:r>
              <w:rPr>
                <w:color w:val="000000"/>
                <w:sz w:val="21"/>
              </w:rPr>
              <w:t>䓛</w:t>
            </w:r>
          </w:p>
        </w:tc>
        <w:tc>
          <w:tcPr>
            <w:tcW w:w="3762" w:type="dxa"/>
            <w:vAlign w:val="center"/>
          </w:tcPr>
          <w:p>
            <w:pPr>
              <w:widowControl/>
              <w:jc w:val="center"/>
              <w:rPr>
                <w:color w:val="000000"/>
                <w:kern w:val="0"/>
                <w:sz w:val="21"/>
              </w:rPr>
            </w:pPr>
            <w:r>
              <w:rPr>
                <w:color w:val="000000"/>
                <w:kern w:val="0"/>
                <w:sz w:val="21"/>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43</w:t>
            </w:r>
          </w:p>
        </w:tc>
        <w:tc>
          <w:tcPr>
            <w:tcW w:w="3398" w:type="dxa"/>
            <w:vAlign w:val="center"/>
          </w:tcPr>
          <w:p>
            <w:pPr>
              <w:jc w:val="center"/>
              <w:rPr>
                <w:color w:val="000000"/>
                <w:sz w:val="21"/>
              </w:rPr>
            </w:pPr>
            <w:r>
              <w:rPr>
                <w:color w:val="000000"/>
                <w:sz w:val="21"/>
              </w:rPr>
              <w:t>二苯并[a,h]蒽</w:t>
            </w:r>
          </w:p>
        </w:tc>
        <w:tc>
          <w:tcPr>
            <w:tcW w:w="3762" w:type="dxa"/>
            <w:vAlign w:val="center"/>
          </w:tcPr>
          <w:p>
            <w:pPr>
              <w:widowControl/>
              <w:jc w:val="center"/>
              <w:rPr>
                <w:color w:val="000000"/>
                <w:kern w:val="0"/>
                <w:sz w:val="21"/>
              </w:rPr>
            </w:pPr>
            <w:r>
              <w:rPr>
                <w:color w:val="000000"/>
                <w:kern w:val="0"/>
                <w:sz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44</w:t>
            </w:r>
          </w:p>
        </w:tc>
        <w:tc>
          <w:tcPr>
            <w:tcW w:w="3398" w:type="dxa"/>
            <w:vAlign w:val="center"/>
          </w:tcPr>
          <w:p>
            <w:pPr>
              <w:jc w:val="center"/>
              <w:rPr>
                <w:color w:val="000000"/>
                <w:sz w:val="21"/>
              </w:rPr>
            </w:pPr>
            <w:r>
              <w:rPr>
                <w:color w:val="000000"/>
                <w:sz w:val="21"/>
              </w:rPr>
              <w:t>茚并[1,2,3-cd]芘</w:t>
            </w:r>
          </w:p>
        </w:tc>
        <w:tc>
          <w:tcPr>
            <w:tcW w:w="3762" w:type="dxa"/>
            <w:vAlign w:val="center"/>
          </w:tcPr>
          <w:p>
            <w:pPr>
              <w:widowControl/>
              <w:jc w:val="center"/>
              <w:rPr>
                <w:color w:val="000000"/>
                <w:kern w:val="0"/>
                <w:sz w:val="21"/>
              </w:rPr>
            </w:pPr>
            <w:r>
              <w:rPr>
                <w:color w:val="000000"/>
                <w:kern w:val="0"/>
                <w:sz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87" w:type="dxa"/>
            <w:vAlign w:val="center"/>
          </w:tcPr>
          <w:p>
            <w:pPr>
              <w:widowControl/>
              <w:jc w:val="center"/>
              <w:rPr>
                <w:color w:val="000000"/>
                <w:kern w:val="0"/>
                <w:sz w:val="21"/>
              </w:rPr>
            </w:pPr>
            <w:r>
              <w:rPr>
                <w:color w:val="000000"/>
                <w:kern w:val="0"/>
                <w:sz w:val="21"/>
              </w:rPr>
              <w:t>45</w:t>
            </w:r>
          </w:p>
        </w:tc>
        <w:tc>
          <w:tcPr>
            <w:tcW w:w="3398" w:type="dxa"/>
            <w:vAlign w:val="center"/>
          </w:tcPr>
          <w:p>
            <w:pPr>
              <w:jc w:val="center"/>
              <w:rPr>
                <w:color w:val="000000"/>
                <w:sz w:val="21"/>
              </w:rPr>
            </w:pPr>
            <w:r>
              <w:rPr>
                <w:color w:val="000000"/>
                <w:sz w:val="21"/>
              </w:rPr>
              <w:t>萘</w:t>
            </w:r>
          </w:p>
        </w:tc>
        <w:tc>
          <w:tcPr>
            <w:tcW w:w="3762" w:type="dxa"/>
            <w:vAlign w:val="center"/>
          </w:tcPr>
          <w:p>
            <w:pPr>
              <w:widowControl/>
              <w:jc w:val="center"/>
              <w:rPr>
                <w:color w:val="000000"/>
                <w:kern w:val="0"/>
                <w:sz w:val="21"/>
              </w:rPr>
            </w:pPr>
            <w:r>
              <w:rPr>
                <w:color w:val="000000"/>
                <w:kern w:val="0"/>
                <w:sz w:val="21"/>
              </w:rPr>
              <w:t>70</w:t>
            </w:r>
          </w:p>
        </w:tc>
      </w:tr>
    </w:tbl>
    <w:p>
      <w:pPr>
        <w:pStyle w:val="5"/>
        <w:rPr>
          <w:color w:val="000000" w:themeColor="text1"/>
        </w:rPr>
      </w:pPr>
      <w:r>
        <w:rPr>
          <w:rFonts w:hint="eastAsia"/>
          <w:color w:val="000000" w:themeColor="text1"/>
        </w:rPr>
        <w:t>污染物排放标准</w:t>
      </w:r>
      <w:bookmarkEnd w:id="60"/>
    </w:p>
    <w:p>
      <w:pPr>
        <w:pStyle w:val="61"/>
        <w:adjustRightInd w:val="0"/>
        <w:snapToGrid w:val="0"/>
        <w:rPr>
          <w:color w:val="000000" w:themeColor="text1"/>
        </w:rPr>
      </w:pPr>
      <w:r>
        <w:rPr>
          <w:rFonts w:hint="eastAsia"/>
          <w:color w:val="000000" w:themeColor="text1"/>
        </w:rPr>
        <w:t>废气</w:t>
      </w:r>
    </w:p>
    <w:p>
      <w:pPr>
        <w:spacing w:line="360" w:lineRule="auto"/>
        <w:ind w:firstLine="480" w:firstLineChars="200"/>
        <w:rPr>
          <w:rFonts w:cs="Times New Roman"/>
        </w:rPr>
      </w:pPr>
      <w:r>
        <w:rPr>
          <w:rFonts w:cs="Times New Roman"/>
        </w:rPr>
        <w:t>食堂油烟废气排放执行《饮食业油烟排放标准（试行）》（GB18483-2001）。H</w:t>
      </w:r>
      <w:r>
        <w:rPr>
          <w:rFonts w:cs="Times New Roman"/>
          <w:vertAlign w:val="subscript"/>
        </w:rPr>
        <w:t>2</w:t>
      </w:r>
      <w:r>
        <w:rPr>
          <w:rFonts w:cs="Times New Roman"/>
        </w:rPr>
        <w:t>S、NH</w:t>
      </w:r>
      <w:r>
        <w:rPr>
          <w:rFonts w:cs="Times New Roman"/>
          <w:vertAlign w:val="subscript"/>
        </w:rPr>
        <w:t>3</w:t>
      </w:r>
      <w:r>
        <w:rPr>
          <w:rFonts w:cs="Times New Roman"/>
        </w:rPr>
        <w:t>、臭气浓度无组织排放执行《城镇污水处理厂污染物排放标准》（GB18918-2002）中的厂界标准值，有组织排放执行《恶臭污染物排放标准》（GB14554-93）中的排放标准。具体见下表所示。</w:t>
      </w:r>
    </w:p>
    <w:p>
      <w:pPr>
        <w:pStyle w:val="61"/>
        <w:numPr>
          <w:ilvl w:val="0"/>
          <w:numId w:val="0"/>
        </w:numPr>
        <w:spacing w:line="240" w:lineRule="auto"/>
        <w:ind w:firstLine="482" w:firstLineChars="200"/>
        <w:jc w:val="center"/>
        <w:outlineLvl w:val="9"/>
        <w:rPr>
          <w:color w:val="000000" w:themeColor="text1"/>
          <w:szCs w:val="24"/>
        </w:rPr>
      </w:pPr>
      <w:bookmarkStart w:id="61" w:name="_Ref493601444"/>
      <w:bookmarkStart w:id="62" w:name="_Ref494179845"/>
      <w:r>
        <w:rPr>
          <w:rFonts w:hint="eastAsia"/>
          <w:color w:val="000000" w:themeColor="text1"/>
          <w:szCs w:val="24"/>
        </w:rPr>
        <w:t>表</w:t>
      </w:r>
      <w:r>
        <w:rPr>
          <w:color w:val="000000" w:themeColor="text1"/>
          <w:szCs w:val="24"/>
        </w:rPr>
        <w:fldChar w:fldCharType="begin"/>
      </w:r>
      <w:r>
        <w:rPr>
          <w:rFonts w:hint="eastAsia"/>
          <w:color w:val="000000" w:themeColor="text1"/>
          <w:szCs w:val="24"/>
        </w:rPr>
        <w:instrText xml:space="preserve">STYLEREF 2 \s</w:instrText>
      </w:r>
      <w:r>
        <w:rPr>
          <w:color w:val="000000" w:themeColor="text1"/>
          <w:szCs w:val="24"/>
        </w:rPr>
        <w:fldChar w:fldCharType="separate"/>
      </w:r>
      <w:r>
        <w:rPr>
          <w:color w:val="000000" w:themeColor="text1"/>
          <w:szCs w:val="24"/>
        </w:rPr>
        <w:t>1.4</w:t>
      </w:r>
      <w:r>
        <w:rPr>
          <w:color w:val="000000" w:themeColor="text1"/>
          <w:szCs w:val="24"/>
        </w:rPr>
        <w:fldChar w:fldCharType="end"/>
      </w:r>
      <w:r>
        <w:rPr>
          <w:color w:val="000000" w:themeColor="text1"/>
          <w:szCs w:val="24"/>
        </w:rPr>
        <w:noBreakHyphen/>
      </w:r>
      <w:r>
        <w:rPr>
          <w:color w:val="000000" w:themeColor="text1"/>
          <w:szCs w:val="24"/>
        </w:rPr>
        <w:fldChar w:fldCharType="begin"/>
      </w:r>
      <w:r>
        <w:rPr>
          <w:rFonts w:hint="eastAsia"/>
          <w:color w:val="000000" w:themeColor="text1"/>
          <w:szCs w:val="24"/>
        </w:rPr>
        <w:instrText xml:space="preserve">SEQ 表 \* ARABIC \s 2</w:instrText>
      </w:r>
      <w:r>
        <w:rPr>
          <w:color w:val="000000" w:themeColor="text1"/>
          <w:szCs w:val="24"/>
        </w:rPr>
        <w:fldChar w:fldCharType="separate"/>
      </w:r>
      <w:r>
        <w:rPr>
          <w:rFonts w:hint="eastAsia"/>
          <w:color w:val="000000" w:themeColor="text1"/>
          <w:szCs w:val="24"/>
        </w:rPr>
        <w:t>6</w:t>
      </w:r>
      <w:r>
        <w:rPr>
          <w:color w:val="000000" w:themeColor="text1"/>
          <w:szCs w:val="24"/>
        </w:rPr>
        <w:fldChar w:fldCharType="end"/>
      </w:r>
      <w:bookmarkEnd w:id="61"/>
      <w:bookmarkEnd w:id="62"/>
      <w:r>
        <w:rPr>
          <w:rFonts w:hint="eastAsia" w:asciiTheme="minorEastAsia" w:hAnsiTheme="minorEastAsia"/>
          <w:color w:val="000000" w:themeColor="text1"/>
          <w:szCs w:val="24"/>
        </w:rPr>
        <w:t>《</w:t>
      </w:r>
      <w:r>
        <w:rPr>
          <w:rFonts w:hint="eastAsia"/>
          <w:color w:val="000000" w:themeColor="text1"/>
          <w:szCs w:val="24"/>
        </w:rPr>
        <w:t>饮食业油烟排放标准表</w:t>
      </w:r>
      <w:r>
        <w:rPr>
          <w:rFonts w:hint="eastAsia" w:asciiTheme="minorEastAsia" w:hAnsiTheme="minorEastAsia"/>
          <w:color w:val="000000" w:themeColor="text1"/>
          <w:szCs w:val="24"/>
        </w:rPr>
        <w:t>》</w:t>
      </w:r>
      <w:r>
        <w:rPr>
          <w:rFonts w:hint="eastAsia"/>
          <w:color w:val="000000" w:themeColor="text1"/>
          <w:szCs w:val="24"/>
        </w:rPr>
        <w:t>（GB18483-2001）</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3454"/>
        <w:gridCol w:w="1928"/>
        <w:gridCol w:w="1928"/>
        <w:gridCol w:w="193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4" w:hRule="atLeast"/>
          <w:jc w:val="center"/>
        </w:trPr>
        <w:tc>
          <w:tcPr>
            <w:tcW w:w="3454" w:type="dxa"/>
            <w:vAlign w:val="center"/>
          </w:tcPr>
          <w:p>
            <w:pPr>
              <w:widowControl/>
              <w:adjustRightInd w:val="0"/>
              <w:snapToGrid w:val="0"/>
              <w:spacing w:line="360" w:lineRule="exact"/>
              <w:jc w:val="center"/>
              <w:rPr>
                <w:rFonts w:cs="Times New Roman"/>
                <w:kern w:val="0"/>
                <w:sz w:val="21"/>
              </w:rPr>
            </w:pPr>
            <w:r>
              <w:rPr>
                <w:rFonts w:cs="Times New Roman"/>
                <w:kern w:val="0"/>
                <w:sz w:val="21"/>
              </w:rPr>
              <w:t>规 模</w:t>
            </w:r>
          </w:p>
        </w:tc>
        <w:tc>
          <w:tcPr>
            <w:tcW w:w="1928" w:type="dxa"/>
            <w:vAlign w:val="center"/>
          </w:tcPr>
          <w:p>
            <w:pPr>
              <w:widowControl/>
              <w:adjustRightInd w:val="0"/>
              <w:snapToGrid w:val="0"/>
              <w:spacing w:line="360" w:lineRule="exact"/>
              <w:jc w:val="center"/>
              <w:rPr>
                <w:rFonts w:cs="Times New Roman"/>
                <w:kern w:val="0"/>
                <w:sz w:val="21"/>
              </w:rPr>
            </w:pPr>
            <w:r>
              <w:rPr>
                <w:rFonts w:cs="Times New Roman"/>
                <w:kern w:val="0"/>
                <w:sz w:val="21"/>
              </w:rPr>
              <w:t>小型</w:t>
            </w:r>
          </w:p>
        </w:tc>
        <w:tc>
          <w:tcPr>
            <w:tcW w:w="1928" w:type="dxa"/>
            <w:vAlign w:val="center"/>
          </w:tcPr>
          <w:p>
            <w:pPr>
              <w:widowControl/>
              <w:adjustRightInd w:val="0"/>
              <w:snapToGrid w:val="0"/>
              <w:spacing w:line="360" w:lineRule="exact"/>
              <w:jc w:val="center"/>
              <w:rPr>
                <w:rFonts w:cs="Times New Roman"/>
                <w:kern w:val="0"/>
                <w:sz w:val="21"/>
              </w:rPr>
            </w:pPr>
            <w:r>
              <w:rPr>
                <w:rFonts w:cs="Times New Roman"/>
                <w:kern w:val="0"/>
                <w:sz w:val="21"/>
              </w:rPr>
              <w:t>中型</w:t>
            </w:r>
          </w:p>
        </w:tc>
        <w:tc>
          <w:tcPr>
            <w:tcW w:w="1932" w:type="dxa"/>
            <w:vAlign w:val="center"/>
          </w:tcPr>
          <w:p>
            <w:pPr>
              <w:widowControl/>
              <w:adjustRightInd w:val="0"/>
              <w:snapToGrid w:val="0"/>
              <w:spacing w:line="360" w:lineRule="exact"/>
              <w:jc w:val="center"/>
              <w:rPr>
                <w:rFonts w:cs="Times New Roman"/>
                <w:kern w:val="0"/>
                <w:sz w:val="21"/>
              </w:rPr>
            </w:pPr>
            <w:r>
              <w:rPr>
                <w:rFonts w:cs="Times New Roman"/>
                <w:kern w:val="0"/>
                <w:sz w:val="21"/>
              </w:rPr>
              <w:t>大型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4" w:hRule="atLeast"/>
          <w:jc w:val="center"/>
        </w:trPr>
        <w:tc>
          <w:tcPr>
            <w:tcW w:w="3454" w:type="dxa"/>
            <w:vAlign w:val="center"/>
          </w:tcPr>
          <w:p>
            <w:pPr>
              <w:widowControl/>
              <w:adjustRightInd w:val="0"/>
              <w:snapToGrid w:val="0"/>
              <w:spacing w:line="360" w:lineRule="exact"/>
              <w:jc w:val="center"/>
              <w:rPr>
                <w:rFonts w:cs="Times New Roman"/>
                <w:kern w:val="0"/>
                <w:sz w:val="21"/>
              </w:rPr>
            </w:pPr>
            <w:r>
              <w:rPr>
                <w:rFonts w:cs="Times New Roman"/>
                <w:kern w:val="0"/>
                <w:sz w:val="21"/>
              </w:rPr>
              <w:t>最高允许排放浓度(mg/Nm</w:t>
            </w:r>
            <w:r>
              <w:rPr>
                <w:rFonts w:cs="Times New Roman"/>
                <w:kern w:val="0"/>
                <w:sz w:val="21"/>
                <w:vertAlign w:val="superscript"/>
              </w:rPr>
              <w:t>3</w:t>
            </w:r>
            <w:r>
              <w:rPr>
                <w:rFonts w:cs="Times New Roman"/>
                <w:kern w:val="0"/>
                <w:sz w:val="21"/>
              </w:rPr>
              <w:t>)</w:t>
            </w:r>
          </w:p>
        </w:tc>
        <w:tc>
          <w:tcPr>
            <w:tcW w:w="5788" w:type="dxa"/>
            <w:gridSpan w:val="3"/>
            <w:vAlign w:val="center"/>
          </w:tcPr>
          <w:p>
            <w:pPr>
              <w:widowControl/>
              <w:adjustRightInd w:val="0"/>
              <w:snapToGrid w:val="0"/>
              <w:spacing w:line="360" w:lineRule="exact"/>
              <w:jc w:val="center"/>
              <w:rPr>
                <w:rFonts w:cs="Times New Roman"/>
                <w:kern w:val="0"/>
                <w:sz w:val="21"/>
              </w:rPr>
            </w:pPr>
            <w:r>
              <w:rPr>
                <w:rFonts w:cs="Times New Roman"/>
                <w:kern w:val="0"/>
                <w:sz w:val="21"/>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3454" w:type="dxa"/>
            <w:vAlign w:val="center"/>
          </w:tcPr>
          <w:p>
            <w:pPr>
              <w:widowControl/>
              <w:adjustRightInd w:val="0"/>
              <w:snapToGrid w:val="0"/>
              <w:spacing w:line="360" w:lineRule="exact"/>
              <w:jc w:val="center"/>
              <w:rPr>
                <w:rFonts w:cs="Times New Roman"/>
                <w:kern w:val="0"/>
                <w:sz w:val="21"/>
              </w:rPr>
            </w:pPr>
            <w:r>
              <w:rPr>
                <w:rFonts w:cs="Times New Roman"/>
                <w:kern w:val="0"/>
                <w:sz w:val="21"/>
              </w:rPr>
              <w:t>净化设施最低去除效率(%)</w:t>
            </w:r>
          </w:p>
        </w:tc>
        <w:tc>
          <w:tcPr>
            <w:tcW w:w="1928" w:type="dxa"/>
            <w:vAlign w:val="center"/>
          </w:tcPr>
          <w:p>
            <w:pPr>
              <w:widowControl/>
              <w:adjustRightInd w:val="0"/>
              <w:snapToGrid w:val="0"/>
              <w:spacing w:line="360" w:lineRule="exact"/>
              <w:jc w:val="center"/>
              <w:rPr>
                <w:rFonts w:cs="Times New Roman"/>
                <w:kern w:val="0"/>
                <w:sz w:val="21"/>
              </w:rPr>
            </w:pPr>
            <w:r>
              <w:rPr>
                <w:rFonts w:cs="Times New Roman"/>
                <w:kern w:val="0"/>
                <w:sz w:val="21"/>
              </w:rPr>
              <w:t>60</w:t>
            </w:r>
          </w:p>
        </w:tc>
        <w:tc>
          <w:tcPr>
            <w:tcW w:w="1928" w:type="dxa"/>
            <w:vAlign w:val="center"/>
          </w:tcPr>
          <w:p>
            <w:pPr>
              <w:widowControl/>
              <w:adjustRightInd w:val="0"/>
              <w:snapToGrid w:val="0"/>
              <w:spacing w:line="360" w:lineRule="exact"/>
              <w:jc w:val="center"/>
              <w:rPr>
                <w:rFonts w:cs="Times New Roman"/>
                <w:kern w:val="0"/>
                <w:sz w:val="21"/>
              </w:rPr>
            </w:pPr>
            <w:r>
              <w:rPr>
                <w:rFonts w:cs="Times New Roman"/>
                <w:kern w:val="0"/>
                <w:sz w:val="21"/>
              </w:rPr>
              <w:t>75</w:t>
            </w:r>
          </w:p>
        </w:tc>
        <w:tc>
          <w:tcPr>
            <w:tcW w:w="1932" w:type="dxa"/>
            <w:vAlign w:val="center"/>
          </w:tcPr>
          <w:p>
            <w:pPr>
              <w:widowControl/>
              <w:adjustRightInd w:val="0"/>
              <w:snapToGrid w:val="0"/>
              <w:spacing w:line="360" w:lineRule="exact"/>
              <w:jc w:val="center"/>
              <w:rPr>
                <w:rFonts w:cs="Times New Roman"/>
                <w:kern w:val="0"/>
                <w:sz w:val="21"/>
              </w:rPr>
            </w:pPr>
            <w:r>
              <w:rPr>
                <w:rFonts w:cs="Times New Roman"/>
                <w:kern w:val="0"/>
                <w:sz w:val="21"/>
              </w:rPr>
              <w:t>85</w:t>
            </w:r>
          </w:p>
        </w:tc>
      </w:tr>
    </w:tbl>
    <w:p>
      <w:pPr>
        <w:pStyle w:val="14"/>
        <w:spacing w:line="240" w:lineRule="auto"/>
        <w:rPr>
          <w:rFonts w:cs="Times New Roman"/>
          <w:szCs w:val="24"/>
        </w:rPr>
      </w:pPr>
      <w:bookmarkStart w:id="63" w:name="_Ref16517212"/>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1.4</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7</w:t>
      </w:r>
      <w:r>
        <w:rPr>
          <w:rFonts w:cs="Times New Roman"/>
          <w:szCs w:val="24"/>
        </w:rPr>
        <w:fldChar w:fldCharType="end"/>
      </w:r>
      <w:bookmarkEnd w:id="63"/>
      <w:r>
        <w:rPr>
          <w:rFonts w:cs="Times New Roman"/>
        </w:rPr>
        <w:t>《恶臭污染物排放标准》（GB14554-93）</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701"/>
        <w:gridCol w:w="2126"/>
        <w:gridCol w:w="1983"/>
        <w:gridCol w:w="2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pPr>
              <w:pStyle w:val="14"/>
              <w:spacing w:line="240" w:lineRule="auto"/>
              <w:rPr>
                <w:b w:val="0"/>
                <w:sz w:val="21"/>
                <w:szCs w:val="21"/>
              </w:rPr>
            </w:pPr>
            <w:r>
              <w:rPr>
                <w:rFonts w:hint="eastAsia"/>
                <w:b w:val="0"/>
                <w:sz w:val="21"/>
                <w:szCs w:val="21"/>
              </w:rPr>
              <w:t>序号</w:t>
            </w:r>
          </w:p>
        </w:tc>
        <w:tc>
          <w:tcPr>
            <w:tcW w:w="920" w:type="pct"/>
            <w:vAlign w:val="center"/>
          </w:tcPr>
          <w:p>
            <w:pPr>
              <w:pStyle w:val="14"/>
              <w:spacing w:line="240" w:lineRule="auto"/>
              <w:rPr>
                <w:b w:val="0"/>
                <w:sz w:val="21"/>
                <w:szCs w:val="21"/>
              </w:rPr>
            </w:pPr>
            <w:r>
              <w:rPr>
                <w:rFonts w:hint="eastAsia"/>
                <w:b w:val="0"/>
                <w:sz w:val="21"/>
                <w:szCs w:val="21"/>
              </w:rPr>
              <w:t>污染物名称</w:t>
            </w:r>
          </w:p>
        </w:tc>
        <w:tc>
          <w:tcPr>
            <w:tcW w:w="1150" w:type="pct"/>
            <w:vAlign w:val="center"/>
          </w:tcPr>
          <w:p>
            <w:pPr>
              <w:pStyle w:val="14"/>
              <w:spacing w:line="240" w:lineRule="auto"/>
              <w:rPr>
                <w:b w:val="0"/>
                <w:sz w:val="21"/>
                <w:szCs w:val="21"/>
              </w:rPr>
            </w:pPr>
            <w:r>
              <w:rPr>
                <w:rFonts w:hint="eastAsia"/>
                <w:b w:val="0"/>
                <w:sz w:val="21"/>
                <w:szCs w:val="21"/>
              </w:rPr>
              <w:t>排气筒高度（m）</w:t>
            </w:r>
          </w:p>
        </w:tc>
        <w:tc>
          <w:tcPr>
            <w:tcW w:w="1073" w:type="pct"/>
            <w:vAlign w:val="center"/>
          </w:tcPr>
          <w:p>
            <w:pPr>
              <w:pStyle w:val="14"/>
              <w:spacing w:line="240" w:lineRule="auto"/>
              <w:rPr>
                <w:b w:val="0"/>
                <w:sz w:val="21"/>
                <w:szCs w:val="21"/>
              </w:rPr>
            </w:pPr>
            <w:r>
              <w:rPr>
                <w:rFonts w:hint="eastAsia"/>
                <w:b w:val="0"/>
                <w:sz w:val="21"/>
                <w:szCs w:val="21"/>
              </w:rPr>
              <w:t>排放速率（kg/h）</w:t>
            </w:r>
          </w:p>
        </w:tc>
        <w:tc>
          <w:tcPr>
            <w:tcW w:w="1184" w:type="pct"/>
            <w:vAlign w:val="center"/>
          </w:tcPr>
          <w:p>
            <w:pPr>
              <w:pStyle w:val="14"/>
              <w:spacing w:line="240" w:lineRule="auto"/>
              <w:rPr>
                <w:b w:val="0"/>
                <w:sz w:val="21"/>
                <w:szCs w:val="21"/>
              </w:rPr>
            </w:pPr>
            <w:r>
              <w:rPr>
                <w:rFonts w:hint="eastAsia"/>
                <w:b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pct"/>
            <w:vAlign w:val="center"/>
          </w:tcPr>
          <w:p>
            <w:pPr>
              <w:pStyle w:val="14"/>
              <w:spacing w:line="240" w:lineRule="auto"/>
              <w:rPr>
                <w:b w:val="0"/>
                <w:sz w:val="21"/>
                <w:szCs w:val="21"/>
              </w:rPr>
            </w:pPr>
            <w:r>
              <w:rPr>
                <w:rFonts w:hint="eastAsia"/>
                <w:b w:val="0"/>
                <w:sz w:val="21"/>
                <w:szCs w:val="21"/>
              </w:rPr>
              <w:t>1</w:t>
            </w:r>
          </w:p>
        </w:tc>
        <w:tc>
          <w:tcPr>
            <w:tcW w:w="920" w:type="pct"/>
            <w:vAlign w:val="center"/>
          </w:tcPr>
          <w:p>
            <w:pPr>
              <w:pStyle w:val="14"/>
              <w:spacing w:line="240" w:lineRule="auto"/>
              <w:rPr>
                <w:b w:val="0"/>
                <w:sz w:val="21"/>
                <w:szCs w:val="21"/>
              </w:rPr>
            </w:pPr>
            <w:r>
              <w:rPr>
                <w:rFonts w:hint="eastAsia"/>
                <w:b w:val="0"/>
                <w:sz w:val="21"/>
                <w:szCs w:val="21"/>
              </w:rPr>
              <w:t>氨</w:t>
            </w:r>
          </w:p>
        </w:tc>
        <w:tc>
          <w:tcPr>
            <w:tcW w:w="1150" w:type="pct"/>
            <w:vAlign w:val="center"/>
          </w:tcPr>
          <w:p>
            <w:pPr>
              <w:pStyle w:val="14"/>
              <w:spacing w:line="240" w:lineRule="auto"/>
              <w:rPr>
                <w:b w:val="0"/>
                <w:sz w:val="21"/>
                <w:szCs w:val="21"/>
              </w:rPr>
            </w:pPr>
            <w:r>
              <w:rPr>
                <w:rFonts w:hint="eastAsia"/>
                <w:b w:val="0"/>
                <w:sz w:val="21"/>
                <w:szCs w:val="21"/>
              </w:rPr>
              <w:t>15</w:t>
            </w:r>
          </w:p>
        </w:tc>
        <w:tc>
          <w:tcPr>
            <w:tcW w:w="1073" w:type="pct"/>
            <w:vAlign w:val="center"/>
          </w:tcPr>
          <w:p>
            <w:pPr>
              <w:pStyle w:val="78"/>
              <w:jc w:val="center"/>
              <w:rPr>
                <w:rFonts w:eastAsia="宋体"/>
                <w:kern w:val="2"/>
                <w:sz w:val="21"/>
                <w:szCs w:val="21"/>
              </w:rPr>
            </w:pPr>
            <w:r>
              <w:rPr>
                <w:rFonts w:eastAsia="宋体"/>
                <w:kern w:val="2"/>
                <w:sz w:val="21"/>
                <w:szCs w:val="21"/>
              </w:rPr>
              <w:t>4.9</w:t>
            </w:r>
          </w:p>
        </w:tc>
        <w:tc>
          <w:tcPr>
            <w:tcW w:w="1184" w:type="pct"/>
            <w:vMerge w:val="restart"/>
            <w:vAlign w:val="center"/>
          </w:tcPr>
          <w:p>
            <w:pPr>
              <w:pStyle w:val="78"/>
              <w:jc w:val="center"/>
              <w:rPr>
                <w:rFonts w:eastAsia="宋体"/>
                <w:kern w:val="2"/>
                <w:sz w:val="21"/>
                <w:szCs w:val="21"/>
              </w:rPr>
            </w:pPr>
            <w:r>
              <w:rPr>
                <w:rFonts w:eastAsia="宋体"/>
                <w:kern w:val="2"/>
                <w:sz w:val="21"/>
                <w:szCs w:val="21"/>
              </w:rPr>
              <w:t>《恶臭污染物排放标准》（GB14554-93）表2标准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1" w:type="pct"/>
            <w:vAlign w:val="center"/>
          </w:tcPr>
          <w:p>
            <w:pPr>
              <w:pStyle w:val="14"/>
              <w:spacing w:line="240" w:lineRule="auto"/>
              <w:rPr>
                <w:b w:val="0"/>
                <w:sz w:val="21"/>
                <w:szCs w:val="21"/>
              </w:rPr>
            </w:pPr>
            <w:r>
              <w:rPr>
                <w:rFonts w:hint="eastAsia"/>
                <w:b w:val="0"/>
                <w:sz w:val="21"/>
                <w:szCs w:val="21"/>
              </w:rPr>
              <w:t>2</w:t>
            </w:r>
          </w:p>
        </w:tc>
        <w:tc>
          <w:tcPr>
            <w:tcW w:w="920" w:type="pct"/>
            <w:vAlign w:val="center"/>
          </w:tcPr>
          <w:p>
            <w:pPr>
              <w:pStyle w:val="14"/>
              <w:spacing w:line="240" w:lineRule="auto"/>
              <w:rPr>
                <w:b w:val="0"/>
                <w:sz w:val="21"/>
                <w:szCs w:val="21"/>
              </w:rPr>
            </w:pPr>
            <w:r>
              <w:rPr>
                <w:rFonts w:hint="eastAsia"/>
                <w:b w:val="0"/>
                <w:sz w:val="21"/>
                <w:szCs w:val="21"/>
              </w:rPr>
              <w:t>硫化氢</w:t>
            </w:r>
          </w:p>
        </w:tc>
        <w:tc>
          <w:tcPr>
            <w:tcW w:w="1150" w:type="pct"/>
            <w:vAlign w:val="center"/>
          </w:tcPr>
          <w:p>
            <w:pPr>
              <w:pStyle w:val="14"/>
              <w:spacing w:line="240" w:lineRule="auto"/>
              <w:rPr>
                <w:b w:val="0"/>
                <w:sz w:val="21"/>
                <w:szCs w:val="21"/>
              </w:rPr>
            </w:pPr>
            <w:r>
              <w:rPr>
                <w:rFonts w:hint="eastAsia"/>
                <w:b w:val="0"/>
                <w:sz w:val="21"/>
                <w:szCs w:val="21"/>
              </w:rPr>
              <w:t>15</w:t>
            </w:r>
          </w:p>
        </w:tc>
        <w:tc>
          <w:tcPr>
            <w:tcW w:w="1073" w:type="pct"/>
            <w:vAlign w:val="center"/>
          </w:tcPr>
          <w:p>
            <w:pPr>
              <w:pStyle w:val="14"/>
              <w:spacing w:line="240" w:lineRule="auto"/>
              <w:rPr>
                <w:b w:val="0"/>
                <w:sz w:val="21"/>
                <w:szCs w:val="21"/>
              </w:rPr>
            </w:pPr>
            <w:r>
              <w:rPr>
                <w:rFonts w:hint="eastAsia"/>
                <w:b w:val="0"/>
                <w:sz w:val="21"/>
                <w:szCs w:val="21"/>
              </w:rPr>
              <w:t>0.33</w:t>
            </w:r>
          </w:p>
        </w:tc>
        <w:tc>
          <w:tcPr>
            <w:tcW w:w="1184" w:type="pct"/>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1" w:type="pct"/>
            <w:vAlign w:val="center"/>
          </w:tcPr>
          <w:p>
            <w:pPr>
              <w:pStyle w:val="14"/>
              <w:spacing w:line="240" w:lineRule="auto"/>
              <w:rPr>
                <w:b w:val="0"/>
                <w:sz w:val="21"/>
                <w:szCs w:val="21"/>
              </w:rPr>
            </w:pPr>
            <w:r>
              <w:rPr>
                <w:rFonts w:hint="eastAsia"/>
                <w:b w:val="0"/>
                <w:sz w:val="21"/>
                <w:szCs w:val="21"/>
              </w:rPr>
              <w:t>3</w:t>
            </w:r>
          </w:p>
        </w:tc>
        <w:tc>
          <w:tcPr>
            <w:tcW w:w="920" w:type="pct"/>
            <w:vAlign w:val="center"/>
          </w:tcPr>
          <w:p>
            <w:pPr>
              <w:pStyle w:val="14"/>
              <w:spacing w:line="240" w:lineRule="auto"/>
              <w:rPr>
                <w:b w:val="0"/>
                <w:sz w:val="21"/>
                <w:szCs w:val="21"/>
              </w:rPr>
            </w:pPr>
            <w:r>
              <w:rPr>
                <w:rFonts w:hint="eastAsia"/>
                <w:b w:val="0"/>
                <w:sz w:val="21"/>
                <w:szCs w:val="21"/>
              </w:rPr>
              <w:t>臭气</w:t>
            </w:r>
          </w:p>
        </w:tc>
        <w:tc>
          <w:tcPr>
            <w:tcW w:w="1150" w:type="pct"/>
            <w:vAlign w:val="center"/>
          </w:tcPr>
          <w:p>
            <w:pPr>
              <w:pStyle w:val="14"/>
              <w:spacing w:line="240" w:lineRule="auto"/>
              <w:rPr>
                <w:b w:val="0"/>
                <w:sz w:val="21"/>
                <w:szCs w:val="21"/>
              </w:rPr>
            </w:pPr>
            <w:r>
              <w:rPr>
                <w:rFonts w:hint="eastAsia"/>
                <w:b w:val="0"/>
                <w:sz w:val="21"/>
                <w:szCs w:val="21"/>
              </w:rPr>
              <w:t>15</w:t>
            </w:r>
          </w:p>
        </w:tc>
        <w:tc>
          <w:tcPr>
            <w:tcW w:w="1073" w:type="pct"/>
            <w:vAlign w:val="center"/>
          </w:tcPr>
          <w:p>
            <w:pPr>
              <w:pStyle w:val="14"/>
              <w:spacing w:line="240" w:lineRule="auto"/>
              <w:rPr>
                <w:b w:val="0"/>
                <w:sz w:val="21"/>
                <w:szCs w:val="21"/>
              </w:rPr>
            </w:pPr>
            <w:r>
              <w:rPr>
                <w:rFonts w:hint="eastAsia"/>
                <w:b w:val="0"/>
                <w:sz w:val="21"/>
                <w:szCs w:val="21"/>
              </w:rPr>
              <w:t>2000（无纲量）</w:t>
            </w:r>
          </w:p>
        </w:tc>
        <w:tc>
          <w:tcPr>
            <w:tcW w:w="1184" w:type="pct"/>
            <w:vMerge w:val="continue"/>
            <w:vAlign w:val="center"/>
          </w:tcPr>
          <w:p>
            <w:pPr>
              <w:pStyle w:val="14"/>
              <w:spacing w:line="240" w:lineRule="auto"/>
              <w:rPr>
                <w:b w:val="0"/>
                <w:sz w:val="21"/>
                <w:szCs w:val="21"/>
              </w:rPr>
            </w:pPr>
          </w:p>
        </w:tc>
      </w:tr>
    </w:tbl>
    <w:p>
      <w:pPr>
        <w:pStyle w:val="14"/>
        <w:spacing w:line="240" w:lineRule="auto"/>
        <w:rPr>
          <w:szCs w:val="24"/>
        </w:rPr>
      </w:pPr>
      <w:r>
        <w:rPr>
          <w:rFonts w:hint="eastAsia"/>
          <w:szCs w:val="24"/>
        </w:rPr>
        <w:t>表</w:t>
      </w:r>
      <w:r>
        <w:rPr>
          <w:szCs w:val="24"/>
        </w:rPr>
        <w:fldChar w:fldCharType="begin"/>
      </w:r>
      <w:r>
        <w:rPr>
          <w:rFonts w:hint="eastAsia"/>
          <w:szCs w:val="24"/>
        </w:rPr>
        <w:instrText xml:space="preserve">STYLEREF 2 \s</w:instrText>
      </w:r>
      <w:r>
        <w:rPr>
          <w:szCs w:val="24"/>
        </w:rPr>
        <w:fldChar w:fldCharType="separate"/>
      </w:r>
      <w:r>
        <w:rPr>
          <w:szCs w:val="24"/>
        </w:rPr>
        <w:t>1.4</w:t>
      </w:r>
      <w:r>
        <w:rPr>
          <w:szCs w:val="24"/>
        </w:rPr>
        <w:fldChar w:fldCharType="end"/>
      </w:r>
      <w:r>
        <w:rPr>
          <w:szCs w:val="24"/>
        </w:rPr>
        <w:noBreakHyphen/>
      </w:r>
      <w:r>
        <w:rPr>
          <w:szCs w:val="24"/>
        </w:rPr>
        <w:fldChar w:fldCharType="begin"/>
      </w:r>
      <w:r>
        <w:rPr>
          <w:rFonts w:hint="eastAsia"/>
          <w:szCs w:val="24"/>
        </w:rPr>
        <w:instrText xml:space="preserve">SEQ 表 \* ARABIC \s 2</w:instrText>
      </w:r>
      <w:r>
        <w:rPr>
          <w:szCs w:val="24"/>
        </w:rPr>
        <w:fldChar w:fldCharType="separate"/>
      </w:r>
      <w:r>
        <w:rPr>
          <w:rFonts w:hint="eastAsia"/>
          <w:szCs w:val="24"/>
        </w:rPr>
        <w:t>8</w:t>
      </w:r>
      <w:r>
        <w:rPr>
          <w:szCs w:val="24"/>
        </w:rPr>
        <w:fldChar w:fldCharType="end"/>
      </w:r>
      <w:r>
        <w:rPr>
          <w:rFonts w:hint="eastAsia"/>
        </w:rPr>
        <w:t>《城镇污水处理厂污染物排放标准》（GB18918-2002）</w:t>
      </w:r>
    </w:p>
    <w:tbl>
      <w:tblPr>
        <w:tblStyle w:val="39"/>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2551"/>
        <w:gridCol w:w="2126"/>
        <w:gridCol w:w="2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4"/>
              <w:spacing w:line="240" w:lineRule="auto"/>
              <w:rPr>
                <w:b w:val="0"/>
                <w:sz w:val="21"/>
                <w:szCs w:val="21"/>
              </w:rPr>
            </w:pPr>
            <w:r>
              <w:rPr>
                <w:rFonts w:hint="eastAsia"/>
                <w:b w:val="0"/>
                <w:sz w:val="21"/>
                <w:szCs w:val="21"/>
              </w:rPr>
              <w:t>序号</w:t>
            </w:r>
          </w:p>
        </w:tc>
        <w:tc>
          <w:tcPr>
            <w:tcW w:w="1418" w:type="dxa"/>
            <w:vAlign w:val="center"/>
          </w:tcPr>
          <w:p>
            <w:pPr>
              <w:pStyle w:val="14"/>
              <w:spacing w:line="240" w:lineRule="auto"/>
              <w:rPr>
                <w:b w:val="0"/>
                <w:sz w:val="21"/>
                <w:szCs w:val="21"/>
              </w:rPr>
            </w:pPr>
            <w:r>
              <w:rPr>
                <w:rFonts w:hint="eastAsia"/>
                <w:b w:val="0"/>
                <w:sz w:val="21"/>
                <w:szCs w:val="21"/>
              </w:rPr>
              <w:t>污染物名称</w:t>
            </w:r>
          </w:p>
        </w:tc>
        <w:tc>
          <w:tcPr>
            <w:tcW w:w="2551" w:type="dxa"/>
            <w:vAlign w:val="center"/>
          </w:tcPr>
          <w:p>
            <w:pPr>
              <w:pStyle w:val="14"/>
              <w:spacing w:line="240" w:lineRule="auto"/>
              <w:rPr>
                <w:b w:val="0"/>
                <w:sz w:val="21"/>
                <w:szCs w:val="21"/>
              </w:rPr>
            </w:pPr>
            <w:r>
              <w:rPr>
                <w:b w:val="0"/>
                <w:sz w:val="21"/>
                <w:szCs w:val="21"/>
              </w:rPr>
              <w:t>监控位置</w:t>
            </w:r>
          </w:p>
        </w:tc>
        <w:tc>
          <w:tcPr>
            <w:tcW w:w="2126" w:type="dxa"/>
            <w:vAlign w:val="center"/>
          </w:tcPr>
          <w:p>
            <w:pPr>
              <w:pStyle w:val="14"/>
              <w:spacing w:line="240" w:lineRule="auto"/>
              <w:rPr>
                <w:b w:val="0"/>
                <w:sz w:val="21"/>
                <w:szCs w:val="21"/>
              </w:rPr>
            </w:pPr>
            <w:r>
              <w:rPr>
                <w:rFonts w:hint="eastAsia"/>
                <w:b w:val="0"/>
                <w:sz w:val="21"/>
                <w:szCs w:val="21"/>
              </w:rPr>
              <w:t>排放速率（</w:t>
            </w:r>
            <w:r>
              <w:rPr>
                <w:rFonts w:hint="eastAsia"/>
                <w:b w:val="0"/>
                <w:sz w:val="21"/>
                <w:szCs w:val="21"/>
                <w:lang w:val="en-US" w:eastAsia="zh-CN"/>
              </w:rPr>
              <w:t>mg/m</w:t>
            </w:r>
            <w:r>
              <w:rPr>
                <w:rFonts w:hint="eastAsia"/>
                <w:b w:val="0"/>
                <w:sz w:val="21"/>
                <w:szCs w:val="21"/>
                <w:vertAlign w:val="superscript"/>
                <w:lang w:val="en-US" w:eastAsia="zh-CN"/>
              </w:rPr>
              <w:t>3</w:t>
            </w:r>
            <w:r>
              <w:rPr>
                <w:rFonts w:hint="eastAsia"/>
                <w:b w:val="0"/>
                <w:sz w:val="21"/>
                <w:szCs w:val="21"/>
              </w:rPr>
              <w:t>）</w:t>
            </w:r>
          </w:p>
        </w:tc>
        <w:tc>
          <w:tcPr>
            <w:tcW w:w="2330" w:type="dxa"/>
            <w:vAlign w:val="center"/>
          </w:tcPr>
          <w:p>
            <w:pPr>
              <w:pStyle w:val="14"/>
              <w:spacing w:line="240" w:lineRule="auto"/>
              <w:rPr>
                <w:b w:val="0"/>
                <w:sz w:val="21"/>
                <w:szCs w:val="21"/>
              </w:rPr>
            </w:pPr>
            <w:r>
              <w:rPr>
                <w:rFonts w:hint="eastAsia"/>
                <w:b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4"/>
              <w:spacing w:line="240" w:lineRule="auto"/>
              <w:rPr>
                <w:b w:val="0"/>
                <w:sz w:val="21"/>
                <w:szCs w:val="21"/>
              </w:rPr>
            </w:pPr>
            <w:r>
              <w:rPr>
                <w:rFonts w:hint="eastAsia"/>
                <w:b w:val="0"/>
                <w:sz w:val="21"/>
                <w:szCs w:val="21"/>
              </w:rPr>
              <w:t>1</w:t>
            </w:r>
          </w:p>
        </w:tc>
        <w:tc>
          <w:tcPr>
            <w:tcW w:w="1418" w:type="dxa"/>
            <w:vAlign w:val="center"/>
          </w:tcPr>
          <w:p>
            <w:pPr>
              <w:pStyle w:val="14"/>
              <w:spacing w:line="240" w:lineRule="auto"/>
              <w:rPr>
                <w:b w:val="0"/>
                <w:sz w:val="21"/>
                <w:szCs w:val="21"/>
              </w:rPr>
            </w:pPr>
            <w:r>
              <w:rPr>
                <w:rFonts w:hint="eastAsia"/>
                <w:b w:val="0"/>
                <w:sz w:val="21"/>
                <w:szCs w:val="21"/>
              </w:rPr>
              <w:t>氨</w:t>
            </w:r>
          </w:p>
        </w:tc>
        <w:tc>
          <w:tcPr>
            <w:tcW w:w="2551" w:type="dxa"/>
            <w:vAlign w:val="center"/>
          </w:tcPr>
          <w:p>
            <w:pPr>
              <w:pStyle w:val="122"/>
              <w:rPr>
                <w:rFonts w:cs="Times New Roman"/>
              </w:rPr>
            </w:pPr>
            <w:r>
              <w:rPr>
                <w:rFonts w:hint="eastAsia" w:cs="Times New Roman"/>
              </w:rPr>
              <w:t>项目厂界（防护带边缘）</w:t>
            </w:r>
          </w:p>
        </w:tc>
        <w:tc>
          <w:tcPr>
            <w:tcW w:w="2126" w:type="dxa"/>
            <w:vAlign w:val="center"/>
          </w:tcPr>
          <w:p>
            <w:pPr>
              <w:pStyle w:val="78"/>
              <w:jc w:val="center"/>
              <w:rPr>
                <w:rFonts w:hint="default" w:eastAsia="宋体"/>
                <w:kern w:val="2"/>
                <w:sz w:val="21"/>
                <w:szCs w:val="21"/>
                <w:lang w:val="en-US" w:eastAsia="zh-CN"/>
              </w:rPr>
            </w:pPr>
            <w:r>
              <w:rPr>
                <w:rFonts w:hint="eastAsia" w:eastAsia="宋体"/>
                <w:kern w:val="2"/>
                <w:sz w:val="21"/>
                <w:szCs w:val="21"/>
                <w:lang w:val="en-US" w:eastAsia="zh-CN"/>
              </w:rPr>
              <w:t>1.5</w:t>
            </w:r>
          </w:p>
        </w:tc>
        <w:tc>
          <w:tcPr>
            <w:tcW w:w="2330" w:type="dxa"/>
            <w:vMerge w:val="restart"/>
            <w:vAlign w:val="center"/>
          </w:tcPr>
          <w:p>
            <w:pPr>
              <w:pStyle w:val="78"/>
              <w:jc w:val="center"/>
              <w:rPr>
                <w:rFonts w:eastAsia="宋体"/>
                <w:kern w:val="2"/>
                <w:sz w:val="21"/>
                <w:szCs w:val="21"/>
              </w:rPr>
            </w:pPr>
            <w:r>
              <w:rPr>
                <w:rFonts w:hint="eastAsia" w:eastAsia="宋体"/>
                <w:kern w:val="2"/>
                <w:sz w:val="21"/>
                <w:szCs w:val="21"/>
              </w:rPr>
              <w:t>《城镇污水处理厂污染物排放标准》（GB18918-2002）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17" w:type="dxa"/>
            <w:vAlign w:val="center"/>
          </w:tcPr>
          <w:p>
            <w:pPr>
              <w:pStyle w:val="14"/>
              <w:spacing w:line="240" w:lineRule="auto"/>
              <w:rPr>
                <w:b w:val="0"/>
                <w:sz w:val="21"/>
                <w:szCs w:val="21"/>
              </w:rPr>
            </w:pPr>
            <w:r>
              <w:rPr>
                <w:rFonts w:hint="eastAsia"/>
                <w:b w:val="0"/>
                <w:sz w:val="21"/>
                <w:szCs w:val="21"/>
              </w:rPr>
              <w:t>2</w:t>
            </w:r>
          </w:p>
        </w:tc>
        <w:tc>
          <w:tcPr>
            <w:tcW w:w="1418" w:type="dxa"/>
            <w:vAlign w:val="center"/>
          </w:tcPr>
          <w:p>
            <w:pPr>
              <w:pStyle w:val="14"/>
              <w:spacing w:line="240" w:lineRule="auto"/>
              <w:rPr>
                <w:b w:val="0"/>
                <w:sz w:val="21"/>
                <w:szCs w:val="21"/>
              </w:rPr>
            </w:pPr>
            <w:r>
              <w:rPr>
                <w:rFonts w:hint="eastAsia"/>
                <w:b w:val="0"/>
                <w:sz w:val="21"/>
                <w:szCs w:val="21"/>
              </w:rPr>
              <w:t>硫化氢</w:t>
            </w:r>
          </w:p>
        </w:tc>
        <w:tc>
          <w:tcPr>
            <w:tcW w:w="2551" w:type="dxa"/>
            <w:vAlign w:val="center"/>
          </w:tcPr>
          <w:p>
            <w:pPr>
              <w:pStyle w:val="122"/>
              <w:rPr>
                <w:rFonts w:cs="Times New Roman"/>
              </w:rPr>
            </w:pPr>
            <w:r>
              <w:rPr>
                <w:rFonts w:hint="eastAsia" w:cs="Times New Roman"/>
              </w:rPr>
              <w:t>项目厂界（防护带边缘）</w:t>
            </w:r>
          </w:p>
        </w:tc>
        <w:tc>
          <w:tcPr>
            <w:tcW w:w="2126" w:type="dxa"/>
            <w:vAlign w:val="center"/>
          </w:tcPr>
          <w:p>
            <w:pPr>
              <w:pStyle w:val="14"/>
              <w:spacing w:line="240" w:lineRule="auto"/>
              <w:rPr>
                <w:rFonts w:hint="default" w:eastAsia="宋体"/>
                <w:b w:val="0"/>
                <w:sz w:val="21"/>
                <w:szCs w:val="21"/>
                <w:lang w:val="en-US" w:eastAsia="zh-CN"/>
              </w:rPr>
            </w:pPr>
            <w:r>
              <w:rPr>
                <w:rFonts w:hint="eastAsia"/>
                <w:b w:val="0"/>
                <w:sz w:val="21"/>
                <w:szCs w:val="21"/>
                <w:lang w:val="en-US" w:eastAsia="zh-CN"/>
              </w:rPr>
              <w:t>0.06</w:t>
            </w:r>
          </w:p>
        </w:tc>
        <w:tc>
          <w:tcPr>
            <w:tcW w:w="2330" w:type="dxa"/>
            <w:vMerge w:val="continue"/>
            <w:vAlign w:val="center"/>
          </w:tcPr>
          <w:p>
            <w:pPr>
              <w:pStyle w:val="14"/>
              <w:spacing w:line="240" w:lineRule="auto"/>
              <w:ind w:firstLine="422"/>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4"/>
              <w:spacing w:line="240" w:lineRule="auto"/>
              <w:rPr>
                <w:b w:val="0"/>
                <w:sz w:val="21"/>
                <w:szCs w:val="21"/>
              </w:rPr>
            </w:pPr>
            <w:r>
              <w:rPr>
                <w:rFonts w:hint="eastAsia"/>
                <w:b w:val="0"/>
                <w:sz w:val="21"/>
                <w:szCs w:val="21"/>
              </w:rPr>
              <w:t>3</w:t>
            </w:r>
          </w:p>
        </w:tc>
        <w:tc>
          <w:tcPr>
            <w:tcW w:w="1418" w:type="dxa"/>
            <w:vAlign w:val="center"/>
          </w:tcPr>
          <w:p>
            <w:pPr>
              <w:pStyle w:val="14"/>
              <w:spacing w:line="240" w:lineRule="auto"/>
              <w:rPr>
                <w:b w:val="0"/>
                <w:sz w:val="21"/>
                <w:szCs w:val="21"/>
              </w:rPr>
            </w:pPr>
            <w:r>
              <w:rPr>
                <w:rFonts w:hint="eastAsia"/>
                <w:b w:val="0"/>
                <w:sz w:val="21"/>
                <w:szCs w:val="21"/>
              </w:rPr>
              <w:t>臭气</w:t>
            </w:r>
          </w:p>
        </w:tc>
        <w:tc>
          <w:tcPr>
            <w:tcW w:w="2551" w:type="dxa"/>
            <w:vAlign w:val="center"/>
          </w:tcPr>
          <w:p>
            <w:pPr>
              <w:pStyle w:val="122"/>
              <w:rPr>
                <w:rFonts w:cs="Times New Roman"/>
              </w:rPr>
            </w:pPr>
            <w:r>
              <w:rPr>
                <w:rFonts w:hint="eastAsia" w:cs="Times New Roman"/>
              </w:rPr>
              <w:t>项目厂界（防护带边缘）</w:t>
            </w:r>
          </w:p>
        </w:tc>
        <w:tc>
          <w:tcPr>
            <w:tcW w:w="2126" w:type="dxa"/>
            <w:vAlign w:val="center"/>
          </w:tcPr>
          <w:p>
            <w:pPr>
              <w:pStyle w:val="14"/>
              <w:spacing w:line="240" w:lineRule="auto"/>
              <w:rPr>
                <w:b w:val="0"/>
                <w:sz w:val="21"/>
                <w:szCs w:val="21"/>
              </w:rPr>
            </w:pPr>
            <w:r>
              <w:rPr>
                <w:rFonts w:hint="eastAsia"/>
                <w:b w:val="0"/>
                <w:sz w:val="21"/>
                <w:szCs w:val="21"/>
              </w:rPr>
              <w:t>20（无纲量）</w:t>
            </w:r>
          </w:p>
        </w:tc>
        <w:tc>
          <w:tcPr>
            <w:tcW w:w="2330" w:type="dxa"/>
            <w:vMerge w:val="continue"/>
            <w:vAlign w:val="center"/>
          </w:tcPr>
          <w:p>
            <w:pPr>
              <w:pStyle w:val="14"/>
              <w:spacing w:line="240" w:lineRule="auto"/>
              <w:ind w:firstLine="422"/>
              <w:rPr>
                <w:b w:val="0"/>
                <w:sz w:val="21"/>
                <w:szCs w:val="21"/>
              </w:rPr>
            </w:pPr>
          </w:p>
        </w:tc>
      </w:tr>
    </w:tbl>
    <w:p>
      <w:pPr>
        <w:pStyle w:val="61"/>
        <w:rPr>
          <w:color w:val="000000" w:themeColor="text1"/>
        </w:rPr>
      </w:pPr>
      <w:r>
        <w:rPr>
          <w:rFonts w:hint="eastAsia"/>
          <w:color w:val="000000" w:themeColor="text1"/>
        </w:rPr>
        <w:t>废水</w:t>
      </w:r>
    </w:p>
    <w:p>
      <w:pPr>
        <w:spacing w:line="360" w:lineRule="auto"/>
        <w:ind w:firstLine="480" w:firstLineChars="200"/>
        <w:rPr>
          <w:rFonts w:cs="Times New Roman"/>
        </w:rPr>
      </w:pPr>
      <w:r>
        <w:rPr>
          <w:rFonts w:cs="Times New Roman"/>
        </w:rPr>
        <w:t>项目废水排放执行《城镇污水处理厂污染物排放标准》（GB18918-2002）一级A标准，具体见下表。</w:t>
      </w:r>
    </w:p>
    <w:p>
      <w:pPr>
        <w:pStyle w:val="14"/>
        <w:spacing w:line="240" w:lineRule="auto"/>
        <w:rPr>
          <w:rFonts w:cs="Times New Roman"/>
          <w:color w:val="000000" w:themeColor="text1"/>
        </w:rPr>
      </w:pPr>
      <w:r>
        <w:rPr>
          <w:rFonts w:cs="Times New Roman"/>
          <w:color w:val="000000" w:themeColor="text1"/>
        </w:rPr>
        <w:t>表</w:t>
      </w:r>
      <w:r>
        <w:rPr>
          <w:rFonts w:cs="Times New Roman"/>
          <w:color w:val="000000" w:themeColor="text1"/>
        </w:rPr>
        <w:fldChar w:fldCharType="begin"/>
      </w:r>
      <w:r>
        <w:rPr>
          <w:rFonts w:cs="Times New Roman"/>
          <w:color w:val="000000" w:themeColor="text1"/>
        </w:rPr>
        <w:instrText xml:space="preserve"> STYLEREF 2 \s </w:instrText>
      </w:r>
      <w:r>
        <w:rPr>
          <w:rFonts w:cs="Times New Roman"/>
          <w:color w:val="000000" w:themeColor="text1"/>
        </w:rPr>
        <w:fldChar w:fldCharType="separate"/>
      </w:r>
      <w:r>
        <w:rPr>
          <w:rFonts w:cs="Times New Roman"/>
          <w:color w:val="000000" w:themeColor="text1"/>
        </w:rPr>
        <w:t>1.4</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cs="Times New Roman"/>
          <w:color w:val="000000" w:themeColor="text1"/>
        </w:rPr>
        <w:instrText xml:space="preserve"> SEQ 表 \* ARABIC \s 2 </w:instrText>
      </w:r>
      <w:r>
        <w:rPr>
          <w:rFonts w:cs="Times New Roman"/>
          <w:color w:val="000000" w:themeColor="text1"/>
        </w:rPr>
        <w:fldChar w:fldCharType="separate"/>
      </w:r>
      <w:r>
        <w:rPr>
          <w:rFonts w:cs="Times New Roman"/>
          <w:color w:val="000000" w:themeColor="text1"/>
        </w:rPr>
        <w:t>9</w:t>
      </w:r>
      <w:r>
        <w:rPr>
          <w:rFonts w:cs="Times New Roman"/>
          <w:color w:val="000000" w:themeColor="text1"/>
        </w:rPr>
        <w:fldChar w:fldCharType="end"/>
      </w:r>
      <w:r>
        <w:rPr>
          <w:rFonts w:cs="Times New Roman"/>
          <w:color w:val="000000" w:themeColor="text1"/>
        </w:rPr>
        <w:t>《城镇污水处理厂污染物排放标准》</w:t>
      </w:r>
      <w:r>
        <w:rPr>
          <w:rFonts w:cs="Times New Roman" w:hAnsiTheme="minorEastAsia" w:eastAsiaTheme="minorEastAsia"/>
          <w:color w:val="000000" w:themeColor="text1"/>
        </w:rPr>
        <w:t>（</w:t>
      </w:r>
      <w:r>
        <w:rPr>
          <w:rFonts w:cs="Times New Roman"/>
          <w:color w:val="000000" w:themeColor="text1"/>
          <w:szCs w:val="24"/>
        </w:rPr>
        <w:t>GB18918-2002</w:t>
      </w:r>
      <w:r>
        <w:rPr>
          <w:rFonts w:cs="Times New Roman" w:hAnsiTheme="minorEastAsia" w:eastAsiaTheme="minorEastAsia"/>
          <w:color w:val="000000" w:themeColor="text1"/>
        </w:rPr>
        <w:t>）单位</w:t>
      </w:r>
      <w:r>
        <w:rPr>
          <w:rFonts w:cs="Times New Roman" w:eastAsiaTheme="minorEastAsia"/>
          <w:color w:val="000000" w:themeColor="text1"/>
        </w:rPr>
        <w:t>mg/L</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3356"/>
        <w:gridCol w:w="3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861" w:type="pct"/>
            <w:gridSpan w:val="2"/>
            <w:vAlign w:val="center"/>
          </w:tcPr>
          <w:p>
            <w:pPr>
              <w:pStyle w:val="122"/>
              <w:ind w:firstLine="480"/>
              <w:rPr>
                <w:rFonts w:cs="Times New Roman"/>
              </w:rPr>
            </w:pPr>
            <w:r>
              <w:rPr>
                <w:rFonts w:cs="Times New Roman"/>
              </w:rPr>
              <w:t>项目</w:t>
            </w:r>
          </w:p>
        </w:tc>
        <w:tc>
          <w:tcPr>
            <w:tcW w:w="2138" w:type="pct"/>
            <w:vAlign w:val="center"/>
          </w:tcPr>
          <w:p>
            <w:pPr>
              <w:pStyle w:val="122"/>
              <w:rPr>
                <w:rFonts w:cs="Times New Roman"/>
              </w:rPr>
            </w:pPr>
            <w:r>
              <w:rPr>
                <w:rFonts w:cs="Times New Roman"/>
              </w:rPr>
              <w:t>排放标准值（一级A标准）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restart"/>
            <w:vAlign w:val="center"/>
          </w:tcPr>
          <w:p>
            <w:pPr>
              <w:pStyle w:val="122"/>
              <w:rPr>
                <w:rFonts w:cs="Times New Roman"/>
              </w:rPr>
            </w:pPr>
            <w:r>
              <w:rPr>
                <w:rFonts w:cs="Times New Roman"/>
              </w:rPr>
              <w:t>基本</w:t>
            </w:r>
          </w:p>
          <w:p>
            <w:pPr>
              <w:pStyle w:val="122"/>
              <w:rPr>
                <w:rFonts w:cs="Times New Roman"/>
              </w:rPr>
            </w:pPr>
            <w:r>
              <w:rPr>
                <w:rFonts w:cs="Times New Roman"/>
              </w:rPr>
              <w:t>控制</w:t>
            </w:r>
          </w:p>
          <w:p>
            <w:pPr>
              <w:pStyle w:val="122"/>
              <w:rPr>
                <w:rFonts w:cs="Times New Roman"/>
              </w:rPr>
            </w:pPr>
            <w:r>
              <w:rPr>
                <w:rFonts w:cs="Times New Roman"/>
              </w:rPr>
              <w:t>项目</w:t>
            </w:r>
          </w:p>
        </w:tc>
        <w:tc>
          <w:tcPr>
            <w:tcW w:w="1815" w:type="pct"/>
            <w:vAlign w:val="center"/>
          </w:tcPr>
          <w:p>
            <w:pPr>
              <w:pStyle w:val="122"/>
              <w:rPr>
                <w:rFonts w:cs="Times New Roman"/>
              </w:rPr>
            </w:pPr>
            <w:r>
              <w:rPr>
                <w:rFonts w:cs="Times New Roman"/>
              </w:rPr>
              <w:t>pH</w:t>
            </w:r>
          </w:p>
        </w:tc>
        <w:tc>
          <w:tcPr>
            <w:tcW w:w="2138" w:type="pct"/>
            <w:vAlign w:val="center"/>
          </w:tcPr>
          <w:p>
            <w:pPr>
              <w:pStyle w:val="122"/>
              <w:rPr>
                <w:rFonts w:cs="Times New Roman"/>
              </w:rPr>
            </w:pPr>
            <w:r>
              <w:rPr>
                <w:rFonts w:cs="Times New Roma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COD</w:t>
            </w:r>
            <w:r>
              <w:rPr>
                <w:rFonts w:cs="Times New Roman"/>
                <w:vertAlign w:val="subscript"/>
              </w:rPr>
              <w:t>Cr</w:t>
            </w:r>
          </w:p>
        </w:tc>
        <w:tc>
          <w:tcPr>
            <w:tcW w:w="2138" w:type="pct"/>
            <w:vAlign w:val="center"/>
          </w:tcPr>
          <w:p>
            <w:pPr>
              <w:pStyle w:val="122"/>
              <w:rPr>
                <w:rFonts w:cs="Times New Roman"/>
              </w:rPr>
            </w:pPr>
            <w:r>
              <w:rPr>
                <w:rFonts w:cs="Times New Roma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BOD</w:t>
            </w:r>
            <w:r>
              <w:rPr>
                <w:rFonts w:cs="Times New Roman"/>
                <w:vertAlign w:val="subscript"/>
              </w:rPr>
              <w:t>5</w:t>
            </w:r>
          </w:p>
        </w:tc>
        <w:tc>
          <w:tcPr>
            <w:tcW w:w="2138" w:type="pct"/>
            <w:vAlign w:val="center"/>
          </w:tcPr>
          <w:p>
            <w:pPr>
              <w:pStyle w:val="122"/>
              <w:rPr>
                <w:rFonts w:cs="Times New Roman"/>
              </w:rPr>
            </w:pPr>
            <w:r>
              <w:rPr>
                <w:rFonts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悬浮物（SS）</w:t>
            </w:r>
          </w:p>
        </w:tc>
        <w:tc>
          <w:tcPr>
            <w:tcW w:w="2138" w:type="pct"/>
            <w:vAlign w:val="center"/>
          </w:tcPr>
          <w:p>
            <w:pPr>
              <w:pStyle w:val="122"/>
              <w:rPr>
                <w:rFonts w:cs="Times New Roman"/>
              </w:rPr>
            </w:pPr>
            <w:r>
              <w:rPr>
                <w:rFonts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动植物油</w:t>
            </w:r>
          </w:p>
        </w:tc>
        <w:tc>
          <w:tcPr>
            <w:tcW w:w="2138" w:type="pct"/>
            <w:vAlign w:val="center"/>
          </w:tcPr>
          <w:p>
            <w:pPr>
              <w:pStyle w:val="122"/>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石油类</w:t>
            </w:r>
          </w:p>
        </w:tc>
        <w:tc>
          <w:tcPr>
            <w:tcW w:w="2138" w:type="pct"/>
            <w:vAlign w:val="center"/>
          </w:tcPr>
          <w:p>
            <w:pPr>
              <w:pStyle w:val="122"/>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氨氮（以N计）</w:t>
            </w:r>
          </w:p>
        </w:tc>
        <w:tc>
          <w:tcPr>
            <w:tcW w:w="2138" w:type="pct"/>
            <w:vAlign w:val="center"/>
          </w:tcPr>
          <w:p>
            <w:pPr>
              <w:pStyle w:val="122"/>
              <w:rPr>
                <w:rFonts w:cs="Times New Roman"/>
              </w:rPr>
            </w:pPr>
            <w:r>
              <w:rPr>
                <w:rFonts w:cs="Times New Roman"/>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总氮（以N计）</w:t>
            </w:r>
          </w:p>
        </w:tc>
        <w:tc>
          <w:tcPr>
            <w:tcW w:w="2138" w:type="pct"/>
            <w:vAlign w:val="center"/>
          </w:tcPr>
          <w:p>
            <w:pPr>
              <w:pStyle w:val="122"/>
              <w:rPr>
                <w:rFonts w:cs="Times New Roman"/>
              </w:rPr>
            </w:pPr>
            <w:r>
              <w:rPr>
                <w:rFonts w:cs="Times New Roma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总磷（以p计）</w:t>
            </w:r>
          </w:p>
        </w:tc>
        <w:tc>
          <w:tcPr>
            <w:tcW w:w="2138" w:type="pct"/>
            <w:vAlign w:val="center"/>
          </w:tcPr>
          <w:p>
            <w:pPr>
              <w:pStyle w:val="122"/>
              <w:rPr>
                <w:rFonts w:cs="Times New Roman"/>
              </w:rPr>
            </w:pPr>
            <w:r>
              <w:rPr>
                <w:rFonts w:cs="Times New Roma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色度（稀释倍数）</w:t>
            </w:r>
          </w:p>
        </w:tc>
        <w:tc>
          <w:tcPr>
            <w:tcW w:w="2138" w:type="pct"/>
            <w:vAlign w:val="center"/>
          </w:tcPr>
          <w:p>
            <w:pPr>
              <w:pStyle w:val="122"/>
              <w:rPr>
                <w:rFonts w:cs="Times New Roman"/>
              </w:rPr>
            </w:pPr>
            <w:r>
              <w:rPr>
                <w:rFonts w:cs="Times New Roma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45" w:type="pct"/>
            <w:vMerge w:val="continue"/>
            <w:vAlign w:val="center"/>
          </w:tcPr>
          <w:p>
            <w:pPr>
              <w:pStyle w:val="122"/>
              <w:rPr>
                <w:rFonts w:cs="Times New Roman"/>
              </w:rPr>
            </w:pPr>
          </w:p>
        </w:tc>
        <w:tc>
          <w:tcPr>
            <w:tcW w:w="1815" w:type="pct"/>
            <w:vAlign w:val="center"/>
          </w:tcPr>
          <w:p>
            <w:pPr>
              <w:pStyle w:val="122"/>
              <w:rPr>
                <w:rFonts w:cs="Times New Roman"/>
              </w:rPr>
            </w:pPr>
            <w:r>
              <w:rPr>
                <w:rFonts w:cs="Times New Roman"/>
              </w:rPr>
              <w:t>粪大肠菌群数（个/L）</w:t>
            </w:r>
          </w:p>
        </w:tc>
        <w:tc>
          <w:tcPr>
            <w:tcW w:w="2138" w:type="pct"/>
            <w:vAlign w:val="center"/>
          </w:tcPr>
          <w:p>
            <w:pPr>
              <w:pStyle w:val="122"/>
              <w:rPr>
                <w:rFonts w:cs="Times New Roman"/>
              </w:rPr>
            </w:pPr>
            <w:r>
              <w:rPr>
                <w:rFonts w:cs="Times New Roman"/>
              </w:rPr>
              <w:t>≤10</w:t>
            </w:r>
            <w:r>
              <w:rPr>
                <w:rFonts w:cs="Times New Roman"/>
                <w:vertAlign w:val="superscript"/>
              </w:rPr>
              <w:t>3</w:t>
            </w:r>
          </w:p>
        </w:tc>
      </w:tr>
    </w:tbl>
    <w:p>
      <w:pPr>
        <w:pStyle w:val="100"/>
        <w:spacing w:line="240" w:lineRule="auto"/>
        <w:ind w:firstLine="480"/>
      </w:pPr>
      <w:r>
        <w:rPr>
          <w:rFonts w:hint="eastAsia"/>
        </w:rPr>
        <w:t>注：</w:t>
      </w:r>
      <w:r>
        <w:t>括号外数值为水温&gt;12℃时的控制指标</w:t>
      </w:r>
    </w:p>
    <w:p>
      <w:pPr>
        <w:pStyle w:val="61"/>
        <w:rPr>
          <w:color w:val="000000" w:themeColor="text1"/>
        </w:rPr>
      </w:pPr>
      <w:r>
        <w:rPr>
          <w:rFonts w:hint="eastAsia"/>
          <w:color w:val="000000" w:themeColor="text1"/>
        </w:rPr>
        <w:t>噪声</w:t>
      </w:r>
    </w:p>
    <w:p>
      <w:pPr>
        <w:spacing w:line="360" w:lineRule="auto"/>
        <w:ind w:firstLine="480" w:firstLineChars="200"/>
        <w:rPr>
          <w:rFonts w:cs="Times New Roman"/>
          <w:color w:val="000000" w:themeColor="text1"/>
        </w:rPr>
      </w:pPr>
      <w:r>
        <w:rPr>
          <w:rFonts w:cs="Times New Roman"/>
          <w:color w:val="000000" w:themeColor="text1"/>
        </w:rPr>
        <w:t>营运期厂界执行《工业企业厂界环境噪声排放标准》（GB12348-2008）</w:t>
      </w:r>
      <w:r>
        <w:rPr>
          <w:rFonts w:hint="eastAsia" w:cs="Times New Roman"/>
          <w:color w:val="000000" w:themeColor="text1"/>
        </w:rPr>
        <w:t>3</w:t>
      </w:r>
      <w:r>
        <w:rPr>
          <w:rFonts w:cs="Times New Roman"/>
          <w:color w:val="000000" w:themeColor="text1"/>
        </w:rPr>
        <w:t>类</w:t>
      </w:r>
      <w:r>
        <w:rPr>
          <w:rFonts w:hint="eastAsia" w:cs="Times New Roman"/>
          <w:color w:val="000000" w:themeColor="text1"/>
        </w:rPr>
        <w:t>区</w:t>
      </w:r>
      <w:r>
        <w:rPr>
          <w:rFonts w:cs="Times New Roman"/>
          <w:color w:val="000000" w:themeColor="text1"/>
        </w:rPr>
        <w:t>标准，具体见</w:t>
      </w:r>
      <w:r>
        <w:fldChar w:fldCharType="begin"/>
      </w:r>
      <w:r>
        <w:instrText xml:space="preserve"> REF _Ref493601962 \h  \* MERGEFORMAT </w:instrText>
      </w:r>
      <w:r>
        <w:fldChar w:fldCharType="separate"/>
      </w:r>
      <w:r>
        <w:rPr>
          <w:rFonts w:hint="eastAsia" w:cs="Times New Roman"/>
          <w:color w:val="000000" w:themeColor="text1"/>
        </w:rPr>
        <w:t>表</w:t>
      </w:r>
      <w:r>
        <w:rPr>
          <w:rFonts w:cs="Times New Roman"/>
          <w:color w:val="000000" w:themeColor="text1"/>
        </w:rPr>
        <w:t>1.4</w:t>
      </w:r>
      <w:r>
        <w:rPr>
          <w:rFonts w:cs="Times New Roman"/>
          <w:color w:val="000000" w:themeColor="text1"/>
        </w:rPr>
        <w:noBreakHyphen/>
      </w:r>
      <w:r>
        <w:rPr>
          <w:rFonts w:cs="Times New Roman"/>
          <w:color w:val="000000" w:themeColor="text1"/>
        </w:rPr>
        <w:t>10</w:t>
      </w:r>
      <w:r>
        <w:rPr>
          <w:rFonts w:cs="Times New Roman"/>
          <w:color w:val="000000" w:themeColor="text1"/>
        </w:rPr>
        <w:fldChar w:fldCharType="end"/>
      </w:r>
      <w:r>
        <w:rPr>
          <w:rFonts w:hint="eastAsia" w:cs="Times New Roman"/>
          <w:color w:val="000000" w:themeColor="text1"/>
        </w:rPr>
        <w:t>。</w:t>
      </w:r>
    </w:p>
    <w:p>
      <w:pPr>
        <w:pStyle w:val="61"/>
        <w:numPr>
          <w:ilvl w:val="0"/>
          <w:numId w:val="0"/>
        </w:numPr>
        <w:spacing w:line="240" w:lineRule="auto"/>
        <w:jc w:val="center"/>
        <w:outlineLvl w:val="9"/>
        <w:rPr>
          <w:rFonts w:cs="Times New Roman"/>
          <w:bCs w:val="0"/>
          <w:color w:val="000000" w:themeColor="text1"/>
          <w:szCs w:val="21"/>
        </w:rPr>
      </w:pPr>
      <w:bookmarkStart w:id="64" w:name="_Ref493601962"/>
      <w:r>
        <w:rPr>
          <w:rFonts w:hint="eastAsia" w:cs="Times New Roman"/>
          <w:bCs w:val="0"/>
          <w:color w:val="000000" w:themeColor="text1"/>
          <w:szCs w:val="21"/>
        </w:rPr>
        <w:t>表</w:t>
      </w:r>
      <w:r>
        <w:rPr>
          <w:rFonts w:cs="Times New Roman"/>
          <w:bCs w:val="0"/>
          <w:color w:val="000000" w:themeColor="text1"/>
          <w:szCs w:val="21"/>
        </w:rPr>
        <w:fldChar w:fldCharType="begin"/>
      </w:r>
      <w:r>
        <w:rPr>
          <w:rFonts w:hint="eastAsia" w:cs="Times New Roman"/>
          <w:bCs w:val="0"/>
          <w:color w:val="000000" w:themeColor="text1"/>
          <w:szCs w:val="21"/>
        </w:rPr>
        <w:instrText xml:space="preserve">STYLEREF 2 \s</w:instrText>
      </w:r>
      <w:r>
        <w:rPr>
          <w:rFonts w:cs="Times New Roman"/>
          <w:bCs w:val="0"/>
          <w:color w:val="000000" w:themeColor="text1"/>
          <w:szCs w:val="21"/>
        </w:rPr>
        <w:fldChar w:fldCharType="separate"/>
      </w:r>
      <w:r>
        <w:rPr>
          <w:rFonts w:cs="Times New Roman"/>
          <w:bCs w:val="0"/>
          <w:color w:val="000000" w:themeColor="text1"/>
          <w:szCs w:val="21"/>
        </w:rPr>
        <w:t>1.4</w:t>
      </w:r>
      <w:r>
        <w:rPr>
          <w:rFonts w:cs="Times New Roman"/>
          <w:bCs w:val="0"/>
          <w:color w:val="000000" w:themeColor="text1"/>
          <w:szCs w:val="21"/>
        </w:rPr>
        <w:fldChar w:fldCharType="end"/>
      </w:r>
      <w:r>
        <w:rPr>
          <w:rFonts w:cs="Times New Roman"/>
          <w:bCs w:val="0"/>
          <w:color w:val="000000" w:themeColor="text1"/>
          <w:szCs w:val="21"/>
        </w:rPr>
        <w:noBreakHyphen/>
      </w:r>
      <w:r>
        <w:rPr>
          <w:rFonts w:cs="Times New Roman"/>
          <w:bCs w:val="0"/>
          <w:color w:val="000000" w:themeColor="text1"/>
          <w:szCs w:val="21"/>
        </w:rPr>
        <w:fldChar w:fldCharType="begin"/>
      </w:r>
      <w:r>
        <w:rPr>
          <w:rFonts w:hint="eastAsia" w:cs="Times New Roman"/>
          <w:bCs w:val="0"/>
          <w:color w:val="000000" w:themeColor="text1"/>
          <w:szCs w:val="21"/>
        </w:rPr>
        <w:instrText xml:space="preserve">SEQ 表 \* ARABIC \s 2</w:instrText>
      </w:r>
      <w:r>
        <w:rPr>
          <w:rFonts w:cs="Times New Roman"/>
          <w:bCs w:val="0"/>
          <w:color w:val="000000" w:themeColor="text1"/>
          <w:szCs w:val="21"/>
        </w:rPr>
        <w:fldChar w:fldCharType="separate"/>
      </w:r>
      <w:r>
        <w:rPr>
          <w:rFonts w:hint="eastAsia" w:cs="Times New Roman"/>
          <w:bCs w:val="0"/>
          <w:color w:val="000000" w:themeColor="text1"/>
          <w:szCs w:val="21"/>
        </w:rPr>
        <w:t>10</w:t>
      </w:r>
      <w:r>
        <w:rPr>
          <w:rFonts w:cs="Times New Roman"/>
          <w:bCs w:val="0"/>
          <w:color w:val="000000" w:themeColor="text1"/>
          <w:szCs w:val="21"/>
        </w:rPr>
        <w:fldChar w:fldCharType="end"/>
      </w:r>
      <w:bookmarkEnd w:id="64"/>
      <w:r>
        <w:rPr>
          <w:rFonts w:hint="eastAsia" w:cs="Times New Roman"/>
          <w:bCs w:val="0"/>
          <w:color w:val="000000" w:themeColor="text1"/>
          <w:szCs w:val="21"/>
        </w:rPr>
        <w:t xml:space="preserve"> 《</w:t>
      </w:r>
      <w:r>
        <w:rPr>
          <w:rFonts w:cs="Times New Roman"/>
          <w:bCs w:val="0"/>
          <w:color w:val="000000" w:themeColor="text1"/>
          <w:szCs w:val="21"/>
        </w:rPr>
        <w:t>工业企业厂界环境噪声排放标准</w:t>
      </w:r>
      <w:r>
        <w:rPr>
          <w:rFonts w:hint="eastAsia" w:cs="Times New Roman"/>
          <w:bCs w:val="0"/>
          <w:color w:val="000000" w:themeColor="text1"/>
          <w:szCs w:val="21"/>
        </w:rPr>
        <w:t>》</w:t>
      </w:r>
      <w:r>
        <w:rPr>
          <w:rFonts w:cs="Times New Roman"/>
          <w:bCs w:val="0"/>
          <w:color w:val="000000" w:themeColor="text1"/>
          <w:szCs w:val="21"/>
        </w:rPr>
        <w:t xml:space="preserve"> 单位：dB（A）</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2949"/>
        <w:gridCol w:w="3067"/>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6" w:type="dxa"/>
            <w:vAlign w:val="center"/>
          </w:tcPr>
          <w:p>
            <w:pPr>
              <w:spacing w:line="240" w:lineRule="exact"/>
              <w:jc w:val="center"/>
              <w:rPr>
                <w:rFonts w:cs="Times New Roman"/>
                <w:color w:val="000000" w:themeColor="text1"/>
                <w:sz w:val="21"/>
              </w:rPr>
            </w:pPr>
            <w:r>
              <w:rPr>
                <w:rFonts w:cs="Times New Roman"/>
                <w:color w:val="000000" w:themeColor="text1"/>
                <w:sz w:val="21"/>
              </w:rPr>
              <w:t>类别</w:t>
            </w:r>
          </w:p>
        </w:tc>
        <w:tc>
          <w:tcPr>
            <w:tcW w:w="2949" w:type="dxa"/>
            <w:vAlign w:val="center"/>
          </w:tcPr>
          <w:p>
            <w:pPr>
              <w:spacing w:line="240" w:lineRule="exact"/>
              <w:jc w:val="center"/>
              <w:rPr>
                <w:rFonts w:cs="Times New Roman"/>
                <w:color w:val="000000" w:themeColor="text1"/>
                <w:sz w:val="21"/>
              </w:rPr>
            </w:pPr>
            <w:r>
              <w:rPr>
                <w:rFonts w:cs="Times New Roman"/>
                <w:color w:val="000000" w:themeColor="text1"/>
                <w:sz w:val="21"/>
              </w:rPr>
              <w:t>昼间</w:t>
            </w:r>
          </w:p>
        </w:tc>
        <w:tc>
          <w:tcPr>
            <w:tcW w:w="3067" w:type="dxa"/>
            <w:vAlign w:val="center"/>
          </w:tcPr>
          <w:p>
            <w:pPr>
              <w:spacing w:line="240" w:lineRule="exact"/>
              <w:jc w:val="center"/>
              <w:rPr>
                <w:rFonts w:cs="Times New Roman"/>
                <w:color w:val="000000" w:themeColor="text1"/>
                <w:sz w:val="21"/>
              </w:rPr>
            </w:pPr>
            <w:r>
              <w:rPr>
                <w:rFonts w:cs="Times New Roman"/>
                <w:color w:val="000000" w:themeColor="text1"/>
                <w:sz w:val="21"/>
              </w:rPr>
              <w:t>夜间</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226" w:type="dxa"/>
            <w:vAlign w:val="center"/>
          </w:tcPr>
          <w:p>
            <w:pPr>
              <w:spacing w:line="240" w:lineRule="exact"/>
              <w:jc w:val="center"/>
              <w:rPr>
                <w:rFonts w:cs="Times New Roman"/>
                <w:color w:val="000000" w:themeColor="text1"/>
                <w:sz w:val="21"/>
              </w:rPr>
            </w:pPr>
            <w:r>
              <w:rPr>
                <w:rFonts w:hint="eastAsia" w:cs="Times New Roman"/>
                <w:color w:val="000000" w:themeColor="text1"/>
                <w:sz w:val="21"/>
              </w:rPr>
              <w:t>3</w:t>
            </w:r>
            <w:r>
              <w:rPr>
                <w:rFonts w:cs="Times New Roman"/>
                <w:color w:val="000000" w:themeColor="text1"/>
                <w:sz w:val="21"/>
              </w:rPr>
              <w:t>类</w:t>
            </w:r>
          </w:p>
        </w:tc>
        <w:tc>
          <w:tcPr>
            <w:tcW w:w="2949" w:type="dxa"/>
            <w:vAlign w:val="center"/>
          </w:tcPr>
          <w:p>
            <w:pPr>
              <w:spacing w:line="240" w:lineRule="exact"/>
              <w:jc w:val="center"/>
              <w:rPr>
                <w:rFonts w:cs="Times New Roman"/>
                <w:color w:val="000000" w:themeColor="text1"/>
                <w:sz w:val="21"/>
              </w:rPr>
            </w:pPr>
            <w:r>
              <w:rPr>
                <w:rFonts w:cs="Times New Roman"/>
                <w:color w:val="000000" w:themeColor="text1"/>
                <w:sz w:val="21"/>
              </w:rPr>
              <w:t>6</w:t>
            </w:r>
            <w:r>
              <w:rPr>
                <w:rFonts w:hint="eastAsia" w:cs="Times New Roman"/>
                <w:color w:val="000000" w:themeColor="text1"/>
                <w:sz w:val="21"/>
              </w:rPr>
              <w:t>5</w:t>
            </w:r>
          </w:p>
        </w:tc>
        <w:tc>
          <w:tcPr>
            <w:tcW w:w="3067" w:type="dxa"/>
            <w:vAlign w:val="center"/>
          </w:tcPr>
          <w:p>
            <w:pPr>
              <w:spacing w:line="240" w:lineRule="exact"/>
              <w:jc w:val="center"/>
              <w:rPr>
                <w:rFonts w:cs="Times New Roman"/>
                <w:color w:val="000000" w:themeColor="text1"/>
                <w:sz w:val="21"/>
              </w:rPr>
            </w:pPr>
            <w:r>
              <w:rPr>
                <w:rFonts w:cs="Times New Roman"/>
                <w:color w:val="000000" w:themeColor="text1"/>
                <w:sz w:val="21"/>
              </w:rPr>
              <w:t>5</w:t>
            </w:r>
            <w:r>
              <w:rPr>
                <w:rFonts w:hint="eastAsia" w:cs="Times New Roman"/>
                <w:color w:val="000000" w:themeColor="text1"/>
                <w:sz w:val="21"/>
              </w:rPr>
              <w:t>5</w:t>
            </w:r>
          </w:p>
        </w:tc>
      </w:tr>
    </w:tbl>
    <w:p>
      <w:pPr>
        <w:pStyle w:val="61"/>
        <w:adjustRightInd w:val="0"/>
        <w:snapToGrid w:val="0"/>
        <w:rPr>
          <w:color w:val="000000" w:themeColor="text1"/>
        </w:rPr>
      </w:pPr>
      <w:r>
        <w:rPr>
          <w:rFonts w:hint="eastAsia"/>
          <w:color w:val="000000" w:themeColor="text1"/>
        </w:rPr>
        <w:t>固体废物</w:t>
      </w:r>
    </w:p>
    <w:p>
      <w:pPr>
        <w:autoSpaceDE w:val="0"/>
        <w:autoSpaceDN w:val="0"/>
        <w:adjustRightInd w:val="0"/>
        <w:snapToGrid w:val="0"/>
        <w:spacing w:line="360" w:lineRule="auto"/>
        <w:ind w:firstLine="480" w:firstLineChars="200"/>
        <w:rPr>
          <w:rFonts w:cs="Times New Roman"/>
        </w:rPr>
      </w:pPr>
      <w:r>
        <w:rPr>
          <w:rFonts w:cs="Times New Roman"/>
        </w:rPr>
        <w:t>一般固体废弃物执行《一般工业固体废弃物贮存、处置场污染控制标准》（GB18599-2001）中标准及环境保护部2013年第36号修改单公告。</w:t>
      </w:r>
    </w:p>
    <w:p>
      <w:pPr>
        <w:pStyle w:val="4"/>
        <w:adjustRightInd w:val="0"/>
        <w:snapToGrid w:val="0"/>
        <w:rPr>
          <w:color w:val="000000" w:themeColor="text1"/>
        </w:rPr>
      </w:pPr>
      <w:bookmarkStart w:id="65" w:name="_Toc532376136"/>
      <w:bookmarkStart w:id="66" w:name="_Toc22017"/>
      <w:bookmarkStart w:id="67" w:name="_Toc532763193"/>
      <w:bookmarkStart w:id="68" w:name="_Toc532497611"/>
      <w:bookmarkStart w:id="69" w:name="_Toc532498729"/>
      <w:r>
        <w:rPr>
          <w:rFonts w:hint="eastAsia"/>
          <w:color w:val="000000" w:themeColor="text1"/>
        </w:rPr>
        <w:t>评价</w:t>
      </w:r>
      <w:r>
        <w:rPr>
          <w:color w:val="000000" w:themeColor="text1"/>
        </w:rPr>
        <w:t>等级</w:t>
      </w:r>
      <w:bookmarkEnd w:id="65"/>
      <w:bookmarkEnd w:id="66"/>
      <w:bookmarkEnd w:id="67"/>
      <w:bookmarkEnd w:id="68"/>
      <w:bookmarkEnd w:id="69"/>
    </w:p>
    <w:p>
      <w:pPr>
        <w:pStyle w:val="5"/>
        <w:rPr>
          <w:color w:val="000000" w:themeColor="text1"/>
        </w:rPr>
      </w:pPr>
      <w:bookmarkStart w:id="70" w:name="_Toc532497612"/>
      <w:r>
        <w:rPr>
          <w:rFonts w:hint="eastAsia"/>
          <w:color w:val="000000" w:themeColor="text1"/>
        </w:rPr>
        <w:t>评价等级</w:t>
      </w:r>
      <w:bookmarkEnd w:id="70"/>
    </w:p>
    <w:p>
      <w:pPr>
        <w:pStyle w:val="61"/>
        <w:adjustRightInd w:val="0"/>
        <w:snapToGrid w:val="0"/>
        <w:rPr>
          <w:color w:val="000000" w:themeColor="text1"/>
        </w:rPr>
      </w:pPr>
      <w:r>
        <w:rPr>
          <w:rFonts w:hint="eastAsia"/>
          <w:color w:val="000000" w:themeColor="text1"/>
        </w:rPr>
        <w:t>大气环境评价等级</w:t>
      </w:r>
    </w:p>
    <w:p>
      <w:pPr>
        <w:autoSpaceDE w:val="0"/>
        <w:autoSpaceDN w:val="0"/>
        <w:adjustRightInd w:val="0"/>
        <w:snapToGrid w:val="0"/>
        <w:spacing w:line="360" w:lineRule="auto"/>
        <w:ind w:firstLine="480"/>
        <w:rPr>
          <w:rFonts w:cs="Times New Roman"/>
          <w:color w:val="000000" w:themeColor="text1"/>
        </w:rPr>
      </w:pPr>
      <w:r>
        <w:rPr>
          <w:rFonts w:cs="Times New Roman"/>
        </w:rPr>
        <w:t>本项目运营后废气排放源主要有粗格栅提升站、细格栅及沉砂池、水解酸化池、A</w:t>
      </w:r>
      <w:r>
        <w:rPr>
          <w:rFonts w:hint="eastAsia" w:cs="Times New Roman"/>
        </w:rPr>
        <w:t>A</w:t>
      </w:r>
      <w:r>
        <w:rPr>
          <w:rFonts w:cs="Times New Roman"/>
        </w:rPr>
        <w:t>O生化池、污泥浓缩池、污泥泵站及污泥脱水机房及加药间的恶臭气体。</w:t>
      </w:r>
      <w:r>
        <w:rPr>
          <w:rFonts w:cs="Times New Roman"/>
          <w:color w:val="000000"/>
        </w:rPr>
        <w:t>本次评价选择项目恶臭废气污染物中的</w:t>
      </w:r>
      <w:r>
        <w:rPr>
          <w:rFonts w:hint="eastAsia" w:cs="Times New Roman"/>
          <w:color w:val="000000"/>
        </w:rPr>
        <w:t>NH</w:t>
      </w:r>
      <w:r>
        <w:rPr>
          <w:rFonts w:hint="eastAsia" w:cs="Times New Roman"/>
          <w:color w:val="000000"/>
          <w:vertAlign w:val="subscript"/>
        </w:rPr>
        <w:t>3</w:t>
      </w:r>
      <w:r>
        <w:rPr>
          <w:rFonts w:cs="Times New Roman"/>
          <w:color w:val="000000"/>
        </w:rPr>
        <w:t>、H</w:t>
      </w:r>
      <w:r>
        <w:rPr>
          <w:rFonts w:cs="Times New Roman"/>
          <w:color w:val="000000"/>
          <w:vertAlign w:val="subscript"/>
        </w:rPr>
        <w:t>2</w:t>
      </w:r>
      <w:r>
        <w:rPr>
          <w:rFonts w:cs="Times New Roman"/>
          <w:color w:val="000000"/>
        </w:rPr>
        <w:t>S作为确定评价工作等级的污染物，</w:t>
      </w:r>
      <w:r>
        <w:rPr>
          <w:rFonts w:cs="Times New Roman"/>
          <w:color w:val="000000" w:themeColor="text1"/>
          <w:kern w:val="0"/>
        </w:rPr>
        <w:t>按照《环境影响评价技术导则—大气环境》（HJ2.2-2018）中相关规定，评价等级采用AERSCREEN估算模式进行计算，分别计算项目排放主要污染物的最大地面空气浓度占标率。根据工程分析结果，计算污染物的最大地面浓度占标率P</w:t>
      </w:r>
      <w:r>
        <w:rPr>
          <w:rFonts w:cs="Times New Roman"/>
          <w:color w:val="000000" w:themeColor="text1"/>
          <w:kern w:val="0"/>
          <w:vertAlign w:val="subscript"/>
        </w:rPr>
        <w:t>i</w:t>
      </w:r>
      <w:r>
        <w:rPr>
          <w:rFonts w:cs="Times New Roman"/>
          <w:color w:val="000000" w:themeColor="text1"/>
          <w:kern w:val="0"/>
        </w:rPr>
        <w:t>（第i个污染物），及第i个污染物的地面浓度达到标准限值10%时所对应的最远距离D</w:t>
      </w:r>
      <w:r>
        <w:rPr>
          <w:rFonts w:cs="Times New Roman"/>
          <w:color w:val="000000" w:themeColor="text1"/>
          <w:kern w:val="0"/>
          <w:vertAlign w:val="subscript"/>
        </w:rPr>
        <w:t>10</w:t>
      </w:r>
      <w:r>
        <w:rPr>
          <w:rFonts w:cs="Times New Roman"/>
          <w:color w:val="000000" w:themeColor="text1"/>
          <w:kern w:val="0"/>
        </w:rPr>
        <w:t>%。其中P</w:t>
      </w:r>
      <w:r>
        <w:rPr>
          <w:rFonts w:cs="Times New Roman"/>
          <w:color w:val="000000" w:themeColor="text1"/>
          <w:kern w:val="0"/>
          <w:vertAlign w:val="subscript"/>
        </w:rPr>
        <w:t>i</w:t>
      </w:r>
      <w:r>
        <w:rPr>
          <w:rFonts w:cs="Times New Roman"/>
          <w:color w:val="000000" w:themeColor="text1"/>
          <w:kern w:val="0"/>
        </w:rPr>
        <w:t>定义为：</w:t>
      </w:r>
    </w:p>
    <w:p>
      <w:pPr>
        <w:pStyle w:val="87"/>
        <w:spacing w:before="0" w:line="360" w:lineRule="auto"/>
        <w:ind w:firstLine="480"/>
        <w:jc w:val="center"/>
        <w:rPr>
          <w:rFonts w:ascii="Times New Roman" w:hAnsi="Times New Roman" w:cs="Times New Roman"/>
          <w:color w:val="FF0000"/>
        </w:rPr>
      </w:pPr>
      <w:r>
        <w:rPr>
          <w:rFonts w:ascii="Times New Roman" w:hAnsi="Times New Roman" w:cs="Times New Roman"/>
          <w:color w:val="FF0000"/>
          <w:position w:val="-30"/>
        </w:rPr>
        <w:object>
          <v:shape id="_x0000_i1025" o:spt="75" type="#_x0000_t75" style="height:35.05pt;width:79.8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pStyle w:val="87"/>
        <w:spacing w:before="0" w:line="360" w:lineRule="auto"/>
        <w:ind w:firstLine="480"/>
        <w:rPr>
          <w:rFonts w:ascii="Times New Roman" w:hAnsi="Times New Roman" w:cs="Times New Roman"/>
          <w:color w:val="000000" w:themeColor="text1"/>
        </w:rPr>
      </w:pPr>
      <w:r>
        <w:rPr>
          <w:rFonts w:ascii="Times New Roman" w:hAnsi="Times New Roman" w:cs="Times New Roman"/>
          <w:color w:val="000000" w:themeColor="text1"/>
        </w:rPr>
        <w:t>式中：P</w:t>
      </w:r>
      <w:r>
        <w:rPr>
          <w:rFonts w:ascii="Times New Roman" w:hAnsi="Times New Roman" w:cs="Times New Roman"/>
          <w:color w:val="000000" w:themeColor="text1"/>
          <w:vertAlign w:val="subscript"/>
        </w:rPr>
        <w:t>i</w:t>
      </w:r>
      <w:r>
        <w:rPr>
          <w:rFonts w:ascii="Times New Roman" w:hAnsi="Times New Roman" w:cs="Times New Roman"/>
          <w:color w:val="000000" w:themeColor="text1"/>
        </w:rPr>
        <w:t>——第i个污染物的最大地面浓度占标率，%；</w:t>
      </w:r>
    </w:p>
    <w:p>
      <w:pPr>
        <w:pStyle w:val="87"/>
        <w:spacing w:before="0" w:line="360" w:lineRule="auto"/>
        <w:ind w:left="2" w:firstLine="480"/>
        <w:rPr>
          <w:rFonts w:ascii="Times New Roman" w:hAnsi="Times New Roman" w:cs="Times New Roman"/>
          <w:color w:val="000000" w:themeColor="text1"/>
        </w:rPr>
      </w:pPr>
      <w:r>
        <w:rPr>
          <w:rFonts w:ascii="Times New Roman" w:hAnsi="Times New Roman" w:cs="Times New Roman"/>
          <w:color w:val="000000" w:themeColor="text1"/>
        </w:rPr>
        <w:t xml:space="preserve">      C</w:t>
      </w:r>
      <w:r>
        <w:rPr>
          <w:rFonts w:ascii="Times New Roman" w:hAnsi="Times New Roman" w:cs="Times New Roman"/>
          <w:color w:val="000000" w:themeColor="text1"/>
          <w:vertAlign w:val="subscript"/>
        </w:rPr>
        <w:t>i</w:t>
      </w:r>
      <w:r>
        <w:rPr>
          <w:rFonts w:ascii="Times New Roman" w:hAnsi="Times New Roman" w:cs="Times New Roman"/>
          <w:color w:val="000000" w:themeColor="text1"/>
        </w:rPr>
        <w:t>——采用估算模式计算出的第i个污染物的最大地面浓度，mg/m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p>
    <w:p>
      <w:pPr>
        <w:adjustRightInd w:val="0"/>
        <w:snapToGrid w:val="0"/>
        <w:spacing w:line="360" w:lineRule="auto"/>
        <w:ind w:firstLine="480"/>
        <w:rPr>
          <w:rFonts w:cs="Times New Roman"/>
          <w:color w:val="000000" w:themeColor="text1"/>
          <w:szCs w:val="24"/>
        </w:rPr>
      </w:pPr>
      <w:r>
        <w:rPr>
          <w:rFonts w:cs="Times New Roman"/>
          <w:color w:val="000000" w:themeColor="text1"/>
          <w:szCs w:val="24"/>
        </w:rPr>
        <w:t xml:space="preserve"> </w:t>
      </w:r>
      <w:r>
        <w:rPr>
          <w:rFonts w:hint="eastAsia" w:cs="Times New Roman"/>
          <w:color w:val="000000" w:themeColor="text1"/>
          <w:szCs w:val="24"/>
        </w:rPr>
        <w:t xml:space="preserve">  </w:t>
      </w:r>
      <w:r>
        <w:rPr>
          <w:rFonts w:cs="Times New Roman"/>
          <w:color w:val="000000" w:themeColor="text1"/>
          <w:szCs w:val="24"/>
        </w:rPr>
        <w:t xml:space="preserve">  C</w:t>
      </w:r>
      <w:r>
        <w:rPr>
          <w:rFonts w:cs="Times New Roman"/>
          <w:color w:val="000000" w:themeColor="text1"/>
          <w:szCs w:val="24"/>
          <w:vertAlign w:val="subscript"/>
        </w:rPr>
        <w:t>0i</w:t>
      </w:r>
      <w:r>
        <w:rPr>
          <w:rFonts w:cs="Times New Roman"/>
          <w:color w:val="000000" w:themeColor="text1"/>
          <w:szCs w:val="24"/>
        </w:rPr>
        <w:t>——</w:t>
      </w:r>
      <w:r>
        <w:rPr>
          <w:szCs w:val="24"/>
        </w:rPr>
        <w:t xml:space="preserve">第i </w:t>
      </w:r>
      <w:r>
        <w:rPr>
          <w:rFonts w:hint="eastAsia" w:ascii="宋体" w:eastAsia="宋体" w:cs="宋体"/>
          <w:szCs w:val="24"/>
        </w:rPr>
        <w:t>个污染物的环境空气质量标准，</w:t>
      </w:r>
      <w:r>
        <w:rPr>
          <w:rFonts w:eastAsia="宋体"/>
          <w:szCs w:val="24"/>
        </w:rPr>
        <w:t>ug/m</w:t>
      </w:r>
      <w:r>
        <w:rPr>
          <w:rFonts w:eastAsia="宋体"/>
          <w:szCs w:val="24"/>
          <w:vertAlign w:val="superscript"/>
        </w:rPr>
        <w:t>3</w:t>
      </w:r>
      <w:r>
        <w:rPr>
          <w:rFonts w:hint="eastAsia" w:ascii="宋体" w:eastAsia="宋体" w:cs="宋体"/>
          <w:szCs w:val="24"/>
        </w:rPr>
        <w:t>。一般选用</w:t>
      </w:r>
      <w:r>
        <w:rPr>
          <w:rFonts w:eastAsia="宋体"/>
          <w:szCs w:val="24"/>
        </w:rPr>
        <w:t>GB3095</w:t>
      </w:r>
      <w:r>
        <w:rPr>
          <w:rFonts w:hint="eastAsia" w:ascii="宋体" w:eastAsia="宋体" w:cs="宋体"/>
          <w:szCs w:val="24"/>
        </w:rPr>
        <w:t>中</w:t>
      </w:r>
      <w:r>
        <w:rPr>
          <w:rFonts w:eastAsia="宋体"/>
          <w:szCs w:val="24"/>
        </w:rPr>
        <w:t>1</w:t>
      </w:r>
      <w:r>
        <w:rPr>
          <w:rFonts w:hint="eastAsia" w:ascii="宋体" w:eastAsia="宋体" w:cs="宋体"/>
          <w:szCs w:val="24"/>
        </w:rPr>
        <w:t>小时平均质量浓度的二级浓度限值，如项目位于一类环境空气功能区，应选择相应的一级浓度限值；对该标准未包含的污染物，使用</w:t>
      </w:r>
      <w:r>
        <w:rPr>
          <w:rFonts w:eastAsia="宋体"/>
          <w:szCs w:val="24"/>
        </w:rPr>
        <w:t>5.2</w:t>
      </w:r>
      <w:r>
        <w:rPr>
          <w:rFonts w:hint="eastAsia" w:ascii="宋体" w:eastAsia="宋体" w:cs="宋体"/>
          <w:szCs w:val="24"/>
        </w:rPr>
        <w:t>确定的各评价因子</w:t>
      </w:r>
      <w:r>
        <w:rPr>
          <w:rFonts w:eastAsia="宋体"/>
          <w:szCs w:val="24"/>
        </w:rPr>
        <w:t>1h</w:t>
      </w:r>
      <w:r>
        <w:rPr>
          <w:rFonts w:hint="eastAsia" w:ascii="宋体" w:eastAsia="宋体" w:cs="宋体"/>
          <w:szCs w:val="24"/>
        </w:rPr>
        <w:t>平均质量浓度限值。对仅有</w:t>
      </w:r>
      <w:r>
        <w:rPr>
          <w:rFonts w:eastAsia="宋体"/>
          <w:szCs w:val="24"/>
        </w:rPr>
        <w:t>8h</w:t>
      </w:r>
      <w:r>
        <w:rPr>
          <w:rFonts w:hint="eastAsia" w:ascii="宋体" w:eastAsia="宋体" w:cs="宋体"/>
          <w:szCs w:val="24"/>
        </w:rPr>
        <w:t>平均质量浓度限值、日平均质量浓度限值或年平均质量浓度限值的，可分别按</w:t>
      </w:r>
      <w:r>
        <w:rPr>
          <w:rFonts w:eastAsia="宋体"/>
          <w:szCs w:val="24"/>
        </w:rPr>
        <w:t>2</w:t>
      </w:r>
      <w:r>
        <w:rPr>
          <w:rFonts w:hint="eastAsia" w:ascii="宋体" w:eastAsia="宋体" w:cs="宋体"/>
          <w:szCs w:val="24"/>
        </w:rPr>
        <w:t>倍、</w:t>
      </w:r>
      <w:r>
        <w:rPr>
          <w:rFonts w:eastAsia="宋体"/>
          <w:szCs w:val="24"/>
        </w:rPr>
        <w:t>3</w:t>
      </w:r>
      <w:r>
        <w:rPr>
          <w:rFonts w:hint="eastAsia" w:ascii="宋体" w:eastAsia="宋体" w:cs="宋体"/>
          <w:szCs w:val="24"/>
        </w:rPr>
        <w:t>倍、</w:t>
      </w:r>
      <w:r>
        <w:rPr>
          <w:rFonts w:eastAsia="宋体"/>
          <w:szCs w:val="24"/>
        </w:rPr>
        <w:t>6</w:t>
      </w:r>
      <w:r>
        <w:rPr>
          <w:rFonts w:hint="eastAsia" w:ascii="宋体" w:eastAsia="宋体" w:cs="宋体"/>
          <w:szCs w:val="24"/>
        </w:rPr>
        <w:t>倍折算为</w:t>
      </w:r>
      <w:r>
        <w:rPr>
          <w:rFonts w:eastAsia="宋体"/>
          <w:szCs w:val="24"/>
        </w:rPr>
        <w:t>1h</w:t>
      </w:r>
      <w:r>
        <w:rPr>
          <w:rFonts w:hint="eastAsia" w:ascii="宋体" w:eastAsia="宋体" w:cs="宋体"/>
          <w:szCs w:val="24"/>
        </w:rPr>
        <w:t>平均质量浓度限值。</w:t>
      </w:r>
    </w:p>
    <w:p>
      <w:pPr>
        <w:autoSpaceDE w:val="0"/>
        <w:autoSpaceDN w:val="0"/>
        <w:adjustRightInd w:val="0"/>
        <w:snapToGrid w:val="0"/>
        <w:spacing w:line="360" w:lineRule="auto"/>
        <w:ind w:firstLine="480"/>
        <w:rPr>
          <w:rFonts w:eastAsia="宋体" w:cs="Times New Roman"/>
          <w:kern w:val="0"/>
          <w:szCs w:val="24"/>
        </w:rPr>
      </w:pPr>
      <w:r>
        <w:rPr>
          <w:rFonts w:eastAsia="宋体" w:cs="Times New Roman"/>
          <w:color w:val="000000" w:themeColor="text1"/>
          <w:kern w:val="0"/>
          <w:szCs w:val="24"/>
        </w:rPr>
        <w:t>评价工作等级按</w:t>
      </w:r>
      <w:r>
        <w:rPr>
          <w:rFonts w:eastAsia="宋体" w:cs="Times New Roman"/>
          <w:color w:val="000000" w:themeColor="text1"/>
          <w:kern w:val="0"/>
          <w:szCs w:val="24"/>
        </w:rPr>
        <w:fldChar w:fldCharType="begin"/>
      </w:r>
      <w:r>
        <w:rPr>
          <w:rFonts w:eastAsia="宋体" w:cs="Times New Roman"/>
          <w:color w:val="000000" w:themeColor="text1"/>
          <w:kern w:val="0"/>
          <w:szCs w:val="24"/>
        </w:rPr>
        <w:instrText xml:space="preserve"> REF _Ref532107916 \h </w:instrText>
      </w:r>
      <w:r>
        <w:rPr>
          <w:rFonts w:eastAsia="宋体" w:cs="Times New Roman"/>
          <w:color w:val="000000" w:themeColor="text1"/>
          <w:kern w:val="0"/>
          <w:szCs w:val="24"/>
        </w:rPr>
        <w:fldChar w:fldCharType="separate"/>
      </w:r>
      <w:r>
        <w:rPr>
          <w:rFonts w:cs="Times New Roman"/>
          <w:color w:val="000000" w:themeColor="text1"/>
          <w:kern w:val="0"/>
          <w:szCs w:val="24"/>
        </w:rPr>
        <w:t>表1.5</w:t>
      </w:r>
      <w:r>
        <w:rPr>
          <w:rFonts w:cs="Times New Roman"/>
          <w:color w:val="000000" w:themeColor="text1"/>
          <w:kern w:val="0"/>
          <w:szCs w:val="24"/>
        </w:rPr>
        <w:noBreakHyphen/>
      </w:r>
      <w:r>
        <w:rPr>
          <w:rFonts w:cs="Times New Roman"/>
          <w:color w:val="000000" w:themeColor="text1"/>
          <w:kern w:val="0"/>
          <w:szCs w:val="24"/>
        </w:rPr>
        <w:t>1</w:t>
      </w:r>
      <w:r>
        <w:rPr>
          <w:rFonts w:eastAsia="宋体" w:cs="Times New Roman"/>
          <w:color w:val="000000" w:themeColor="text1"/>
          <w:kern w:val="0"/>
          <w:szCs w:val="24"/>
        </w:rPr>
        <w:fldChar w:fldCharType="end"/>
      </w:r>
      <w:r>
        <w:rPr>
          <w:rFonts w:eastAsia="宋体" w:cs="Times New Roman"/>
          <w:color w:val="000000" w:themeColor="text1"/>
          <w:kern w:val="0"/>
          <w:szCs w:val="24"/>
        </w:rPr>
        <w:t>的分级判据进行划分</w:t>
      </w:r>
      <w:r>
        <w:rPr>
          <w:rFonts w:hint="eastAsia" w:eastAsia="宋体" w:cs="Times New Roman"/>
          <w:color w:val="000000" w:themeColor="text1"/>
          <w:kern w:val="0"/>
          <w:szCs w:val="24"/>
        </w:rPr>
        <w:t>。</w:t>
      </w:r>
      <w:r>
        <w:rPr>
          <w:rFonts w:eastAsia="宋体" w:cs="Times New Roman"/>
          <w:color w:val="000000" w:themeColor="text1"/>
          <w:kern w:val="0"/>
          <w:szCs w:val="24"/>
        </w:rPr>
        <w:t>最大地面空气质量浓度占标率</w:t>
      </w:r>
      <w:r>
        <w:rPr>
          <w:rFonts w:hint="eastAsia" w:eastAsia="宋体" w:cs="Times New Roman"/>
          <w:color w:val="000000" w:themeColor="text1"/>
          <w:kern w:val="0"/>
          <w:szCs w:val="24"/>
        </w:rPr>
        <w:t>Pi按上述公式计算，如污染物数i大于1，</w:t>
      </w:r>
      <w:r>
        <w:rPr>
          <w:rFonts w:hint="eastAsia"/>
          <w:szCs w:val="24"/>
        </w:rPr>
        <w:t>取</w:t>
      </w:r>
      <w:r>
        <w:rPr>
          <w:rFonts w:cs="Times New Roman"/>
          <w:szCs w:val="24"/>
        </w:rPr>
        <w:t>P</w:t>
      </w:r>
      <w:r>
        <w:rPr>
          <w:rFonts w:hint="eastAsia"/>
          <w:szCs w:val="24"/>
        </w:rPr>
        <w:t>值中最大者</w:t>
      </w:r>
      <w:r>
        <w:rPr>
          <w:rFonts w:cs="Times New Roman"/>
          <w:szCs w:val="24"/>
        </w:rPr>
        <w:t>P</w:t>
      </w:r>
      <w:r>
        <w:rPr>
          <w:rFonts w:cs="Times New Roman"/>
          <w:szCs w:val="24"/>
          <w:vertAlign w:val="subscript"/>
        </w:rPr>
        <w:t>max</w:t>
      </w:r>
      <w:r>
        <w:rPr>
          <w:rFonts w:hint="eastAsia"/>
          <w:szCs w:val="24"/>
        </w:rPr>
        <w:t>。</w:t>
      </w:r>
    </w:p>
    <w:p>
      <w:pPr>
        <w:pStyle w:val="14"/>
        <w:spacing w:line="240" w:lineRule="auto"/>
        <w:rPr>
          <w:rFonts w:cs="Times New Roman"/>
          <w:color w:val="000000" w:themeColor="text1"/>
        </w:rPr>
      </w:pPr>
      <w:bookmarkStart w:id="71" w:name="_Ref532107916"/>
      <w:r>
        <w:rPr>
          <w:rFonts w:cs="Times New Roman"/>
          <w:color w:val="000000" w:themeColor="text1"/>
          <w:kern w:val="0"/>
          <w:szCs w:val="24"/>
        </w:rPr>
        <w:t>表</w:t>
      </w:r>
      <w:r>
        <w:rPr>
          <w:rFonts w:cs="Times New Roman"/>
          <w:color w:val="000000" w:themeColor="text1"/>
          <w:kern w:val="0"/>
          <w:szCs w:val="24"/>
        </w:rPr>
        <w:fldChar w:fldCharType="begin"/>
      </w:r>
      <w:r>
        <w:rPr>
          <w:rFonts w:cs="Times New Roman"/>
          <w:color w:val="000000" w:themeColor="text1"/>
          <w:kern w:val="0"/>
          <w:szCs w:val="24"/>
        </w:rPr>
        <w:instrText xml:space="preserve"> STYLEREF 2 \s </w:instrText>
      </w:r>
      <w:r>
        <w:rPr>
          <w:rFonts w:cs="Times New Roman"/>
          <w:color w:val="000000" w:themeColor="text1"/>
          <w:kern w:val="0"/>
          <w:szCs w:val="24"/>
        </w:rPr>
        <w:fldChar w:fldCharType="separate"/>
      </w:r>
      <w:r>
        <w:rPr>
          <w:rFonts w:cs="Times New Roman"/>
          <w:color w:val="000000" w:themeColor="text1"/>
          <w:kern w:val="0"/>
          <w:szCs w:val="24"/>
        </w:rPr>
        <w:t>1.5</w:t>
      </w:r>
      <w:r>
        <w:rPr>
          <w:rFonts w:cs="Times New Roman"/>
          <w:color w:val="000000" w:themeColor="text1"/>
          <w:kern w:val="0"/>
          <w:szCs w:val="24"/>
        </w:rPr>
        <w:fldChar w:fldCharType="end"/>
      </w:r>
      <w:r>
        <w:rPr>
          <w:rFonts w:cs="Times New Roman"/>
          <w:color w:val="000000" w:themeColor="text1"/>
          <w:kern w:val="0"/>
          <w:szCs w:val="24"/>
        </w:rPr>
        <w:noBreakHyphen/>
      </w:r>
      <w:r>
        <w:rPr>
          <w:rFonts w:cs="Times New Roman"/>
          <w:color w:val="000000" w:themeColor="text1"/>
          <w:kern w:val="0"/>
          <w:szCs w:val="24"/>
        </w:rPr>
        <w:fldChar w:fldCharType="begin"/>
      </w:r>
      <w:r>
        <w:rPr>
          <w:rFonts w:cs="Times New Roman"/>
          <w:color w:val="000000" w:themeColor="text1"/>
          <w:kern w:val="0"/>
          <w:szCs w:val="24"/>
        </w:rPr>
        <w:instrText xml:space="preserve"> SEQ 表 \* ARABIC \s 2 </w:instrText>
      </w:r>
      <w:r>
        <w:rPr>
          <w:rFonts w:cs="Times New Roman"/>
          <w:color w:val="000000" w:themeColor="text1"/>
          <w:kern w:val="0"/>
          <w:szCs w:val="24"/>
        </w:rPr>
        <w:fldChar w:fldCharType="separate"/>
      </w:r>
      <w:r>
        <w:rPr>
          <w:rFonts w:cs="Times New Roman"/>
          <w:color w:val="000000" w:themeColor="text1"/>
          <w:kern w:val="0"/>
          <w:szCs w:val="24"/>
        </w:rPr>
        <w:t>1</w:t>
      </w:r>
      <w:r>
        <w:rPr>
          <w:rFonts w:cs="Times New Roman"/>
          <w:color w:val="000000" w:themeColor="text1"/>
          <w:kern w:val="0"/>
          <w:szCs w:val="24"/>
        </w:rPr>
        <w:fldChar w:fldCharType="end"/>
      </w:r>
      <w:bookmarkEnd w:id="71"/>
      <w:r>
        <w:rPr>
          <w:rFonts w:cs="Times New Roman"/>
          <w:bCs/>
          <w:color w:val="000000" w:themeColor="text1"/>
        </w:rPr>
        <w:t>大气环境影响评价工作等级</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w:t>
            </w:r>
          </w:p>
        </w:tc>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一级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 ≥10%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二级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1%≤P max</w:t>
            </w:r>
            <w:r>
              <w:rPr>
                <w:rFonts w:hint="eastAsia" w:ascii="宋体" w:hAnsi="宋体" w:cs="Times New Roman"/>
                <w:b w:val="0"/>
                <w:color w:val="000000" w:themeColor="text1"/>
                <w:kern w:val="0"/>
                <w:sz w:val="21"/>
                <w:szCs w:val="21"/>
              </w:rPr>
              <w:t>＜</w:t>
            </w:r>
            <w:r>
              <w:rPr>
                <w:rFonts w:cs="Times New Roman"/>
                <w:b w:val="0"/>
                <w:color w:val="000000" w:themeColor="text1"/>
                <w:ker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三级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Pmax＜1%</w:t>
            </w:r>
          </w:p>
        </w:tc>
      </w:tr>
    </w:tbl>
    <w:p>
      <w:pPr>
        <w:pStyle w:val="14"/>
        <w:ind w:firstLine="480" w:firstLineChars="200"/>
        <w:jc w:val="left"/>
        <w:rPr>
          <w:b w:val="0"/>
        </w:rPr>
      </w:pPr>
      <w:bookmarkStart w:id="72" w:name="_Toc532497613"/>
      <w:r>
        <w:rPr>
          <w:rFonts w:hint="eastAsia"/>
          <w:b w:val="0"/>
          <w:snapToGrid w:val="0"/>
          <w:color w:val="000000" w:themeColor="text1"/>
        </w:rPr>
        <w:t>同一项目有多个污染源（两个及以上，下同）时，则按各污染源分别确定评价等级，并取评价等级最高者作为项目的评价等级。项目估算模型参数选择见</w:t>
      </w:r>
      <w:r>
        <w:fldChar w:fldCharType="begin"/>
      </w:r>
      <w:r>
        <w:instrText xml:space="preserve"> REF _Ref19710855 \h  \* MERGEFORMAT </w:instrText>
      </w:r>
      <w:r>
        <w:fldChar w:fldCharType="separate"/>
      </w:r>
      <w:r>
        <w:rPr>
          <w:rFonts w:hint="eastAsia"/>
          <w:b w:val="0"/>
        </w:rPr>
        <w:t>表</w:t>
      </w:r>
      <w:r>
        <w:rPr>
          <w:b w:val="0"/>
        </w:rPr>
        <w:t>1.5</w:t>
      </w:r>
      <w:r>
        <w:rPr>
          <w:b w:val="0"/>
        </w:rPr>
        <w:noBreakHyphen/>
      </w:r>
      <w:r>
        <w:rPr>
          <w:b w:val="0"/>
        </w:rPr>
        <w:t>2</w:t>
      </w:r>
      <w:r>
        <w:rPr>
          <w:b w:val="0"/>
        </w:rPr>
        <w:fldChar w:fldCharType="end"/>
      </w:r>
      <w:r>
        <w:rPr>
          <w:rFonts w:hint="eastAsia"/>
          <w:b w:val="0"/>
          <w:snapToGrid w:val="0"/>
          <w:color w:val="000000" w:themeColor="text1"/>
        </w:rPr>
        <w:t>。</w:t>
      </w:r>
    </w:p>
    <w:p>
      <w:pPr>
        <w:pStyle w:val="14"/>
        <w:spacing w:line="240" w:lineRule="auto"/>
      </w:pPr>
      <w:bookmarkStart w:id="73" w:name="_Ref19710855"/>
      <w:r>
        <w:rPr>
          <w:rFonts w:hint="eastAsia"/>
        </w:rPr>
        <w:t>表</w:t>
      </w:r>
      <w:r>
        <w:fldChar w:fldCharType="begin"/>
      </w:r>
      <w:r>
        <w:instrText xml:space="preserve"> STYLEREF 2 \s </w:instrText>
      </w:r>
      <w:r>
        <w:fldChar w:fldCharType="separate"/>
      </w:r>
      <w:r>
        <w:t>1.5</w:t>
      </w:r>
      <w:r>
        <w:fldChar w:fldCharType="end"/>
      </w:r>
      <w:r>
        <w:noBreakHyphen/>
      </w:r>
      <w:r>
        <w:fldChar w:fldCharType="begin"/>
      </w:r>
      <w:r>
        <w:rPr>
          <w:rFonts w:hint="eastAsia"/>
        </w:rPr>
        <w:instrText xml:space="preserve">SEQ 表 \* ARABIC \s 2</w:instrText>
      </w:r>
      <w:r>
        <w:fldChar w:fldCharType="separate"/>
      </w:r>
      <w:r>
        <w:rPr>
          <w:rFonts w:hint="eastAsia"/>
        </w:rPr>
        <w:t>2</w:t>
      </w:r>
      <w:r>
        <w:fldChar w:fldCharType="end"/>
      </w:r>
      <w:bookmarkEnd w:id="73"/>
      <w:r>
        <w:rPr>
          <w:rFonts w:hint="eastAsia"/>
        </w:rPr>
        <w:t xml:space="preserve">  估算模型参数一览表</w:t>
      </w:r>
    </w:p>
    <w:tbl>
      <w:tblPr>
        <w:tblStyle w:val="39"/>
        <w:tblW w:w="924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495"/>
        <w:gridCol w:w="2876"/>
        <w:gridCol w:w="387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参数</w:t>
            </w:r>
          </w:p>
        </w:tc>
        <w:tc>
          <w:tcPr>
            <w:tcW w:w="3871" w:type="dxa"/>
            <w:vAlign w:val="center"/>
          </w:tcPr>
          <w:p>
            <w:pPr>
              <w:wordWrap w:val="0"/>
              <w:jc w:val="center"/>
              <w:rPr>
                <w:rFonts w:eastAsia="宋体" w:cs="Times New Roman"/>
                <w:sz w:val="20"/>
                <w:szCs w:val="20"/>
              </w:rPr>
            </w:pPr>
            <w:r>
              <w:rPr>
                <w:rFonts w:eastAsia="宋体" w:cs="Times New Roman"/>
                <w:sz w:val="21"/>
              </w:rPr>
              <w:t>取值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restart"/>
            <w:vAlign w:val="center"/>
          </w:tcPr>
          <w:p>
            <w:pPr>
              <w:wordWrap w:val="0"/>
              <w:jc w:val="center"/>
              <w:rPr>
                <w:rFonts w:eastAsia="宋体" w:cs="Times New Roman"/>
                <w:sz w:val="20"/>
                <w:szCs w:val="20"/>
              </w:rPr>
            </w:pPr>
            <w:r>
              <w:rPr>
                <w:rFonts w:eastAsia="宋体" w:cs="Times New Roman"/>
                <w:sz w:val="21"/>
              </w:rPr>
              <w:t>城市农村/</w:t>
            </w:r>
            <w:r>
              <w:rPr>
                <w:rFonts w:hAnsi="宋体" w:eastAsia="宋体" w:cs="Times New Roman"/>
                <w:sz w:val="21"/>
              </w:rPr>
              <w:t>选项</w:t>
            </w:r>
          </w:p>
        </w:tc>
        <w:tc>
          <w:tcPr>
            <w:tcW w:w="2876" w:type="dxa"/>
            <w:vAlign w:val="center"/>
          </w:tcPr>
          <w:p>
            <w:pPr>
              <w:wordWrap w:val="0"/>
              <w:jc w:val="center"/>
              <w:rPr>
                <w:rFonts w:eastAsia="宋体" w:cs="Times New Roman"/>
                <w:sz w:val="20"/>
                <w:szCs w:val="20"/>
              </w:rPr>
            </w:pPr>
            <w:r>
              <w:rPr>
                <w:rFonts w:eastAsia="宋体" w:cs="Times New Roman"/>
                <w:sz w:val="21"/>
              </w:rPr>
              <w:t>城市/</w:t>
            </w:r>
            <w:r>
              <w:rPr>
                <w:rFonts w:hAnsi="宋体" w:eastAsia="宋体" w:cs="Times New Roman"/>
                <w:sz w:val="21"/>
              </w:rPr>
              <w:t>农村</w:t>
            </w:r>
          </w:p>
        </w:tc>
        <w:tc>
          <w:tcPr>
            <w:tcW w:w="3871" w:type="dxa"/>
            <w:vAlign w:val="center"/>
          </w:tcPr>
          <w:p>
            <w:pPr>
              <w:wordWrap w:val="0"/>
              <w:jc w:val="center"/>
              <w:rPr>
                <w:rFonts w:eastAsia="宋体" w:cs="Times New Roman"/>
                <w:sz w:val="20"/>
                <w:szCs w:val="20"/>
              </w:rPr>
            </w:pPr>
            <w:r>
              <w:rPr>
                <w:rFonts w:eastAsia="宋体" w:cs="Times New Roman"/>
                <w:sz w:val="21"/>
              </w:rPr>
              <w:t>农村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人口数(</w:t>
            </w:r>
            <w:r>
              <w:rPr>
                <w:rFonts w:hAnsi="宋体" w:eastAsia="宋体" w:cs="Times New Roman"/>
                <w:sz w:val="21"/>
              </w:rPr>
              <w:t>城市人口数</w:t>
            </w:r>
            <w:r>
              <w:rPr>
                <w:rFonts w:eastAsia="宋体" w:cs="Times New Roman"/>
                <w:sz w:val="21"/>
              </w:rPr>
              <w:t>)</w:t>
            </w:r>
          </w:p>
        </w:tc>
        <w:tc>
          <w:tcPr>
            <w:tcW w:w="3871" w:type="dxa"/>
            <w:vAlign w:val="center"/>
          </w:tcPr>
          <w:p>
            <w:pPr>
              <w:wordWrap w:val="0"/>
              <w:jc w:val="center"/>
              <w:rPr>
                <w:rFonts w:eastAsia="宋体" w:cs="Times New Roman"/>
                <w:sz w:val="20"/>
                <w:szCs w:val="20"/>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最高环境温度</w:t>
            </w:r>
          </w:p>
        </w:tc>
        <w:tc>
          <w:tcPr>
            <w:tcW w:w="3871" w:type="dxa"/>
            <w:vAlign w:val="center"/>
          </w:tcPr>
          <w:p>
            <w:pPr>
              <w:wordWrap w:val="0"/>
              <w:jc w:val="center"/>
              <w:rPr>
                <w:rFonts w:eastAsia="宋体" w:cs="Times New Roman"/>
                <w:color w:val="000000" w:themeColor="text1"/>
                <w:sz w:val="20"/>
                <w:szCs w:val="20"/>
              </w:rPr>
            </w:pPr>
            <w:r>
              <w:rPr>
                <w:rFonts w:hint="eastAsia" w:eastAsia="宋体" w:cs="Times New Roman"/>
                <w:color w:val="000000" w:themeColor="text1"/>
                <w:sz w:val="21"/>
                <w:lang w:val="en-US" w:eastAsia="zh-CN"/>
              </w:rPr>
              <w:t>39.5</w:t>
            </w:r>
            <w:r>
              <w:rPr>
                <w:rFonts w:eastAsia="宋体" w:cs="Times New Roman"/>
                <w:color w:val="000000" w:themeColor="text1"/>
                <w:sz w:val="21"/>
              </w:rPr>
              <w:t>°C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最低环境温度</w:t>
            </w:r>
          </w:p>
        </w:tc>
        <w:tc>
          <w:tcPr>
            <w:tcW w:w="3871" w:type="dxa"/>
            <w:vAlign w:val="center"/>
          </w:tcPr>
          <w:p>
            <w:pPr>
              <w:wordWrap w:val="0"/>
              <w:jc w:val="center"/>
              <w:rPr>
                <w:rFonts w:eastAsia="宋体" w:cs="Times New Roman"/>
                <w:color w:val="000000" w:themeColor="text1"/>
                <w:sz w:val="20"/>
                <w:szCs w:val="20"/>
              </w:rPr>
            </w:pPr>
            <w:r>
              <w:rPr>
                <w:rFonts w:eastAsia="宋体" w:cs="Times New Roman"/>
                <w:color w:val="000000" w:themeColor="text1"/>
                <w:sz w:val="21"/>
              </w:rPr>
              <w:t>-3.9°C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土地利用类型</w:t>
            </w:r>
          </w:p>
        </w:tc>
        <w:tc>
          <w:tcPr>
            <w:tcW w:w="3871" w:type="dxa"/>
            <w:vAlign w:val="center"/>
          </w:tcPr>
          <w:p>
            <w:pPr>
              <w:wordWrap w:val="0"/>
              <w:jc w:val="center"/>
              <w:rPr>
                <w:rFonts w:eastAsia="宋体" w:cs="Times New Roman"/>
                <w:sz w:val="20"/>
                <w:szCs w:val="20"/>
              </w:rPr>
            </w:pPr>
            <w:r>
              <w:rPr>
                <w:rFonts w:hint="eastAsia" w:eastAsia="宋体" w:cs="Times New Roman"/>
                <w:sz w:val="21"/>
                <w:szCs w:val="21"/>
                <w:lang w:val="en-US" w:eastAsia="zh-CN"/>
              </w:rPr>
              <w:t>工业用地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区域湿度条件</w:t>
            </w:r>
          </w:p>
        </w:tc>
        <w:tc>
          <w:tcPr>
            <w:tcW w:w="3871" w:type="dxa"/>
            <w:vAlign w:val="center"/>
          </w:tcPr>
          <w:p>
            <w:pPr>
              <w:wordWrap w:val="0"/>
              <w:jc w:val="center"/>
              <w:rPr>
                <w:rFonts w:eastAsia="宋体" w:cs="Times New Roman"/>
                <w:sz w:val="20"/>
                <w:szCs w:val="20"/>
              </w:rPr>
            </w:pPr>
            <w:r>
              <w:rPr>
                <w:rFonts w:eastAsia="宋体" w:cs="Times New Roman"/>
                <w:sz w:val="21"/>
              </w:rPr>
              <w:t>中等湿度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restart"/>
            <w:vAlign w:val="center"/>
          </w:tcPr>
          <w:p>
            <w:pPr>
              <w:wordWrap w:val="0"/>
              <w:jc w:val="center"/>
              <w:rPr>
                <w:rFonts w:eastAsia="宋体" w:cs="Times New Roman"/>
                <w:sz w:val="20"/>
                <w:szCs w:val="20"/>
              </w:rPr>
            </w:pPr>
            <w:r>
              <w:rPr>
                <w:rFonts w:eastAsia="宋体" w:cs="Times New Roman"/>
                <w:sz w:val="21"/>
              </w:rPr>
              <w:t>是否考虑地形</w:t>
            </w:r>
          </w:p>
        </w:tc>
        <w:tc>
          <w:tcPr>
            <w:tcW w:w="2876" w:type="dxa"/>
            <w:vAlign w:val="center"/>
          </w:tcPr>
          <w:p>
            <w:pPr>
              <w:wordWrap w:val="0"/>
              <w:jc w:val="center"/>
              <w:rPr>
                <w:rFonts w:eastAsia="宋体" w:cs="Times New Roman"/>
                <w:sz w:val="20"/>
                <w:szCs w:val="20"/>
              </w:rPr>
            </w:pPr>
            <w:r>
              <w:rPr>
                <w:rFonts w:eastAsia="宋体" w:cs="Times New Roman"/>
                <w:sz w:val="21"/>
              </w:rPr>
              <w:t>考虑地形</w:t>
            </w:r>
          </w:p>
        </w:tc>
        <w:tc>
          <w:tcPr>
            <w:tcW w:w="3871" w:type="dxa"/>
            <w:vAlign w:val="center"/>
          </w:tcPr>
          <w:p>
            <w:pPr>
              <w:wordWrap w:val="0"/>
              <w:jc w:val="center"/>
              <w:rPr>
                <w:rFonts w:eastAsia="宋体" w:cs="Times New Roman"/>
                <w:sz w:val="20"/>
                <w:szCs w:val="20"/>
              </w:rPr>
            </w:pPr>
            <w:r>
              <w:rPr>
                <w:rFonts w:eastAsia="宋体" w:cs="Times New Roman"/>
                <w:sz w:val="21"/>
              </w:rPr>
              <w:t>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地形数据分辨率(m)</w:t>
            </w:r>
          </w:p>
        </w:tc>
        <w:tc>
          <w:tcPr>
            <w:tcW w:w="3871" w:type="dxa"/>
            <w:vAlign w:val="center"/>
          </w:tcPr>
          <w:p>
            <w:pPr>
              <w:wordWrap w:val="0"/>
              <w:jc w:val="center"/>
              <w:rPr>
                <w:rFonts w:eastAsia="宋体" w:cs="Times New Roman"/>
                <w:sz w:val="20"/>
                <w:szCs w:val="20"/>
              </w:rPr>
            </w:pPr>
            <w:r>
              <w:rPr>
                <w:rFonts w:eastAsia="宋体" w:cs="Times New Roman"/>
                <w:sz w:val="21"/>
              </w:rPr>
              <w:t>90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restart"/>
            <w:vAlign w:val="center"/>
          </w:tcPr>
          <w:p>
            <w:pPr>
              <w:wordWrap w:val="0"/>
              <w:jc w:val="center"/>
              <w:rPr>
                <w:rFonts w:eastAsia="宋体" w:cs="Times New Roman"/>
                <w:sz w:val="20"/>
                <w:szCs w:val="20"/>
              </w:rPr>
            </w:pPr>
            <w:r>
              <w:rPr>
                <w:rFonts w:eastAsia="宋体" w:cs="Times New Roman"/>
                <w:sz w:val="21"/>
              </w:rPr>
              <w:t>是否考虑海岸线熏烟</w:t>
            </w:r>
          </w:p>
        </w:tc>
        <w:tc>
          <w:tcPr>
            <w:tcW w:w="2876" w:type="dxa"/>
            <w:vAlign w:val="center"/>
          </w:tcPr>
          <w:p>
            <w:pPr>
              <w:wordWrap w:val="0"/>
              <w:jc w:val="center"/>
              <w:rPr>
                <w:rFonts w:eastAsia="宋体" w:cs="Times New Roman"/>
                <w:sz w:val="20"/>
                <w:szCs w:val="20"/>
              </w:rPr>
            </w:pPr>
            <w:r>
              <w:rPr>
                <w:rFonts w:eastAsia="宋体" w:cs="Times New Roman"/>
                <w:sz w:val="21"/>
              </w:rPr>
              <w:t>考虑海岸线熏烟</w:t>
            </w:r>
          </w:p>
        </w:tc>
        <w:tc>
          <w:tcPr>
            <w:tcW w:w="3871" w:type="dxa"/>
            <w:vAlign w:val="center"/>
          </w:tcPr>
          <w:p>
            <w:pPr>
              <w:wordWrap w:val="0"/>
              <w:jc w:val="center"/>
              <w:rPr>
                <w:rFonts w:eastAsia="宋体" w:cs="Times New Roman"/>
                <w:sz w:val="20"/>
                <w:szCs w:val="20"/>
              </w:rPr>
            </w:pPr>
            <w:r>
              <w:rPr>
                <w:rFonts w:eastAsia="宋体" w:cs="Times New Roman"/>
                <w:sz w:val="21"/>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海岸线距离/m</w:t>
            </w:r>
          </w:p>
        </w:tc>
        <w:tc>
          <w:tcPr>
            <w:tcW w:w="3871" w:type="dxa"/>
            <w:vAlign w:val="center"/>
          </w:tcPr>
          <w:p>
            <w:pPr>
              <w:wordWrap w:val="0"/>
              <w:jc w:val="center"/>
              <w:rPr>
                <w:rFonts w:eastAsia="宋体" w:cs="Times New Roman"/>
                <w:sz w:val="20"/>
                <w:szCs w:val="20"/>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海岸线方向/</w:t>
            </w:r>
            <w:r>
              <w:rPr>
                <w:rFonts w:eastAsia="宋体" w:cs="Times New Roman"/>
                <w:sz w:val="21"/>
                <w:vertAlign w:val="superscript"/>
              </w:rPr>
              <w:t>o</w:t>
            </w:r>
          </w:p>
        </w:tc>
        <w:tc>
          <w:tcPr>
            <w:tcW w:w="3871" w:type="dxa"/>
            <w:vAlign w:val="center"/>
          </w:tcPr>
          <w:p>
            <w:pPr>
              <w:wordWrap w:val="0"/>
              <w:jc w:val="center"/>
              <w:rPr>
                <w:rFonts w:eastAsia="宋体" w:cs="Times New Roman"/>
                <w:sz w:val="20"/>
                <w:szCs w:val="20"/>
              </w:rPr>
            </w:pPr>
            <w:r>
              <w:rPr>
                <w:rFonts w:eastAsia="宋体" w:cs="Times New Roman"/>
                <w:sz w:val="21"/>
              </w:rPr>
              <w:t>/</w:t>
            </w:r>
          </w:p>
        </w:tc>
      </w:tr>
    </w:tbl>
    <w:p>
      <w:pPr>
        <w:pStyle w:val="14"/>
        <w:ind w:firstLine="480" w:firstLineChars="200"/>
        <w:jc w:val="both"/>
        <w:rPr>
          <w:b w:val="0"/>
          <w:szCs w:val="24"/>
        </w:rPr>
      </w:pPr>
      <w:r>
        <w:rPr>
          <w:rFonts w:hint="eastAsia"/>
          <w:b w:val="0"/>
          <w:szCs w:val="24"/>
        </w:rPr>
        <w:t>根据《环境影响评价技术导则-大气环境》（</w:t>
      </w:r>
      <w:r>
        <w:rPr>
          <w:b w:val="0"/>
          <w:szCs w:val="24"/>
        </w:rPr>
        <w:t>HJ2.2-2018</w:t>
      </w:r>
      <w:r>
        <w:rPr>
          <w:rFonts w:hint="eastAsia"/>
          <w:b w:val="0"/>
          <w:szCs w:val="24"/>
        </w:rPr>
        <w:t>）要求，利用估算模式进行估算。拟建项目废气的主要气型污染源为</w:t>
      </w:r>
      <w:r>
        <w:rPr>
          <w:rFonts w:cs="Times New Roman"/>
          <w:b w:val="0"/>
          <w:szCs w:val="24"/>
        </w:rPr>
        <w:t>NH</w:t>
      </w:r>
      <w:r>
        <w:rPr>
          <w:rFonts w:cs="Times New Roman"/>
          <w:b w:val="0"/>
          <w:szCs w:val="24"/>
          <w:vertAlign w:val="subscript"/>
        </w:rPr>
        <w:t>3</w:t>
      </w:r>
      <w:r>
        <w:rPr>
          <w:rFonts w:hint="eastAsia"/>
          <w:b w:val="0"/>
          <w:szCs w:val="24"/>
        </w:rPr>
        <w:t>、</w:t>
      </w:r>
      <w:r>
        <w:rPr>
          <w:rFonts w:cs="Times New Roman"/>
          <w:b w:val="0"/>
          <w:szCs w:val="24"/>
        </w:rPr>
        <w:t>H</w:t>
      </w:r>
      <w:r>
        <w:rPr>
          <w:rFonts w:cs="Times New Roman"/>
          <w:b w:val="0"/>
          <w:szCs w:val="24"/>
          <w:vertAlign w:val="subscript"/>
        </w:rPr>
        <w:t>2</w:t>
      </w:r>
      <w:r>
        <w:rPr>
          <w:rFonts w:cs="Times New Roman"/>
          <w:b w:val="0"/>
          <w:szCs w:val="24"/>
        </w:rPr>
        <w:t>S</w:t>
      </w:r>
      <w:r>
        <w:rPr>
          <w:rFonts w:hint="eastAsia"/>
          <w:b w:val="0"/>
          <w:szCs w:val="24"/>
        </w:rPr>
        <w:t>。污染源相关参见</w:t>
      </w:r>
      <w:r>
        <w:fldChar w:fldCharType="begin"/>
      </w:r>
      <w:r>
        <w:instrText xml:space="preserve"> REF _Ref19711209 \h  \* MERGEFORMAT </w:instrText>
      </w:r>
      <w:r>
        <w:fldChar w:fldCharType="separate"/>
      </w:r>
      <w:r>
        <w:rPr>
          <w:rFonts w:hint="eastAsia"/>
          <w:b w:val="0"/>
        </w:rPr>
        <w:t>表</w:t>
      </w:r>
      <w:r>
        <w:rPr>
          <w:b w:val="0"/>
        </w:rPr>
        <w:t>5</w:t>
      </w:r>
      <w:r>
        <w:rPr>
          <w:b w:val="0"/>
        </w:rPr>
        <w:noBreakHyphen/>
      </w:r>
      <w:r>
        <w:rPr>
          <w:b w:val="0"/>
        </w:rPr>
        <w:t>3</w:t>
      </w:r>
      <w:r>
        <w:rPr>
          <w:b w:val="0"/>
        </w:rPr>
        <w:fldChar w:fldCharType="end"/>
      </w:r>
      <w:r>
        <w:rPr>
          <w:rFonts w:hint="eastAsia"/>
          <w:b w:val="0"/>
          <w:szCs w:val="24"/>
        </w:rPr>
        <w:t>~</w:t>
      </w:r>
      <w:r>
        <w:fldChar w:fldCharType="begin"/>
      </w:r>
      <w:r>
        <w:instrText xml:space="preserve"> REF _Ref19711219 \h  \* MERGEFORMAT </w:instrText>
      </w:r>
      <w:r>
        <w:fldChar w:fldCharType="separate"/>
      </w:r>
      <w:r>
        <w:rPr>
          <w:b w:val="0"/>
        </w:rPr>
        <w:t>表5</w:t>
      </w:r>
      <w:r>
        <w:rPr>
          <w:b w:val="0"/>
        </w:rPr>
        <w:noBreakHyphen/>
      </w:r>
      <w:r>
        <w:rPr>
          <w:b w:val="0"/>
        </w:rPr>
        <w:t>4</w:t>
      </w:r>
      <w:r>
        <w:rPr>
          <w:b w:val="0"/>
        </w:rPr>
        <w:fldChar w:fldCharType="end"/>
      </w:r>
      <w:r>
        <w:rPr>
          <w:rFonts w:hint="eastAsia"/>
          <w:b w:val="0"/>
          <w:szCs w:val="24"/>
        </w:rPr>
        <w:t>。经估算模式计算结果见</w:t>
      </w:r>
      <w:r>
        <w:fldChar w:fldCharType="begin"/>
      </w:r>
      <w:r>
        <w:instrText xml:space="preserve"> REF _Ref19711309 \h  \* MERGEFORMAT </w:instrText>
      </w:r>
      <w:r>
        <w:fldChar w:fldCharType="separate"/>
      </w:r>
      <w:r>
        <w:rPr>
          <w:rFonts w:hint="eastAsia" w:cs="Times New Roman"/>
          <w:b w:val="0"/>
        </w:rPr>
        <w:t>表</w:t>
      </w:r>
      <w:r>
        <w:rPr>
          <w:rFonts w:cs="Times New Roman"/>
          <w:b w:val="0"/>
        </w:rPr>
        <w:t>1.5</w:t>
      </w:r>
      <w:r>
        <w:rPr>
          <w:rFonts w:cs="Times New Roman"/>
          <w:b w:val="0"/>
        </w:rPr>
        <w:noBreakHyphen/>
      </w:r>
      <w:r>
        <w:rPr>
          <w:rFonts w:cs="Times New Roman"/>
          <w:b w:val="0"/>
        </w:rPr>
        <w:t>3</w:t>
      </w:r>
      <w:r>
        <w:rPr>
          <w:rFonts w:cs="Times New Roman"/>
          <w:b w:val="0"/>
        </w:rPr>
        <w:fldChar w:fldCharType="end"/>
      </w:r>
      <w:r>
        <w:rPr>
          <w:rFonts w:cs="Times New Roman"/>
          <w:b w:val="0"/>
          <w:szCs w:val="24"/>
        </w:rPr>
        <w:t>。</w:t>
      </w:r>
    </w:p>
    <w:p>
      <w:pPr>
        <w:pStyle w:val="14"/>
        <w:spacing w:line="240" w:lineRule="auto"/>
      </w:pPr>
      <w:bookmarkStart w:id="74" w:name="_Ref19711309"/>
      <w:r>
        <w:rPr>
          <w:rFonts w:hint="eastAsia"/>
        </w:rPr>
        <w:t>表</w:t>
      </w:r>
      <w:r>
        <w:fldChar w:fldCharType="begin"/>
      </w:r>
      <w:r>
        <w:instrText xml:space="preserve"> STYLEREF 2 \s </w:instrText>
      </w:r>
      <w:r>
        <w:fldChar w:fldCharType="separate"/>
      </w:r>
      <w:r>
        <w:t>1.5</w:t>
      </w:r>
      <w:r>
        <w:fldChar w:fldCharType="end"/>
      </w:r>
      <w:r>
        <w:noBreakHyphen/>
      </w:r>
      <w:r>
        <w:fldChar w:fldCharType="begin"/>
      </w:r>
      <w:r>
        <w:rPr>
          <w:rFonts w:hint="eastAsia"/>
        </w:rPr>
        <w:instrText xml:space="preserve">SEQ 表 \* ARABIC \s 2</w:instrText>
      </w:r>
      <w:r>
        <w:fldChar w:fldCharType="separate"/>
      </w:r>
      <w:r>
        <w:rPr>
          <w:rFonts w:hint="eastAsia"/>
        </w:rPr>
        <w:t>3</w:t>
      </w:r>
      <w:r>
        <w:fldChar w:fldCharType="end"/>
      </w:r>
      <w:bookmarkEnd w:id="74"/>
      <w:r>
        <w:rPr>
          <w:rFonts w:hint="eastAsia"/>
          <w:lang w:val="en-US" w:eastAsia="zh-CN"/>
        </w:rPr>
        <w:t xml:space="preserve"> </w:t>
      </w:r>
      <w:r>
        <w:rPr>
          <w:rFonts w:hint="eastAsia"/>
        </w:rPr>
        <w:t xml:space="preserve"> </w:t>
      </w:r>
      <w:r>
        <w:rPr>
          <w:rFonts w:cs="Times New Roman"/>
          <w:szCs w:val="24"/>
        </w:rPr>
        <w:t>P</w:t>
      </w:r>
      <w:r>
        <w:rPr>
          <w:rFonts w:cs="Times New Roman"/>
          <w:szCs w:val="24"/>
          <w:vertAlign w:val="subscript"/>
        </w:rPr>
        <w:t>max</w:t>
      </w:r>
      <w:r>
        <w:rPr>
          <w:rFonts w:cs="Times New Roman"/>
          <w:szCs w:val="24"/>
        </w:rPr>
        <w:t>和D</w:t>
      </w:r>
      <w:r>
        <w:rPr>
          <w:rFonts w:cs="Times New Roman"/>
          <w:szCs w:val="24"/>
          <w:vertAlign w:val="subscript"/>
        </w:rPr>
        <w:t>10%</w:t>
      </w:r>
      <w:r>
        <w:rPr>
          <w:rFonts w:cs="Times New Roman"/>
          <w:szCs w:val="24"/>
        </w:rPr>
        <w:t>预测和计算结果一览表</w:t>
      </w:r>
    </w:p>
    <w:tbl>
      <w:tblPr>
        <w:tblStyle w:val="39"/>
        <w:tblW w:w="924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44"/>
        <w:gridCol w:w="1540"/>
        <w:gridCol w:w="2484"/>
        <w:gridCol w:w="1309"/>
        <w:gridCol w:w="1157"/>
        <w:gridCol w:w="9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污染源名称</w:t>
            </w:r>
          </w:p>
        </w:tc>
        <w:tc>
          <w:tcPr>
            <w:tcW w:w="1540"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评价因子</w:t>
            </w:r>
          </w:p>
        </w:tc>
        <w:tc>
          <w:tcPr>
            <w:tcW w:w="248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评价标准(μg/m</w:t>
            </w:r>
            <w:r>
              <w:rPr>
                <w:rFonts w:eastAsia="宋体" w:cs="Times New Roman"/>
                <w:sz w:val="21"/>
                <w:vertAlign w:val="superscript"/>
              </w:rPr>
              <w:t>3</w:t>
            </w:r>
            <w:r>
              <w:rPr>
                <w:rFonts w:eastAsia="宋体" w:cs="Times New Roman"/>
                <w:sz w:val="21"/>
              </w:rPr>
              <w:t>)</w:t>
            </w:r>
          </w:p>
        </w:tc>
        <w:tc>
          <w:tcPr>
            <w:tcW w:w="1309"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C</w:t>
            </w:r>
            <w:r>
              <w:rPr>
                <w:rFonts w:eastAsia="宋体" w:cs="Times New Roman"/>
                <w:sz w:val="21"/>
                <w:vertAlign w:val="subscript"/>
              </w:rPr>
              <w:t>max</w:t>
            </w:r>
          </w:p>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(μg/m</w:t>
            </w:r>
            <w:r>
              <w:rPr>
                <w:rFonts w:eastAsia="宋体" w:cs="Times New Roman"/>
                <w:sz w:val="21"/>
                <w:vertAlign w:val="superscript"/>
              </w:rPr>
              <w:t>3</w:t>
            </w:r>
            <w:r>
              <w:rPr>
                <w:rFonts w:eastAsia="宋体" w:cs="Times New Roman"/>
                <w:sz w:val="21"/>
              </w:rPr>
              <w:t>)</w:t>
            </w:r>
          </w:p>
        </w:tc>
        <w:tc>
          <w:tcPr>
            <w:tcW w:w="1157"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P</w:t>
            </w:r>
            <w:r>
              <w:rPr>
                <w:rFonts w:eastAsia="宋体" w:cs="Times New Roman"/>
                <w:sz w:val="21"/>
                <w:vertAlign w:val="subscript"/>
              </w:rPr>
              <w:t>max</w:t>
            </w:r>
          </w:p>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w:t>
            </w:r>
          </w:p>
        </w:tc>
        <w:tc>
          <w:tcPr>
            <w:tcW w:w="908"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D</w:t>
            </w:r>
            <w:r>
              <w:rPr>
                <w:rFonts w:eastAsia="宋体" w:cs="Times New Roman"/>
                <w:sz w:val="21"/>
                <w:vertAlign w:val="subscript"/>
              </w:rPr>
              <w:t>10%</w:t>
            </w:r>
          </w:p>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点源</w:t>
            </w:r>
          </w:p>
        </w:tc>
        <w:tc>
          <w:tcPr>
            <w:tcW w:w="1540"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H</w:t>
            </w:r>
            <w:r>
              <w:rPr>
                <w:rFonts w:eastAsia="宋体" w:cs="Times New Roman"/>
                <w:sz w:val="21"/>
                <w:vertAlign w:val="subscript"/>
              </w:rPr>
              <w:t>2</w:t>
            </w:r>
            <w:r>
              <w:rPr>
                <w:rFonts w:eastAsia="宋体" w:cs="Times New Roman"/>
                <w:sz w:val="21"/>
              </w:rPr>
              <w:t>S</w:t>
            </w:r>
          </w:p>
        </w:tc>
        <w:tc>
          <w:tcPr>
            <w:tcW w:w="248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10.0</w:t>
            </w:r>
          </w:p>
        </w:tc>
        <w:tc>
          <w:tcPr>
            <w:tcW w:w="1309"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2.82E-02</w:t>
            </w:r>
          </w:p>
        </w:tc>
        <w:tc>
          <w:tcPr>
            <w:tcW w:w="1157"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hint="eastAsia" w:eastAsia="宋体" w:cs="Times New Roman"/>
                <w:sz w:val="21"/>
              </w:rPr>
              <w:t>4.7</w:t>
            </w:r>
          </w:p>
        </w:tc>
        <w:tc>
          <w:tcPr>
            <w:tcW w:w="908"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点源</w:t>
            </w:r>
          </w:p>
        </w:tc>
        <w:tc>
          <w:tcPr>
            <w:tcW w:w="1540"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NH</w:t>
            </w:r>
            <w:r>
              <w:rPr>
                <w:rFonts w:eastAsia="宋体" w:cs="Times New Roman"/>
                <w:sz w:val="21"/>
                <w:vertAlign w:val="subscript"/>
              </w:rPr>
              <w:t>3</w:t>
            </w:r>
          </w:p>
        </w:tc>
        <w:tc>
          <w:tcPr>
            <w:tcW w:w="248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200.0</w:t>
            </w:r>
          </w:p>
        </w:tc>
        <w:tc>
          <w:tcPr>
            <w:tcW w:w="1309"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4.02E-05</w:t>
            </w:r>
          </w:p>
        </w:tc>
        <w:tc>
          <w:tcPr>
            <w:tcW w:w="1157"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hint="eastAsia" w:eastAsia="宋体" w:cs="Times New Roman"/>
                <w:sz w:val="21"/>
              </w:rPr>
              <w:t>0.13</w:t>
            </w:r>
          </w:p>
        </w:tc>
        <w:tc>
          <w:tcPr>
            <w:tcW w:w="908"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矩形面源</w:t>
            </w:r>
          </w:p>
        </w:tc>
        <w:tc>
          <w:tcPr>
            <w:tcW w:w="1540"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H</w:t>
            </w:r>
            <w:r>
              <w:rPr>
                <w:rFonts w:eastAsia="宋体" w:cs="Times New Roman"/>
                <w:sz w:val="21"/>
                <w:vertAlign w:val="subscript"/>
              </w:rPr>
              <w:t>2</w:t>
            </w:r>
            <w:r>
              <w:rPr>
                <w:rFonts w:eastAsia="宋体" w:cs="Times New Roman"/>
                <w:sz w:val="21"/>
              </w:rPr>
              <w:t>S</w:t>
            </w:r>
          </w:p>
        </w:tc>
        <w:tc>
          <w:tcPr>
            <w:tcW w:w="248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10.0</w:t>
            </w:r>
          </w:p>
        </w:tc>
        <w:tc>
          <w:tcPr>
            <w:tcW w:w="1309"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3.72E-0</w:t>
            </w:r>
            <w:r>
              <w:rPr>
                <w:rFonts w:hint="eastAsia" w:eastAsia="宋体" w:cs="Times New Roman"/>
                <w:sz w:val="21"/>
              </w:rPr>
              <w:t>1</w:t>
            </w:r>
          </w:p>
        </w:tc>
        <w:tc>
          <w:tcPr>
            <w:tcW w:w="1157"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hint="eastAsia" w:eastAsia="宋体" w:cs="Times New Roman"/>
                <w:sz w:val="21"/>
              </w:rPr>
              <w:t>6.19</w:t>
            </w:r>
          </w:p>
        </w:tc>
        <w:tc>
          <w:tcPr>
            <w:tcW w:w="908"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矩形面源</w:t>
            </w:r>
          </w:p>
        </w:tc>
        <w:tc>
          <w:tcPr>
            <w:tcW w:w="1540"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NH</w:t>
            </w:r>
            <w:r>
              <w:rPr>
                <w:rFonts w:eastAsia="宋体" w:cs="Times New Roman"/>
                <w:sz w:val="21"/>
                <w:vertAlign w:val="subscript"/>
              </w:rPr>
              <w:t>3</w:t>
            </w:r>
          </w:p>
        </w:tc>
        <w:tc>
          <w:tcPr>
            <w:tcW w:w="2484"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200.0</w:t>
            </w:r>
          </w:p>
        </w:tc>
        <w:tc>
          <w:tcPr>
            <w:tcW w:w="1309"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4.34E-0</w:t>
            </w:r>
            <w:r>
              <w:rPr>
                <w:rFonts w:hint="eastAsia" w:eastAsia="宋体" w:cs="Times New Roman"/>
                <w:sz w:val="21"/>
              </w:rPr>
              <w:t>1</w:t>
            </w:r>
          </w:p>
        </w:tc>
        <w:tc>
          <w:tcPr>
            <w:tcW w:w="1157"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hint="eastAsia" w:eastAsia="宋体" w:cs="Times New Roman"/>
                <w:sz w:val="21"/>
              </w:rPr>
              <w:t>1.45</w:t>
            </w:r>
          </w:p>
        </w:tc>
        <w:tc>
          <w:tcPr>
            <w:tcW w:w="908" w:type="dxa"/>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cs="Times New Roman"/>
                <w:sz w:val="21"/>
              </w:rPr>
            </w:pPr>
            <w:r>
              <w:rPr>
                <w:rFonts w:eastAsia="宋体" w:cs="Times New Roman"/>
                <w:sz w:val="21"/>
              </w:rPr>
              <w:t>/</w:t>
            </w:r>
          </w:p>
        </w:tc>
      </w:tr>
    </w:tbl>
    <w:p>
      <w:pPr>
        <w:spacing w:line="360" w:lineRule="auto"/>
        <w:ind w:firstLine="480" w:firstLineChars="200"/>
      </w:pPr>
      <w:r>
        <w:rPr>
          <w:rFonts w:hAnsi="宋体" w:eastAsia="宋体" w:cs="Times New Roman"/>
          <w:color w:val="000000" w:themeColor="text1"/>
          <w:szCs w:val="24"/>
        </w:rPr>
        <w:t>综合以上分析，本项目</w:t>
      </w:r>
      <w:r>
        <w:rPr>
          <w:rFonts w:eastAsia="宋体" w:cs="Times New Roman"/>
          <w:color w:val="000000" w:themeColor="text1"/>
          <w:szCs w:val="24"/>
        </w:rPr>
        <w:t>P</w:t>
      </w:r>
      <w:r>
        <w:rPr>
          <w:rFonts w:eastAsia="宋体" w:cs="Times New Roman"/>
          <w:color w:val="000000" w:themeColor="text1"/>
          <w:szCs w:val="24"/>
          <w:vertAlign w:val="subscript"/>
        </w:rPr>
        <w:t>max</w:t>
      </w:r>
      <w:r>
        <w:rPr>
          <w:rFonts w:hAnsi="宋体" w:eastAsia="宋体" w:cs="Times New Roman"/>
          <w:color w:val="000000" w:themeColor="text1"/>
          <w:szCs w:val="24"/>
        </w:rPr>
        <w:t>最大值出现为矩形面源排放的</w:t>
      </w:r>
      <w:r>
        <w:rPr>
          <w:rFonts w:eastAsia="宋体" w:cs="Times New Roman"/>
          <w:color w:val="000000" w:themeColor="text1"/>
          <w:szCs w:val="24"/>
        </w:rPr>
        <w:t>H</w:t>
      </w:r>
      <w:r>
        <w:rPr>
          <w:rFonts w:eastAsia="宋体" w:cs="Times New Roman"/>
          <w:color w:val="000000" w:themeColor="text1"/>
          <w:szCs w:val="24"/>
          <w:vertAlign w:val="subscript"/>
        </w:rPr>
        <w:t>2</w:t>
      </w:r>
      <w:r>
        <w:rPr>
          <w:rFonts w:eastAsia="宋体" w:cs="Times New Roman"/>
          <w:color w:val="000000" w:themeColor="text1"/>
          <w:szCs w:val="24"/>
        </w:rPr>
        <w:t>S</w:t>
      </w:r>
      <w:r>
        <w:rPr>
          <w:rFonts w:hAnsi="宋体" w:eastAsia="宋体" w:cs="Times New Roman"/>
          <w:color w:val="000000" w:themeColor="text1"/>
          <w:szCs w:val="24"/>
        </w:rPr>
        <w:t>，</w:t>
      </w:r>
      <w:r>
        <w:rPr>
          <w:rFonts w:eastAsia="宋体" w:cs="Times New Roman"/>
          <w:color w:val="000000" w:themeColor="text1"/>
          <w:szCs w:val="24"/>
        </w:rPr>
        <w:t>P</w:t>
      </w:r>
      <w:r>
        <w:rPr>
          <w:rFonts w:eastAsia="宋体" w:cs="Times New Roman"/>
          <w:color w:val="000000" w:themeColor="text1"/>
          <w:szCs w:val="24"/>
          <w:vertAlign w:val="subscript"/>
        </w:rPr>
        <w:t>max</w:t>
      </w:r>
      <w:r>
        <w:rPr>
          <w:rFonts w:hAnsi="宋体" w:eastAsia="宋体" w:cs="Times New Roman"/>
          <w:color w:val="000000" w:themeColor="text1"/>
          <w:szCs w:val="24"/>
        </w:rPr>
        <w:t>值为</w:t>
      </w:r>
      <w:r>
        <w:rPr>
          <w:rFonts w:eastAsia="宋体" w:cs="Times New Roman"/>
          <w:color w:val="000000" w:themeColor="text1"/>
          <w:szCs w:val="24"/>
        </w:rPr>
        <w:t>6.19%</w:t>
      </w:r>
      <w:r>
        <w:rPr>
          <w:rFonts w:hAnsi="宋体" w:eastAsia="宋体" w:cs="Times New Roman"/>
          <w:color w:val="000000" w:themeColor="text1"/>
          <w:szCs w:val="24"/>
        </w:rPr>
        <w:t>，</w:t>
      </w:r>
      <w:r>
        <w:rPr>
          <w:rFonts w:eastAsia="宋体" w:cs="Times New Roman"/>
          <w:color w:val="000000" w:themeColor="text1"/>
          <w:szCs w:val="24"/>
        </w:rPr>
        <w:t>C</w:t>
      </w:r>
      <w:r>
        <w:rPr>
          <w:rFonts w:eastAsia="宋体" w:cs="Times New Roman"/>
          <w:color w:val="000000" w:themeColor="text1"/>
          <w:szCs w:val="24"/>
          <w:vertAlign w:val="subscript"/>
        </w:rPr>
        <w:t>max</w:t>
      </w:r>
      <w:r>
        <w:rPr>
          <w:rFonts w:hAnsi="宋体" w:eastAsia="宋体" w:cs="Times New Roman"/>
          <w:color w:val="000000" w:themeColor="text1"/>
          <w:szCs w:val="24"/>
        </w:rPr>
        <w:t>为</w:t>
      </w:r>
      <w:r>
        <w:rPr>
          <w:rFonts w:eastAsia="宋体" w:cs="Times New Roman"/>
          <w:color w:val="000000" w:themeColor="text1"/>
          <w:szCs w:val="24"/>
        </w:rPr>
        <w:t>3.72E-01ug/m</w:t>
      </w:r>
      <w:r>
        <w:rPr>
          <w:rFonts w:eastAsia="宋体" w:cs="Times New Roman"/>
          <w:color w:val="000000" w:themeColor="text1"/>
          <w:szCs w:val="24"/>
          <w:vertAlign w:val="superscript"/>
        </w:rPr>
        <w:t>3</w:t>
      </w:r>
      <w:r>
        <w:rPr>
          <w:rFonts w:hAnsi="宋体" w:eastAsia="宋体" w:cs="Times New Roman"/>
          <w:color w:val="000000" w:themeColor="text1"/>
          <w:szCs w:val="24"/>
        </w:rPr>
        <w:t>，根据《环境影响评价技术导则大气环境》</w:t>
      </w:r>
      <w:r>
        <w:rPr>
          <w:rFonts w:eastAsia="宋体" w:cs="Times New Roman"/>
          <w:color w:val="000000" w:themeColor="text1"/>
          <w:szCs w:val="24"/>
        </w:rPr>
        <w:t>(HJ2.2-2018)</w:t>
      </w:r>
      <w:r>
        <w:rPr>
          <w:rFonts w:hAnsi="宋体" w:eastAsia="宋体" w:cs="Times New Roman"/>
          <w:color w:val="000000" w:themeColor="text1"/>
          <w:szCs w:val="24"/>
        </w:rPr>
        <w:t>分级判据，确定本项目大气环境影响评价工作等级为二级。</w:t>
      </w:r>
    </w:p>
    <w:p>
      <w:pPr>
        <w:pStyle w:val="5"/>
        <w:rPr>
          <w:snapToGrid w:val="0"/>
          <w:color w:val="000000" w:themeColor="text1"/>
        </w:rPr>
      </w:pPr>
      <w:r>
        <w:rPr>
          <w:rFonts w:hint="eastAsia"/>
          <w:snapToGrid w:val="0"/>
          <w:color w:val="000000" w:themeColor="text1"/>
        </w:rPr>
        <w:t>水环境</w:t>
      </w:r>
      <w:bookmarkEnd w:id="72"/>
    </w:p>
    <w:p>
      <w:pPr>
        <w:pStyle w:val="61"/>
        <w:adjustRightInd w:val="0"/>
        <w:snapToGrid w:val="0"/>
        <w:rPr>
          <w:color w:val="000000" w:themeColor="text1"/>
        </w:rPr>
      </w:pPr>
      <w:r>
        <w:rPr>
          <w:rFonts w:hint="eastAsia"/>
          <w:color w:val="000000" w:themeColor="text1"/>
        </w:rPr>
        <w:t>地表水评价等级</w:t>
      </w:r>
    </w:p>
    <w:p>
      <w:pPr>
        <w:spacing w:line="360" w:lineRule="auto"/>
        <w:ind w:firstLine="480" w:firstLineChars="200"/>
        <w:rPr>
          <w:rFonts w:cs="Times New Roman"/>
          <w:color w:val="000000" w:themeColor="text1"/>
        </w:rPr>
      </w:pPr>
      <w:r>
        <w:rPr>
          <w:rFonts w:cs="Times New Roman"/>
          <w:color w:val="000000" w:themeColor="text1"/>
          <w:szCs w:val="24"/>
        </w:rPr>
        <w:t>本项目主要为工业污水处理厂的建设项目，处理设计规模为20000m</w:t>
      </w:r>
      <w:r>
        <w:rPr>
          <w:rFonts w:cs="Times New Roman"/>
          <w:color w:val="000000" w:themeColor="text1"/>
          <w:szCs w:val="24"/>
          <w:vertAlign w:val="superscript"/>
        </w:rPr>
        <w:t>3</w:t>
      </w:r>
      <w:r>
        <w:rPr>
          <w:rFonts w:cs="Times New Roman"/>
          <w:color w:val="000000" w:themeColor="text1"/>
          <w:szCs w:val="24"/>
        </w:rPr>
        <w:t>/d，排污口位于华容县石伏</w:t>
      </w:r>
      <w:r>
        <w:rPr>
          <w:rFonts w:hint="eastAsia" w:cs="Times New Roman"/>
          <w:color w:val="000000" w:themeColor="text1"/>
          <w:szCs w:val="24"/>
        </w:rPr>
        <w:t>工业园</w:t>
      </w:r>
      <w:r>
        <w:rPr>
          <w:rFonts w:cs="Times New Roman"/>
          <w:color w:val="000000" w:themeColor="text1"/>
          <w:szCs w:val="24"/>
        </w:rPr>
        <w:t>，属华容河位于华容县城境内流域下游，根据《湖南省主要地表水系水环境功能区划》（DB43023-2005），项目排污河段为华容河华容大桥至六门闸（北支）水质达到国家Ⅲ类水质标准，属渔业用水区。本项目污水处理</w:t>
      </w:r>
      <w:r>
        <w:rPr>
          <w:rFonts w:hint="eastAsia" w:cs="Times New Roman"/>
          <w:color w:val="000000" w:themeColor="text1"/>
          <w:szCs w:val="24"/>
        </w:rPr>
        <w:t>厂</w:t>
      </w:r>
      <w:r>
        <w:rPr>
          <w:rFonts w:cs="Times New Roman"/>
          <w:color w:val="000000" w:themeColor="text1"/>
          <w:szCs w:val="24"/>
        </w:rPr>
        <w:t>的废水经过处理达到《城镇污水处理厂污染物排放标准》（GB18918-2002）中的一级A标准后，有190</w:t>
      </w:r>
      <w:r>
        <w:rPr>
          <w:rFonts w:hint="eastAsia" w:cs="Times New Roman"/>
          <w:color w:val="000000" w:themeColor="text1"/>
          <w:szCs w:val="24"/>
          <w:lang w:val="en-US" w:eastAsia="zh-CN"/>
        </w:rPr>
        <w:t>40</w:t>
      </w:r>
      <w:r>
        <w:rPr>
          <w:rFonts w:cs="Times New Roman"/>
          <w:color w:val="000000" w:themeColor="text1"/>
          <w:szCs w:val="24"/>
        </w:rPr>
        <w:t>m</w:t>
      </w:r>
      <w:r>
        <w:rPr>
          <w:rFonts w:cs="Times New Roman"/>
          <w:color w:val="000000" w:themeColor="text1"/>
          <w:szCs w:val="24"/>
          <w:vertAlign w:val="superscript"/>
        </w:rPr>
        <w:t>3</w:t>
      </w:r>
      <w:r>
        <w:rPr>
          <w:rFonts w:cs="Times New Roman"/>
          <w:color w:val="000000" w:themeColor="text1"/>
          <w:szCs w:val="24"/>
        </w:rPr>
        <w:t>/d的废水排入华容河，另外有960m</w:t>
      </w:r>
      <w:r>
        <w:rPr>
          <w:rFonts w:cs="Times New Roman"/>
          <w:color w:val="000000" w:themeColor="text1"/>
          <w:szCs w:val="24"/>
          <w:vertAlign w:val="superscript"/>
        </w:rPr>
        <w:t>3</w:t>
      </w:r>
      <w:r>
        <w:rPr>
          <w:rFonts w:cs="Times New Roman"/>
          <w:color w:val="000000" w:themeColor="text1"/>
          <w:szCs w:val="24"/>
        </w:rPr>
        <w:t>的废水回用于厂区绿化与消毒，根据《环境影响评价技术导则》（HJ2.3－2018）中有关规定，地面水环境影响评价工作等级判据具体见</w:t>
      </w:r>
      <w:r>
        <w:fldChar w:fldCharType="begin"/>
      </w:r>
      <w:r>
        <w:instrText xml:space="preserve"> REF _Ref531335409 \h  \* MERGEFORMAT </w:instrText>
      </w:r>
      <w:r>
        <w:fldChar w:fldCharType="separate"/>
      </w:r>
      <w:r>
        <w:rPr>
          <w:rFonts w:cs="Times New Roman"/>
          <w:color w:val="000000" w:themeColor="text1"/>
        </w:rPr>
        <w:t>表1.5</w:t>
      </w:r>
      <w:r>
        <w:rPr>
          <w:rFonts w:cs="Times New Roman"/>
          <w:color w:val="000000" w:themeColor="text1"/>
        </w:rPr>
        <w:noBreakHyphen/>
      </w:r>
      <w:r>
        <w:rPr>
          <w:rFonts w:cs="Times New Roman"/>
          <w:color w:val="000000" w:themeColor="text1"/>
        </w:rPr>
        <w:t>4</w:t>
      </w:r>
      <w:r>
        <w:rPr>
          <w:rFonts w:cs="Times New Roman"/>
          <w:color w:val="000000" w:themeColor="text1"/>
        </w:rPr>
        <w:fldChar w:fldCharType="end"/>
      </w:r>
      <w:r>
        <w:rPr>
          <w:rFonts w:cs="Times New Roman"/>
          <w:color w:val="000000" w:themeColor="text1"/>
        </w:rPr>
        <w:t>。</w:t>
      </w:r>
    </w:p>
    <w:p>
      <w:pPr>
        <w:pStyle w:val="14"/>
        <w:spacing w:line="240" w:lineRule="auto"/>
        <w:rPr>
          <w:rFonts w:cs="Times New Roman"/>
        </w:rPr>
      </w:pPr>
      <w:bookmarkStart w:id="75" w:name="_Ref528452768"/>
      <w:bookmarkStart w:id="76" w:name="_Ref531335409"/>
      <w:r>
        <w:rPr>
          <w:rFonts w:cs="Times New Roman"/>
          <w:color w:val="000000" w:themeColor="text1"/>
        </w:rPr>
        <w:t>表</w:t>
      </w:r>
      <w:bookmarkEnd w:id="75"/>
      <w:r>
        <w:rPr>
          <w:rFonts w:cs="Times New Roman"/>
          <w:color w:val="000000" w:themeColor="text1"/>
        </w:rPr>
        <w:fldChar w:fldCharType="begin"/>
      </w:r>
      <w:r>
        <w:rPr>
          <w:rFonts w:cs="Times New Roman"/>
          <w:color w:val="000000" w:themeColor="text1"/>
        </w:rPr>
        <w:instrText xml:space="preserve"> STYLEREF 2 \s </w:instrText>
      </w:r>
      <w:r>
        <w:rPr>
          <w:rFonts w:cs="Times New Roman"/>
          <w:color w:val="000000" w:themeColor="text1"/>
        </w:rPr>
        <w:fldChar w:fldCharType="separate"/>
      </w:r>
      <w:r>
        <w:rPr>
          <w:rFonts w:cs="Times New Roman"/>
          <w:color w:val="000000" w:themeColor="text1"/>
        </w:rPr>
        <w:t>1.5</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cs="Times New Roman"/>
          <w:color w:val="000000" w:themeColor="text1"/>
        </w:rPr>
        <w:instrText xml:space="preserve"> SEQ 表 \* ARABIC \s 2 </w:instrText>
      </w:r>
      <w:r>
        <w:rPr>
          <w:rFonts w:cs="Times New Roman"/>
          <w:color w:val="000000" w:themeColor="text1"/>
        </w:rPr>
        <w:fldChar w:fldCharType="separate"/>
      </w:r>
      <w:r>
        <w:rPr>
          <w:rFonts w:cs="Times New Roman"/>
          <w:color w:val="000000" w:themeColor="text1"/>
        </w:rPr>
        <w:t>4</w:t>
      </w:r>
      <w:r>
        <w:rPr>
          <w:rFonts w:cs="Times New Roman"/>
          <w:color w:val="000000" w:themeColor="text1"/>
        </w:rPr>
        <w:fldChar w:fldCharType="end"/>
      </w:r>
      <w:bookmarkEnd w:id="76"/>
      <w:r>
        <w:rPr>
          <w:rFonts w:hint="eastAsia" w:cs="Times New Roman"/>
          <w:color w:val="000000" w:themeColor="text1"/>
        </w:rPr>
        <w:t xml:space="preserve"> </w:t>
      </w:r>
      <w:r>
        <w:rPr>
          <w:rFonts w:cs="Times New Roman"/>
          <w:color w:val="000000" w:themeColor="text1"/>
        </w:rPr>
        <w:t>地表水环境影响评价工作等级判据</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5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14"/>
              <w:spacing w:line="240" w:lineRule="auto"/>
              <w:rPr>
                <w:b w:val="0"/>
                <w:sz w:val="21"/>
                <w:szCs w:val="21"/>
              </w:rPr>
            </w:pPr>
            <w:r>
              <w:rPr>
                <w:rFonts w:hint="eastAsia"/>
                <w:b w:val="0"/>
                <w:sz w:val="21"/>
                <w:szCs w:val="21"/>
              </w:rPr>
              <w:t>评价等级</w:t>
            </w:r>
          </w:p>
        </w:tc>
        <w:tc>
          <w:tcPr>
            <w:tcW w:w="7716" w:type="dxa"/>
            <w:gridSpan w:val="2"/>
            <w:vAlign w:val="center"/>
          </w:tcPr>
          <w:p>
            <w:pPr>
              <w:pStyle w:val="14"/>
              <w:spacing w:line="240" w:lineRule="auto"/>
              <w:rPr>
                <w:b w:val="0"/>
                <w:sz w:val="21"/>
                <w:szCs w:val="21"/>
              </w:rPr>
            </w:pPr>
            <w:r>
              <w:rPr>
                <w:rFonts w:hint="eastAsia"/>
                <w:b w:val="0"/>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pPr>
              <w:pStyle w:val="14"/>
              <w:spacing w:line="240" w:lineRule="auto"/>
              <w:rPr>
                <w:b w:val="0"/>
                <w:sz w:val="21"/>
                <w:szCs w:val="21"/>
              </w:rPr>
            </w:pPr>
          </w:p>
        </w:tc>
        <w:tc>
          <w:tcPr>
            <w:tcW w:w="2126" w:type="dxa"/>
            <w:vAlign w:val="center"/>
          </w:tcPr>
          <w:p>
            <w:pPr>
              <w:pStyle w:val="14"/>
              <w:spacing w:line="240" w:lineRule="auto"/>
              <w:rPr>
                <w:b w:val="0"/>
                <w:sz w:val="21"/>
                <w:szCs w:val="21"/>
              </w:rPr>
            </w:pPr>
            <w:r>
              <w:rPr>
                <w:rFonts w:hint="eastAsia"/>
                <w:b w:val="0"/>
                <w:sz w:val="21"/>
                <w:szCs w:val="21"/>
              </w:rPr>
              <w:t>排放方式</w:t>
            </w:r>
          </w:p>
        </w:tc>
        <w:tc>
          <w:tcPr>
            <w:tcW w:w="5590" w:type="dxa"/>
            <w:vAlign w:val="center"/>
          </w:tcPr>
          <w:p>
            <w:pPr>
              <w:pStyle w:val="14"/>
              <w:spacing w:line="240" w:lineRule="auto"/>
              <w:rPr>
                <w:b w:val="0"/>
                <w:sz w:val="21"/>
                <w:szCs w:val="21"/>
              </w:rPr>
            </w:pPr>
            <w:r>
              <w:rPr>
                <w:rFonts w:hint="eastAsia"/>
                <w:b w:val="0"/>
                <w:sz w:val="21"/>
                <w:szCs w:val="21"/>
              </w:rPr>
              <w:t>废水排放量Q/（m</w:t>
            </w:r>
            <w:r>
              <w:rPr>
                <w:rFonts w:hint="eastAsia"/>
                <w:b w:val="0"/>
                <w:sz w:val="21"/>
                <w:szCs w:val="21"/>
                <w:vertAlign w:val="superscript"/>
              </w:rPr>
              <w:t>3</w:t>
            </w:r>
            <w:r>
              <w:rPr>
                <w:rFonts w:hint="eastAsia"/>
                <w:b w:val="0"/>
                <w:sz w:val="21"/>
                <w:szCs w:val="21"/>
              </w:rPr>
              <w:t>/d）；水污染物当数W/（量纲一）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一级</w:t>
            </w:r>
          </w:p>
        </w:tc>
        <w:tc>
          <w:tcPr>
            <w:tcW w:w="2126" w:type="dxa"/>
          </w:tcPr>
          <w:p>
            <w:pPr>
              <w:pStyle w:val="14"/>
              <w:spacing w:line="240" w:lineRule="auto"/>
              <w:rPr>
                <w:b w:val="0"/>
                <w:sz w:val="21"/>
                <w:szCs w:val="21"/>
              </w:rPr>
            </w:pPr>
            <w:r>
              <w:rPr>
                <w:rFonts w:hint="eastAsia"/>
                <w:b w:val="0"/>
                <w:sz w:val="21"/>
                <w:szCs w:val="21"/>
              </w:rPr>
              <w:t>直接排放</w:t>
            </w:r>
          </w:p>
        </w:tc>
        <w:tc>
          <w:tcPr>
            <w:tcW w:w="5590" w:type="dxa"/>
            <w:vAlign w:val="center"/>
          </w:tcPr>
          <w:p>
            <w:pPr>
              <w:pStyle w:val="14"/>
              <w:spacing w:line="240" w:lineRule="auto"/>
              <w:rPr>
                <w:b w:val="0"/>
                <w:sz w:val="21"/>
                <w:szCs w:val="21"/>
              </w:rPr>
            </w:pPr>
            <w:r>
              <w:rPr>
                <w:rFonts w:hint="eastAsia"/>
                <w:b w:val="0"/>
                <w:sz w:val="21"/>
                <w:szCs w:val="21"/>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二级</w:t>
            </w:r>
          </w:p>
        </w:tc>
        <w:tc>
          <w:tcPr>
            <w:tcW w:w="2126" w:type="dxa"/>
          </w:tcPr>
          <w:p>
            <w:pPr>
              <w:pStyle w:val="14"/>
              <w:spacing w:line="240" w:lineRule="auto"/>
              <w:rPr>
                <w:b w:val="0"/>
                <w:sz w:val="21"/>
                <w:szCs w:val="21"/>
              </w:rPr>
            </w:pPr>
            <w:r>
              <w:rPr>
                <w:rFonts w:hint="eastAsia"/>
                <w:b w:val="0"/>
                <w:sz w:val="21"/>
                <w:szCs w:val="21"/>
              </w:rPr>
              <w:t>直接排放</w:t>
            </w:r>
          </w:p>
        </w:tc>
        <w:tc>
          <w:tcPr>
            <w:tcW w:w="5590" w:type="dxa"/>
            <w:vAlign w:val="center"/>
          </w:tcPr>
          <w:p>
            <w:pPr>
              <w:pStyle w:val="14"/>
              <w:spacing w:line="240" w:lineRule="auto"/>
              <w:rPr>
                <w:b w:val="0"/>
                <w:sz w:val="21"/>
                <w:szCs w:val="21"/>
              </w:rPr>
            </w:pPr>
            <w:r>
              <w:rPr>
                <w:rFonts w:hint="eastAsia"/>
                <w:b w:val="0"/>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三级A</w:t>
            </w:r>
          </w:p>
        </w:tc>
        <w:tc>
          <w:tcPr>
            <w:tcW w:w="2126" w:type="dxa"/>
          </w:tcPr>
          <w:p>
            <w:pPr>
              <w:pStyle w:val="14"/>
              <w:spacing w:line="240" w:lineRule="auto"/>
              <w:rPr>
                <w:b w:val="0"/>
                <w:sz w:val="21"/>
                <w:szCs w:val="21"/>
              </w:rPr>
            </w:pPr>
            <w:r>
              <w:rPr>
                <w:rFonts w:hint="eastAsia"/>
                <w:b w:val="0"/>
                <w:sz w:val="21"/>
                <w:szCs w:val="21"/>
              </w:rPr>
              <w:t>直接排放</w:t>
            </w:r>
          </w:p>
        </w:tc>
        <w:tc>
          <w:tcPr>
            <w:tcW w:w="5590" w:type="dxa"/>
            <w:vAlign w:val="center"/>
          </w:tcPr>
          <w:p>
            <w:pPr>
              <w:pStyle w:val="14"/>
              <w:spacing w:line="240" w:lineRule="auto"/>
              <w:rPr>
                <w:b w:val="0"/>
                <w:sz w:val="21"/>
                <w:szCs w:val="21"/>
              </w:rPr>
            </w:pPr>
            <w:r>
              <w:rPr>
                <w:rFonts w:hint="eastAsia"/>
                <w:b w:val="0"/>
                <w:sz w:val="21"/>
                <w:szCs w:val="21"/>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三级B</w:t>
            </w:r>
          </w:p>
        </w:tc>
        <w:tc>
          <w:tcPr>
            <w:tcW w:w="2126" w:type="dxa"/>
          </w:tcPr>
          <w:p>
            <w:pPr>
              <w:pStyle w:val="14"/>
              <w:spacing w:line="240" w:lineRule="auto"/>
              <w:rPr>
                <w:b w:val="0"/>
                <w:sz w:val="21"/>
                <w:szCs w:val="21"/>
              </w:rPr>
            </w:pPr>
            <w:r>
              <w:rPr>
                <w:rFonts w:hint="eastAsia"/>
                <w:b w:val="0"/>
                <w:sz w:val="21"/>
                <w:szCs w:val="21"/>
              </w:rPr>
              <w:t>间接排放</w:t>
            </w:r>
          </w:p>
        </w:tc>
        <w:tc>
          <w:tcPr>
            <w:tcW w:w="5590" w:type="dxa"/>
          </w:tcPr>
          <w:p>
            <w:pPr>
              <w:pStyle w:val="14"/>
              <w:spacing w:line="240" w:lineRule="auto"/>
              <w:rPr>
                <w:b w:val="0"/>
                <w:sz w:val="21"/>
                <w:szCs w:val="21"/>
              </w:rPr>
            </w:pPr>
            <w:r>
              <w:rPr>
                <w:rFonts w:hint="eastAsia"/>
                <w:b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3"/>
          </w:tcPr>
          <w:p>
            <w:pPr>
              <w:pStyle w:val="14"/>
              <w:adjustRightInd w:val="0"/>
              <w:snapToGrid w:val="0"/>
              <w:spacing w:line="240" w:lineRule="auto"/>
              <w:jc w:val="both"/>
              <w:rPr>
                <w:rFonts w:cs="Times New Roman"/>
                <w:b w:val="0"/>
                <w:sz w:val="21"/>
                <w:szCs w:val="21"/>
              </w:rPr>
            </w:pPr>
            <w:r>
              <w:rPr>
                <w:rFonts w:cs="Times New Roman"/>
                <w:b w:val="0"/>
                <w:sz w:val="21"/>
                <w:szCs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14"/>
              <w:adjustRightInd w:val="0"/>
              <w:snapToGrid w:val="0"/>
              <w:spacing w:line="240" w:lineRule="auto"/>
              <w:jc w:val="both"/>
              <w:rPr>
                <w:rFonts w:cs="Times New Roman"/>
                <w:b w:val="0"/>
                <w:sz w:val="21"/>
                <w:szCs w:val="21"/>
              </w:rPr>
            </w:pPr>
            <w:r>
              <w:rPr>
                <w:rFonts w:cs="Times New Roman"/>
                <w:b w:val="0"/>
                <w:sz w:val="21"/>
                <w:szCs w:val="21"/>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pStyle w:val="14"/>
              <w:adjustRightInd w:val="0"/>
              <w:snapToGrid w:val="0"/>
              <w:spacing w:line="240" w:lineRule="auto"/>
              <w:jc w:val="both"/>
              <w:rPr>
                <w:rFonts w:cs="Times New Roman"/>
                <w:b w:val="0"/>
                <w:sz w:val="21"/>
                <w:szCs w:val="21"/>
              </w:rPr>
            </w:pPr>
            <w:r>
              <w:rPr>
                <w:rFonts w:cs="Times New Roman"/>
                <w:b w:val="0"/>
                <w:sz w:val="21"/>
                <w:szCs w:val="21"/>
              </w:rPr>
              <w:t>注3：厂区存在堆积物（露天堆放的原料、燃料、废渣等以及垃圾堆放场）、降尘污染的，应将初期雨污水纳入废水排放量，相应的主要污染物纳入水污染当量计算。</w:t>
            </w:r>
          </w:p>
          <w:p>
            <w:pPr>
              <w:pStyle w:val="14"/>
              <w:adjustRightInd w:val="0"/>
              <w:snapToGrid w:val="0"/>
              <w:spacing w:line="240" w:lineRule="auto"/>
              <w:jc w:val="both"/>
              <w:rPr>
                <w:rFonts w:cs="Times New Roman"/>
                <w:b w:val="0"/>
                <w:sz w:val="21"/>
                <w:szCs w:val="21"/>
              </w:rPr>
            </w:pPr>
            <w:r>
              <w:rPr>
                <w:rFonts w:cs="Times New Roman"/>
                <w:b w:val="0"/>
                <w:sz w:val="21"/>
                <w:szCs w:val="21"/>
              </w:rPr>
              <w:t>注4：建设项目直接排放第一类污染物的，其评价等级为一级；建设项目直接排放的污染物为受纳水体超标因子的，评价等级不低于二级。</w:t>
            </w:r>
          </w:p>
          <w:p>
            <w:pPr>
              <w:pStyle w:val="14"/>
              <w:adjustRightInd w:val="0"/>
              <w:snapToGrid w:val="0"/>
              <w:spacing w:line="240" w:lineRule="auto"/>
              <w:jc w:val="both"/>
              <w:rPr>
                <w:rFonts w:cs="Times New Roman"/>
                <w:b w:val="0"/>
                <w:sz w:val="21"/>
                <w:szCs w:val="21"/>
              </w:rPr>
            </w:pPr>
            <w:r>
              <w:rPr>
                <w:rFonts w:cs="Times New Roman"/>
                <w:b w:val="0"/>
                <w:sz w:val="21"/>
                <w:szCs w:val="21"/>
              </w:rPr>
              <w:t>注5：直接排放受纳水体影响范围涉及饮用水水源保护区、饮用水取水口、重点保护与珍稀水生生物的栖息地、重要水生生物的自然产卵场等保护目标时，评价等级不低于二级。</w:t>
            </w:r>
          </w:p>
          <w:p>
            <w:pPr>
              <w:pStyle w:val="14"/>
              <w:adjustRightInd w:val="0"/>
              <w:snapToGrid w:val="0"/>
              <w:spacing w:line="240" w:lineRule="auto"/>
              <w:jc w:val="both"/>
              <w:rPr>
                <w:rFonts w:cs="Times New Roman"/>
                <w:b w:val="0"/>
                <w:sz w:val="21"/>
                <w:szCs w:val="21"/>
              </w:rPr>
            </w:pPr>
            <w:r>
              <w:rPr>
                <w:rFonts w:cs="Times New Roman"/>
                <w:b w:val="0"/>
                <w:sz w:val="21"/>
                <w:szCs w:val="21"/>
              </w:rPr>
              <w:t>注6：建设项目向河流、湖库排放温排水引起受纳水体水温变化超过水环境质量标准要求，且评价范围有水温敏感目标时，评价等级为一级。</w:t>
            </w:r>
          </w:p>
          <w:p>
            <w:pPr>
              <w:pStyle w:val="14"/>
              <w:adjustRightInd w:val="0"/>
              <w:snapToGrid w:val="0"/>
              <w:spacing w:line="240" w:lineRule="auto"/>
              <w:jc w:val="both"/>
              <w:rPr>
                <w:rFonts w:cs="Times New Roman"/>
                <w:b w:val="0"/>
                <w:sz w:val="21"/>
                <w:szCs w:val="21"/>
              </w:rPr>
            </w:pPr>
            <w:r>
              <w:rPr>
                <w:rFonts w:cs="Times New Roman"/>
                <w:b w:val="0"/>
                <w:sz w:val="21"/>
                <w:szCs w:val="21"/>
              </w:rPr>
              <w:t>注7：建设项目利用海水作为调节温度介质，排水量≥500万m</w:t>
            </w:r>
            <w:r>
              <w:rPr>
                <w:rFonts w:cs="Times New Roman"/>
                <w:b w:val="0"/>
                <w:sz w:val="21"/>
                <w:szCs w:val="21"/>
                <w:vertAlign w:val="superscript"/>
              </w:rPr>
              <w:t>3</w:t>
            </w:r>
            <w:r>
              <w:rPr>
                <w:rFonts w:cs="Times New Roman"/>
                <w:b w:val="0"/>
                <w:sz w:val="21"/>
                <w:szCs w:val="21"/>
              </w:rPr>
              <w:t>/d，评价等级为一级；排水量＜500万m</w:t>
            </w:r>
            <w:r>
              <w:rPr>
                <w:rFonts w:cs="Times New Roman"/>
                <w:b w:val="0"/>
                <w:sz w:val="21"/>
                <w:szCs w:val="21"/>
                <w:vertAlign w:val="superscript"/>
              </w:rPr>
              <w:t>3</w:t>
            </w:r>
            <w:r>
              <w:rPr>
                <w:rFonts w:cs="Times New Roman"/>
                <w:b w:val="0"/>
                <w:sz w:val="21"/>
                <w:szCs w:val="21"/>
              </w:rPr>
              <w:t>/d，评价等级为二级。</w:t>
            </w:r>
          </w:p>
          <w:p>
            <w:pPr>
              <w:pStyle w:val="14"/>
              <w:adjustRightInd w:val="0"/>
              <w:snapToGrid w:val="0"/>
              <w:spacing w:line="240" w:lineRule="auto"/>
              <w:jc w:val="both"/>
              <w:rPr>
                <w:rFonts w:cs="Times New Roman"/>
                <w:b w:val="0"/>
                <w:sz w:val="21"/>
                <w:szCs w:val="21"/>
              </w:rPr>
            </w:pPr>
            <w:r>
              <w:rPr>
                <w:rFonts w:cs="Times New Roman"/>
                <w:b w:val="0"/>
                <w:sz w:val="21"/>
                <w:szCs w:val="21"/>
              </w:rPr>
              <w:t>注8：仅涉及清净下水排放的，如其排放水质满足受纳水体水环境质量标准要求的，评价等级为三级A。</w:t>
            </w:r>
          </w:p>
          <w:p>
            <w:pPr>
              <w:pStyle w:val="14"/>
              <w:adjustRightInd w:val="0"/>
              <w:snapToGrid w:val="0"/>
              <w:spacing w:line="240" w:lineRule="auto"/>
              <w:jc w:val="both"/>
              <w:rPr>
                <w:rFonts w:cs="Times New Roman"/>
                <w:b w:val="0"/>
                <w:sz w:val="21"/>
                <w:szCs w:val="21"/>
              </w:rPr>
            </w:pPr>
            <w:r>
              <w:rPr>
                <w:rFonts w:cs="Times New Roman"/>
                <w:b w:val="0"/>
                <w:sz w:val="21"/>
                <w:szCs w:val="21"/>
              </w:rPr>
              <w:t>注9：依托现有排放口，且对外环境未新增排放污染物的直接排放建设项目，评价等级参照间接排放，定为三级B。</w:t>
            </w:r>
          </w:p>
          <w:p>
            <w:pPr>
              <w:pStyle w:val="14"/>
              <w:adjustRightInd w:val="0"/>
              <w:snapToGrid w:val="0"/>
              <w:spacing w:line="240" w:lineRule="auto"/>
              <w:jc w:val="both"/>
              <w:rPr>
                <w:b w:val="0"/>
                <w:sz w:val="21"/>
                <w:szCs w:val="21"/>
              </w:rPr>
            </w:pPr>
            <w:r>
              <w:rPr>
                <w:rFonts w:cs="Times New Roman"/>
                <w:b w:val="0"/>
                <w:sz w:val="21"/>
                <w:szCs w:val="21"/>
              </w:rPr>
              <w:t>注10：建设项目生产工艺中有废水产生，但作为回水利用，不排放到外环境的，按三级B评价。</w:t>
            </w:r>
          </w:p>
        </w:tc>
      </w:tr>
    </w:tbl>
    <w:p>
      <w:pPr>
        <w:pStyle w:val="14"/>
        <w:ind w:firstLine="480" w:firstLineChars="200"/>
        <w:jc w:val="both"/>
        <w:rPr>
          <w:rFonts w:cs="Times New Roman"/>
          <w:b w:val="0"/>
        </w:rPr>
      </w:pPr>
      <w:r>
        <w:rPr>
          <w:rFonts w:cs="Times New Roman"/>
          <w:b w:val="0"/>
        </w:rPr>
        <w:t>本项目运营后尾水排放量为190</w:t>
      </w:r>
      <w:r>
        <w:rPr>
          <w:rFonts w:hint="eastAsia" w:cs="Times New Roman"/>
          <w:b w:val="0"/>
          <w:lang w:val="en-US" w:eastAsia="zh-CN"/>
        </w:rPr>
        <w:t>40</w:t>
      </w:r>
      <w:r>
        <w:rPr>
          <w:rFonts w:cs="Times New Roman"/>
          <w:b w:val="0"/>
        </w:rPr>
        <w:t>m</w:t>
      </w:r>
      <w:r>
        <w:rPr>
          <w:rFonts w:cs="Times New Roman"/>
          <w:b w:val="0"/>
          <w:vertAlign w:val="superscript"/>
        </w:rPr>
        <w:t>3</w:t>
      </w:r>
      <w:r>
        <w:rPr>
          <w:rFonts w:cs="Times New Roman"/>
          <w:b w:val="0"/>
        </w:rPr>
        <w:t>/d，主要污染物为PH、CODcr、BOD</w:t>
      </w:r>
      <w:r>
        <w:rPr>
          <w:rFonts w:cs="Times New Roman"/>
          <w:b w:val="0"/>
          <w:vertAlign w:val="subscript"/>
        </w:rPr>
        <w:t>5</w:t>
      </w:r>
      <w:r>
        <w:rPr>
          <w:rFonts w:cs="Times New Roman"/>
          <w:b w:val="0"/>
        </w:rPr>
        <w:t>、SS、NH</w:t>
      </w:r>
      <w:r>
        <w:rPr>
          <w:rFonts w:cs="Times New Roman"/>
          <w:b w:val="0"/>
          <w:vertAlign w:val="subscript"/>
        </w:rPr>
        <w:t>3</w:t>
      </w:r>
      <w:r>
        <w:rPr>
          <w:rFonts w:cs="Times New Roman"/>
          <w:b w:val="0"/>
        </w:rPr>
        <w:t>-N、TN、TP，水污染物当量数见下表所示。</w:t>
      </w:r>
    </w:p>
    <w:p>
      <w:pPr>
        <w:pStyle w:val="14"/>
        <w:spacing w:line="240" w:lineRule="auto"/>
        <w:rPr>
          <w:color w:val="000000" w:themeColor="text1"/>
          <w:szCs w:val="24"/>
        </w:rPr>
      </w:pPr>
      <w:r>
        <w:rPr>
          <w:rFonts w:hint="eastAsia" w:cs="Times New Roman"/>
          <w:bCs/>
          <w:color w:val="000000" w:themeColor="text1"/>
          <w:szCs w:val="24"/>
        </w:rPr>
        <w:t>表</w:t>
      </w:r>
      <w:r>
        <w:rPr>
          <w:rFonts w:cs="Times New Roman"/>
          <w:bCs/>
          <w:color w:val="000000" w:themeColor="text1"/>
          <w:szCs w:val="24"/>
        </w:rPr>
        <w:fldChar w:fldCharType="begin"/>
      </w:r>
      <w:r>
        <w:rPr>
          <w:rFonts w:hint="eastAsia" w:cs="Times New Roman"/>
          <w:bCs/>
          <w:color w:val="000000" w:themeColor="text1"/>
          <w:szCs w:val="24"/>
        </w:rPr>
        <w:instrText xml:space="preserve">STYLEREF 2 \s</w:instrText>
      </w:r>
      <w:r>
        <w:rPr>
          <w:rFonts w:cs="Times New Roman"/>
          <w:bCs/>
          <w:color w:val="000000" w:themeColor="text1"/>
          <w:szCs w:val="24"/>
        </w:rPr>
        <w:fldChar w:fldCharType="separate"/>
      </w:r>
      <w:r>
        <w:rPr>
          <w:rFonts w:cs="Times New Roman"/>
          <w:bCs/>
          <w:color w:val="000000" w:themeColor="text1"/>
          <w:szCs w:val="24"/>
        </w:rPr>
        <w:t>1.5</w:t>
      </w:r>
      <w:r>
        <w:rPr>
          <w:rFonts w:cs="Times New Roman"/>
          <w:bCs/>
          <w:color w:val="000000" w:themeColor="text1"/>
          <w:szCs w:val="24"/>
        </w:rPr>
        <w:fldChar w:fldCharType="end"/>
      </w:r>
      <w:r>
        <w:rPr>
          <w:rFonts w:cs="Times New Roman"/>
          <w:bCs/>
          <w:color w:val="000000" w:themeColor="text1"/>
          <w:szCs w:val="24"/>
        </w:rPr>
        <w:noBreakHyphen/>
      </w:r>
      <w:r>
        <w:rPr>
          <w:rFonts w:cs="Times New Roman"/>
          <w:bCs/>
          <w:color w:val="000000" w:themeColor="text1"/>
          <w:szCs w:val="24"/>
        </w:rPr>
        <w:fldChar w:fldCharType="begin"/>
      </w:r>
      <w:r>
        <w:rPr>
          <w:rFonts w:hint="eastAsia" w:cs="Times New Roman"/>
          <w:bCs/>
          <w:color w:val="000000" w:themeColor="text1"/>
          <w:szCs w:val="24"/>
        </w:rPr>
        <w:instrText xml:space="preserve">SEQ 表 \* ARABIC \s 2</w:instrText>
      </w:r>
      <w:r>
        <w:rPr>
          <w:rFonts w:cs="Times New Roman"/>
          <w:bCs/>
          <w:color w:val="000000" w:themeColor="text1"/>
          <w:szCs w:val="24"/>
        </w:rPr>
        <w:fldChar w:fldCharType="separate"/>
      </w:r>
      <w:r>
        <w:rPr>
          <w:rFonts w:hint="eastAsia" w:cs="Times New Roman"/>
          <w:bCs/>
          <w:color w:val="000000" w:themeColor="text1"/>
          <w:szCs w:val="24"/>
        </w:rPr>
        <w:t>5</w:t>
      </w:r>
      <w:r>
        <w:rPr>
          <w:rFonts w:cs="Times New Roman"/>
          <w:bCs/>
          <w:color w:val="000000" w:themeColor="text1"/>
          <w:szCs w:val="24"/>
        </w:rPr>
        <w:fldChar w:fldCharType="end"/>
      </w:r>
      <w:r>
        <w:rPr>
          <w:rFonts w:hint="eastAsia"/>
          <w:color w:val="000000" w:themeColor="text1"/>
          <w:szCs w:val="24"/>
        </w:rPr>
        <w:t xml:space="preserve"> 建设项目水污染物当量数一览表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62"/>
        <w:gridCol w:w="2013"/>
        <w:gridCol w:w="1950"/>
        <w:gridCol w:w="2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序号</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污染物</w:t>
            </w:r>
          </w:p>
        </w:tc>
        <w:tc>
          <w:tcPr>
            <w:tcW w:w="201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年排放量</w:t>
            </w:r>
          </w:p>
          <w:p>
            <w:pPr>
              <w:pStyle w:val="78"/>
              <w:snapToGrid w:val="0"/>
              <w:jc w:val="center"/>
              <w:rPr>
                <w:rFonts w:eastAsia="宋体"/>
                <w:b w:val="0"/>
                <w:bCs w:val="0"/>
                <w:color w:val="000000" w:themeColor="text1"/>
                <w:kern w:val="2"/>
                <w:sz w:val="21"/>
                <w:szCs w:val="21"/>
              </w:rPr>
            </w:pPr>
            <w:r>
              <w:rPr>
                <w:rFonts w:eastAsia="宋体"/>
                <w:b w:val="0"/>
                <w:bCs w:val="0"/>
                <w:color w:val="000000" w:themeColor="text1"/>
                <w:kern w:val="2"/>
                <w:sz w:val="21"/>
                <w:szCs w:val="21"/>
              </w:rPr>
              <w:t>（kg/a）</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污染当量值</w:t>
            </w:r>
          </w:p>
          <w:p>
            <w:pPr>
              <w:pStyle w:val="78"/>
              <w:snapToGrid w:val="0"/>
              <w:jc w:val="center"/>
              <w:rPr>
                <w:rFonts w:eastAsia="宋体"/>
                <w:b w:val="0"/>
                <w:bCs w:val="0"/>
                <w:color w:val="000000" w:themeColor="text1"/>
                <w:kern w:val="2"/>
                <w:sz w:val="21"/>
                <w:szCs w:val="21"/>
              </w:rPr>
            </w:pPr>
            <w:r>
              <w:rPr>
                <w:rFonts w:eastAsia="宋体"/>
                <w:b w:val="0"/>
                <w:bCs w:val="0"/>
                <w:color w:val="000000" w:themeColor="text1"/>
                <w:kern w:val="2"/>
                <w:sz w:val="21"/>
                <w:szCs w:val="21"/>
              </w:rPr>
              <w:t>（kg）</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污染物当量数（</w:t>
            </w:r>
          </w:p>
          <w:p>
            <w:pPr>
              <w:pStyle w:val="78"/>
              <w:snapToGrid w:val="0"/>
              <w:jc w:val="center"/>
              <w:rPr>
                <w:rFonts w:eastAsia="宋体"/>
                <w:b w:val="0"/>
                <w:bCs w:val="0"/>
                <w:color w:val="000000" w:themeColor="text1"/>
                <w:kern w:val="2"/>
                <w:sz w:val="21"/>
                <w:szCs w:val="21"/>
              </w:rPr>
            </w:pPr>
            <w:r>
              <w:rPr>
                <w:rFonts w:eastAsia="宋体"/>
                <w:b w:val="0"/>
                <w:bCs w:val="0"/>
                <w:color w:val="000000" w:themeColor="text1"/>
                <w:kern w:val="2"/>
                <w:sz w:val="21"/>
                <w:szCs w:val="21"/>
              </w:rPr>
              <w:t>无纲量）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1</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PH</w:t>
            </w:r>
          </w:p>
        </w:tc>
        <w:tc>
          <w:tcPr>
            <w:tcW w:w="201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6~9</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2</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COD</w:t>
            </w:r>
            <w:r>
              <w:rPr>
                <w:rFonts w:cs="Times New Roman"/>
                <w:b w:val="0"/>
                <w:bCs w:val="0"/>
                <w:color w:val="000000" w:themeColor="text1"/>
                <w:sz w:val="21"/>
                <w:szCs w:val="21"/>
                <w:vertAlign w:val="subscript"/>
              </w:rPr>
              <w:t>cr</w:t>
            </w:r>
          </w:p>
        </w:tc>
        <w:tc>
          <w:tcPr>
            <w:tcW w:w="2013" w:type="dxa"/>
            <w:vAlign w:val="center"/>
          </w:tcPr>
          <w:p>
            <w:pPr>
              <w:pStyle w:val="122"/>
              <w:rPr>
                <w:rFonts w:hint="default"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348300</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1</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hint="eastAsia" w:cs="Times New Roman"/>
                <w:b w:val="0"/>
                <w:bCs w:val="0"/>
                <w:color w:val="000000" w:themeColor="text1"/>
                <w:sz w:val="21"/>
                <w:szCs w:val="21"/>
                <w:lang w:val="en-US" w:eastAsia="zh-CN"/>
              </w:rPr>
              <w:t>348300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3</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BOD</w:t>
            </w:r>
            <w:r>
              <w:rPr>
                <w:rFonts w:cs="Times New Roman"/>
                <w:b w:val="0"/>
                <w:bCs w:val="0"/>
                <w:color w:val="000000" w:themeColor="text1"/>
                <w:sz w:val="21"/>
                <w:szCs w:val="21"/>
                <w:vertAlign w:val="subscript"/>
              </w:rPr>
              <w:t>5</w:t>
            </w:r>
          </w:p>
        </w:tc>
        <w:tc>
          <w:tcPr>
            <w:tcW w:w="2013" w:type="dxa"/>
            <w:vAlign w:val="center"/>
          </w:tcPr>
          <w:p>
            <w:pPr>
              <w:pStyle w:val="122"/>
              <w:rPr>
                <w:rFonts w:hint="default"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69700</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0.5</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hint="eastAsia" w:cs="Times New Roman"/>
                <w:b w:val="0"/>
                <w:bCs w:val="0"/>
                <w:color w:val="000000" w:themeColor="text1"/>
                <w:sz w:val="21"/>
                <w:szCs w:val="21"/>
                <w:lang w:val="en-US" w:eastAsia="zh-CN"/>
              </w:rPr>
              <w:t>34850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4</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SS</w:t>
            </w:r>
          </w:p>
        </w:tc>
        <w:tc>
          <w:tcPr>
            <w:tcW w:w="2013" w:type="dxa"/>
            <w:vAlign w:val="center"/>
          </w:tcPr>
          <w:p>
            <w:pPr>
              <w:pStyle w:val="122"/>
              <w:rPr>
                <w:rFonts w:hint="default"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69700</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4</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hint="eastAsia" w:cs="Times New Roman"/>
                <w:b w:val="0"/>
                <w:bCs w:val="0"/>
                <w:color w:val="000000" w:themeColor="text1"/>
                <w:sz w:val="21"/>
                <w:szCs w:val="21"/>
                <w:lang w:val="en-US" w:eastAsia="zh-CN"/>
              </w:rPr>
              <w:t>278800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5</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NH</w:t>
            </w:r>
            <w:r>
              <w:rPr>
                <w:rFonts w:cs="Times New Roman"/>
                <w:b w:val="0"/>
                <w:bCs w:val="0"/>
                <w:color w:val="000000" w:themeColor="text1"/>
                <w:sz w:val="21"/>
                <w:szCs w:val="21"/>
                <w:vertAlign w:val="subscript"/>
              </w:rPr>
              <w:t>3</w:t>
            </w:r>
            <w:r>
              <w:rPr>
                <w:rFonts w:cs="Times New Roman"/>
                <w:b w:val="0"/>
                <w:bCs w:val="0"/>
                <w:color w:val="000000" w:themeColor="text1"/>
                <w:sz w:val="21"/>
                <w:szCs w:val="21"/>
              </w:rPr>
              <w:t>-N</w:t>
            </w:r>
          </w:p>
        </w:tc>
        <w:tc>
          <w:tcPr>
            <w:tcW w:w="2013" w:type="dxa"/>
            <w:vAlign w:val="center"/>
          </w:tcPr>
          <w:p>
            <w:pPr>
              <w:pStyle w:val="122"/>
              <w:rPr>
                <w:rFonts w:hint="default"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55000</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0.8</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hint="eastAsia" w:cs="Times New Roman"/>
                <w:b w:val="0"/>
                <w:bCs w:val="0"/>
                <w:color w:val="000000" w:themeColor="text1"/>
                <w:sz w:val="21"/>
                <w:szCs w:val="21"/>
                <w:lang w:val="en-US" w:eastAsia="zh-CN"/>
              </w:rPr>
              <w:t>44000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6</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TN</w:t>
            </w:r>
          </w:p>
        </w:tc>
        <w:tc>
          <w:tcPr>
            <w:tcW w:w="2013" w:type="dxa"/>
            <w:vAlign w:val="center"/>
          </w:tcPr>
          <w:p>
            <w:pPr>
              <w:pStyle w:val="122"/>
              <w:rPr>
                <w:rFonts w:hint="default"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104500</w:t>
            </w:r>
          </w:p>
        </w:tc>
        <w:tc>
          <w:tcPr>
            <w:tcW w:w="1950" w:type="dxa"/>
            <w:vAlign w:val="center"/>
          </w:tcPr>
          <w:p>
            <w:pPr>
              <w:pStyle w:val="78"/>
              <w:snapToGrid w:val="0"/>
              <w:jc w:val="center"/>
              <w:rPr>
                <w:rFonts w:eastAsia="宋体"/>
                <w:b w:val="0"/>
                <w:bCs w:val="0"/>
                <w:color w:val="000000" w:themeColor="text1"/>
                <w:kern w:val="2"/>
                <w:sz w:val="21"/>
                <w:szCs w:val="21"/>
              </w:rPr>
            </w:pPr>
            <w:r>
              <w:rPr>
                <w:rFonts w:eastAsia="宋体"/>
                <w:b w:val="0"/>
                <w:bCs w:val="0"/>
                <w:color w:val="000000" w:themeColor="text1"/>
                <w:kern w:val="2"/>
                <w:sz w:val="21"/>
                <w:szCs w:val="21"/>
              </w:rPr>
              <w:t>—</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7</w:t>
            </w:r>
          </w:p>
        </w:tc>
        <w:tc>
          <w:tcPr>
            <w:tcW w:w="1562"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TP</w:t>
            </w:r>
          </w:p>
        </w:tc>
        <w:tc>
          <w:tcPr>
            <w:tcW w:w="2013" w:type="dxa"/>
            <w:vAlign w:val="center"/>
          </w:tcPr>
          <w:p>
            <w:pPr>
              <w:pStyle w:val="122"/>
              <w:rPr>
                <w:rFonts w:hint="default"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3500</w:t>
            </w:r>
          </w:p>
        </w:tc>
        <w:tc>
          <w:tcPr>
            <w:tcW w:w="1950" w:type="dxa"/>
            <w:vAlign w:val="center"/>
          </w:tcPr>
          <w:p>
            <w:pPr>
              <w:pStyle w:val="14"/>
              <w:adjustRightInd w:val="0"/>
              <w:snapToGrid w:val="0"/>
              <w:spacing w:line="240" w:lineRule="auto"/>
              <w:rPr>
                <w:rFonts w:cs="Times New Roman"/>
                <w:b w:val="0"/>
                <w:bCs w:val="0"/>
                <w:color w:val="000000" w:themeColor="text1"/>
                <w:sz w:val="21"/>
                <w:szCs w:val="21"/>
              </w:rPr>
            </w:pPr>
            <w:r>
              <w:rPr>
                <w:rFonts w:cs="Times New Roman"/>
                <w:b w:val="0"/>
                <w:bCs w:val="0"/>
                <w:color w:val="000000" w:themeColor="text1"/>
                <w:sz w:val="21"/>
                <w:szCs w:val="21"/>
              </w:rPr>
              <w:t>0.25</w:t>
            </w:r>
          </w:p>
        </w:tc>
        <w:tc>
          <w:tcPr>
            <w:tcW w:w="2164" w:type="dxa"/>
            <w:vAlign w:val="center"/>
          </w:tcPr>
          <w:p>
            <w:pPr>
              <w:pStyle w:val="14"/>
              <w:adjustRightInd w:val="0"/>
              <w:snapToGrid w:val="0"/>
              <w:spacing w:line="240" w:lineRule="auto"/>
              <w:rPr>
                <w:rFonts w:cs="Times New Roman"/>
                <w:b w:val="0"/>
                <w:bCs w:val="0"/>
                <w:color w:val="000000" w:themeColor="text1"/>
                <w:sz w:val="21"/>
                <w:szCs w:val="21"/>
              </w:rPr>
            </w:pPr>
            <w:r>
              <w:rPr>
                <w:rFonts w:hint="eastAsia" w:cs="Times New Roman"/>
                <w:b w:val="0"/>
                <w:bCs w:val="0"/>
                <w:color w:val="000000" w:themeColor="text1"/>
                <w:sz w:val="21"/>
                <w:szCs w:val="21"/>
                <w:lang w:val="en-US" w:eastAsia="zh-CN"/>
              </w:rPr>
              <w:t>875</w:t>
            </w:r>
          </w:p>
        </w:tc>
      </w:tr>
    </w:tbl>
    <w:p>
      <w:pPr>
        <w:pStyle w:val="14"/>
        <w:ind w:firstLine="480" w:firstLineChars="200"/>
        <w:jc w:val="both"/>
        <w:rPr>
          <w:b w:val="0"/>
          <w:color w:val="000000" w:themeColor="text1"/>
          <w:szCs w:val="24"/>
        </w:rPr>
      </w:pPr>
      <w:r>
        <w:rPr>
          <w:b w:val="0"/>
          <w:color w:val="000000" w:themeColor="text1"/>
          <w:szCs w:val="24"/>
        </w:rPr>
        <w:t>综上</w:t>
      </w:r>
      <w:r>
        <w:rPr>
          <w:rFonts w:hint="eastAsia"/>
          <w:b w:val="0"/>
          <w:color w:val="000000" w:themeColor="text1"/>
          <w:szCs w:val="24"/>
        </w:rPr>
        <w:t>，</w:t>
      </w:r>
      <w:r>
        <w:rPr>
          <w:b w:val="0"/>
          <w:color w:val="000000" w:themeColor="text1"/>
          <w:szCs w:val="24"/>
        </w:rPr>
        <w:t>废水排放量</w:t>
      </w:r>
      <w:r>
        <w:rPr>
          <w:rFonts w:hint="eastAsia"/>
          <w:b w:val="0"/>
          <w:color w:val="000000" w:themeColor="text1"/>
          <w:szCs w:val="24"/>
        </w:rPr>
        <w:t>Q＜</w:t>
      </w:r>
      <w:r>
        <w:rPr>
          <w:rFonts w:cs="Times New Roman"/>
          <w:b w:val="0"/>
        </w:rPr>
        <w:t>190</w:t>
      </w:r>
      <w:r>
        <w:rPr>
          <w:rFonts w:hint="eastAsia" w:cs="Times New Roman"/>
          <w:b w:val="0"/>
          <w:lang w:val="en-US" w:eastAsia="zh-CN"/>
        </w:rPr>
        <w:t>40</w:t>
      </w:r>
      <w:r>
        <w:rPr>
          <w:rFonts w:hint="eastAsia"/>
          <w:b w:val="0"/>
          <w:color w:val="000000" w:themeColor="text1"/>
          <w:szCs w:val="24"/>
        </w:rPr>
        <w:t>m</w:t>
      </w:r>
      <w:r>
        <w:rPr>
          <w:rFonts w:hint="eastAsia"/>
          <w:b w:val="0"/>
          <w:color w:val="000000" w:themeColor="text1"/>
          <w:szCs w:val="24"/>
          <w:vertAlign w:val="superscript"/>
        </w:rPr>
        <w:t>3</w:t>
      </w:r>
      <w:r>
        <w:rPr>
          <w:rFonts w:hint="eastAsia"/>
          <w:b w:val="0"/>
          <w:color w:val="000000" w:themeColor="text1"/>
          <w:szCs w:val="24"/>
        </w:rPr>
        <w:t>/d，水污染当数=3</w:t>
      </w:r>
      <w:r>
        <w:rPr>
          <w:rFonts w:hint="eastAsia"/>
          <w:b w:val="0"/>
          <w:color w:val="000000" w:themeColor="text1"/>
          <w:szCs w:val="24"/>
          <w:lang w:val="en-US" w:eastAsia="zh-CN"/>
        </w:rPr>
        <w:t>48</w:t>
      </w:r>
      <w:r>
        <w:rPr>
          <w:rFonts w:hint="eastAsia"/>
          <w:b w:val="0"/>
          <w:color w:val="000000" w:themeColor="text1"/>
          <w:szCs w:val="24"/>
        </w:rPr>
        <w:t>300＜600000，厂区回用水部分的评价等级为三级B，对照</w:t>
      </w:r>
      <w:r>
        <w:fldChar w:fldCharType="begin"/>
      </w:r>
      <w:r>
        <w:instrText xml:space="preserve"> REF _Ref531335409 \h  \* MERGEFORMAT </w:instrText>
      </w:r>
      <w:r>
        <w:fldChar w:fldCharType="separate"/>
      </w:r>
      <w:r>
        <w:rPr>
          <w:rFonts w:cs="Times New Roman"/>
          <w:b w:val="0"/>
          <w:color w:val="000000" w:themeColor="text1"/>
          <w:szCs w:val="24"/>
        </w:rPr>
        <w:t>表1.5</w:t>
      </w:r>
      <w:r>
        <w:rPr>
          <w:rFonts w:cs="Times New Roman"/>
          <w:b w:val="0"/>
          <w:color w:val="000000" w:themeColor="text1"/>
          <w:szCs w:val="24"/>
        </w:rPr>
        <w:noBreakHyphen/>
      </w:r>
      <w:r>
        <w:rPr>
          <w:rFonts w:cs="Times New Roman"/>
          <w:b w:val="0"/>
          <w:color w:val="000000" w:themeColor="text1"/>
          <w:szCs w:val="24"/>
        </w:rPr>
        <w:t>3</w:t>
      </w:r>
      <w:r>
        <w:rPr>
          <w:rFonts w:cs="Times New Roman"/>
          <w:b w:val="0"/>
          <w:color w:val="000000" w:themeColor="text1"/>
          <w:szCs w:val="24"/>
        </w:rPr>
        <w:fldChar w:fldCharType="end"/>
      </w:r>
      <w:r>
        <w:rPr>
          <w:b w:val="0"/>
          <w:color w:val="000000" w:themeColor="text1"/>
          <w:szCs w:val="24"/>
        </w:rPr>
        <w:t>中水污染影响型项目的判定</w:t>
      </w:r>
      <w:r>
        <w:rPr>
          <w:rFonts w:hint="eastAsia"/>
          <w:b w:val="0"/>
          <w:color w:val="000000" w:themeColor="text1"/>
          <w:szCs w:val="24"/>
        </w:rPr>
        <w:t>，选取最高的判定依据废水的直接排放量Q=190</w:t>
      </w:r>
      <w:r>
        <w:rPr>
          <w:rFonts w:hint="eastAsia"/>
          <w:b w:val="0"/>
          <w:color w:val="000000" w:themeColor="text1"/>
          <w:szCs w:val="24"/>
          <w:lang w:val="en-US" w:eastAsia="zh-CN"/>
        </w:rPr>
        <w:t>40</w:t>
      </w:r>
      <w:r>
        <w:rPr>
          <w:rFonts w:hint="eastAsia"/>
          <w:b w:val="0"/>
          <w:color w:val="000000" w:themeColor="text1"/>
          <w:szCs w:val="24"/>
        </w:rPr>
        <w:t>m</w:t>
      </w:r>
      <w:r>
        <w:rPr>
          <w:rFonts w:hint="eastAsia"/>
          <w:b w:val="0"/>
          <w:color w:val="000000" w:themeColor="text1"/>
          <w:szCs w:val="24"/>
          <w:vertAlign w:val="superscript"/>
        </w:rPr>
        <w:t>3</w:t>
      </w:r>
      <w:r>
        <w:rPr>
          <w:rFonts w:hint="eastAsia"/>
          <w:b w:val="0"/>
          <w:color w:val="000000" w:themeColor="text1"/>
          <w:szCs w:val="24"/>
        </w:rPr>
        <w:t>/d＜20000m</w:t>
      </w:r>
      <w:r>
        <w:rPr>
          <w:rFonts w:hint="eastAsia"/>
          <w:b w:val="0"/>
          <w:color w:val="000000" w:themeColor="text1"/>
          <w:szCs w:val="24"/>
          <w:vertAlign w:val="superscript"/>
        </w:rPr>
        <w:t>3</w:t>
      </w:r>
      <w:r>
        <w:rPr>
          <w:rFonts w:hint="eastAsia"/>
          <w:b w:val="0"/>
          <w:color w:val="000000" w:themeColor="text1"/>
          <w:szCs w:val="24"/>
        </w:rPr>
        <w:t>/d，确定本项目地表水环境评价等级为二级。</w:t>
      </w:r>
    </w:p>
    <w:p>
      <w:pPr>
        <w:pStyle w:val="61"/>
        <w:rPr>
          <w:color w:val="000000" w:themeColor="text1"/>
        </w:rPr>
      </w:pPr>
      <w:r>
        <w:rPr>
          <w:rFonts w:hint="eastAsia"/>
          <w:color w:val="000000" w:themeColor="text1"/>
        </w:rPr>
        <w:t>地下水评价等级</w:t>
      </w:r>
    </w:p>
    <w:p>
      <w:pPr>
        <w:numPr>
          <w:ilvl w:val="0"/>
          <w:numId w:val="7"/>
        </w:numPr>
        <w:spacing w:line="360" w:lineRule="auto"/>
        <w:ind w:firstLine="480" w:firstLineChars="200"/>
      </w:pPr>
      <w:r>
        <w:rPr>
          <w:rFonts w:hint="eastAsia"/>
        </w:rPr>
        <w:t>项目类别</w:t>
      </w:r>
    </w:p>
    <w:p>
      <w:pPr>
        <w:widowControl/>
        <w:spacing w:line="360" w:lineRule="auto"/>
        <w:ind w:firstLine="480" w:firstLineChars="200"/>
        <w:jc w:val="left"/>
      </w:pPr>
      <w:r>
        <w:rPr>
          <w:rFonts w:hint="eastAsia"/>
        </w:rPr>
        <w:t>根据建设项目对地下水环境影响的程度，结合《建设项目环境影响评价分类管理名录》，将建设项目分类四类，</w:t>
      </w:r>
      <w:r>
        <w:rPr>
          <w:rFonts w:eastAsia="宋体" w:cs="Times New Roman"/>
          <w:color w:val="000000"/>
          <w:kern w:val="0"/>
          <w:szCs w:val="24"/>
        </w:rPr>
        <w:t>Ⅰ</w:t>
      </w:r>
      <w:r>
        <w:rPr>
          <w:rFonts w:hint="eastAsia" w:ascii="宋体" w:hAnsi="宋体" w:eastAsia="宋体" w:cs="宋体"/>
          <w:color w:val="000000"/>
          <w:kern w:val="0"/>
          <w:szCs w:val="24"/>
        </w:rPr>
        <w:t>类、</w:t>
      </w:r>
      <w:r>
        <w:rPr>
          <w:rFonts w:eastAsia="宋体" w:cs="Times New Roman"/>
          <w:color w:val="000000"/>
          <w:kern w:val="0"/>
          <w:szCs w:val="24"/>
        </w:rPr>
        <w:t>Ⅱ</w:t>
      </w:r>
      <w:r>
        <w:rPr>
          <w:rFonts w:hint="eastAsia" w:ascii="宋体" w:hAnsi="宋体" w:eastAsia="宋体" w:cs="宋体"/>
          <w:color w:val="000000"/>
          <w:kern w:val="0"/>
          <w:szCs w:val="24"/>
        </w:rPr>
        <w:t>类和</w:t>
      </w:r>
      <w:r>
        <w:rPr>
          <w:rFonts w:eastAsia="宋体" w:cs="Times New Roman"/>
          <w:color w:val="000000"/>
          <w:kern w:val="0"/>
          <w:szCs w:val="24"/>
        </w:rPr>
        <w:t>Ⅲ</w:t>
      </w:r>
      <w:r>
        <w:rPr>
          <w:rFonts w:hint="eastAsia" w:ascii="宋体" w:hAnsi="宋体" w:eastAsia="宋体" w:cs="宋体"/>
          <w:color w:val="000000"/>
          <w:kern w:val="0"/>
          <w:szCs w:val="24"/>
        </w:rPr>
        <w:t>类建设项目的地下水环境影响评价应执行表</w:t>
      </w:r>
      <w:r>
        <w:rPr>
          <w:rFonts w:eastAsia="宋体" w:cs="Times New Roman"/>
          <w:color w:val="000000"/>
          <w:kern w:val="0"/>
          <w:szCs w:val="24"/>
        </w:rPr>
        <w:t>2</w:t>
      </w:r>
      <w:r>
        <w:rPr>
          <w:rFonts w:hint="eastAsia" w:ascii="宋体" w:hAnsi="宋体" w:eastAsia="宋体" w:cs="宋体"/>
          <w:color w:val="000000"/>
          <w:kern w:val="0"/>
          <w:szCs w:val="24"/>
        </w:rPr>
        <w:t>中评价等级划分，</w:t>
      </w:r>
      <w:r>
        <w:rPr>
          <w:rFonts w:eastAsia="宋体" w:cs="Times New Roman"/>
          <w:color w:val="000000"/>
          <w:kern w:val="0"/>
          <w:szCs w:val="24"/>
        </w:rPr>
        <w:t>Ⅳ</w:t>
      </w:r>
      <w:r>
        <w:rPr>
          <w:rFonts w:hint="eastAsia" w:ascii="宋体" w:hAnsi="宋体" w:eastAsia="宋体" w:cs="宋体"/>
          <w:color w:val="000000"/>
          <w:kern w:val="0"/>
          <w:szCs w:val="24"/>
        </w:rPr>
        <w:t>类建设项目不开展地下水环境影响评价。</w:t>
      </w:r>
    </w:p>
    <w:p>
      <w:pPr>
        <w:spacing w:line="360" w:lineRule="auto"/>
        <w:rPr>
          <w:rFonts w:ascii="宋体" w:hAnsi="宋体" w:eastAsia="宋体" w:cs="宋体"/>
          <w:color w:val="000000"/>
          <w:kern w:val="0"/>
          <w:szCs w:val="24"/>
        </w:rPr>
      </w:pPr>
      <w:r>
        <w:rPr>
          <w:rFonts w:hint="eastAsia"/>
        </w:rPr>
        <w:t>根据建设项目内容，参照《环境影响评价技术导则 地下水环境》（HJ 610-2016）附录A中的地下水环境影响评价行业分类表，本项目属于“U城镇基础设施及房地产”中的“145、工业废水集中处理”，地下水环境影响项目分类为</w:t>
      </w:r>
      <w:r>
        <w:rPr>
          <w:rFonts w:eastAsia="宋体" w:cs="Times New Roman"/>
          <w:color w:val="000000"/>
          <w:kern w:val="0"/>
          <w:szCs w:val="24"/>
        </w:rPr>
        <w:t>Ⅰ</w:t>
      </w:r>
      <w:r>
        <w:rPr>
          <w:rFonts w:hint="eastAsia" w:ascii="宋体" w:hAnsi="宋体" w:eastAsia="宋体" w:cs="宋体"/>
          <w:color w:val="000000"/>
          <w:kern w:val="0"/>
          <w:szCs w:val="24"/>
        </w:rPr>
        <w:t>类。</w:t>
      </w:r>
    </w:p>
    <w:p>
      <w:pPr>
        <w:numPr>
          <w:ilvl w:val="0"/>
          <w:numId w:val="7"/>
        </w:numPr>
        <w:spacing w:line="360" w:lineRule="auto"/>
        <w:ind w:firstLine="480" w:firstLineChars="200"/>
        <w:rPr>
          <w:rFonts w:eastAsia="宋体" w:cs="Times New Roman"/>
          <w:color w:val="000000"/>
          <w:kern w:val="0"/>
          <w:szCs w:val="24"/>
        </w:rPr>
      </w:pPr>
      <w:r>
        <w:rPr>
          <w:rFonts w:hint="eastAsia" w:eastAsia="宋体" w:cs="Times New Roman"/>
          <w:color w:val="000000"/>
          <w:kern w:val="0"/>
          <w:szCs w:val="24"/>
        </w:rPr>
        <w:t>地下水环境敏感程度</w:t>
      </w:r>
    </w:p>
    <w:p>
      <w:pPr>
        <w:spacing w:line="360" w:lineRule="auto"/>
        <w:ind w:firstLine="480" w:firstLineChars="200"/>
        <w:rPr>
          <w:rFonts w:eastAsia="宋体" w:cs="Times New Roman"/>
          <w:color w:val="000000"/>
          <w:kern w:val="0"/>
          <w:szCs w:val="24"/>
        </w:rPr>
      </w:pPr>
      <w:r>
        <w:rPr>
          <w:rFonts w:eastAsia="宋体" w:cs="Times New Roman"/>
          <w:color w:val="000000"/>
          <w:kern w:val="0"/>
          <w:szCs w:val="24"/>
        </w:rPr>
        <w:t>根据《环境影响评价技术导则-地下水环境》（HJ610-2016）有关建设项目的分类，具体地下水敏感程度分级见下表所示。</w:t>
      </w:r>
    </w:p>
    <w:p>
      <w:pPr>
        <w:pStyle w:val="14"/>
        <w:spacing w:line="240" w:lineRule="auto"/>
        <w:ind w:firstLine="482" w:firstLineChars="200"/>
        <w:rPr>
          <w:rFonts w:cs="Times New Roman"/>
          <w:color w:val="000000"/>
          <w:kern w:val="0"/>
          <w:szCs w:val="24"/>
        </w:rPr>
      </w:pPr>
      <w:r>
        <w:t xml:space="preserve">表 </w:t>
      </w:r>
      <w:r>
        <w:fldChar w:fldCharType="begin"/>
      </w:r>
      <w:r>
        <w:instrText xml:space="preserve"> STYLEREF 2 \s </w:instrText>
      </w:r>
      <w:r>
        <w:fldChar w:fldCharType="separate"/>
      </w:r>
      <w:r>
        <w:t>1</w:t>
      </w:r>
      <w:r>
        <w:rPr>
          <w:rFonts w:hint="eastAsia"/>
        </w:rPr>
        <w:t>.</w:t>
      </w:r>
      <w:r>
        <w:t>4</w:t>
      </w:r>
      <w:r>
        <w:fldChar w:fldCharType="end"/>
      </w:r>
      <w:r>
        <w:rPr>
          <w:rFonts w:hint="eastAsia"/>
        </w:rPr>
        <w:t>-</w:t>
      </w:r>
      <w:r>
        <w:fldChar w:fldCharType="begin"/>
      </w:r>
      <w:r>
        <w:instrText xml:space="preserve"> SEQ 表 \* ARABIC \s 2 </w:instrText>
      </w:r>
      <w:r>
        <w:fldChar w:fldCharType="separate"/>
      </w:r>
      <w:r>
        <w:t>6</w:t>
      </w:r>
      <w:r>
        <w:fldChar w:fldCharType="end"/>
      </w:r>
      <w:r>
        <w:rPr>
          <w:rFonts w:hint="eastAsia"/>
        </w:rPr>
        <w:t xml:space="preserve">  地下水环境敏感程度分级表</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7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5"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分级</w:t>
            </w:r>
          </w:p>
        </w:tc>
        <w:tc>
          <w:tcPr>
            <w:tcW w:w="7927"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5"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敏感</w:t>
            </w:r>
          </w:p>
        </w:tc>
        <w:tc>
          <w:tcPr>
            <w:tcW w:w="7927"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5"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较敏感</w:t>
            </w:r>
          </w:p>
        </w:tc>
        <w:tc>
          <w:tcPr>
            <w:tcW w:w="7927"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5"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不敏感</w:t>
            </w:r>
          </w:p>
        </w:tc>
        <w:tc>
          <w:tcPr>
            <w:tcW w:w="7927" w:type="dxa"/>
            <w:tcBorders>
              <w:tl2br w:val="nil"/>
              <w:tr2bl w:val="nil"/>
            </w:tcBorders>
            <w:vAlign w:val="center"/>
          </w:tcPr>
          <w:p>
            <w:pPr>
              <w:pStyle w:val="14"/>
              <w:spacing w:line="240" w:lineRule="auto"/>
              <w:rPr>
                <w:rFonts w:cs="Times New Roman"/>
                <w:b w:val="0"/>
                <w:bCs/>
                <w:color w:val="000000"/>
                <w:kern w:val="0"/>
                <w:sz w:val="21"/>
                <w:szCs w:val="21"/>
              </w:rPr>
            </w:pPr>
            <w:r>
              <w:rPr>
                <w:rFonts w:hint="eastAsia" w:cs="Times New Roman"/>
                <w:b w:val="0"/>
                <w:bCs/>
                <w:color w:val="000000"/>
                <w:kern w:val="0"/>
                <w:sz w:val="21"/>
                <w:szCs w:val="21"/>
              </w:rPr>
              <w:t>上述地区之外的其它地区</w:t>
            </w:r>
          </w:p>
        </w:tc>
      </w:tr>
    </w:tbl>
    <w:p>
      <w:pPr>
        <w:pStyle w:val="14"/>
        <w:ind w:firstLine="480" w:firstLineChars="200"/>
        <w:jc w:val="both"/>
        <w:rPr>
          <w:rFonts w:cs="Times New Roman"/>
          <w:b w:val="0"/>
          <w:bCs/>
          <w:color w:val="000000"/>
          <w:kern w:val="0"/>
          <w:szCs w:val="24"/>
        </w:rPr>
      </w:pPr>
      <w:r>
        <w:rPr>
          <w:rFonts w:hint="eastAsia" w:cs="Times New Roman"/>
          <w:b w:val="0"/>
          <w:bCs/>
          <w:color w:val="000000"/>
          <w:kern w:val="0"/>
          <w:szCs w:val="24"/>
        </w:rPr>
        <w:t>项目所在区域不属于集中式饮用水水源准保护区及以外的补给径流区，也不属于特殊地下水水资源保护区及以外的分布区，周边也没有分散式的地下水取水井，因此地下水环境敏感程度属于不敏感。</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（3）建设项目评价工作等级</w:t>
      </w:r>
    </w:p>
    <w:p>
      <w:pPr>
        <w:spacing w:line="360" w:lineRule="auto"/>
        <w:ind w:firstLine="480" w:firstLineChars="200"/>
        <w:rPr>
          <w:rFonts w:cs="Times New Roman"/>
          <w:color w:val="000000" w:themeColor="text1"/>
        </w:rPr>
      </w:pPr>
      <w:r>
        <w:rPr>
          <w:rFonts w:hint="eastAsia"/>
          <w:color w:val="000000" w:themeColor="text1"/>
        </w:rPr>
        <w:t>建设项目地下水环境影响评价工作等级划分具体见</w:t>
      </w:r>
      <w:r>
        <w:fldChar w:fldCharType="begin"/>
      </w:r>
      <w:r>
        <w:instrText xml:space="preserve"> REF _Ref493603121 \h  \* MERGEFORMAT </w:instrText>
      </w:r>
      <w:r>
        <w:fldChar w:fldCharType="separate"/>
      </w:r>
      <w:r>
        <w:rPr>
          <w:color w:val="000000" w:themeColor="text1"/>
        </w:rPr>
        <w:t>表</w:t>
      </w:r>
      <w:r>
        <w:rPr>
          <w:color w:val="000000" w:themeColor="text1"/>
        </w:rPr>
        <w:fldChar w:fldCharType="begin"/>
      </w:r>
      <w:r>
        <w:rPr>
          <w:color w:val="000000" w:themeColor="text1"/>
        </w:rPr>
        <w:instrText xml:space="preserve"> STYLEREF</w:instrText>
      </w:r>
      <w:r>
        <w:instrText xml:space="preserve"> 2 \s </w:instrText>
      </w:r>
      <w:r>
        <w:fldChar w:fldCharType="separate"/>
      </w:r>
      <w:r>
        <w:t>1.5</w:t>
      </w:r>
      <w:r>
        <w:fldChar w:fldCharType="end"/>
      </w:r>
      <w:r>
        <w:noBreakHyphen/>
      </w:r>
      <w:r>
        <w:t>7</w:t>
      </w:r>
      <w:r>
        <w:fldChar w:fldCharType="end"/>
      </w:r>
      <w:r>
        <w:rPr>
          <w:rFonts w:hint="eastAsia"/>
          <w:color w:val="000000" w:themeColor="text1"/>
        </w:rPr>
        <w:t>。</w:t>
      </w:r>
    </w:p>
    <w:p>
      <w:pPr>
        <w:ind w:firstLine="482"/>
        <w:jc w:val="center"/>
        <w:rPr>
          <w:rFonts w:cs="Times New Roman"/>
          <w:b/>
          <w:color w:val="000000" w:themeColor="text1"/>
        </w:rPr>
      </w:pPr>
      <w:bookmarkStart w:id="77" w:name="_Ref493603121"/>
      <w:r>
        <w:rPr>
          <w:rFonts w:cs="Times New Roman" w:hAnsiTheme="minorEastAsia"/>
          <w:b/>
          <w:color w:val="000000" w:themeColor="text1"/>
        </w:rPr>
        <w:t>表</w:t>
      </w:r>
      <w:r>
        <w:rPr>
          <w:rFonts w:cs="Times New Roman" w:hAnsiTheme="minorEastAsia"/>
          <w:b/>
          <w:color w:val="000000" w:themeColor="text1"/>
        </w:rPr>
        <w:fldChar w:fldCharType="begin"/>
      </w:r>
      <w:r>
        <w:rPr>
          <w:rFonts w:cs="Times New Roman" w:hAnsiTheme="minorEastAsia"/>
          <w:b/>
          <w:color w:val="000000" w:themeColor="text1"/>
        </w:rPr>
        <w:instrText xml:space="preserve"> STYLEREF 2 \s </w:instrText>
      </w:r>
      <w:r>
        <w:rPr>
          <w:rFonts w:cs="Times New Roman" w:hAnsiTheme="minorEastAsia"/>
          <w:b/>
          <w:color w:val="000000" w:themeColor="text1"/>
        </w:rPr>
        <w:fldChar w:fldCharType="separate"/>
      </w:r>
      <w:r>
        <w:rPr>
          <w:rFonts w:cs="Times New Roman" w:hAnsiTheme="minorEastAsia"/>
          <w:b/>
          <w:color w:val="000000" w:themeColor="text1"/>
        </w:rPr>
        <w:t>1.5</w:t>
      </w:r>
      <w:r>
        <w:rPr>
          <w:rFonts w:cs="Times New Roman" w:hAnsiTheme="minorEastAsia"/>
          <w:b/>
          <w:color w:val="000000" w:themeColor="text1"/>
        </w:rPr>
        <w:fldChar w:fldCharType="end"/>
      </w:r>
      <w:r>
        <w:rPr>
          <w:rFonts w:cs="Times New Roman" w:hAnsiTheme="minorEastAsia"/>
          <w:b/>
          <w:color w:val="000000" w:themeColor="text1"/>
        </w:rPr>
        <w:noBreakHyphen/>
      </w:r>
      <w:r>
        <w:rPr>
          <w:rFonts w:cs="Times New Roman" w:hAnsiTheme="minorEastAsia"/>
          <w:b/>
          <w:color w:val="000000" w:themeColor="text1"/>
        </w:rPr>
        <w:fldChar w:fldCharType="begin"/>
      </w:r>
      <w:r>
        <w:rPr>
          <w:rFonts w:cs="Times New Roman" w:hAnsiTheme="minorEastAsia"/>
          <w:b/>
          <w:color w:val="000000" w:themeColor="text1"/>
        </w:rPr>
        <w:instrText xml:space="preserve"> SEQ 表 \* ARABIC \s 2 </w:instrText>
      </w:r>
      <w:r>
        <w:rPr>
          <w:rFonts w:cs="Times New Roman" w:hAnsiTheme="minorEastAsia"/>
          <w:b/>
          <w:color w:val="000000" w:themeColor="text1"/>
        </w:rPr>
        <w:fldChar w:fldCharType="separate"/>
      </w:r>
      <w:r>
        <w:rPr>
          <w:rFonts w:cs="Times New Roman" w:hAnsiTheme="minorEastAsia"/>
          <w:b/>
          <w:color w:val="000000" w:themeColor="text1"/>
        </w:rPr>
        <w:t>7</w:t>
      </w:r>
      <w:r>
        <w:rPr>
          <w:rFonts w:cs="Times New Roman" w:hAnsiTheme="minorEastAsia"/>
          <w:b/>
          <w:color w:val="000000" w:themeColor="text1"/>
        </w:rPr>
        <w:fldChar w:fldCharType="end"/>
      </w:r>
      <w:bookmarkEnd w:id="77"/>
      <w:r>
        <w:rPr>
          <w:rFonts w:cs="Times New Roman"/>
          <w:b/>
          <w:color w:val="000000" w:themeColor="text1"/>
        </w:rPr>
        <w:t xml:space="preserve"> 地下水环境影响评价等级判据</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1950"/>
        <w:gridCol w:w="2091"/>
        <w:gridCol w:w="2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tcBorders>
              <w:tl2br w:val="single" w:color="auto" w:sz="4" w:space="0"/>
            </w:tcBorders>
            <w:vAlign w:val="center"/>
          </w:tcPr>
          <w:p>
            <w:pPr>
              <w:ind w:firstLine="420"/>
              <w:jc w:val="right"/>
              <w:rPr>
                <w:color w:val="000000" w:themeColor="text1"/>
                <w:sz w:val="21"/>
              </w:rPr>
            </w:pPr>
            <w:r>
              <w:rPr>
                <w:color w:val="000000" w:themeColor="text1"/>
                <w:sz w:val="21"/>
              </w:rPr>
              <w:t xml:space="preserve">   项目类别</w:t>
            </w:r>
          </w:p>
          <w:p>
            <w:pPr>
              <w:ind w:firstLine="420"/>
              <w:rPr>
                <w:color w:val="000000" w:themeColor="text1"/>
                <w:sz w:val="21"/>
              </w:rPr>
            </w:pPr>
            <w:r>
              <w:rPr>
                <w:color w:val="000000" w:themeColor="text1"/>
                <w:sz w:val="21"/>
              </w:rPr>
              <w:t>环境敏感程度</w:t>
            </w:r>
          </w:p>
        </w:tc>
        <w:tc>
          <w:tcPr>
            <w:tcW w:w="1950" w:type="dxa"/>
            <w:vAlign w:val="center"/>
          </w:tcPr>
          <w:p>
            <w:pPr>
              <w:jc w:val="center"/>
              <w:rPr>
                <w:color w:val="000000" w:themeColor="text1"/>
                <w:sz w:val="21"/>
              </w:rPr>
            </w:pPr>
            <w:r>
              <w:rPr>
                <w:color w:val="000000" w:themeColor="text1"/>
                <w:sz w:val="21"/>
              </w:rPr>
              <w:t>I类项目</w:t>
            </w:r>
          </w:p>
        </w:tc>
        <w:tc>
          <w:tcPr>
            <w:tcW w:w="2091" w:type="dxa"/>
            <w:vAlign w:val="center"/>
          </w:tcPr>
          <w:p>
            <w:pPr>
              <w:jc w:val="center"/>
              <w:rPr>
                <w:color w:val="000000" w:themeColor="text1"/>
                <w:sz w:val="21"/>
              </w:rPr>
            </w:pPr>
            <w:r>
              <w:rPr>
                <w:color w:val="000000" w:themeColor="text1"/>
                <w:sz w:val="21"/>
              </w:rPr>
              <w:t>II类项目</w:t>
            </w:r>
          </w:p>
        </w:tc>
        <w:tc>
          <w:tcPr>
            <w:tcW w:w="2231" w:type="dxa"/>
            <w:vAlign w:val="center"/>
          </w:tcPr>
          <w:p>
            <w:pPr>
              <w:jc w:val="center"/>
              <w:rPr>
                <w:color w:val="000000" w:themeColor="text1"/>
                <w:sz w:val="21"/>
              </w:rPr>
            </w:pPr>
            <w:r>
              <w:rPr>
                <w:color w:val="000000" w:themeColor="text1"/>
                <w:sz w:val="21"/>
              </w:rPr>
              <w:t>III类项目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vAlign w:val="center"/>
          </w:tcPr>
          <w:p>
            <w:pPr>
              <w:jc w:val="center"/>
              <w:rPr>
                <w:color w:val="000000" w:themeColor="text1"/>
                <w:sz w:val="21"/>
              </w:rPr>
            </w:pPr>
            <w:r>
              <w:rPr>
                <w:color w:val="000000" w:themeColor="text1"/>
                <w:sz w:val="21"/>
              </w:rPr>
              <w:t>敏感</w:t>
            </w:r>
          </w:p>
        </w:tc>
        <w:tc>
          <w:tcPr>
            <w:tcW w:w="1950" w:type="dxa"/>
            <w:vAlign w:val="center"/>
          </w:tcPr>
          <w:p>
            <w:pPr>
              <w:jc w:val="center"/>
              <w:rPr>
                <w:color w:val="000000" w:themeColor="text1"/>
                <w:sz w:val="21"/>
              </w:rPr>
            </w:pPr>
            <w:r>
              <w:rPr>
                <w:color w:val="000000" w:themeColor="text1"/>
                <w:sz w:val="21"/>
              </w:rPr>
              <w:t>一</w:t>
            </w:r>
          </w:p>
        </w:tc>
        <w:tc>
          <w:tcPr>
            <w:tcW w:w="2091" w:type="dxa"/>
            <w:vAlign w:val="center"/>
          </w:tcPr>
          <w:p>
            <w:pPr>
              <w:jc w:val="center"/>
              <w:rPr>
                <w:color w:val="000000" w:themeColor="text1"/>
                <w:sz w:val="21"/>
              </w:rPr>
            </w:pPr>
            <w:r>
              <w:rPr>
                <w:color w:val="000000" w:themeColor="text1"/>
                <w:sz w:val="21"/>
              </w:rPr>
              <w:t>一</w:t>
            </w:r>
          </w:p>
        </w:tc>
        <w:tc>
          <w:tcPr>
            <w:tcW w:w="2231" w:type="dxa"/>
            <w:vAlign w:val="center"/>
          </w:tcPr>
          <w:p>
            <w:pPr>
              <w:jc w:val="center"/>
              <w:rPr>
                <w:color w:val="000000" w:themeColor="text1"/>
                <w:sz w:val="21"/>
              </w:rPr>
            </w:pPr>
            <w:r>
              <w:rPr>
                <w:color w:val="000000" w:themeColor="text1"/>
                <w:sz w:val="21"/>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vAlign w:val="center"/>
          </w:tcPr>
          <w:p>
            <w:pPr>
              <w:jc w:val="center"/>
              <w:rPr>
                <w:color w:val="000000" w:themeColor="text1"/>
                <w:sz w:val="21"/>
              </w:rPr>
            </w:pPr>
            <w:r>
              <w:rPr>
                <w:color w:val="000000" w:themeColor="text1"/>
                <w:sz w:val="21"/>
              </w:rPr>
              <w:t>较敏感</w:t>
            </w:r>
          </w:p>
        </w:tc>
        <w:tc>
          <w:tcPr>
            <w:tcW w:w="1950" w:type="dxa"/>
            <w:tcBorders>
              <w:bottom w:val="single" w:color="auto" w:sz="4" w:space="0"/>
            </w:tcBorders>
            <w:vAlign w:val="center"/>
          </w:tcPr>
          <w:p>
            <w:pPr>
              <w:jc w:val="center"/>
              <w:rPr>
                <w:color w:val="000000" w:themeColor="text1"/>
                <w:sz w:val="21"/>
              </w:rPr>
            </w:pPr>
            <w:r>
              <w:rPr>
                <w:color w:val="000000" w:themeColor="text1"/>
                <w:sz w:val="21"/>
              </w:rPr>
              <w:t>一</w:t>
            </w:r>
          </w:p>
        </w:tc>
        <w:tc>
          <w:tcPr>
            <w:tcW w:w="2091" w:type="dxa"/>
            <w:vAlign w:val="center"/>
          </w:tcPr>
          <w:p>
            <w:pPr>
              <w:jc w:val="center"/>
              <w:rPr>
                <w:color w:val="000000" w:themeColor="text1"/>
                <w:sz w:val="21"/>
              </w:rPr>
            </w:pPr>
            <w:r>
              <w:rPr>
                <w:color w:val="000000" w:themeColor="text1"/>
                <w:sz w:val="21"/>
              </w:rPr>
              <w:t>二</w:t>
            </w:r>
          </w:p>
        </w:tc>
        <w:tc>
          <w:tcPr>
            <w:tcW w:w="2231" w:type="dxa"/>
            <w:vAlign w:val="center"/>
          </w:tcPr>
          <w:p>
            <w:pPr>
              <w:jc w:val="center"/>
              <w:rPr>
                <w:color w:val="000000" w:themeColor="text1"/>
                <w:sz w:val="21"/>
              </w:rPr>
            </w:pPr>
            <w:r>
              <w:rPr>
                <w:color w:val="000000" w:themeColor="text1"/>
                <w:sz w:val="21"/>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vAlign w:val="center"/>
          </w:tcPr>
          <w:p>
            <w:pPr>
              <w:jc w:val="center"/>
              <w:rPr>
                <w:color w:val="000000" w:themeColor="text1"/>
                <w:sz w:val="21"/>
              </w:rPr>
            </w:pPr>
            <w:r>
              <w:rPr>
                <w:color w:val="000000" w:themeColor="text1"/>
                <w:sz w:val="21"/>
              </w:rPr>
              <w:t>不敏感</w:t>
            </w:r>
          </w:p>
        </w:tc>
        <w:tc>
          <w:tcPr>
            <w:tcW w:w="1950" w:type="dxa"/>
            <w:tcBorders>
              <w:top w:val="single" w:color="auto" w:sz="4" w:space="0"/>
              <w:bottom w:val="single" w:color="auto" w:sz="12" w:space="0"/>
            </w:tcBorders>
            <w:shd w:val="clear" w:color="auto" w:fill="9BBB59" w:themeFill="accent3"/>
            <w:vAlign w:val="center"/>
          </w:tcPr>
          <w:p>
            <w:pPr>
              <w:pStyle w:val="122"/>
              <w:rPr>
                <w:color w:val="000000" w:themeColor="text1"/>
              </w:rPr>
            </w:pPr>
            <w:r>
              <w:rPr>
                <w:color w:val="000000" w:themeColor="text1"/>
              </w:rPr>
              <w:t>二</w:t>
            </w:r>
          </w:p>
        </w:tc>
        <w:tc>
          <w:tcPr>
            <w:tcW w:w="2091" w:type="dxa"/>
            <w:vAlign w:val="center"/>
          </w:tcPr>
          <w:p>
            <w:pPr>
              <w:jc w:val="center"/>
              <w:rPr>
                <w:color w:val="000000" w:themeColor="text1"/>
                <w:sz w:val="21"/>
              </w:rPr>
            </w:pPr>
            <w:r>
              <w:rPr>
                <w:color w:val="000000" w:themeColor="text1"/>
                <w:sz w:val="21"/>
              </w:rPr>
              <w:t>三</w:t>
            </w:r>
          </w:p>
        </w:tc>
        <w:tc>
          <w:tcPr>
            <w:tcW w:w="2231" w:type="dxa"/>
            <w:vAlign w:val="center"/>
          </w:tcPr>
          <w:p>
            <w:pPr>
              <w:jc w:val="center"/>
              <w:rPr>
                <w:color w:val="000000" w:themeColor="text1"/>
                <w:sz w:val="21"/>
              </w:rPr>
            </w:pPr>
            <w:r>
              <w:rPr>
                <w:color w:val="000000" w:themeColor="text1"/>
                <w:sz w:val="21"/>
              </w:rPr>
              <w:t>三</w:t>
            </w:r>
          </w:p>
        </w:tc>
      </w:tr>
    </w:tbl>
    <w:p>
      <w:pPr>
        <w:ind w:firstLine="482"/>
        <w:rPr>
          <w:rFonts w:cs="Times New Roman"/>
          <w:b/>
          <w:color w:val="000000" w:themeColor="text1"/>
        </w:rPr>
      </w:pPr>
      <w:r>
        <w:rPr>
          <w:rFonts w:hint="eastAsia"/>
        </w:rPr>
        <w:t>本项目的地下水环境影响评价等级为：二级。</w:t>
      </w:r>
    </w:p>
    <w:p>
      <w:pPr>
        <w:pStyle w:val="5"/>
        <w:jc w:val="both"/>
        <w:rPr>
          <w:color w:val="000000" w:themeColor="text1"/>
        </w:rPr>
      </w:pPr>
      <w:bookmarkStart w:id="78" w:name="_Toc532497614"/>
      <w:r>
        <w:rPr>
          <w:rFonts w:hint="eastAsia"/>
          <w:color w:val="000000" w:themeColor="text1"/>
        </w:rPr>
        <w:t>声环境</w:t>
      </w:r>
      <w:bookmarkEnd w:id="78"/>
      <w:r>
        <w:rPr>
          <w:rFonts w:hint="eastAsia"/>
          <w:color w:val="000000" w:themeColor="text1"/>
        </w:rPr>
        <w:t>评价等级</w:t>
      </w:r>
    </w:p>
    <w:p>
      <w:pPr>
        <w:adjustRightInd w:val="0"/>
        <w:snapToGrid w:val="0"/>
        <w:spacing w:line="360" w:lineRule="auto"/>
        <w:ind w:firstLine="480" w:firstLineChars="200"/>
        <w:rPr>
          <w:rFonts w:cs="Times New Roman"/>
          <w:color w:val="000000"/>
        </w:rPr>
      </w:pPr>
      <w:r>
        <w:rPr>
          <w:rFonts w:cs="Times New Roman"/>
          <w:color w:val="000000"/>
        </w:rPr>
        <w:t>本项目位于</w:t>
      </w:r>
      <w:r>
        <w:rPr>
          <w:rFonts w:hint="eastAsia"/>
        </w:rPr>
        <w:t>华容县石伏工业园</w:t>
      </w:r>
      <w:r>
        <w:rPr>
          <w:rFonts w:cs="Times New Roman"/>
          <w:color w:val="000000"/>
        </w:rPr>
        <w:t>，本项目工程所在地声环境功能区划属</w:t>
      </w:r>
      <w:r>
        <w:rPr>
          <w:rFonts w:hint="eastAsia" w:cs="Times New Roman"/>
          <w:color w:val="000000"/>
        </w:rPr>
        <w:t>3</w:t>
      </w:r>
      <w:r>
        <w:rPr>
          <w:rFonts w:cs="Times New Roman"/>
          <w:color w:val="000000"/>
        </w:rPr>
        <w:t>类区，本项目各类噪声设备在经过减振、隔声、消音等降噪措施后，最大增量不超过</w:t>
      </w:r>
      <w:r>
        <w:rPr>
          <w:rFonts w:cs="Times New Roman"/>
        </w:rPr>
        <w:t>3dB(A)</w:t>
      </w:r>
      <w:r>
        <w:rPr>
          <w:rFonts w:cs="Times New Roman"/>
          <w:color w:val="000000"/>
        </w:rPr>
        <w:t>，受影响人口变化不大，根据《环境影响评价技术导则一声环境》(HJ2.4-2009)的评价分级原则，声环境影响评价工作等级为</w:t>
      </w:r>
      <w:r>
        <w:rPr>
          <w:rFonts w:hint="eastAsia" w:cs="Times New Roman"/>
          <w:color w:val="000000"/>
        </w:rPr>
        <w:t>三</w:t>
      </w:r>
      <w:r>
        <w:rPr>
          <w:rFonts w:cs="Times New Roman"/>
          <w:color w:val="000000"/>
        </w:rPr>
        <w:t>级。评价范围为厂界周围200m范围内可能受影响的敏感目标。声环境影响评价工作等级判据见</w:t>
      </w:r>
      <w:r>
        <w:fldChar w:fldCharType="begin"/>
      </w:r>
      <w:r>
        <w:instrText xml:space="preserve"> REF _Ref531335518 \h  \* MERGEFORMAT </w:instrText>
      </w:r>
      <w:r>
        <w:fldChar w:fldCharType="separate"/>
      </w:r>
      <w:r>
        <w:rPr>
          <w:rFonts w:cs="Times New Roman"/>
          <w:color w:val="000000"/>
        </w:rPr>
        <w:t>表</w:t>
      </w:r>
      <w:r>
        <w:rPr>
          <w:rFonts w:cs="Times New Roman"/>
          <w:color w:val="000000"/>
        </w:rPr>
        <w:fldChar w:fldCharType="begin"/>
      </w:r>
      <w:r>
        <w:rPr>
          <w:rFonts w:cs="Times New Roman"/>
          <w:color w:val="000000"/>
        </w:rPr>
        <w:instrText xml:space="preserve"> STYLEREF</w:instrText>
      </w:r>
      <w:r>
        <w:instrText xml:space="preserve"> 2 \s </w:instrText>
      </w:r>
      <w:r>
        <w:fldChar w:fldCharType="separate"/>
      </w:r>
      <w:r>
        <w:t>1.5</w:t>
      </w:r>
      <w:r>
        <w:fldChar w:fldCharType="end"/>
      </w:r>
      <w:r>
        <w:noBreakHyphen/>
      </w:r>
      <w:r>
        <w:t>8</w:t>
      </w:r>
      <w:r>
        <w:fldChar w:fldCharType="end"/>
      </w:r>
      <w:r>
        <w:rPr>
          <w:rFonts w:cs="Times New Roman"/>
          <w:color w:val="000000"/>
        </w:rPr>
        <w:t>。</w:t>
      </w:r>
    </w:p>
    <w:p>
      <w:pPr>
        <w:pStyle w:val="14"/>
        <w:spacing w:line="240" w:lineRule="auto"/>
      </w:pPr>
      <w:bookmarkStart w:id="79" w:name="_Ref528452971"/>
      <w:bookmarkStart w:id="80" w:name="_Ref531335518"/>
      <w:r>
        <w:rPr>
          <w:rFonts w:hAnsi="宋体" w:cs="Times New Roman"/>
          <w:color w:val="000000"/>
        </w:rPr>
        <w:t>表</w:t>
      </w:r>
      <w:bookmarkEnd w:id="79"/>
      <w:r>
        <w:rPr>
          <w:rFonts w:hAnsi="宋体" w:cs="Times New Roman"/>
          <w:color w:val="000000"/>
        </w:rPr>
        <w:fldChar w:fldCharType="begin"/>
      </w:r>
      <w:r>
        <w:rPr>
          <w:rFonts w:hAnsi="宋体" w:cs="Times New Roman"/>
          <w:color w:val="000000"/>
        </w:rPr>
        <w:instrText xml:space="preserve"> STYLEREF 2 \s </w:instrText>
      </w:r>
      <w:r>
        <w:rPr>
          <w:rFonts w:hAnsi="宋体" w:cs="Times New Roman"/>
          <w:color w:val="000000"/>
        </w:rPr>
        <w:fldChar w:fldCharType="separate"/>
      </w:r>
      <w:r>
        <w:rPr>
          <w:rFonts w:hAnsi="宋体" w:cs="Times New Roman"/>
          <w:color w:val="000000"/>
        </w:rPr>
        <w:t>1.5</w:t>
      </w:r>
      <w:r>
        <w:rPr>
          <w:rFonts w:hAnsi="宋体" w:cs="Times New Roman"/>
          <w:color w:val="000000"/>
        </w:rPr>
        <w:fldChar w:fldCharType="end"/>
      </w:r>
      <w:r>
        <w:rPr>
          <w:rFonts w:hAnsi="宋体" w:cs="Times New Roman"/>
          <w:color w:val="000000"/>
        </w:rPr>
        <w:noBreakHyphen/>
      </w:r>
      <w:r>
        <w:rPr>
          <w:rFonts w:hAnsi="宋体" w:cs="Times New Roman"/>
          <w:color w:val="000000"/>
        </w:rPr>
        <w:fldChar w:fldCharType="begin"/>
      </w:r>
      <w:r>
        <w:rPr>
          <w:rFonts w:hAnsi="宋体" w:cs="Times New Roman"/>
          <w:color w:val="000000"/>
        </w:rPr>
        <w:instrText xml:space="preserve"> SEQ 表 \* ARABIC \s 2 </w:instrText>
      </w:r>
      <w:r>
        <w:rPr>
          <w:rFonts w:hAnsi="宋体" w:cs="Times New Roman"/>
          <w:color w:val="000000"/>
        </w:rPr>
        <w:fldChar w:fldCharType="separate"/>
      </w:r>
      <w:r>
        <w:rPr>
          <w:rFonts w:hAnsi="宋体" w:cs="Times New Roman"/>
          <w:color w:val="000000"/>
        </w:rPr>
        <w:t>8</w:t>
      </w:r>
      <w:r>
        <w:rPr>
          <w:rFonts w:hAnsi="宋体" w:cs="Times New Roman"/>
          <w:color w:val="000000"/>
        </w:rPr>
        <w:fldChar w:fldCharType="end"/>
      </w:r>
      <w:bookmarkEnd w:id="80"/>
      <w:r>
        <w:rPr>
          <w:rFonts w:hAnsi="宋体" w:cs="Times New Roman"/>
          <w:color w:val="000000"/>
        </w:rPr>
        <w:t>声环境影响评价工作等级判据</w:t>
      </w:r>
    </w:p>
    <w:tbl>
      <w:tblPr>
        <w:tblStyle w:val="38"/>
        <w:tblW w:w="89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60"/>
        <w:gridCol w:w="39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960" w:type="dxa"/>
            <w:vAlign w:val="center"/>
          </w:tcPr>
          <w:p>
            <w:pPr>
              <w:spacing w:line="320" w:lineRule="exact"/>
              <w:jc w:val="center"/>
              <w:rPr>
                <w:rFonts w:cs="Times New Roman"/>
                <w:color w:val="000000"/>
                <w:sz w:val="21"/>
              </w:rPr>
            </w:pPr>
            <w:r>
              <w:rPr>
                <w:rFonts w:cs="Times New Roman"/>
                <w:color w:val="000000"/>
                <w:sz w:val="21"/>
              </w:rPr>
              <w:t>项目</w:t>
            </w:r>
          </w:p>
        </w:tc>
        <w:tc>
          <w:tcPr>
            <w:tcW w:w="3986" w:type="dxa"/>
            <w:vAlign w:val="center"/>
          </w:tcPr>
          <w:p>
            <w:pPr>
              <w:spacing w:line="320" w:lineRule="exact"/>
              <w:jc w:val="center"/>
              <w:rPr>
                <w:rFonts w:cs="Times New Roman"/>
                <w:color w:val="000000"/>
                <w:sz w:val="21"/>
              </w:rPr>
            </w:pPr>
            <w:r>
              <w:rPr>
                <w:rFonts w:cs="Times New Roman"/>
                <w:color w:val="000000"/>
                <w:sz w:val="21"/>
              </w:rPr>
              <w:t>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960" w:type="dxa"/>
            <w:vAlign w:val="center"/>
          </w:tcPr>
          <w:p>
            <w:pPr>
              <w:spacing w:line="320" w:lineRule="exact"/>
              <w:jc w:val="center"/>
              <w:rPr>
                <w:rFonts w:cs="Times New Roman"/>
                <w:color w:val="000000"/>
                <w:sz w:val="21"/>
              </w:rPr>
            </w:pPr>
            <w:r>
              <w:rPr>
                <w:rFonts w:cs="Times New Roman"/>
                <w:color w:val="000000"/>
                <w:sz w:val="21"/>
              </w:rPr>
              <w:t>周围环境适用标准</w:t>
            </w:r>
          </w:p>
        </w:tc>
        <w:tc>
          <w:tcPr>
            <w:tcW w:w="3986" w:type="dxa"/>
            <w:vAlign w:val="center"/>
          </w:tcPr>
          <w:p>
            <w:pPr>
              <w:spacing w:line="320" w:lineRule="exact"/>
              <w:jc w:val="center"/>
              <w:rPr>
                <w:rFonts w:cs="Times New Roman"/>
                <w:color w:val="000000"/>
                <w:sz w:val="21"/>
              </w:rPr>
            </w:pPr>
            <w:r>
              <w:rPr>
                <w:rFonts w:cs="Times New Roman"/>
                <w:color w:val="000000"/>
                <w:sz w:val="21"/>
              </w:rPr>
              <w:t>GB3096-2008中的</w:t>
            </w:r>
            <w:r>
              <w:rPr>
                <w:rFonts w:hint="eastAsia" w:cs="Times New Roman"/>
                <w:color w:val="000000"/>
                <w:sz w:val="21"/>
              </w:rPr>
              <w:t>3</w:t>
            </w:r>
            <w:r>
              <w:rPr>
                <w:rFonts w:cs="Times New Roman"/>
                <w:color w:val="000000"/>
                <w:sz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960" w:type="dxa"/>
            <w:vAlign w:val="center"/>
          </w:tcPr>
          <w:p>
            <w:pPr>
              <w:spacing w:line="320" w:lineRule="exact"/>
              <w:jc w:val="center"/>
              <w:rPr>
                <w:rFonts w:cs="Times New Roman"/>
                <w:color w:val="000000"/>
                <w:sz w:val="21"/>
              </w:rPr>
            </w:pPr>
            <w:r>
              <w:rPr>
                <w:rFonts w:cs="Times New Roman"/>
                <w:color w:val="000000"/>
                <w:sz w:val="21"/>
              </w:rPr>
              <w:t>周围环境受项目影响噪声增加量</w:t>
            </w:r>
          </w:p>
        </w:tc>
        <w:tc>
          <w:tcPr>
            <w:tcW w:w="3986" w:type="dxa"/>
            <w:vAlign w:val="center"/>
          </w:tcPr>
          <w:p>
            <w:pPr>
              <w:spacing w:line="320" w:lineRule="exact"/>
              <w:jc w:val="center"/>
              <w:rPr>
                <w:rFonts w:cs="Times New Roman"/>
                <w:color w:val="000000"/>
                <w:sz w:val="21"/>
              </w:rPr>
            </w:pPr>
            <w:r>
              <w:rPr>
                <w:rFonts w:cs="Times New Roman"/>
                <w:color w:val="000000"/>
                <w:sz w:val="21"/>
              </w:rPr>
              <w:t>3dB(A)以内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960" w:type="dxa"/>
            <w:vAlign w:val="center"/>
          </w:tcPr>
          <w:p>
            <w:pPr>
              <w:spacing w:line="320" w:lineRule="exact"/>
              <w:jc w:val="center"/>
              <w:rPr>
                <w:rFonts w:cs="Times New Roman"/>
                <w:color w:val="000000"/>
                <w:sz w:val="21"/>
              </w:rPr>
            </w:pPr>
            <w:r>
              <w:rPr>
                <w:rFonts w:cs="Times New Roman"/>
                <w:color w:val="000000"/>
                <w:sz w:val="21"/>
              </w:rPr>
              <w:t>评价工作等级</w:t>
            </w:r>
          </w:p>
        </w:tc>
        <w:tc>
          <w:tcPr>
            <w:tcW w:w="3986" w:type="dxa"/>
            <w:vAlign w:val="center"/>
          </w:tcPr>
          <w:p>
            <w:pPr>
              <w:spacing w:line="320" w:lineRule="exact"/>
              <w:jc w:val="center"/>
              <w:rPr>
                <w:rFonts w:cs="Times New Roman"/>
                <w:color w:val="000000"/>
                <w:sz w:val="21"/>
              </w:rPr>
            </w:pPr>
            <w:r>
              <w:rPr>
                <w:rFonts w:hint="eastAsia" w:cs="Times New Roman"/>
                <w:color w:val="000000"/>
                <w:sz w:val="21"/>
              </w:rPr>
              <w:t>三</w:t>
            </w:r>
            <w:r>
              <w:rPr>
                <w:rFonts w:cs="Times New Roman"/>
                <w:color w:val="000000"/>
                <w:sz w:val="21"/>
              </w:rPr>
              <w:t>级</w:t>
            </w:r>
          </w:p>
        </w:tc>
      </w:tr>
    </w:tbl>
    <w:p>
      <w:pPr>
        <w:pStyle w:val="5"/>
        <w:rPr>
          <w:color w:val="000000" w:themeColor="text1"/>
        </w:rPr>
      </w:pPr>
      <w:bookmarkStart w:id="81" w:name="_Toc532497615"/>
      <w:r>
        <w:rPr>
          <w:rFonts w:hint="eastAsia"/>
          <w:color w:val="000000" w:themeColor="text1"/>
        </w:rPr>
        <w:t>生态</w:t>
      </w:r>
      <w:bookmarkEnd w:id="81"/>
      <w:r>
        <w:rPr>
          <w:rFonts w:hint="eastAsia"/>
          <w:color w:val="000000" w:themeColor="text1"/>
        </w:rPr>
        <w:t>评价工作等级</w:t>
      </w:r>
    </w:p>
    <w:p>
      <w:pPr>
        <w:adjustRightInd w:val="0"/>
        <w:snapToGrid w:val="0"/>
        <w:spacing w:line="360" w:lineRule="auto"/>
        <w:ind w:firstLine="480" w:firstLineChars="200"/>
        <w:rPr>
          <w:color w:val="000000" w:themeColor="text1"/>
        </w:rPr>
      </w:pPr>
      <w:r>
        <w:rPr>
          <w:color w:val="000000" w:themeColor="text1"/>
        </w:rPr>
        <w:t>项目生态评价工作级别判别见</w:t>
      </w:r>
      <w:r>
        <w:fldChar w:fldCharType="begin"/>
      </w:r>
      <w:r>
        <w:instrText xml:space="preserve"> REF _Ref493603607 \h  \* MERGEFORMAT </w:instrText>
      </w:r>
      <w:r>
        <w:fldChar w:fldCharType="separate"/>
      </w:r>
      <w:r>
        <w:rPr>
          <w:color w:val="000000" w:themeColor="text1"/>
        </w:rPr>
        <w:t>表</w:t>
      </w:r>
      <w:r>
        <w:rPr>
          <w:color w:val="000000" w:themeColor="text1"/>
        </w:rPr>
        <w:fldChar w:fldCharType="begin"/>
      </w:r>
      <w:r>
        <w:rPr>
          <w:color w:val="000000" w:themeColor="text1"/>
        </w:rPr>
        <w:instrText xml:space="preserve"> STYLEREF</w:instrText>
      </w:r>
      <w:r>
        <w:instrText xml:space="preserve"> 2 \s </w:instrText>
      </w:r>
      <w:r>
        <w:fldChar w:fldCharType="separate"/>
      </w:r>
      <w:r>
        <w:t>1.5</w:t>
      </w:r>
      <w:r>
        <w:fldChar w:fldCharType="end"/>
      </w:r>
      <w:r>
        <w:noBreakHyphen/>
      </w:r>
      <w:r>
        <w:t>9</w:t>
      </w:r>
      <w:r>
        <w:fldChar w:fldCharType="end"/>
      </w:r>
      <w:r>
        <w:rPr>
          <w:color w:val="000000" w:themeColor="text1"/>
        </w:rPr>
        <w:t>。</w:t>
      </w:r>
    </w:p>
    <w:p>
      <w:pPr>
        <w:pStyle w:val="14"/>
        <w:spacing w:line="240" w:lineRule="auto"/>
        <w:rPr>
          <w:rFonts w:hAnsi="宋体" w:cs="Times New Roman"/>
          <w:color w:val="000000"/>
        </w:rPr>
      </w:pPr>
      <w:bookmarkStart w:id="82" w:name="_Ref493603607"/>
      <w:r>
        <w:rPr>
          <w:rFonts w:hAnsi="宋体" w:cs="Times New Roman"/>
          <w:color w:val="000000"/>
        </w:rPr>
        <w:t>表</w:t>
      </w:r>
      <w:r>
        <w:rPr>
          <w:rFonts w:hAnsi="宋体" w:cs="Times New Roman"/>
          <w:color w:val="000000"/>
        </w:rPr>
        <w:fldChar w:fldCharType="begin"/>
      </w:r>
      <w:r>
        <w:rPr>
          <w:rFonts w:hAnsi="宋体" w:cs="Times New Roman"/>
          <w:color w:val="000000"/>
        </w:rPr>
        <w:instrText xml:space="preserve"> STYLEREF 2 \s </w:instrText>
      </w:r>
      <w:r>
        <w:rPr>
          <w:rFonts w:hAnsi="宋体" w:cs="Times New Roman"/>
          <w:color w:val="000000"/>
        </w:rPr>
        <w:fldChar w:fldCharType="separate"/>
      </w:r>
      <w:r>
        <w:rPr>
          <w:rFonts w:hAnsi="宋体" w:cs="Times New Roman"/>
          <w:color w:val="000000"/>
        </w:rPr>
        <w:t>1.5</w:t>
      </w:r>
      <w:r>
        <w:rPr>
          <w:rFonts w:hAnsi="宋体" w:cs="Times New Roman"/>
          <w:color w:val="000000"/>
        </w:rPr>
        <w:fldChar w:fldCharType="end"/>
      </w:r>
      <w:r>
        <w:rPr>
          <w:rFonts w:hAnsi="宋体" w:cs="Times New Roman"/>
          <w:color w:val="000000"/>
        </w:rPr>
        <w:noBreakHyphen/>
      </w:r>
      <w:r>
        <w:rPr>
          <w:rFonts w:hAnsi="宋体" w:cs="Times New Roman"/>
          <w:color w:val="000000"/>
        </w:rPr>
        <w:fldChar w:fldCharType="begin"/>
      </w:r>
      <w:r>
        <w:rPr>
          <w:rFonts w:hAnsi="宋体" w:cs="Times New Roman"/>
          <w:color w:val="000000"/>
        </w:rPr>
        <w:instrText xml:space="preserve"> SEQ 表 \* ARABIC \s 2 </w:instrText>
      </w:r>
      <w:r>
        <w:rPr>
          <w:rFonts w:hAnsi="宋体" w:cs="Times New Roman"/>
          <w:color w:val="000000"/>
        </w:rPr>
        <w:fldChar w:fldCharType="separate"/>
      </w:r>
      <w:r>
        <w:rPr>
          <w:rFonts w:hAnsi="宋体" w:cs="Times New Roman"/>
          <w:color w:val="000000"/>
        </w:rPr>
        <w:t>9</w:t>
      </w:r>
      <w:r>
        <w:rPr>
          <w:rFonts w:hAnsi="宋体" w:cs="Times New Roman"/>
          <w:color w:val="000000"/>
        </w:rPr>
        <w:fldChar w:fldCharType="end"/>
      </w:r>
      <w:bookmarkEnd w:id="82"/>
      <w:r>
        <w:rPr>
          <w:rFonts w:hAnsi="宋体" w:cs="Times New Roman"/>
          <w:color w:val="000000"/>
        </w:rPr>
        <w:t xml:space="preserve"> 生态影响评价工作等级划分表</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727"/>
        <w:gridCol w:w="1920"/>
        <w:gridCol w:w="2673"/>
        <w:gridCol w:w="192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Merge w:val="restart"/>
            <w:vAlign w:val="center"/>
          </w:tcPr>
          <w:p>
            <w:pPr>
              <w:ind w:right="-566" w:rightChars="-236"/>
              <w:jc w:val="center"/>
              <w:rPr>
                <w:rFonts w:cs="Times New Roman"/>
                <w:color w:val="000000" w:themeColor="text1"/>
                <w:sz w:val="21"/>
              </w:rPr>
            </w:pPr>
            <w:r>
              <w:rPr>
                <w:rFonts w:cs="Times New Roman"/>
                <w:color w:val="000000" w:themeColor="text1"/>
                <w:sz w:val="21"/>
              </w:rPr>
              <w:t>影响区域生态敏感性</w:t>
            </w:r>
          </w:p>
        </w:tc>
        <w:tc>
          <w:tcPr>
            <w:tcW w:w="6515" w:type="dxa"/>
            <w:gridSpan w:val="3"/>
            <w:vAlign w:val="center"/>
          </w:tcPr>
          <w:p>
            <w:pPr>
              <w:jc w:val="center"/>
              <w:rPr>
                <w:rFonts w:cs="Times New Roman"/>
                <w:color w:val="000000" w:themeColor="text1"/>
                <w:sz w:val="21"/>
              </w:rPr>
            </w:pPr>
            <w:r>
              <w:rPr>
                <w:rFonts w:cs="Times New Roman"/>
                <w:color w:val="000000" w:themeColor="text1"/>
                <w:sz w:val="21"/>
              </w:rPr>
              <w:t>工程占地（水域）范围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Merge w:val="continue"/>
            <w:vAlign w:val="center"/>
          </w:tcPr>
          <w:p>
            <w:pPr>
              <w:ind w:firstLine="480"/>
              <w:jc w:val="center"/>
              <w:rPr>
                <w:rFonts w:cs="Times New Roman"/>
                <w:color w:val="000000" w:themeColor="text1"/>
                <w:sz w:val="21"/>
              </w:rPr>
            </w:pPr>
          </w:p>
        </w:tc>
        <w:tc>
          <w:tcPr>
            <w:tcW w:w="1920" w:type="dxa"/>
            <w:vAlign w:val="center"/>
          </w:tcPr>
          <w:p>
            <w:pPr>
              <w:jc w:val="center"/>
              <w:rPr>
                <w:rFonts w:cs="Times New Roman"/>
                <w:color w:val="000000" w:themeColor="text1"/>
                <w:sz w:val="21"/>
              </w:rPr>
            </w:pPr>
            <w:r>
              <w:rPr>
                <w:rFonts w:cs="Times New Roman"/>
                <w:color w:val="000000" w:themeColor="text1"/>
                <w:sz w:val="21"/>
              </w:rPr>
              <w:t>面积≥20km</w:t>
            </w:r>
            <w:r>
              <w:rPr>
                <w:rFonts w:cs="Times New Roman"/>
                <w:color w:val="000000" w:themeColor="text1"/>
                <w:sz w:val="21"/>
                <w:vertAlign w:val="superscript"/>
              </w:rPr>
              <w:t>2</w:t>
            </w:r>
            <w:r>
              <w:rPr>
                <w:rFonts w:cs="Times New Roman"/>
                <w:color w:val="000000" w:themeColor="text1"/>
                <w:sz w:val="21"/>
              </w:rPr>
              <w:t>长度≥100km</w:t>
            </w:r>
          </w:p>
        </w:tc>
        <w:tc>
          <w:tcPr>
            <w:tcW w:w="2673" w:type="dxa"/>
            <w:vAlign w:val="center"/>
          </w:tcPr>
          <w:p>
            <w:pPr>
              <w:jc w:val="center"/>
              <w:rPr>
                <w:rFonts w:cs="Times New Roman"/>
                <w:color w:val="000000" w:themeColor="text1"/>
                <w:sz w:val="21"/>
              </w:rPr>
            </w:pPr>
            <w:r>
              <w:rPr>
                <w:rFonts w:cs="Times New Roman"/>
                <w:color w:val="000000" w:themeColor="text1"/>
                <w:sz w:val="21"/>
              </w:rPr>
              <w:t>面积2km</w:t>
            </w:r>
            <w:r>
              <w:rPr>
                <w:rFonts w:cs="Times New Roman"/>
                <w:color w:val="000000" w:themeColor="text1"/>
                <w:sz w:val="21"/>
                <w:vertAlign w:val="superscript"/>
              </w:rPr>
              <w:t>2</w:t>
            </w:r>
            <w:r>
              <w:rPr>
                <w:rFonts w:cs="Times New Roman"/>
                <w:color w:val="000000" w:themeColor="text1"/>
                <w:sz w:val="21"/>
              </w:rPr>
              <w:t>～20km</w:t>
            </w:r>
            <w:r>
              <w:rPr>
                <w:rFonts w:cs="Times New Roman"/>
                <w:color w:val="000000" w:themeColor="text1"/>
                <w:sz w:val="21"/>
                <w:vertAlign w:val="superscript"/>
              </w:rPr>
              <w:t>2</w:t>
            </w:r>
            <w:r>
              <w:rPr>
                <w:rFonts w:cs="Times New Roman"/>
                <w:color w:val="000000" w:themeColor="text1"/>
                <w:sz w:val="21"/>
              </w:rPr>
              <w:t>或长度50km～100km</w:t>
            </w:r>
          </w:p>
        </w:tc>
        <w:tc>
          <w:tcPr>
            <w:tcW w:w="1922" w:type="dxa"/>
            <w:vAlign w:val="center"/>
          </w:tcPr>
          <w:p>
            <w:pPr>
              <w:jc w:val="center"/>
              <w:rPr>
                <w:rFonts w:cs="Times New Roman"/>
                <w:color w:val="000000" w:themeColor="text1"/>
                <w:sz w:val="21"/>
              </w:rPr>
            </w:pPr>
            <w:r>
              <w:rPr>
                <w:rFonts w:cs="Times New Roman"/>
                <w:color w:val="000000" w:themeColor="text1"/>
                <w:sz w:val="21"/>
              </w:rPr>
              <w:t>面积≤2km</w:t>
            </w:r>
            <w:r>
              <w:rPr>
                <w:rFonts w:cs="Times New Roman"/>
                <w:color w:val="000000" w:themeColor="text1"/>
                <w:sz w:val="21"/>
                <w:vertAlign w:val="superscript"/>
              </w:rPr>
              <w:t>2</w:t>
            </w:r>
            <w:r>
              <w:rPr>
                <w:rFonts w:cs="Times New Roman"/>
                <w:color w:val="000000" w:themeColor="text1"/>
                <w:sz w:val="21"/>
              </w:rPr>
              <w:t>或长度≤50km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Align w:val="center"/>
          </w:tcPr>
          <w:p>
            <w:pPr>
              <w:jc w:val="center"/>
              <w:rPr>
                <w:rFonts w:cs="Times New Roman"/>
                <w:color w:val="000000" w:themeColor="text1"/>
                <w:sz w:val="21"/>
              </w:rPr>
            </w:pPr>
            <w:r>
              <w:rPr>
                <w:rFonts w:cs="Times New Roman"/>
                <w:color w:val="000000" w:themeColor="text1"/>
                <w:sz w:val="21"/>
              </w:rPr>
              <w:t>特殊生态敏感区</w:t>
            </w:r>
          </w:p>
        </w:tc>
        <w:tc>
          <w:tcPr>
            <w:tcW w:w="1920" w:type="dxa"/>
            <w:vAlign w:val="center"/>
          </w:tcPr>
          <w:p>
            <w:pPr>
              <w:jc w:val="center"/>
              <w:rPr>
                <w:rFonts w:cs="Times New Roman"/>
                <w:color w:val="000000" w:themeColor="text1"/>
                <w:sz w:val="21"/>
              </w:rPr>
            </w:pPr>
            <w:r>
              <w:rPr>
                <w:rFonts w:cs="Times New Roman"/>
                <w:color w:val="000000" w:themeColor="text1"/>
                <w:sz w:val="21"/>
              </w:rPr>
              <w:t>一级</w:t>
            </w:r>
          </w:p>
        </w:tc>
        <w:tc>
          <w:tcPr>
            <w:tcW w:w="2673" w:type="dxa"/>
            <w:vAlign w:val="center"/>
          </w:tcPr>
          <w:p>
            <w:pPr>
              <w:jc w:val="center"/>
              <w:rPr>
                <w:rFonts w:cs="Times New Roman"/>
                <w:color w:val="000000" w:themeColor="text1"/>
                <w:sz w:val="21"/>
              </w:rPr>
            </w:pPr>
            <w:r>
              <w:rPr>
                <w:rFonts w:cs="Times New Roman"/>
                <w:color w:val="000000" w:themeColor="text1"/>
                <w:sz w:val="21"/>
              </w:rPr>
              <w:t>一级</w:t>
            </w:r>
          </w:p>
        </w:tc>
        <w:tc>
          <w:tcPr>
            <w:tcW w:w="1922" w:type="dxa"/>
            <w:vAlign w:val="center"/>
          </w:tcPr>
          <w:p>
            <w:pPr>
              <w:jc w:val="center"/>
              <w:rPr>
                <w:rFonts w:cs="Times New Roman"/>
                <w:color w:val="000000" w:themeColor="text1"/>
                <w:sz w:val="21"/>
              </w:rPr>
            </w:pPr>
            <w:r>
              <w:rPr>
                <w:rFonts w:cs="Times New Roman"/>
                <w:color w:val="000000" w:themeColor="text1"/>
                <w:sz w:val="21"/>
              </w:rPr>
              <w:t>一级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Align w:val="center"/>
          </w:tcPr>
          <w:p>
            <w:pPr>
              <w:jc w:val="center"/>
              <w:rPr>
                <w:rFonts w:cs="Times New Roman"/>
                <w:color w:val="000000" w:themeColor="text1"/>
                <w:sz w:val="21"/>
              </w:rPr>
            </w:pPr>
            <w:r>
              <w:rPr>
                <w:rFonts w:cs="Times New Roman"/>
                <w:color w:val="000000" w:themeColor="text1"/>
                <w:sz w:val="21"/>
              </w:rPr>
              <w:t>重要生态敏感区</w:t>
            </w:r>
          </w:p>
        </w:tc>
        <w:tc>
          <w:tcPr>
            <w:tcW w:w="1920" w:type="dxa"/>
            <w:vAlign w:val="center"/>
          </w:tcPr>
          <w:p>
            <w:pPr>
              <w:jc w:val="center"/>
              <w:rPr>
                <w:rFonts w:cs="Times New Roman"/>
                <w:color w:val="000000" w:themeColor="text1"/>
                <w:sz w:val="21"/>
              </w:rPr>
            </w:pPr>
            <w:r>
              <w:rPr>
                <w:rFonts w:cs="Times New Roman"/>
                <w:color w:val="000000" w:themeColor="text1"/>
                <w:sz w:val="21"/>
              </w:rPr>
              <w:t>一级</w:t>
            </w:r>
          </w:p>
        </w:tc>
        <w:tc>
          <w:tcPr>
            <w:tcW w:w="2673" w:type="dxa"/>
            <w:vAlign w:val="center"/>
          </w:tcPr>
          <w:p>
            <w:pPr>
              <w:jc w:val="center"/>
              <w:rPr>
                <w:rFonts w:cs="Times New Roman"/>
                <w:color w:val="000000" w:themeColor="text1"/>
                <w:sz w:val="21"/>
              </w:rPr>
            </w:pPr>
            <w:r>
              <w:rPr>
                <w:rFonts w:cs="Times New Roman"/>
                <w:color w:val="000000" w:themeColor="text1"/>
                <w:sz w:val="21"/>
              </w:rPr>
              <w:t>二级</w:t>
            </w:r>
          </w:p>
        </w:tc>
        <w:tc>
          <w:tcPr>
            <w:tcW w:w="1922" w:type="dxa"/>
            <w:vAlign w:val="center"/>
          </w:tcPr>
          <w:p>
            <w:pPr>
              <w:jc w:val="center"/>
              <w:rPr>
                <w:rFonts w:cs="Times New Roman"/>
                <w:color w:val="000000" w:themeColor="text1"/>
                <w:sz w:val="21"/>
              </w:rPr>
            </w:pPr>
            <w:r>
              <w:rPr>
                <w:rFonts w:cs="Times New Roman"/>
                <w:color w:val="000000" w:themeColor="text1"/>
                <w:sz w:val="21"/>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Align w:val="center"/>
          </w:tcPr>
          <w:p>
            <w:pPr>
              <w:jc w:val="center"/>
              <w:rPr>
                <w:rFonts w:cs="Times New Roman"/>
                <w:color w:val="000000" w:themeColor="text1"/>
                <w:sz w:val="21"/>
              </w:rPr>
            </w:pPr>
            <w:r>
              <w:rPr>
                <w:rFonts w:cs="Times New Roman"/>
                <w:color w:val="000000" w:themeColor="text1"/>
                <w:sz w:val="21"/>
              </w:rPr>
              <w:t>一般区域</w:t>
            </w:r>
          </w:p>
        </w:tc>
        <w:tc>
          <w:tcPr>
            <w:tcW w:w="1920" w:type="dxa"/>
            <w:vAlign w:val="center"/>
          </w:tcPr>
          <w:p>
            <w:pPr>
              <w:jc w:val="center"/>
              <w:rPr>
                <w:rFonts w:cs="Times New Roman"/>
                <w:color w:val="000000" w:themeColor="text1"/>
                <w:sz w:val="21"/>
              </w:rPr>
            </w:pPr>
            <w:r>
              <w:rPr>
                <w:rFonts w:cs="Times New Roman"/>
                <w:color w:val="000000" w:themeColor="text1"/>
                <w:sz w:val="21"/>
              </w:rPr>
              <w:t>二级</w:t>
            </w:r>
          </w:p>
        </w:tc>
        <w:tc>
          <w:tcPr>
            <w:tcW w:w="2673" w:type="dxa"/>
            <w:vAlign w:val="center"/>
          </w:tcPr>
          <w:p>
            <w:pPr>
              <w:jc w:val="center"/>
              <w:rPr>
                <w:rFonts w:cs="Times New Roman"/>
                <w:color w:val="000000" w:themeColor="text1"/>
                <w:sz w:val="21"/>
              </w:rPr>
            </w:pPr>
            <w:r>
              <w:rPr>
                <w:rFonts w:cs="Times New Roman"/>
                <w:color w:val="000000" w:themeColor="text1"/>
                <w:sz w:val="21"/>
              </w:rPr>
              <w:t>三级</w:t>
            </w:r>
          </w:p>
        </w:tc>
        <w:tc>
          <w:tcPr>
            <w:tcW w:w="1922" w:type="dxa"/>
            <w:vAlign w:val="center"/>
          </w:tcPr>
          <w:p>
            <w:pPr>
              <w:jc w:val="center"/>
              <w:rPr>
                <w:rFonts w:cs="Times New Roman"/>
                <w:color w:val="000000" w:themeColor="text1"/>
                <w:sz w:val="21"/>
              </w:rPr>
            </w:pPr>
            <w:r>
              <w:rPr>
                <w:rFonts w:cs="Times New Roman"/>
                <w:color w:val="000000" w:themeColor="text1"/>
                <w:sz w:val="21"/>
              </w:rPr>
              <w:t>三级</w:t>
            </w:r>
          </w:p>
        </w:tc>
      </w:tr>
    </w:tbl>
    <w:p>
      <w:pPr>
        <w:adjustRightInd w:val="0"/>
        <w:snapToGrid w:val="0"/>
        <w:spacing w:line="360" w:lineRule="auto"/>
        <w:ind w:firstLine="480" w:firstLineChars="200"/>
        <w:rPr>
          <w:rFonts w:eastAsia="宋体" w:cs="Times New Roman"/>
          <w:color w:val="000000" w:themeColor="text1"/>
          <w:szCs w:val="24"/>
        </w:rPr>
      </w:pPr>
      <w:r>
        <w:rPr>
          <w:rFonts w:eastAsia="宋体" w:cs="Times New Roman"/>
          <w:color w:val="000000" w:themeColor="text1"/>
          <w:szCs w:val="24"/>
        </w:rPr>
        <w:t>对照《环境影响评价技术导则—生态影响》（HJ19-2011）中有关要求，</w:t>
      </w:r>
      <w:r>
        <w:rPr>
          <w:rFonts w:cs="Times New Roman"/>
        </w:rPr>
        <w:t>本项目技术改造的建设已在初期建设建好，项目不重新建设，生态环境作简单影响分析即可。</w:t>
      </w:r>
    </w:p>
    <w:p>
      <w:pPr>
        <w:pStyle w:val="5"/>
      </w:pPr>
      <w:bookmarkStart w:id="83" w:name="_Toc532497616"/>
      <w:r>
        <w:rPr>
          <w:rFonts w:hint="eastAsia"/>
        </w:rPr>
        <w:t>土壤评价工作等级</w:t>
      </w:r>
    </w:p>
    <w:p>
      <w:pPr>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根据《环境影响评价技术导则—土壤环境（试行）》（HJ964-2018），查附录A土壤环境影响评价项目类别，本项目为污染影响型Ⅱ类项目，厂区总占地面积（</w:t>
      </w:r>
      <w:r>
        <w:rPr>
          <w:rFonts w:hint="default" w:ascii="Times New Roman" w:hAnsi="Times New Roman" w:eastAsia="宋体" w:cs="Times New Roman"/>
          <w:color w:val="000000" w:themeColor="text1"/>
        </w:rPr>
        <w:t>57494m</w:t>
      </w:r>
      <w:r>
        <w:rPr>
          <w:rFonts w:hint="default" w:ascii="Times New Roman" w:hAnsi="Times New Roman" w:eastAsia="宋体" w:cs="Times New Roman"/>
          <w:color w:val="000000" w:themeColor="text1"/>
          <w:vertAlign w:val="superscript"/>
        </w:rPr>
        <w:t>2</w:t>
      </w:r>
      <w:r>
        <w:rPr>
          <w:rFonts w:hint="default" w:ascii="Times New Roman" w:hAnsi="Times New Roman" w:cs="Times New Roman"/>
          <w:color w:val="000000" w:themeColor="text1"/>
        </w:rPr>
        <w:t>）为5.75公顷，为中型，根据污染影响敏感程度分级表，本项目位于</w:t>
      </w:r>
      <w:r>
        <w:rPr>
          <w:rFonts w:hint="default" w:ascii="Times New Roman" w:hAnsi="Times New Roman" w:cs="Times New Roman"/>
        </w:rPr>
        <w:t>华容县石伏工业园周围邻近都是厂区，无农田等土壤环境保护区</w:t>
      </w:r>
      <w:r>
        <w:rPr>
          <w:rFonts w:hint="default" w:ascii="Times New Roman" w:hAnsi="Times New Roman" w:cs="Times New Roman"/>
          <w:color w:val="000000" w:themeColor="text1"/>
        </w:rPr>
        <w:t>，则确定敏感程度为不敏感。根据等级判定本项目土壤评价工作等级为三级。</w:t>
      </w:r>
    </w:p>
    <w:p>
      <w:pPr>
        <w:spacing w:line="360" w:lineRule="auto"/>
        <w:ind w:firstLine="480" w:firstLineChars="200"/>
      </w:pPr>
      <w:r>
        <w:rPr>
          <w:rFonts w:hint="eastAsia"/>
        </w:rPr>
        <w:t>污染影响型评价工作等级划分见</w:t>
      </w:r>
      <w:r>
        <w:fldChar w:fldCharType="begin"/>
      </w:r>
      <w:r>
        <w:rPr>
          <w:rFonts w:hint="eastAsia"/>
        </w:rPr>
        <w:instrText xml:space="preserve">REF _Ref17987482 \h</w:instrText>
      </w:r>
      <w:r>
        <w:fldChar w:fldCharType="separate"/>
      </w:r>
      <w:r>
        <w:rPr>
          <w:rFonts w:hint="eastAsia"/>
        </w:rPr>
        <w:t>表</w:t>
      </w:r>
      <w:r>
        <w:fldChar w:fldCharType="begin"/>
      </w:r>
      <w:r>
        <w:instrText xml:space="preserve"> STYLEREF 2 \s </w:instrText>
      </w:r>
      <w:r>
        <w:fldChar w:fldCharType="separate"/>
      </w:r>
      <w:r>
        <w:t>1.5</w:t>
      </w:r>
      <w:r>
        <w:fldChar w:fldCharType="end"/>
      </w:r>
      <w:r>
        <w:noBreakHyphen/>
      </w:r>
      <w:r>
        <w:rPr>
          <w:rFonts w:hint="eastAsia"/>
        </w:rPr>
        <w:t>10</w:t>
      </w:r>
      <w:r>
        <w:fldChar w:fldCharType="end"/>
      </w:r>
      <w:r>
        <w:rPr>
          <w:rFonts w:hint="eastAsia"/>
        </w:rPr>
        <w:t>。</w:t>
      </w:r>
    </w:p>
    <w:p>
      <w:pPr>
        <w:pStyle w:val="14"/>
        <w:spacing w:line="240" w:lineRule="auto"/>
      </w:pPr>
      <w:bookmarkStart w:id="84" w:name="_Ref17987482"/>
      <w:r>
        <w:rPr>
          <w:rFonts w:hint="eastAsia"/>
        </w:rPr>
        <w:t>表</w:t>
      </w:r>
      <w:r>
        <w:fldChar w:fldCharType="begin"/>
      </w:r>
      <w:r>
        <w:instrText xml:space="preserve"> STYLEREF 2 \s </w:instrText>
      </w:r>
      <w:r>
        <w:fldChar w:fldCharType="separate"/>
      </w:r>
      <w:r>
        <w:t>1.5</w:t>
      </w:r>
      <w:r>
        <w:fldChar w:fldCharType="end"/>
      </w:r>
      <w:r>
        <w:noBreakHyphen/>
      </w:r>
      <w:r>
        <w:fldChar w:fldCharType="begin"/>
      </w:r>
      <w:r>
        <w:rPr>
          <w:rFonts w:hint="eastAsia"/>
        </w:rPr>
        <w:instrText xml:space="preserve">SEQ 表 \* ARABIC \s 2</w:instrText>
      </w:r>
      <w:r>
        <w:fldChar w:fldCharType="separate"/>
      </w:r>
      <w:r>
        <w:rPr>
          <w:rFonts w:hint="eastAsia"/>
        </w:rPr>
        <w:t>10</w:t>
      </w:r>
      <w:r>
        <w:fldChar w:fldCharType="end"/>
      </w:r>
      <w:bookmarkEnd w:id="84"/>
      <w:r>
        <w:rPr>
          <w:rFonts w:hint="eastAsia"/>
        </w:rPr>
        <w:t xml:space="preserve">  污染影响型评价工作等级划分表</w:t>
      </w:r>
    </w:p>
    <w:tbl>
      <w:tblPr>
        <w:tblStyle w:val="3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867"/>
        <w:gridCol w:w="867"/>
        <w:gridCol w:w="867"/>
        <w:gridCol w:w="867"/>
        <w:gridCol w:w="867"/>
        <w:gridCol w:w="867"/>
        <w:gridCol w:w="867"/>
        <w:gridCol w:w="867"/>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9" w:type="dxa"/>
            <w:vMerge w:val="restart"/>
            <w:tcBorders>
              <w:top w:val="single" w:color="auto" w:sz="12" w:space="0"/>
              <w:left w:val="nil"/>
              <w:tl2br w:val="single" w:color="auto" w:sz="4" w:space="0"/>
            </w:tcBorders>
          </w:tcPr>
          <w:p>
            <w:pPr>
              <w:pStyle w:val="14"/>
              <w:adjustRightInd w:val="0"/>
              <w:snapToGrid w:val="0"/>
              <w:spacing w:line="240" w:lineRule="auto"/>
              <w:jc w:val="right"/>
              <w:rPr>
                <w:b w:val="0"/>
                <w:sz w:val="21"/>
                <w:szCs w:val="21"/>
              </w:rPr>
            </w:pPr>
            <w:r>
              <w:rPr>
                <w:rFonts w:hint="eastAsia"/>
                <w:b w:val="0"/>
                <w:sz w:val="21"/>
                <w:szCs w:val="21"/>
              </w:rPr>
              <w:t>等级</w:t>
            </w:r>
          </w:p>
          <w:p>
            <w:pPr>
              <w:adjustRightInd w:val="0"/>
              <w:snapToGrid w:val="0"/>
              <w:jc w:val="left"/>
              <w:rPr>
                <w:rFonts w:eastAsia="宋体" w:cs="Times New Roman"/>
                <w:sz w:val="21"/>
              </w:rPr>
            </w:pPr>
            <w:r>
              <w:rPr>
                <w:rFonts w:hint="eastAsia" w:eastAsia="宋体" w:cs="Times New Roman"/>
                <w:sz w:val="21"/>
              </w:rPr>
              <w:t>敏感程度</w:t>
            </w:r>
          </w:p>
        </w:tc>
        <w:tc>
          <w:tcPr>
            <w:tcW w:w="2601" w:type="dxa"/>
            <w:gridSpan w:val="3"/>
            <w:tcBorders>
              <w:top w:val="single" w:color="auto" w:sz="12" w:space="0"/>
            </w:tcBorders>
            <w:vAlign w:val="center"/>
          </w:tcPr>
          <w:p>
            <w:pPr>
              <w:pStyle w:val="14"/>
              <w:adjustRightInd w:val="0"/>
              <w:snapToGrid w:val="0"/>
              <w:spacing w:line="240" w:lineRule="auto"/>
              <w:rPr>
                <w:b w:val="0"/>
                <w:sz w:val="21"/>
                <w:szCs w:val="21"/>
              </w:rPr>
            </w:pPr>
            <w:r>
              <w:rPr>
                <w:rFonts w:hint="eastAsia"/>
                <w:b w:val="0"/>
                <w:sz w:val="21"/>
                <w:szCs w:val="21"/>
              </w:rPr>
              <w:t>Ⅰ类</w:t>
            </w:r>
          </w:p>
        </w:tc>
        <w:tc>
          <w:tcPr>
            <w:tcW w:w="2601" w:type="dxa"/>
            <w:gridSpan w:val="3"/>
            <w:tcBorders>
              <w:top w:val="single" w:color="auto" w:sz="12" w:space="0"/>
            </w:tcBorders>
            <w:vAlign w:val="center"/>
          </w:tcPr>
          <w:p>
            <w:pPr>
              <w:pStyle w:val="14"/>
              <w:adjustRightInd w:val="0"/>
              <w:snapToGrid w:val="0"/>
              <w:spacing w:line="240" w:lineRule="auto"/>
              <w:rPr>
                <w:b w:val="0"/>
                <w:sz w:val="21"/>
                <w:szCs w:val="21"/>
              </w:rPr>
            </w:pPr>
            <w:r>
              <w:rPr>
                <w:rFonts w:hint="eastAsia"/>
                <w:b w:val="0"/>
                <w:sz w:val="21"/>
                <w:szCs w:val="21"/>
              </w:rPr>
              <w:t>Ⅱ类</w:t>
            </w:r>
          </w:p>
        </w:tc>
        <w:tc>
          <w:tcPr>
            <w:tcW w:w="2601" w:type="dxa"/>
            <w:gridSpan w:val="3"/>
            <w:tcBorders>
              <w:top w:val="single" w:color="auto" w:sz="12" w:space="0"/>
              <w:right w:val="nil"/>
            </w:tcBorders>
            <w:vAlign w:val="center"/>
          </w:tcPr>
          <w:p>
            <w:pPr>
              <w:pStyle w:val="14"/>
              <w:adjustRightInd w:val="0"/>
              <w:snapToGrid w:val="0"/>
              <w:spacing w:line="240" w:lineRule="auto"/>
              <w:rPr>
                <w:b w:val="0"/>
                <w:sz w:val="21"/>
                <w:szCs w:val="21"/>
              </w:rPr>
            </w:pPr>
            <w:r>
              <w:rPr>
                <w:rFonts w:hint="eastAsia"/>
                <w:b w:val="0"/>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tcBorders>
              <w:left w:val="nil"/>
            </w:tcBorders>
          </w:tcPr>
          <w:p>
            <w:pPr>
              <w:pStyle w:val="14"/>
              <w:adjustRightInd w:val="0"/>
              <w:snapToGrid w:val="0"/>
              <w:spacing w:line="240" w:lineRule="auto"/>
              <w:rPr>
                <w:b w:val="0"/>
                <w:sz w:val="21"/>
                <w:szCs w:val="21"/>
              </w:rPr>
            </w:pPr>
          </w:p>
        </w:tc>
        <w:tc>
          <w:tcPr>
            <w:tcW w:w="867" w:type="dxa"/>
            <w:vAlign w:val="center"/>
          </w:tcPr>
          <w:p>
            <w:pPr>
              <w:pStyle w:val="14"/>
              <w:adjustRightInd w:val="0"/>
              <w:snapToGrid w:val="0"/>
              <w:spacing w:line="240" w:lineRule="auto"/>
              <w:rPr>
                <w:b w:val="0"/>
                <w:sz w:val="21"/>
                <w:szCs w:val="21"/>
              </w:rPr>
            </w:pPr>
            <w:r>
              <w:rPr>
                <w:rFonts w:hint="eastAsia"/>
                <w:b w:val="0"/>
                <w:sz w:val="21"/>
                <w:szCs w:val="21"/>
              </w:rPr>
              <w:t>大</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中</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小</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大</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中</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小</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大</w:t>
            </w:r>
          </w:p>
        </w:tc>
        <w:tc>
          <w:tcPr>
            <w:tcW w:w="867" w:type="dxa"/>
            <w:vAlign w:val="center"/>
          </w:tcPr>
          <w:p>
            <w:pPr>
              <w:pStyle w:val="14"/>
              <w:adjustRightInd w:val="0"/>
              <w:snapToGrid w:val="0"/>
              <w:spacing w:line="240" w:lineRule="auto"/>
              <w:rPr>
                <w:b w:val="0"/>
                <w:sz w:val="21"/>
                <w:szCs w:val="21"/>
              </w:rPr>
            </w:pPr>
            <w:r>
              <w:rPr>
                <w:rFonts w:hint="eastAsia"/>
                <w:b w:val="0"/>
                <w:sz w:val="21"/>
                <w:szCs w:val="21"/>
              </w:rPr>
              <w:t>中</w:t>
            </w:r>
          </w:p>
        </w:tc>
        <w:tc>
          <w:tcPr>
            <w:tcW w:w="867" w:type="dxa"/>
            <w:tcBorders>
              <w:right w:val="nil"/>
            </w:tcBorders>
            <w:vAlign w:val="center"/>
          </w:tcPr>
          <w:p>
            <w:pPr>
              <w:pStyle w:val="14"/>
              <w:adjustRightInd w:val="0"/>
              <w:snapToGrid w:val="0"/>
              <w:spacing w:line="240" w:lineRule="auto"/>
              <w:rPr>
                <w:b w:val="0"/>
                <w:sz w:val="21"/>
                <w:szCs w:val="21"/>
              </w:rPr>
            </w:pPr>
            <w:r>
              <w:rPr>
                <w:rFonts w:hint="eastAsia"/>
                <w:b w:val="0"/>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left w:val="nil"/>
            </w:tcBorders>
          </w:tcPr>
          <w:p>
            <w:pPr>
              <w:pStyle w:val="14"/>
              <w:adjustRightInd w:val="0"/>
              <w:snapToGrid w:val="0"/>
              <w:spacing w:line="240" w:lineRule="auto"/>
              <w:rPr>
                <w:b w:val="0"/>
                <w:sz w:val="21"/>
                <w:szCs w:val="21"/>
              </w:rPr>
            </w:pPr>
            <w:r>
              <w:rPr>
                <w:rFonts w:hint="eastAsia"/>
                <w:b w:val="0"/>
                <w:sz w:val="21"/>
                <w:szCs w:val="21"/>
              </w:rPr>
              <w:t>敏感</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一级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一级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一级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tcBorders>
              <w:right w:val="nil"/>
            </w:tcBorders>
            <w:vAlign w:val="center"/>
          </w:tcPr>
          <w:p>
            <w:pPr>
              <w:adjustRightInd w:val="0"/>
              <w:snapToGrid w:val="0"/>
              <w:jc w:val="center"/>
              <w:rPr>
                <w:rFonts w:eastAsia="宋体" w:cs="Times New Roman"/>
                <w:sz w:val="21"/>
              </w:rPr>
            </w:pPr>
            <w:r>
              <w:rPr>
                <w:rFonts w:hint="eastAsia" w:ascii="宋体" w:eastAsia="宋体" w:cs="宋体" w:hAnsiTheme="minorHAnsi"/>
                <w:kern w:val="0"/>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left w:val="nil"/>
            </w:tcBorders>
          </w:tcPr>
          <w:p>
            <w:pPr>
              <w:pStyle w:val="14"/>
              <w:adjustRightInd w:val="0"/>
              <w:snapToGrid w:val="0"/>
              <w:spacing w:line="240" w:lineRule="auto"/>
              <w:rPr>
                <w:b w:val="0"/>
                <w:sz w:val="21"/>
                <w:szCs w:val="21"/>
              </w:rPr>
            </w:pPr>
            <w:r>
              <w:rPr>
                <w:rFonts w:hint="eastAsia"/>
                <w:b w:val="0"/>
                <w:sz w:val="21"/>
                <w:szCs w:val="21"/>
              </w:rPr>
              <w:t>较敏感</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一级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一级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tcBorders>
              <w:bottom w:val="single" w:color="auto" w:sz="4" w:space="0"/>
            </w:tcBorders>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tcBorders>
              <w:right w:val="nil"/>
            </w:tcBorders>
            <w:vAlign w:val="center"/>
          </w:tcPr>
          <w:p>
            <w:pPr>
              <w:adjustRightInd w:val="0"/>
              <w:snapToGrid w:val="0"/>
              <w:jc w:val="center"/>
              <w:rPr>
                <w:rFonts w:eastAsia="宋体" w:cs="Times New Roman"/>
                <w:sz w:val="21"/>
              </w:rPr>
            </w:pPr>
            <w:r>
              <w:rPr>
                <w:rFonts w:hint="eastAsia" w:ascii="TimesNewRomanPSMT" w:eastAsia="TimesNewRomanPSMT" w:cs="TimesNewRomanPSMT" w:hAnsiTheme="minorHAnsi"/>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left w:val="nil"/>
            </w:tcBorders>
          </w:tcPr>
          <w:p>
            <w:pPr>
              <w:pStyle w:val="14"/>
              <w:adjustRightInd w:val="0"/>
              <w:snapToGrid w:val="0"/>
              <w:spacing w:line="240" w:lineRule="auto"/>
              <w:rPr>
                <w:b w:val="0"/>
                <w:sz w:val="21"/>
                <w:szCs w:val="21"/>
              </w:rPr>
            </w:pPr>
            <w:r>
              <w:rPr>
                <w:rFonts w:hint="eastAsia"/>
                <w:b w:val="0"/>
                <w:sz w:val="21"/>
                <w:szCs w:val="21"/>
              </w:rPr>
              <w:t>不敏感</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一级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二级</w:t>
            </w:r>
          </w:p>
        </w:tc>
        <w:tc>
          <w:tcPr>
            <w:tcW w:w="867" w:type="dxa"/>
            <w:shd w:val="clear" w:color="auto" w:fill="9BBB59" w:themeFill="accent3"/>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vAlign w:val="center"/>
          </w:tcPr>
          <w:p>
            <w:pPr>
              <w:adjustRightInd w:val="0"/>
              <w:snapToGrid w:val="0"/>
              <w:jc w:val="center"/>
              <w:rPr>
                <w:rFonts w:ascii="宋体" w:eastAsia="宋体" w:cs="宋体"/>
                <w:kern w:val="0"/>
                <w:sz w:val="21"/>
              </w:rPr>
            </w:pPr>
            <w:r>
              <w:rPr>
                <w:rFonts w:hint="eastAsia" w:ascii="宋体" w:eastAsia="宋体" w:cs="宋体" w:hAnsiTheme="minorHAnsi"/>
                <w:kern w:val="0"/>
                <w:sz w:val="21"/>
              </w:rPr>
              <w:t>三级</w:t>
            </w:r>
          </w:p>
        </w:tc>
        <w:tc>
          <w:tcPr>
            <w:tcW w:w="867" w:type="dxa"/>
            <w:vAlign w:val="center"/>
          </w:tcPr>
          <w:p>
            <w:pPr>
              <w:adjustRightInd w:val="0"/>
              <w:snapToGrid w:val="0"/>
              <w:jc w:val="center"/>
              <w:rPr>
                <w:rFonts w:ascii="TimesNewRomanPSMT" w:eastAsia="TimesNewRomanPSMT" w:cs="TimesNewRomanPSMT"/>
                <w:kern w:val="0"/>
                <w:sz w:val="21"/>
              </w:rPr>
            </w:pPr>
            <w:r>
              <w:rPr>
                <w:rFonts w:hint="eastAsia" w:ascii="TimesNewRomanPSMT" w:eastAsia="TimesNewRomanPSMT" w:cs="TimesNewRomanPSMT" w:hAnsiTheme="minorHAnsi"/>
                <w:kern w:val="0"/>
                <w:sz w:val="21"/>
              </w:rPr>
              <w:t>—</w:t>
            </w:r>
          </w:p>
        </w:tc>
        <w:tc>
          <w:tcPr>
            <w:tcW w:w="867" w:type="dxa"/>
            <w:tcBorders>
              <w:right w:val="nil"/>
            </w:tcBorders>
            <w:vAlign w:val="center"/>
          </w:tcPr>
          <w:p>
            <w:pPr>
              <w:adjustRightInd w:val="0"/>
              <w:snapToGrid w:val="0"/>
              <w:jc w:val="center"/>
              <w:rPr>
                <w:rFonts w:eastAsia="宋体" w:cs="Times New Roman"/>
                <w:sz w:val="21"/>
              </w:rPr>
            </w:pPr>
            <w:r>
              <w:rPr>
                <w:rFonts w:hint="eastAsia" w:ascii="TimesNewRomanPSMT" w:eastAsia="TimesNewRomanPSMT" w:cs="TimesNewRomanPSMT" w:hAnsiTheme="minorHAnsi"/>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10"/>
            <w:tcBorders>
              <w:left w:val="nil"/>
              <w:bottom w:val="single" w:color="auto" w:sz="12" w:space="0"/>
              <w:right w:val="nil"/>
            </w:tcBorders>
          </w:tcPr>
          <w:p>
            <w:pPr>
              <w:pStyle w:val="14"/>
              <w:adjustRightInd w:val="0"/>
              <w:snapToGrid w:val="0"/>
              <w:spacing w:line="240" w:lineRule="auto"/>
              <w:jc w:val="both"/>
              <w:rPr>
                <w:b w:val="0"/>
                <w:sz w:val="21"/>
                <w:szCs w:val="21"/>
              </w:rPr>
            </w:pPr>
            <w:r>
              <w:rPr>
                <w:rFonts w:hint="eastAsia" w:ascii="宋体" w:cs="宋体" w:hAnsiTheme="minorHAnsi"/>
                <w:b w:val="0"/>
                <w:kern w:val="0"/>
                <w:sz w:val="21"/>
                <w:szCs w:val="21"/>
              </w:rPr>
              <w:t>注：</w:t>
            </w:r>
            <w:r>
              <w:rPr>
                <w:rFonts w:hint="eastAsia" w:ascii="TimesNewRomanPSMT" w:eastAsia="TimesNewRomanPSMT" w:cs="TimesNewRomanPSMT" w:hAnsiTheme="minorHAnsi"/>
                <w:b w:val="0"/>
                <w:kern w:val="0"/>
                <w:sz w:val="21"/>
                <w:szCs w:val="21"/>
              </w:rPr>
              <w:t>“—”</w:t>
            </w:r>
            <w:r>
              <w:rPr>
                <w:rFonts w:hint="eastAsia" w:ascii="宋体" w:cs="宋体" w:hAnsiTheme="minorHAnsi"/>
                <w:b w:val="0"/>
                <w:kern w:val="0"/>
                <w:sz w:val="21"/>
                <w:szCs w:val="21"/>
              </w:rPr>
              <w:t>表示可不开展环境影响评价工作。</w:t>
            </w:r>
          </w:p>
        </w:tc>
      </w:tr>
    </w:tbl>
    <w:p>
      <w:pPr>
        <w:pStyle w:val="5"/>
      </w:pPr>
      <w:r>
        <w:rPr>
          <w:rFonts w:hint="eastAsia"/>
        </w:rPr>
        <w:t>风险评价工作等级</w:t>
      </w:r>
      <w:bookmarkEnd w:id="83"/>
    </w:p>
    <w:p>
      <w:pPr>
        <w:autoSpaceDE w:val="0"/>
        <w:autoSpaceDN w:val="0"/>
        <w:adjustRightInd w:val="0"/>
        <w:spacing w:line="360" w:lineRule="auto"/>
        <w:ind w:firstLine="480" w:firstLineChars="200"/>
        <w:jc w:val="left"/>
        <w:rPr>
          <w:rFonts w:ascii="宋体" w:eastAsia="宋体" w:cs="宋体" w:hAnsiTheme="minorHAnsi"/>
          <w:kern w:val="0"/>
          <w:szCs w:val="24"/>
        </w:rPr>
      </w:pPr>
      <w:r>
        <w:rPr>
          <w:rFonts w:hint="eastAsia" w:ascii="宋体" w:eastAsia="宋体" w:cs="宋体" w:hAnsiTheme="minorHAnsi"/>
          <w:kern w:val="0"/>
          <w:szCs w:val="24"/>
        </w:rPr>
        <w:t>根据《建设项目环境风险评价技术导则》（</w:t>
      </w:r>
      <w:r>
        <w:rPr>
          <w:rFonts w:ascii="TimesNewRomanPSMT" w:eastAsia="TimesNewRomanPSMT" w:cs="TimesNewRomanPSMT" w:hAnsiTheme="minorHAnsi"/>
          <w:kern w:val="0"/>
          <w:szCs w:val="24"/>
        </w:rPr>
        <w:t>HJ169-2018</w:t>
      </w:r>
      <w:r>
        <w:rPr>
          <w:rFonts w:hint="eastAsia" w:ascii="宋体" w:eastAsia="宋体" w:cs="宋体" w:hAnsiTheme="minorHAnsi"/>
          <w:kern w:val="0"/>
          <w:szCs w:val="24"/>
        </w:rPr>
        <w:t>）环境风险评价工作等级划分原则，本项目环境风险评价工作等级为</w:t>
      </w:r>
      <w:r>
        <w:rPr>
          <w:rFonts w:ascii="宋体" w:eastAsia="宋体" w:cs="宋体" w:hAnsiTheme="minorHAnsi"/>
          <w:kern w:val="0"/>
          <w:szCs w:val="24"/>
        </w:rPr>
        <w:t>简单分析</w:t>
      </w:r>
      <w:r>
        <w:rPr>
          <w:rFonts w:hint="eastAsia" w:ascii="宋体" w:eastAsia="宋体" w:cs="宋体" w:hAnsiTheme="minorHAnsi"/>
          <w:kern w:val="0"/>
          <w:szCs w:val="24"/>
        </w:rPr>
        <w:t>，具体划分过程如下：</w:t>
      </w:r>
    </w:p>
    <w:p>
      <w:pPr>
        <w:autoSpaceDE w:val="0"/>
        <w:autoSpaceDN w:val="0"/>
        <w:adjustRightInd w:val="0"/>
        <w:spacing w:line="360" w:lineRule="auto"/>
        <w:ind w:firstLine="480" w:firstLineChars="200"/>
        <w:jc w:val="left"/>
      </w:pPr>
      <w:r>
        <w:rPr>
          <w:rFonts w:hint="eastAsia" w:ascii="宋体" w:eastAsia="宋体" w:cs="宋体" w:hAnsiTheme="minorHAnsi"/>
          <w:kern w:val="0"/>
          <w:szCs w:val="24"/>
        </w:rPr>
        <w:t>（1）环境风险评价工作等级划分流程</w:t>
      </w:r>
    </w:p>
    <w:p>
      <w:pPr>
        <w:autoSpaceDE w:val="0"/>
        <w:autoSpaceDN w:val="0"/>
        <w:adjustRightInd w:val="0"/>
        <w:spacing w:line="360" w:lineRule="auto"/>
        <w:ind w:firstLine="480" w:firstLineChars="200"/>
        <w:jc w:val="left"/>
        <w:rPr>
          <w:rFonts w:eastAsia="宋体" w:cs="Times New Roman"/>
          <w:kern w:val="0"/>
          <w:szCs w:val="24"/>
        </w:rPr>
      </w:pPr>
      <w:r>
        <w:rPr>
          <w:rFonts w:hint="eastAsia" w:eastAsia="宋体" w:cs="Times New Roman"/>
          <w:kern w:val="0"/>
          <w:szCs w:val="24"/>
        </w:rPr>
        <w:t>根据</w:t>
      </w:r>
      <w:r>
        <w:rPr>
          <w:rFonts w:eastAsia="宋体" w:cs="Times New Roman"/>
          <w:kern w:val="0"/>
          <w:szCs w:val="24"/>
        </w:rPr>
        <w:t>《建设项目环境风险评价技术导则》（HJ169-2018）</w:t>
      </w:r>
      <w:r>
        <w:rPr>
          <w:rFonts w:hint="eastAsia" w:eastAsia="宋体" w:cs="Times New Roman"/>
          <w:kern w:val="0"/>
          <w:szCs w:val="24"/>
        </w:rPr>
        <w:t>，</w:t>
      </w:r>
      <w:r>
        <w:rPr>
          <w:rFonts w:eastAsia="宋体" w:cs="Times New Roman"/>
          <w:kern w:val="0"/>
          <w:szCs w:val="24"/>
        </w:rPr>
        <w:t>环境风险评价工作划分流程如下图所示</w:t>
      </w:r>
      <w:r>
        <w:rPr>
          <w:rFonts w:hint="eastAsia" w:eastAsia="宋体" w:cs="Times New Roman"/>
          <w:kern w:val="0"/>
          <w:szCs w:val="24"/>
        </w:rPr>
        <w:t>：</w:t>
      </w:r>
    </w:p>
    <w:p>
      <w:pPr>
        <w:pStyle w:val="14"/>
      </w:pPr>
      <w:r>
        <w:object>
          <v:shape id="_x0000_i1026" o:spt="75" type="#_x0000_t75" style="height:329.5pt;width:411.9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p>
    <w:p>
      <w:pPr>
        <w:pStyle w:val="14"/>
        <w:rPr>
          <w:rFonts w:cs="Times New Roman"/>
          <w:kern w:val="0"/>
          <w:szCs w:val="24"/>
        </w:rPr>
      </w:pPr>
      <w:r>
        <w:t>图</w:t>
      </w:r>
      <w:r>
        <w:fldChar w:fldCharType="begin"/>
      </w:r>
      <w:r>
        <w:instrText xml:space="preserve"> STYLEREF 2 \s </w:instrText>
      </w:r>
      <w:r>
        <w:fldChar w:fldCharType="separate"/>
      </w:r>
      <w:r>
        <w:t>1.5</w:t>
      </w:r>
      <w:r>
        <w:fldChar w:fldCharType="end"/>
      </w:r>
      <w:r>
        <w:noBreakHyphen/>
      </w:r>
      <w:r>
        <w:fldChar w:fldCharType="begin"/>
      </w:r>
      <w:r>
        <w:instrText xml:space="preserve"> SEQ 图 \* ARABIC \s 2 </w:instrText>
      </w:r>
      <w:r>
        <w:fldChar w:fldCharType="separate"/>
      </w:r>
      <w:r>
        <w:t>1</w:t>
      </w:r>
      <w:r>
        <w:fldChar w:fldCharType="end"/>
      </w:r>
      <w:r>
        <w:rPr>
          <w:rFonts w:hint="eastAsia" w:cs="Times New Roman"/>
          <w:kern w:val="0"/>
          <w:szCs w:val="24"/>
        </w:rPr>
        <w:t xml:space="preserve">  环境风险评价工作等级划分流程图</w:t>
      </w:r>
    </w:p>
    <w:p>
      <w:pPr>
        <w:autoSpaceDE w:val="0"/>
        <w:autoSpaceDN w:val="0"/>
        <w:adjustRightInd w:val="0"/>
        <w:spacing w:line="360" w:lineRule="auto"/>
        <w:ind w:firstLine="480" w:firstLineChars="200"/>
        <w:jc w:val="left"/>
        <w:rPr>
          <w:rFonts w:eastAsia="宋体" w:cs="Times New Roman"/>
          <w:color w:val="000000" w:themeColor="text1"/>
          <w:kern w:val="0"/>
          <w:szCs w:val="24"/>
        </w:rPr>
      </w:pPr>
      <w:r>
        <w:rPr>
          <w:rFonts w:hint="eastAsia" w:eastAsia="宋体" w:cs="Times New Roman"/>
          <w:color w:val="000000" w:themeColor="text1"/>
          <w:kern w:val="0"/>
          <w:szCs w:val="24"/>
        </w:rPr>
        <w:t>（2）危险物质及工艺系统危险性（P）</w:t>
      </w:r>
    </w:p>
    <w:p>
      <w:pPr>
        <w:autoSpaceDE w:val="0"/>
        <w:autoSpaceDN w:val="0"/>
        <w:adjustRightInd w:val="0"/>
        <w:spacing w:line="360" w:lineRule="auto"/>
        <w:ind w:firstLine="480" w:firstLineChars="200"/>
        <w:jc w:val="left"/>
        <w:rPr>
          <w:rFonts w:eastAsia="宋体" w:cs="Times New Roman"/>
          <w:color w:val="000000" w:themeColor="text1"/>
          <w:kern w:val="0"/>
          <w:szCs w:val="24"/>
        </w:rPr>
      </w:pPr>
      <w:r>
        <w:rPr>
          <w:rFonts w:eastAsia="宋体" w:cs="Times New Roman"/>
          <w:color w:val="000000" w:themeColor="text1"/>
          <w:kern w:val="0"/>
          <w:szCs w:val="24"/>
        </w:rPr>
        <w:t>本项目为污水处理厂技术改造项目，本项目营运期主要风险为污水处理厂事故排放。根据《建设项目环境风险评价技术导则》（HJ169-2018），根据建设项目涉及的物质和工艺系统的危险性及其所在地的环境敏感程度，结合事故情形下环境影响途径，对建设项目潜在环境危害程度进行概化分析，按照表确定环境风险潜势。</w:t>
      </w:r>
    </w:p>
    <w:p>
      <w:pPr>
        <w:autoSpaceDE w:val="0"/>
        <w:autoSpaceDN w:val="0"/>
        <w:adjustRightInd w:val="0"/>
        <w:spacing w:line="360" w:lineRule="auto"/>
        <w:ind w:firstLine="480" w:firstLineChars="200"/>
        <w:jc w:val="left"/>
        <w:rPr>
          <w:rFonts w:eastAsia="宋体" w:cs="Times New Roman"/>
          <w:color w:val="000000" w:themeColor="text1"/>
          <w:kern w:val="0"/>
          <w:szCs w:val="24"/>
        </w:rPr>
      </w:pPr>
      <w:r>
        <w:rPr>
          <w:rFonts w:eastAsia="宋体" w:cs="Times New Roman"/>
          <w:color w:val="000000" w:themeColor="text1"/>
          <w:kern w:val="0"/>
          <w:szCs w:val="24"/>
        </w:rPr>
        <w:t>根据分析，项目各构筑物单元均不构成重大危险源，项目位于工业区，周边均为工业企业，判定本项目所处区域为非环境敏感地区，拟建项目涉及的危险物质主要包括氯酸钠、</w:t>
      </w:r>
      <w:r>
        <w:rPr>
          <w:rFonts w:hint="eastAsia" w:eastAsia="宋体" w:cs="Times New Roman"/>
          <w:color w:val="000000" w:themeColor="text1"/>
          <w:kern w:val="0"/>
          <w:szCs w:val="24"/>
        </w:rPr>
        <w:t>三氯</w:t>
      </w:r>
      <w:r>
        <w:rPr>
          <w:rFonts w:eastAsia="宋体" w:cs="Times New Roman"/>
          <w:color w:val="000000" w:themeColor="text1"/>
          <w:kern w:val="0"/>
          <w:szCs w:val="24"/>
        </w:rPr>
        <w:t>化铁、盐酸、NH</w:t>
      </w:r>
      <w:r>
        <w:rPr>
          <w:rFonts w:eastAsia="宋体" w:cs="Times New Roman"/>
          <w:color w:val="000000" w:themeColor="text1"/>
          <w:kern w:val="0"/>
          <w:szCs w:val="24"/>
          <w:vertAlign w:val="subscript"/>
        </w:rPr>
        <w:t>3</w:t>
      </w:r>
      <w:r>
        <w:rPr>
          <w:rFonts w:eastAsia="宋体" w:cs="Times New Roman"/>
          <w:color w:val="000000" w:themeColor="text1"/>
          <w:kern w:val="0"/>
          <w:szCs w:val="24"/>
        </w:rPr>
        <w:t>、H</w:t>
      </w:r>
      <w:r>
        <w:rPr>
          <w:rFonts w:eastAsia="宋体" w:cs="Times New Roman"/>
          <w:color w:val="000000" w:themeColor="text1"/>
          <w:kern w:val="0"/>
          <w:szCs w:val="24"/>
          <w:vertAlign w:val="subscript"/>
        </w:rPr>
        <w:t>2</w:t>
      </w:r>
      <w:r>
        <w:rPr>
          <w:rFonts w:eastAsia="宋体" w:cs="Times New Roman"/>
          <w:color w:val="000000" w:themeColor="text1"/>
          <w:kern w:val="0"/>
          <w:szCs w:val="24"/>
        </w:rPr>
        <w:t>S等，当存在多种危险物质时，按下式计算物质总量与其临界值的比值（Q）：</w:t>
      </w:r>
    </w:p>
    <w:p>
      <w:pPr>
        <w:autoSpaceDE w:val="0"/>
        <w:autoSpaceDN w:val="0"/>
        <w:adjustRightInd w:val="0"/>
        <w:spacing w:line="360" w:lineRule="auto"/>
        <w:ind w:firstLine="480" w:firstLineChars="200"/>
        <w:jc w:val="center"/>
        <w:rPr>
          <w:rFonts w:cs="Times New Roman"/>
          <w:color w:val="000000" w:themeColor="text1"/>
          <w:szCs w:val="24"/>
        </w:rPr>
      </w:pPr>
      <w:r>
        <w:rPr>
          <w:rFonts w:ascii="Cambria Math" w:hAnsi="Cambria Math" w:cs="Times New Roman"/>
          <w:color w:val="000000" w:themeColor="text1"/>
          <w:szCs w:val="24"/>
        </w:rPr>
        <w:t>𝑄</w:t>
      </w:r>
      <w:r>
        <w:rPr>
          <w:rFonts w:cs="Times New Roman"/>
          <w:color w:val="000000" w:themeColor="text1"/>
          <w:szCs w:val="24"/>
        </w:rPr>
        <w:t>=</w:t>
      </w:r>
      <w:r>
        <w:rPr>
          <w:rFonts w:ascii="Cambria Math" w:hAnsi="Cambria Math" w:cs="Times New Roman"/>
          <w:color w:val="000000" w:themeColor="text1"/>
          <w:szCs w:val="24"/>
        </w:rPr>
        <w:t>𝑞</w:t>
      </w:r>
      <w:r>
        <w:rPr>
          <w:rFonts w:cs="Times New Roman"/>
          <w:color w:val="000000" w:themeColor="text1"/>
          <w:szCs w:val="24"/>
        </w:rPr>
        <w:t>1/</w:t>
      </w:r>
      <w:r>
        <w:rPr>
          <w:rFonts w:ascii="Cambria Math" w:hAnsi="Cambria Math" w:cs="Times New Roman"/>
          <w:color w:val="000000" w:themeColor="text1"/>
          <w:szCs w:val="24"/>
        </w:rPr>
        <w:t>𝑄</w:t>
      </w:r>
      <w:r>
        <w:rPr>
          <w:rFonts w:cs="Times New Roman"/>
          <w:color w:val="000000" w:themeColor="text1"/>
          <w:szCs w:val="24"/>
        </w:rPr>
        <w:t>1+</w:t>
      </w:r>
      <w:r>
        <w:rPr>
          <w:rFonts w:ascii="Cambria Math" w:hAnsi="Cambria Math" w:cs="Times New Roman"/>
          <w:color w:val="000000" w:themeColor="text1"/>
          <w:szCs w:val="24"/>
        </w:rPr>
        <w:t>𝑞</w:t>
      </w:r>
      <w:r>
        <w:rPr>
          <w:rFonts w:cs="Times New Roman"/>
          <w:color w:val="000000" w:themeColor="text1"/>
          <w:szCs w:val="24"/>
        </w:rPr>
        <w:t>2/</w:t>
      </w:r>
      <w:r>
        <w:rPr>
          <w:rFonts w:ascii="Cambria Math" w:hAnsi="Cambria Math" w:cs="Times New Roman"/>
          <w:color w:val="000000" w:themeColor="text1"/>
          <w:szCs w:val="24"/>
        </w:rPr>
        <w:t>𝑄</w:t>
      </w:r>
      <w:r>
        <w:rPr>
          <w:rFonts w:cs="Times New Roman"/>
          <w:color w:val="000000" w:themeColor="text1"/>
          <w:szCs w:val="24"/>
        </w:rPr>
        <w:t>2+</w:t>
      </w:r>
      <w:r>
        <w:rPr>
          <w:rFonts w:hAnsi="Cambria Math" w:cs="Times New Roman"/>
          <w:color w:val="000000" w:themeColor="text1"/>
          <w:szCs w:val="24"/>
        </w:rPr>
        <w:t>⋯</w:t>
      </w:r>
      <w:r>
        <w:rPr>
          <w:rFonts w:ascii="Cambria Math" w:hAnsi="Cambria Math" w:cs="Times New Roman"/>
          <w:color w:val="000000" w:themeColor="text1"/>
          <w:szCs w:val="24"/>
        </w:rPr>
        <w:t>𝑞𝑛</w:t>
      </w:r>
      <w:r>
        <w:rPr>
          <w:rFonts w:cs="Times New Roman"/>
          <w:color w:val="000000" w:themeColor="text1"/>
          <w:szCs w:val="24"/>
        </w:rPr>
        <w:t>/</w:t>
      </w:r>
      <w:r>
        <w:rPr>
          <w:rFonts w:ascii="Cambria Math" w:hAnsi="Cambria Math" w:cs="Times New Roman"/>
          <w:color w:val="000000" w:themeColor="text1"/>
          <w:szCs w:val="24"/>
        </w:rPr>
        <w:t>𝑄𝑛</w:t>
      </w:r>
    </w:p>
    <w:p>
      <w:pPr>
        <w:autoSpaceDE w:val="0"/>
        <w:autoSpaceDN w:val="0"/>
        <w:adjustRightInd w:val="0"/>
        <w:spacing w:line="360" w:lineRule="auto"/>
        <w:ind w:firstLine="480" w:firstLineChars="200"/>
        <w:jc w:val="left"/>
        <w:rPr>
          <w:rFonts w:cs="Times New Roman"/>
          <w:color w:val="000000" w:themeColor="text1"/>
          <w:kern w:val="0"/>
          <w:szCs w:val="24"/>
        </w:rPr>
      </w:pPr>
      <w:r>
        <w:rPr>
          <w:rFonts w:cs="Times New Roman"/>
          <w:color w:val="000000" w:themeColor="text1"/>
          <w:kern w:val="0"/>
          <w:szCs w:val="24"/>
        </w:rPr>
        <w:t>式中：</w:t>
      </w:r>
      <w:r>
        <w:rPr>
          <w:rFonts w:cs="Times New Roman"/>
          <w:i/>
          <w:iCs/>
          <w:color w:val="000000" w:themeColor="text1"/>
          <w:kern w:val="0"/>
          <w:szCs w:val="24"/>
        </w:rPr>
        <w:t>q1,q2,…qn</w:t>
      </w:r>
      <w:r>
        <w:rPr>
          <w:rFonts w:cs="Times New Roman"/>
          <w:color w:val="000000" w:themeColor="text1"/>
          <w:kern w:val="0"/>
          <w:szCs w:val="24"/>
        </w:rPr>
        <w:t>—每种危险物质的最大存在量，t；</w:t>
      </w:r>
    </w:p>
    <w:p>
      <w:pPr>
        <w:autoSpaceDE w:val="0"/>
        <w:autoSpaceDN w:val="0"/>
        <w:adjustRightInd w:val="0"/>
        <w:spacing w:line="360" w:lineRule="auto"/>
        <w:ind w:firstLine="1080" w:firstLineChars="450"/>
        <w:jc w:val="left"/>
        <w:rPr>
          <w:rFonts w:cs="Times New Roman"/>
          <w:color w:val="000000" w:themeColor="text1"/>
          <w:kern w:val="0"/>
          <w:szCs w:val="24"/>
        </w:rPr>
      </w:pPr>
      <w:r>
        <w:rPr>
          <w:rFonts w:cs="Times New Roman"/>
          <w:i/>
          <w:iCs/>
          <w:color w:val="000000" w:themeColor="text1"/>
          <w:kern w:val="0"/>
          <w:szCs w:val="24"/>
        </w:rPr>
        <w:t>Q1,Q2,…Qn</w:t>
      </w:r>
      <w:r>
        <w:rPr>
          <w:rFonts w:cs="Times New Roman"/>
          <w:color w:val="000000" w:themeColor="text1"/>
          <w:kern w:val="0"/>
          <w:szCs w:val="24"/>
        </w:rPr>
        <w:t>—每种危险物质的临界量，t。</w:t>
      </w:r>
    </w:p>
    <w:p>
      <w:pPr>
        <w:autoSpaceDE w:val="0"/>
        <w:autoSpaceDN w:val="0"/>
        <w:adjustRightInd w:val="0"/>
        <w:spacing w:line="360" w:lineRule="auto"/>
        <w:ind w:firstLine="1080" w:firstLineChars="450"/>
        <w:jc w:val="left"/>
        <w:rPr>
          <w:rFonts w:cs="Times New Roman"/>
          <w:color w:val="000000" w:themeColor="text1"/>
          <w:kern w:val="0"/>
          <w:szCs w:val="24"/>
        </w:rPr>
      </w:pPr>
      <w:r>
        <w:rPr>
          <w:rFonts w:cs="Times New Roman"/>
          <w:color w:val="000000" w:themeColor="text1"/>
          <w:kern w:val="0"/>
          <w:szCs w:val="24"/>
        </w:rPr>
        <w:t>当Q＜1时，该项目环境风险潜势为</w:t>
      </w:r>
      <w:r>
        <w:rPr>
          <w:rFonts w:eastAsia="宋体" w:cs="Times New Roman"/>
          <w:color w:val="000000" w:themeColor="text1"/>
          <w:kern w:val="0"/>
          <w:szCs w:val="24"/>
        </w:rPr>
        <w:t>Ⅰ</w:t>
      </w:r>
      <w:r>
        <w:rPr>
          <w:rFonts w:cs="Times New Roman"/>
          <w:color w:val="000000" w:themeColor="text1"/>
          <w:kern w:val="0"/>
          <w:szCs w:val="24"/>
        </w:rPr>
        <w:t>。</w:t>
      </w:r>
    </w:p>
    <w:p>
      <w:pPr>
        <w:autoSpaceDE w:val="0"/>
        <w:autoSpaceDN w:val="0"/>
        <w:adjustRightInd w:val="0"/>
        <w:spacing w:line="360" w:lineRule="auto"/>
        <w:ind w:firstLine="480" w:firstLineChars="200"/>
        <w:jc w:val="center"/>
        <w:rPr>
          <w:rFonts w:cs="Times New Roman"/>
          <w:color w:val="000000" w:themeColor="text1"/>
          <w:kern w:val="0"/>
          <w:szCs w:val="24"/>
        </w:rPr>
      </w:pPr>
      <w:r>
        <w:rPr>
          <w:rFonts w:cs="Times New Roman"/>
          <w:color w:val="000000" w:themeColor="text1"/>
          <w:kern w:val="0"/>
          <w:szCs w:val="24"/>
        </w:rPr>
        <w:t xml:space="preserve">     当Q≥1时，将Q值划分为：（1）1≤Q＜10；（2）10≤Q＜100；（3）Q≥100。</w:t>
      </w:r>
    </w:p>
    <w:p>
      <w:pPr>
        <w:autoSpaceDE w:val="0"/>
        <w:autoSpaceDN w:val="0"/>
        <w:adjustRightInd w:val="0"/>
        <w:spacing w:line="360" w:lineRule="auto"/>
        <w:ind w:firstLine="480" w:firstLineChars="200"/>
        <w:rPr>
          <w:rFonts w:cs="Times New Roman"/>
          <w:color w:val="000000" w:themeColor="text1"/>
          <w:kern w:val="0"/>
          <w:szCs w:val="24"/>
        </w:rPr>
      </w:pPr>
      <w:r>
        <w:rPr>
          <w:rFonts w:cs="Times New Roman"/>
          <w:color w:val="000000" w:themeColor="text1"/>
          <w:kern w:val="0"/>
          <w:szCs w:val="24"/>
        </w:rPr>
        <w:t>本项目危险物质数量与临界量比值</w:t>
      </w:r>
      <w:r>
        <w:rPr>
          <w:rFonts w:hint="eastAsia" w:cs="Times New Roman"/>
          <w:color w:val="000000" w:themeColor="text1"/>
          <w:kern w:val="0"/>
          <w:szCs w:val="24"/>
        </w:rPr>
        <w:t>（Q）计算结果见</w:t>
      </w:r>
      <w:r>
        <w:fldChar w:fldCharType="begin"/>
      </w:r>
      <w:r>
        <w:instrText xml:space="preserve"> REF _Ref16517201 \h  \* MERGEFORMAT </w:instrText>
      </w:r>
      <w:r>
        <w:fldChar w:fldCharType="separate"/>
      </w:r>
      <w:r>
        <w:rPr>
          <w:rFonts w:hint="eastAsia" w:cs="Times New Roman"/>
          <w:color w:val="000000" w:themeColor="text1"/>
          <w:kern w:val="0"/>
          <w:szCs w:val="24"/>
        </w:rPr>
        <w:t>表</w:t>
      </w:r>
      <w:r>
        <w:rPr>
          <w:rFonts w:hint="eastAsia" w:cs="Times New Roman"/>
          <w:color w:val="000000" w:themeColor="text1"/>
          <w:kern w:val="0"/>
          <w:szCs w:val="24"/>
        </w:rPr>
        <w:fldChar w:fldCharType="begin"/>
      </w:r>
      <w:r>
        <w:rPr>
          <w:rFonts w:hint="eastAsia" w:cs="Times New Roman"/>
          <w:color w:val="000000" w:themeColor="text1"/>
          <w:kern w:val="0"/>
          <w:szCs w:val="24"/>
        </w:rPr>
        <w:instrText xml:space="preserve">STYLEREF 2</w:instrText>
      </w:r>
      <w:r>
        <w:rPr>
          <w:rFonts w:hint="eastAsia"/>
        </w:rPr>
        <w:instrText xml:space="preserve"> \s</w:instrText>
      </w:r>
      <w:r>
        <w:fldChar w:fldCharType="separate"/>
      </w:r>
      <w:r>
        <w:t>1.5</w:t>
      </w:r>
      <w:r>
        <w:fldChar w:fldCharType="end"/>
      </w:r>
      <w:r>
        <w:noBreakHyphen/>
      </w:r>
      <w:r>
        <w:rPr>
          <w:rFonts w:hint="eastAsia"/>
        </w:rPr>
        <w:t>11</w:t>
      </w:r>
      <w:r>
        <w:rPr>
          <w:rFonts w:cs="Times New Roman"/>
          <w:color w:val="000000" w:themeColor="text1"/>
          <w:kern w:val="0"/>
          <w:szCs w:val="24"/>
        </w:rPr>
        <w:fldChar w:fldCharType="end"/>
      </w:r>
      <w:r>
        <w:rPr>
          <w:rFonts w:hint="eastAsia" w:cs="Times New Roman"/>
          <w:color w:val="000000" w:themeColor="text1"/>
          <w:kern w:val="0"/>
          <w:szCs w:val="24"/>
        </w:rPr>
        <w:t>。</w:t>
      </w:r>
    </w:p>
    <w:p>
      <w:pPr>
        <w:pStyle w:val="14"/>
        <w:spacing w:line="240" w:lineRule="auto"/>
        <w:rPr>
          <w:rFonts w:cs="Times New Roman"/>
          <w:color w:val="000000" w:themeColor="text1"/>
          <w:kern w:val="0"/>
          <w:szCs w:val="24"/>
        </w:rPr>
      </w:pPr>
      <w:bookmarkStart w:id="85" w:name="_Ref16517201"/>
      <w:r>
        <w:rPr>
          <w:rFonts w:hint="eastAsia" w:cs="Times New Roman"/>
          <w:color w:val="000000" w:themeColor="text1"/>
          <w:kern w:val="0"/>
          <w:szCs w:val="24"/>
        </w:rPr>
        <w:t>表</w:t>
      </w:r>
      <w:r>
        <w:rPr>
          <w:rFonts w:cs="Times New Roman"/>
          <w:color w:val="000000" w:themeColor="text1"/>
          <w:kern w:val="0"/>
          <w:szCs w:val="24"/>
        </w:rPr>
        <w:fldChar w:fldCharType="begin"/>
      </w:r>
      <w:r>
        <w:rPr>
          <w:rFonts w:hint="eastAsia" w:cs="Times New Roman"/>
          <w:color w:val="000000" w:themeColor="text1"/>
          <w:kern w:val="0"/>
          <w:szCs w:val="24"/>
        </w:rPr>
        <w:instrText xml:space="preserve">STYLEREF 2 \s</w:instrText>
      </w:r>
      <w:r>
        <w:rPr>
          <w:rFonts w:cs="Times New Roman"/>
          <w:color w:val="000000" w:themeColor="text1"/>
          <w:kern w:val="0"/>
          <w:szCs w:val="24"/>
        </w:rPr>
        <w:fldChar w:fldCharType="separate"/>
      </w:r>
      <w:r>
        <w:rPr>
          <w:rFonts w:cs="Times New Roman"/>
          <w:color w:val="000000" w:themeColor="text1"/>
          <w:kern w:val="0"/>
          <w:szCs w:val="24"/>
        </w:rPr>
        <w:t>1.5</w:t>
      </w:r>
      <w:r>
        <w:rPr>
          <w:rFonts w:cs="Times New Roman"/>
          <w:color w:val="000000" w:themeColor="text1"/>
          <w:kern w:val="0"/>
          <w:szCs w:val="24"/>
        </w:rPr>
        <w:fldChar w:fldCharType="end"/>
      </w:r>
      <w:r>
        <w:rPr>
          <w:rFonts w:cs="Times New Roman"/>
          <w:color w:val="000000" w:themeColor="text1"/>
          <w:kern w:val="0"/>
          <w:szCs w:val="24"/>
        </w:rPr>
        <w:noBreakHyphen/>
      </w:r>
      <w:r>
        <w:rPr>
          <w:rFonts w:cs="Times New Roman"/>
          <w:color w:val="000000" w:themeColor="text1"/>
          <w:kern w:val="0"/>
          <w:szCs w:val="24"/>
        </w:rPr>
        <w:fldChar w:fldCharType="begin"/>
      </w:r>
      <w:r>
        <w:rPr>
          <w:rFonts w:hint="eastAsia" w:cs="Times New Roman"/>
          <w:color w:val="000000" w:themeColor="text1"/>
          <w:kern w:val="0"/>
          <w:szCs w:val="24"/>
        </w:rPr>
        <w:instrText xml:space="preserve">SEQ 表 \* ARABIC \s 2</w:instrText>
      </w:r>
      <w:r>
        <w:rPr>
          <w:rFonts w:cs="Times New Roman"/>
          <w:color w:val="000000" w:themeColor="text1"/>
          <w:kern w:val="0"/>
          <w:szCs w:val="24"/>
        </w:rPr>
        <w:fldChar w:fldCharType="separate"/>
      </w:r>
      <w:r>
        <w:rPr>
          <w:rFonts w:hint="eastAsia" w:cs="Times New Roman"/>
          <w:color w:val="000000" w:themeColor="text1"/>
          <w:kern w:val="0"/>
          <w:szCs w:val="24"/>
        </w:rPr>
        <w:t>11</w:t>
      </w:r>
      <w:r>
        <w:rPr>
          <w:rFonts w:cs="Times New Roman"/>
          <w:color w:val="000000" w:themeColor="text1"/>
          <w:kern w:val="0"/>
          <w:szCs w:val="24"/>
        </w:rPr>
        <w:fldChar w:fldCharType="end"/>
      </w:r>
      <w:bookmarkEnd w:id="85"/>
      <w:r>
        <w:rPr>
          <w:rFonts w:hint="eastAsia" w:cs="Times New Roman"/>
          <w:color w:val="000000" w:themeColor="text1"/>
          <w:kern w:val="0"/>
          <w:szCs w:val="24"/>
        </w:rPr>
        <w:t xml:space="preserve">  项目Q值确定表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0"/>
        <w:gridCol w:w="1540"/>
        <w:gridCol w:w="1540"/>
        <w:gridCol w:w="1541"/>
        <w:gridCol w:w="1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序号</w:t>
            </w:r>
          </w:p>
        </w:tc>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危险物质名称</w:t>
            </w:r>
          </w:p>
        </w:tc>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CAS</w:t>
            </w:r>
            <w:r>
              <w:rPr>
                <w:rFonts w:cs="Times New Roman" w:hAnsiTheme="minorEastAsia" w:eastAsiaTheme="minorEastAsia"/>
                <w:b w:val="0"/>
                <w:color w:val="000000" w:themeColor="text1"/>
                <w:kern w:val="0"/>
                <w:sz w:val="21"/>
                <w:szCs w:val="21"/>
              </w:rPr>
              <w:t>号</w:t>
            </w:r>
          </w:p>
        </w:tc>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最大存在总量（</w:t>
            </w:r>
            <w:r>
              <w:rPr>
                <w:rFonts w:cs="Times New Roman" w:eastAsiaTheme="minorEastAsia"/>
                <w:b w:val="0"/>
                <w:color w:val="000000" w:themeColor="text1"/>
                <w:kern w:val="0"/>
                <w:sz w:val="21"/>
                <w:szCs w:val="21"/>
              </w:rPr>
              <w:t>t</w:t>
            </w:r>
            <w:r>
              <w:rPr>
                <w:rFonts w:cs="Times New Roman" w:hAnsiTheme="minorEastAsia" w:eastAsiaTheme="minorEastAsia"/>
                <w:b w:val="0"/>
                <w:color w:val="000000" w:themeColor="text1"/>
                <w:kern w:val="0"/>
                <w:sz w:val="21"/>
                <w:szCs w:val="21"/>
              </w:rPr>
              <w:t>）</w:t>
            </w:r>
          </w:p>
        </w:tc>
        <w:tc>
          <w:tcPr>
            <w:tcW w:w="1541"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临界量（</w:t>
            </w:r>
            <w:r>
              <w:rPr>
                <w:rFonts w:cs="Times New Roman" w:eastAsiaTheme="minorEastAsia"/>
                <w:b w:val="0"/>
                <w:color w:val="000000" w:themeColor="text1"/>
                <w:kern w:val="0"/>
                <w:sz w:val="21"/>
                <w:szCs w:val="21"/>
              </w:rPr>
              <w:t>t</w:t>
            </w:r>
            <w:r>
              <w:rPr>
                <w:rFonts w:cs="Times New Roman" w:hAnsiTheme="minorEastAsia" w:eastAsiaTheme="minorEastAsia"/>
                <w:b w:val="0"/>
                <w:color w:val="000000" w:themeColor="text1"/>
                <w:kern w:val="0"/>
                <w:sz w:val="21"/>
                <w:szCs w:val="21"/>
              </w:rPr>
              <w:t>）</w:t>
            </w:r>
          </w:p>
        </w:tc>
        <w:tc>
          <w:tcPr>
            <w:tcW w:w="1541"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该种危险物质</w:t>
            </w:r>
            <w:r>
              <w:rPr>
                <w:rFonts w:cs="Times New Roman" w:eastAsiaTheme="minorEastAsia"/>
                <w:b w:val="0"/>
                <w:color w:val="000000" w:themeColor="text1"/>
                <w:kern w:val="0"/>
                <w:sz w:val="21"/>
                <w:szCs w:val="21"/>
              </w:rPr>
              <w:t>Q</w:t>
            </w:r>
            <w:r>
              <w:rPr>
                <w:rFonts w:cs="Times New Roman" w:hAnsiTheme="minorEastAsia" w:eastAsiaTheme="minorEastAsia"/>
                <w:b w:val="0"/>
                <w:color w:val="000000" w:themeColor="text1"/>
                <w:kern w:val="0"/>
                <w:sz w:val="21"/>
                <w:szCs w:val="21"/>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1</w:t>
            </w:r>
          </w:p>
        </w:tc>
        <w:tc>
          <w:tcPr>
            <w:tcW w:w="1540" w:type="dxa"/>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ascii="宋体" w:hAnsi="宋体" w:cs="宋体"/>
                <w:b w:val="0"/>
                <w:color w:val="000000" w:themeColor="text1"/>
                <w:sz w:val="21"/>
                <w:szCs w:val="21"/>
              </w:rPr>
              <w:t>盐酸</w:t>
            </w:r>
            <w:r>
              <w:rPr>
                <w:rFonts w:hint="eastAsia"/>
                <w:b w:val="0"/>
                <w:color w:val="000000" w:themeColor="text1"/>
                <w:sz w:val="21"/>
                <w:szCs w:val="21"/>
                <w:vertAlign w:val="superscript"/>
              </w:rPr>
              <w:t>②</w:t>
            </w:r>
          </w:p>
        </w:tc>
        <w:tc>
          <w:tcPr>
            <w:tcW w:w="1540"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7647-01-0</w:t>
            </w:r>
          </w:p>
        </w:tc>
        <w:tc>
          <w:tcPr>
            <w:tcW w:w="1540"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6.2</w:t>
            </w:r>
          </w:p>
        </w:tc>
        <w:tc>
          <w:tcPr>
            <w:tcW w:w="1541"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eastAsia="宋体"/>
                <w:color w:val="000000" w:themeColor="text1"/>
                <w:kern w:val="2"/>
                <w:sz w:val="21"/>
                <w:szCs w:val="21"/>
              </w:rPr>
              <w:t xml:space="preserve">7.5 </w:t>
            </w:r>
          </w:p>
        </w:tc>
        <w:tc>
          <w:tcPr>
            <w:tcW w:w="1541"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2</w:t>
            </w:r>
          </w:p>
        </w:tc>
        <w:tc>
          <w:tcPr>
            <w:tcW w:w="1540" w:type="dxa"/>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ascii="宋体" w:hAnsi="宋体" w:cs="宋体"/>
                <w:b w:val="0"/>
                <w:color w:val="000000" w:themeColor="text1"/>
                <w:sz w:val="21"/>
                <w:szCs w:val="21"/>
              </w:rPr>
              <w:t>三氯化铁</w:t>
            </w:r>
            <w:r>
              <w:rPr>
                <w:rFonts w:hint="eastAsia"/>
                <w:b w:val="0"/>
                <w:color w:val="000000" w:themeColor="text1"/>
                <w:sz w:val="21"/>
                <w:szCs w:val="21"/>
                <w:vertAlign w:val="superscript"/>
              </w:rPr>
              <w:t>①</w:t>
            </w:r>
          </w:p>
        </w:tc>
        <w:tc>
          <w:tcPr>
            <w:tcW w:w="1540"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eastAsia="宋体"/>
                <w:color w:val="000000" w:themeColor="text1"/>
                <w:kern w:val="2"/>
                <w:sz w:val="21"/>
                <w:szCs w:val="21"/>
              </w:rPr>
              <w:t>7705-08-0</w:t>
            </w:r>
          </w:p>
        </w:tc>
        <w:tc>
          <w:tcPr>
            <w:tcW w:w="1540"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0.08</w:t>
            </w:r>
          </w:p>
        </w:tc>
        <w:tc>
          <w:tcPr>
            <w:tcW w:w="1541"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eastAsia="宋体"/>
                <w:color w:val="000000" w:themeColor="text1"/>
                <w:kern w:val="2"/>
                <w:sz w:val="21"/>
                <w:szCs w:val="21"/>
              </w:rPr>
              <w:t xml:space="preserve">/ </w:t>
            </w:r>
          </w:p>
        </w:tc>
        <w:tc>
          <w:tcPr>
            <w:tcW w:w="1541"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eastAsia="宋体"/>
                <w:color w:val="000000" w:themeColor="text1"/>
                <w:kern w:val="2"/>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hint="eastAsia" w:cs="Times New Roman" w:eastAsiaTheme="minorEastAsia"/>
                <w:b w:val="0"/>
                <w:color w:val="000000" w:themeColor="text1"/>
                <w:kern w:val="0"/>
                <w:sz w:val="21"/>
                <w:szCs w:val="21"/>
              </w:rPr>
              <w:t>3</w:t>
            </w:r>
          </w:p>
        </w:tc>
        <w:tc>
          <w:tcPr>
            <w:tcW w:w="1540" w:type="dxa"/>
          </w:tcPr>
          <w:p>
            <w:pPr>
              <w:pStyle w:val="14"/>
              <w:keepNext w:val="0"/>
              <w:keepLines w:val="0"/>
              <w:pageBreakBefore w:val="0"/>
              <w:widowControl w:val="0"/>
              <w:kinsoku/>
              <w:wordWrap/>
              <w:overflowPunct/>
              <w:topLinePunct w:val="0"/>
              <w:bidi w:val="0"/>
              <w:snapToGrid/>
              <w:spacing w:line="240" w:lineRule="auto"/>
              <w:textAlignment w:val="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氯酸钠</w:t>
            </w:r>
          </w:p>
        </w:tc>
        <w:tc>
          <w:tcPr>
            <w:tcW w:w="1540"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7775-09-9</w:t>
            </w:r>
          </w:p>
        </w:tc>
        <w:tc>
          <w:tcPr>
            <w:tcW w:w="1540"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2</w:t>
            </w:r>
          </w:p>
        </w:tc>
        <w:tc>
          <w:tcPr>
            <w:tcW w:w="1541"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100</w:t>
            </w:r>
          </w:p>
        </w:tc>
        <w:tc>
          <w:tcPr>
            <w:tcW w:w="1541" w:type="dxa"/>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color w:val="000000" w:themeColor="text1"/>
                <w:kern w:val="2"/>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1" w:type="dxa"/>
            <w:gridSpan w:val="5"/>
            <w:vAlign w:val="center"/>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eastAsia="宋体" w:hAnsiTheme="minorEastAsia"/>
                <w:color w:val="000000" w:themeColor="text1"/>
                <w:kern w:val="2"/>
                <w:sz w:val="21"/>
                <w:szCs w:val="21"/>
              </w:rPr>
              <w:t>项目</w:t>
            </w:r>
            <w:r>
              <w:rPr>
                <w:rFonts w:eastAsia="宋体"/>
                <w:bCs/>
                <w:color w:val="000000" w:themeColor="text1"/>
                <w:kern w:val="2"/>
                <w:sz w:val="21"/>
                <w:szCs w:val="21"/>
              </w:rPr>
              <w:t>Q</w:t>
            </w:r>
            <w:r>
              <w:rPr>
                <w:rFonts w:eastAsia="宋体" w:hAnsiTheme="minorEastAsia"/>
                <w:color w:val="000000" w:themeColor="text1"/>
                <w:kern w:val="2"/>
                <w:sz w:val="21"/>
                <w:szCs w:val="21"/>
              </w:rPr>
              <w:t>值</w:t>
            </w:r>
            <w:r>
              <w:rPr>
                <w:rFonts w:eastAsia="宋体"/>
                <w:bCs/>
                <w:color w:val="000000" w:themeColor="text1"/>
                <w:kern w:val="2"/>
                <w:sz w:val="21"/>
                <w:szCs w:val="21"/>
              </w:rPr>
              <w:t>Σ</w:t>
            </w:r>
          </w:p>
        </w:tc>
        <w:tc>
          <w:tcPr>
            <w:tcW w:w="1541" w:type="dxa"/>
            <w:vAlign w:val="center"/>
          </w:tcPr>
          <w:p>
            <w:pPr>
              <w:pStyle w:val="78"/>
              <w:keepNext w:val="0"/>
              <w:keepLines w:val="0"/>
              <w:pageBreakBefore w:val="0"/>
              <w:widowControl w:val="0"/>
              <w:kinsoku/>
              <w:wordWrap/>
              <w:overflowPunct/>
              <w:topLinePunct w:val="0"/>
              <w:bidi w:val="0"/>
              <w:snapToGrid/>
              <w:jc w:val="center"/>
              <w:textAlignment w:val="auto"/>
              <w:rPr>
                <w:rFonts w:eastAsia="宋体"/>
                <w:color w:val="000000" w:themeColor="text1"/>
                <w:kern w:val="2"/>
                <w:sz w:val="21"/>
                <w:szCs w:val="21"/>
              </w:rPr>
            </w:pPr>
            <w:r>
              <w:rPr>
                <w:rFonts w:hint="eastAsia" w:eastAsia="宋体"/>
                <w:bCs/>
                <w:color w:val="000000" w:themeColor="text1"/>
                <w:kern w:val="2"/>
                <w:sz w:val="21"/>
                <w:szCs w:val="21"/>
              </w:rPr>
              <w:t>0.85</w:t>
            </w:r>
          </w:p>
        </w:tc>
      </w:tr>
    </w:tbl>
    <w:p>
      <w:pPr>
        <w:pStyle w:val="14"/>
        <w:spacing w:line="240" w:lineRule="auto"/>
        <w:jc w:val="both"/>
        <w:rPr>
          <w:rFonts w:cs="Times New Roman"/>
          <w:color w:val="000000" w:themeColor="text1"/>
          <w:kern w:val="0"/>
          <w:szCs w:val="24"/>
        </w:rPr>
      </w:pPr>
      <w:r>
        <w:rPr>
          <w:rFonts w:hint="eastAsia"/>
          <w:color w:val="000000" w:themeColor="text1"/>
          <w:sz w:val="21"/>
          <w:szCs w:val="21"/>
        </w:rPr>
        <w:t>注：</w:t>
      </w:r>
      <w:r>
        <w:rPr>
          <w:rFonts w:hint="eastAsia"/>
          <w:b w:val="0"/>
          <w:color w:val="000000" w:themeColor="text1"/>
          <w:sz w:val="21"/>
          <w:szCs w:val="21"/>
        </w:rPr>
        <w:t>①参考</w:t>
      </w:r>
      <w:r>
        <w:rPr>
          <w:b w:val="0"/>
          <w:color w:val="000000" w:themeColor="text1"/>
          <w:sz w:val="21"/>
          <w:szCs w:val="21"/>
        </w:rPr>
        <w:t>HJ 169-2018</w:t>
      </w:r>
      <w:r>
        <w:rPr>
          <w:rFonts w:hint="eastAsia"/>
          <w:b w:val="0"/>
          <w:color w:val="000000" w:themeColor="text1"/>
          <w:sz w:val="21"/>
          <w:szCs w:val="21"/>
        </w:rPr>
        <w:t>附录</w:t>
      </w:r>
      <w:r>
        <w:rPr>
          <w:b w:val="0"/>
          <w:color w:val="000000" w:themeColor="text1"/>
          <w:sz w:val="21"/>
          <w:szCs w:val="21"/>
        </w:rPr>
        <w:t>B</w:t>
      </w:r>
      <w:r>
        <w:rPr>
          <w:rFonts w:hint="eastAsia"/>
          <w:b w:val="0"/>
          <w:color w:val="000000" w:themeColor="text1"/>
          <w:sz w:val="21"/>
          <w:szCs w:val="21"/>
        </w:rPr>
        <w:t>，三氯化铁；②</w:t>
      </w:r>
      <w:r>
        <w:rPr>
          <w:b w:val="0"/>
          <w:color w:val="000000" w:themeColor="text1"/>
          <w:sz w:val="21"/>
          <w:szCs w:val="21"/>
        </w:rPr>
        <w:t>30%</w:t>
      </w:r>
      <w:r>
        <w:rPr>
          <w:rFonts w:hint="eastAsia"/>
          <w:b w:val="0"/>
          <w:color w:val="000000" w:themeColor="text1"/>
          <w:sz w:val="21"/>
          <w:szCs w:val="21"/>
        </w:rPr>
        <w:t>盐酸临界量参考</w:t>
      </w:r>
      <w:r>
        <w:rPr>
          <w:b w:val="0"/>
          <w:color w:val="000000" w:themeColor="text1"/>
          <w:sz w:val="21"/>
          <w:szCs w:val="21"/>
        </w:rPr>
        <w:t>HJ 169-2018</w:t>
      </w:r>
      <w:r>
        <w:rPr>
          <w:rFonts w:hint="eastAsia"/>
          <w:b w:val="0"/>
          <w:color w:val="000000" w:themeColor="text1"/>
          <w:sz w:val="21"/>
          <w:szCs w:val="21"/>
        </w:rPr>
        <w:t>中</w:t>
      </w:r>
      <w:r>
        <w:rPr>
          <w:b w:val="0"/>
          <w:color w:val="000000" w:themeColor="text1"/>
          <w:sz w:val="21"/>
          <w:szCs w:val="21"/>
        </w:rPr>
        <w:t>37%</w:t>
      </w:r>
      <w:r>
        <w:rPr>
          <w:rFonts w:hint="eastAsia"/>
          <w:b w:val="0"/>
          <w:color w:val="000000" w:themeColor="text1"/>
          <w:sz w:val="21"/>
          <w:szCs w:val="21"/>
        </w:rPr>
        <w:t>盐酸确定。</w:t>
      </w:r>
    </w:p>
    <w:p>
      <w:pPr>
        <w:autoSpaceDE w:val="0"/>
        <w:autoSpaceDN w:val="0"/>
        <w:adjustRightInd w:val="0"/>
        <w:spacing w:line="360" w:lineRule="auto"/>
        <w:ind w:firstLine="480" w:firstLineChars="200"/>
        <w:jc w:val="left"/>
        <w:rPr>
          <w:rFonts w:hint="eastAsia" w:eastAsia="宋体" w:cs="Times New Roman"/>
          <w:color w:val="000000" w:themeColor="text1"/>
          <w:kern w:val="0"/>
          <w:szCs w:val="24"/>
        </w:rPr>
      </w:pPr>
      <w:r>
        <w:rPr>
          <w:rFonts w:eastAsia="宋体" w:cs="Times New Roman"/>
          <w:color w:val="000000" w:themeColor="text1"/>
          <w:kern w:val="0"/>
          <w:szCs w:val="24"/>
        </w:rPr>
        <w:t>由</w:t>
      </w:r>
      <w:r>
        <w:fldChar w:fldCharType="begin"/>
      </w:r>
      <w:r>
        <w:instrText xml:space="preserve"> REF _Ref16517201 \h  \* MERGEFORMAT </w:instrText>
      </w:r>
      <w:r>
        <w:fldChar w:fldCharType="separate"/>
      </w:r>
      <w:r>
        <w:rPr>
          <w:rFonts w:hint="eastAsia" w:eastAsia="宋体" w:cs="Times New Roman"/>
          <w:color w:val="000000" w:themeColor="text1"/>
          <w:kern w:val="0"/>
          <w:szCs w:val="24"/>
        </w:rPr>
        <w:t>表</w:t>
      </w:r>
      <w:r>
        <w:rPr>
          <w:rFonts w:eastAsia="宋体" w:cs="Times New Roman"/>
          <w:color w:val="000000" w:themeColor="text1"/>
          <w:kern w:val="0"/>
          <w:szCs w:val="24"/>
        </w:rPr>
        <w:t>1.5</w:t>
      </w:r>
      <w:r>
        <w:rPr>
          <w:rFonts w:eastAsia="宋体" w:cs="Times New Roman"/>
          <w:color w:val="000000" w:themeColor="text1"/>
          <w:kern w:val="0"/>
          <w:szCs w:val="24"/>
        </w:rPr>
        <w:noBreakHyphen/>
      </w:r>
      <w:r>
        <w:rPr>
          <w:rFonts w:eastAsia="宋体" w:cs="Times New Roman"/>
          <w:color w:val="000000" w:themeColor="text1"/>
          <w:kern w:val="0"/>
          <w:szCs w:val="24"/>
        </w:rPr>
        <w:t>7</w:t>
      </w:r>
      <w:r>
        <w:rPr>
          <w:rFonts w:eastAsia="宋体" w:cs="Times New Roman"/>
          <w:color w:val="000000" w:themeColor="text1"/>
          <w:kern w:val="0"/>
          <w:szCs w:val="24"/>
        </w:rPr>
        <w:fldChar w:fldCharType="end"/>
      </w:r>
      <w:r>
        <w:rPr>
          <w:rFonts w:eastAsia="宋体" w:cs="Times New Roman"/>
          <w:color w:val="000000" w:themeColor="text1"/>
          <w:kern w:val="0"/>
          <w:szCs w:val="24"/>
        </w:rPr>
        <w:t>可知</w:t>
      </w:r>
      <w:r>
        <w:rPr>
          <w:rFonts w:hint="eastAsia" w:eastAsia="宋体" w:cs="Times New Roman"/>
          <w:color w:val="000000" w:themeColor="text1"/>
          <w:kern w:val="0"/>
          <w:szCs w:val="24"/>
        </w:rPr>
        <w:t>，Q＜1，则该项目环境风险潜势为Ⅰ。根据《建设项目环境风险评价技术导则》</w:t>
      </w:r>
      <w:r>
        <w:rPr>
          <w:rFonts w:eastAsia="宋体" w:cs="Times New Roman"/>
          <w:color w:val="000000" w:themeColor="text1"/>
          <w:kern w:val="0"/>
          <w:szCs w:val="24"/>
        </w:rPr>
        <w:t>（HJ169－20</w:t>
      </w:r>
      <w:r>
        <w:rPr>
          <w:rFonts w:hint="eastAsia" w:eastAsia="宋体" w:cs="Times New Roman"/>
          <w:color w:val="000000" w:themeColor="text1"/>
          <w:kern w:val="0"/>
          <w:szCs w:val="24"/>
        </w:rPr>
        <w:t>18</w:t>
      </w:r>
      <w:r>
        <w:rPr>
          <w:rFonts w:eastAsia="宋体" w:cs="Times New Roman"/>
          <w:color w:val="000000" w:themeColor="text1"/>
          <w:kern w:val="0"/>
          <w:szCs w:val="24"/>
        </w:rPr>
        <w:t>）</w:t>
      </w:r>
      <w:r>
        <w:rPr>
          <w:rFonts w:hint="eastAsia" w:eastAsia="宋体" w:cs="Times New Roman"/>
          <w:color w:val="000000" w:themeColor="text1"/>
          <w:kern w:val="0"/>
          <w:szCs w:val="24"/>
        </w:rPr>
        <w:t>中评价等级确定标准（见</w:t>
      </w:r>
      <w:r>
        <w:fldChar w:fldCharType="begin"/>
      </w:r>
      <w:r>
        <w:instrText xml:space="preserve"> REF _Ref530598678 \h  \* MERGEFORMAT </w:instrText>
      </w:r>
      <w:r>
        <w:fldChar w:fldCharType="separate"/>
      </w:r>
      <w:r>
        <w:rPr>
          <w:rFonts w:eastAsia="宋体" w:cs="Times New Roman"/>
          <w:color w:val="000000" w:themeColor="text1"/>
          <w:kern w:val="0"/>
          <w:szCs w:val="24"/>
        </w:rPr>
        <w:t>表1.5</w:t>
      </w:r>
      <w:r>
        <w:rPr>
          <w:rFonts w:eastAsia="宋体" w:cs="Times New Roman"/>
          <w:color w:val="000000" w:themeColor="text1"/>
          <w:kern w:val="0"/>
          <w:szCs w:val="24"/>
        </w:rPr>
        <w:noBreakHyphen/>
      </w:r>
      <w:r>
        <w:rPr>
          <w:rFonts w:eastAsia="宋体" w:cs="Times New Roman"/>
          <w:color w:val="000000" w:themeColor="text1"/>
          <w:kern w:val="0"/>
          <w:szCs w:val="24"/>
        </w:rPr>
        <w:t>10</w:t>
      </w:r>
      <w:r>
        <w:rPr>
          <w:rFonts w:eastAsia="宋体" w:cs="Times New Roman"/>
          <w:color w:val="000000" w:themeColor="text1"/>
          <w:kern w:val="0"/>
          <w:szCs w:val="24"/>
        </w:rPr>
        <w:fldChar w:fldCharType="end"/>
      </w:r>
      <w:r>
        <w:rPr>
          <w:rFonts w:hint="eastAsia" w:eastAsia="宋体" w:cs="Times New Roman"/>
          <w:color w:val="000000" w:themeColor="text1"/>
          <w:kern w:val="0"/>
          <w:szCs w:val="24"/>
        </w:rPr>
        <w:t>），确定本项目风险评价等级为简单评价，对风险识别、源项分析、风险管理及减缓风险措施进行评价。</w:t>
      </w:r>
    </w:p>
    <w:p>
      <w:pPr>
        <w:pStyle w:val="14"/>
        <w:rPr>
          <w:rFonts w:hint="eastAsia" w:eastAsia="宋体"/>
          <w:lang w:val="en-US" w:eastAsia="zh-CN"/>
        </w:rPr>
      </w:pPr>
      <w:r>
        <w:t xml:space="preserve">表 </w:t>
      </w:r>
      <w:r>
        <w:fldChar w:fldCharType="begin"/>
      </w:r>
      <w:r>
        <w:instrText xml:space="preserve"> STYLEREF 2 \s </w:instrText>
      </w:r>
      <w:r>
        <w:fldChar w:fldCharType="separate"/>
      </w:r>
      <w:r>
        <w:t>1</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12</w:t>
      </w:r>
      <w:r>
        <w:fldChar w:fldCharType="end"/>
      </w:r>
      <w:r>
        <w:rPr>
          <w:rFonts w:hint="eastAsia"/>
          <w:lang w:val="en-US" w:eastAsia="zh-CN"/>
        </w:rPr>
        <w:t xml:space="preserve">  环境风险评价等级划分表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2027"/>
        <w:gridCol w:w="950"/>
        <w:gridCol w:w="950"/>
        <w:gridCol w:w="2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8" w:type="dxa"/>
          </w:tcPr>
          <w:p>
            <w:pPr>
              <w:pStyle w:val="14"/>
              <w:spacing w:line="240" w:lineRule="auto"/>
              <w:rPr>
                <w:rFonts w:cs="Times New Roman"/>
                <w:b w:val="0"/>
                <w:color w:val="000000" w:themeColor="text1"/>
                <w:sz w:val="21"/>
                <w:szCs w:val="21"/>
              </w:rPr>
            </w:pPr>
            <w:r>
              <w:rPr>
                <w:rFonts w:hint="eastAsia" w:cs="Times New Roman"/>
                <w:color w:val="000000" w:themeColor="text1"/>
              </w:rPr>
              <w:t xml:space="preserve"> </w:t>
            </w:r>
            <w:r>
              <w:rPr>
                <w:rFonts w:cs="Times New Roman"/>
                <w:b w:val="0"/>
                <w:color w:val="000000" w:themeColor="text1"/>
                <w:sz w:val="21"/>
                <w:szCs w:val="21"/>
              </w:rPr>
              <w:t>环境风险潜势</w:t>
            </w:r>
          </w:p>
        </w:tc>
        <w:tc>
          <w:tcPr>
            <w:tcW w:w="2027"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Ⅳ、Ⅳ</w:t>
            </w:r>
            <w:r>
              <w:rPr>
                <w:rFonts w:cs="Times New Roman"/>
                <w:b w:val="0"/>
                <w:color w:val="000000" w:themeColor="text1"/>
                <w:sz w:val="21"/>
                <w:szCs w:val="21"/>
                <w:vertAlign w:val="superscript"/>
              </w:rPr>
              <w:t>＋</w:t>
            </w:r>
          </w:p>
        </w:tc>
        <w:tc>
          <w:tcPr>
            <w:tcW w:w="950"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Ⅲ</w:t>
            </w:r>
          </w:p>
        </w:tc>
        <w:tc>
          <w:tcPr>
            <w:tcW w:w="950"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Ⅱ</w:t>
            </w:r>
          </w:p>
        </w:tc>
        <w:tc>
          <w:tcPr>
            <w:tcW w:w="2367"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评价工作等级</w:t>
            </w:r>
          </w:p>
        </w:tc>
        <w:tc>
          <w:tcPr>
            <w:tcW w:w="2027"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一</w:t>
            </w:r>
          </w:p>
        </w:tc>
        <w:tc>
          <w:tcPr>
            <w:tcW w:w="950"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二</w:t>
            </w:r>
          </w:p>
        </w:tc>
        <w:tc>
          <w:tcPr>
            <w:tcW w:w="950"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三</w:t>
            </w:r>
          </w:p>
        </w:tc>
        <w:tc>
          <w:tcPr>
            <w:tcW w:w="2367"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shd w:val="clear" w:color="auto" w:fill="9BBB59" w:themeFill="accent3"/>
              </w:rPr>
              <w:t>简单分析</w:t>
            </w:r>
            <w:r>
              <w:rPr>
                <w:rFonts w:cs="Times New Roman"/>
                <w:b w:val="0"/>
                <w:color w:val="000000" w:themeColor="text1"/>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5"/>
          </w:tcPr>
          <w:p>
            <w:pPr>
              <w:pStyle w:val="14"/>
              <w:spacing w:line="240" w:lineRule="auto"/>
              <w:jc w:val="both"/>
              <w:rPr>
                <w:rFonts w:cs="Times New Roman"/>
                <w:b w:val="0"/>
                <w:color w:val="000000" w:themeColor="text1"/>
                <w:sz w:val="21"/>
                <w:szCs w:val="21"/>
              </w:rPr>
            </w:pPr>
            <w:r>
              <w:rPr>
                <w:rFonts w:cs="Times New Roman"/>
                <w:b w:val="0"/>
                <w:color w:val="000000" w:themeColor="text1"/>
                <w:sz w:val="21"/>
                <w:szCs w:val="21"/>
              </w:rPr>
              <w:t>是相对于详细评价工作内容而言，在描述危险物质、环境影响途径、环境危害后果、风险防范措施等方面给出定性的说明。见附录A。</w:t>
            </w:r>
          </w:p>
        </w:tc>
      </w:tr>
    </w:tbl>
    <w:p>
      <w:pPr>
        <w:pStyle w:val="4"/>
        <w:adjustRightInd w:val="0"/>
        <w:snapToGrid w:val="0"/>
        <w:rPr>
          <w:color w:val="000000" w:themeColor="text1"/>
        </w:rPr>
      </w:pPr>
      <w:bookmarkStart w:id="86" w:name="_Toc532376137"/>
      <w:bookmarkStart w:id="87" w:name="_Toc532498730"/>
      <w:bookmarkStart w:id="88" w:name="_Toc3303"/>
      <w:bookmarkStart w:id="89" w:name="_Toc532763194"/>
      <w:bookmarkStart w:id="90" w:name="_Toc532497617"/>
      <w:r>
        <w:rPr>
          <w:rFonts w:hint="eastAsia"/>
          <w:color w:val="000000" w:themeColor="text1"/>
        </w:rPr>
        <w:t>评价范围</w:t>
      </w:r>
      <w:bookmarkEnd w:id="86"/>
      <w:bookmarkEnd w:id="87"/>
      <w:bookmarkEnd w:id="88"/>
      <w:bookmarkEnd w:id="89"/>
      <w:bookmarkEnd w:id="9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hint="eastAsia"/>
          <w:color w:val="000000" w:themeColor="text1"/>
        </w:rPr>
        <w:t>（1）大气环境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color w:val="000000" w:themeColor="text1"/>
          <w:szCs w:val="24"/>
        </w:rPr>
        <w:t>本项目</w:t>
      </w:r>
      <w:r>
        <w:rPr>
          <w:rFonts w:hint="eastAsia"/>
          <w:color w:val="000000" w:themeColor="text1"/>
          <w:szCs w:val="24"/>
        </w:rPr>
        <w:t>15m高臭气排气筒</w:t>
      </w:r>
      <w:r>
        <w:rPr>
          <w:color w:val="000000" w:themeColor="text1"/>
          <w:szCs w:val="24"/>
        </w:rPr>
        <w:t>为中心，</w:t>
      </w:r>
      <w:r>
        <w:rPr>
          <w:rFonts w:hint="eastAsia"/>
          <w:color w:val="000000" w:themeColor="text1"/>
          <w:szCs w:val="24"/>
        </w:rPr>
        <w:t>5</w:t>
      </w:r>
      <w:r>
        <w:rPr>
          <w:color w:val="000000" w:themeColor="text1"/>
          <w:szCs w:val="24"/>
        </w:rPr>
        <w:t>km为</w:t>
      </w:r>
      <w:r>
        <w:rPr>
          <w:rFonts w:hint="eastAsia"/>
          <w:color w:val="000000" w:themeColor="text1"/>
          <w:szCs w:val="24"/>
        </w:rPr>
        <w:t>边长</w:t>
      </w:r>
      <w:r>
        <w:rPr>
          <w:color w:val="000000" w:themeColor="text1"/>
          <w:szCs w:val="24"/>
        </w:rPr>
        <w:t>的</w:t>
      </w:r>
      <w:r>
        <w:rPr>
          <w:rFonts w:hint="eastAsia"/>
          <w:color w:val="000000" w:themeColor="text1"/>
          <w:szCs w:val="24"/>
        </w:rPr>
        <w:t>矩形</w:t>
      </w:r>
      <w:r>
        <w:rPr>
          <w:color w:val="000000" w:themeColor="text1"/>
          <w:szCs w:val="24"/>
        </w:rPr>
        <w:t>范围</w:t>
      </w:r>
      <w:r>
        <w:rPr>
          <w:rFonts w:hint="eastAsia"/>
          <w:color w:val="000000" w:themeColor="text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hint="eastAsia"/>
          <w:color w:val="000000" w:themeColor="text1"/>
        </w:rPr>
        <w:t>（2）地表水环境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hint="eastAsia"/>
          <w:color w:val="000000" w:themeColor="text1"/>
        </w:rPr>
        <w:t>地表水评价范围为华容县桥东污水处理厂尾水排放的排放口上游500m至下游3500m。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hint="eastAsia"/>
          <w:color w:val="000000" w:themeColor="text1"/>
        </w:rPr>
        <w:t>（3）声环境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eastAsia="宋体" w:cs="Times New Roman"/>
          <w:color w:val="000000" w:themeColor="text1"/>
          <w:szCs w:val="24"/>
        </w:rPr>
        <w:t>评价范围确定为项目所在地</w:t>
      </w:r>
      <w:r>
        <w:rPr>
          <w:rFonts w:hint="eastAsia" w:eastAsia="宋体" w:cs="Times New Roman"/>
          <w:color w:val="000000" w:themeColor="text1"/>
          <w:szCs w:val="24"/>
        </w:rPr>
        <w:t>厂界外扩200m</w:t>
      </w:r>
      <w:r>
        <w:rPr>
          <w:rFonts w:eastAsia="宋体" w:cs="Times New Roman"/>
          <w:color w:val="000000" w:themeColor="text1"/>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hint="eastAsia"/>
          <w:color w:val="000000" w:themeColor="text1"/>
        </w:rPr>
        <w:t>（4）地下水环境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color w:val="000000" w:themeColor="text1"/>
        </w:rPr>
      </w:pPr>
      <w:r>
        <w:rPr>
          <w:rFonts w:hint="eastAsia"/>
          <w:color w:val="000000" w:themeColor="text1"/>
          <w:szCs w:val="24"/>
        </w:rPr>
        <w:t>根据《</w:t>
      </w:r>
      <w:r>
        <w:rPr>
          <w:color w:val="000000" w:themeColor="text1"/>
          <w:szCs w:val="24"/>
        </w:rPr>
        <w:t>地下水环境影响评价技术导则</w:t>
      </w:r>
      <w:r>
        <w:rPr>
          <w:rFonts w:hint="eastAsia"/>
          <w:color w:val="000000" w:themeColor="text1"/>
          <w:szCs w:val="24"/>
        </w:rPr>
        <w:t>》</w:t>
      </w:r>
      <w:r>
        <w:rPr>
          <w:color w:val="000000" w:themeColor="text1"/>
          <w:szCs w:val="24"/>
        </w:rPr>
        <w:t>（HJ 610-2016）</w:t>
      </w:r>
      <w:r>
        <w:rPr>
          <w:rFonts w:hint="eastAsia"/>
          <w:color w:val="000000" w:themeColor="text1"/>
          <w:szCs w:val="24"/>
        </w:rPr>
        <w:t>中提出，建设项目</w:t>
      </w:r>
      <w:r>
        <w:rPr>
          <w:rFonts w:hint="eastAsia" w:asciiTheme="minorEastAsia" w:hAnsiTheme="minorEastAsia"/>
          <w:color w:val="000000" w:themeColor="text1"/>
          <w:szCs w:val="24"/>
        </w:rPr>
        <w:t>（除线性工程外）地下水环境影响现状调查评价范围可采用公式计算法、查表法和自定义法确定</w:t>
      </w:r>
      <w:r>
        <w:rPr>
          <w:rFonts w:hint="eastAsia"/>
          <w:color w:val="000000" w:themeColor="text1"/>
          <w:szCs w:val="24"/>
        </w:rPr>
        <w:t>，本项目按照查表法来确定地下水的评价范围，则本项目的评价范围为项目所在地</w:t>
      </w:r>
      <w:r>
        <w:rPr>
          <w:rFonts w:hint="eastAsia" w:cs="Times New Roman"/>
          <w:color w:val="000000" w:themeColor="text1"/>
        </w:rPr>
        <w:t>周边</w:t>
      </w:r>
      <w:r>
        <w:rPr>
          <w:rFonts w:hint="eastAsia" w:cs="Times New Roman"/>
          <w:color w:val="000000" w:themeColor="text1"/>
          <w:lang w:val="en-US" w:eastAsia="zh-CN"/>
        </w:rPr>
        <w:t>6</w:t>
      </w:r>
      <w:r>
        <w:rPr>
          <w:rFonts w:hint="eastAsia" w:cs="Times New Roman"/>
          <w:color w:val="000000" w:themeColor="text1"/>
        </w:rPr>
        <w:t>~</w:t>
      </w:r>
      <w:r>
        <w:rPr>
          <w:rFonts w:hint="eastAsia" w:cs="Times New Roman"/>
          <w:color w:val="000000" w:themeColor="text1"/>
          <w:lang w:val="en-US" w:eastAsia="zh-CN"/>
        </w:rPr>
        <w:t>20</w:t>
      </w:r>
      <w:r>
        <w:rPr>
          <w:rFonts w:cs="Times New Roman"/>
          <w:color w:val="000000" w:themeColor="text1"/>
        </w:rPr>
        <w:t>km</w:t>
      </w:r>
      <w:r>
        <w:rPr>
          <w:rFonts w:cs="Times New Roman"/>
          <w:color w:val="000000" w:themeColor="text1"/>
          <w:vertAlign w:val="superscript"/>
        </w:rPr>
        <w:t>2</w:t>
      </w:r>
      <w:r>
        <w:rPr>
          <w:rFonts w:cs="Times New Roman"/>
          <w:color w:val="000000" w:themeColor="text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rPr>
      </w:pPr>
      <w:r>
        <w:rPr>
          <w:rFonts w:hint="eastAsia" w:cs="Times New Roman"/>
          <w:color w:val="000000" w:themeColor="text1"/>
        </w:rPr>
        <w:t>（5）</w:t>
      </w:r>
      <w:r>
        <w:rPr>
          <w:rFonts w:hint="eastAsia"/>
          <w:color w:val="000000" w:themeColor="text1"/>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color w:val="000000" w:themeColor="text1"/>
        </w:rPr>
      </w:pPr>
      <w:r>
        <w:rPr>
          <w:rFonts w:cs="Times New Roman"/>
          <w:color w:val="000000" w:themeColor="text1"/>
        </w:rPr>
        <w:t>以项目厂址为中心，周边1000m的范围内。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color w:val="000000" w:themeColor="text1"/>
        </w:rPr>
      </w:pPr>
      <w:r>
        <w:rPr>
          <w:rFonts w:hint="eastAsia" w:cs="Times New Roman"/>
          <w:color w:val="000000" w:themeColor="text1"/>
        </w:rPr>
        <w:t>（6）土壤环境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color w:val="000000" w:themeColor="text1"/>
        </w:rPr>
      </w:pPr>
      <w:r>
        <w:rPr>
          <w:rFonts w:hint="eastAsia" w:cs="Times New Roman"/>
          <w:color w:val="000000" w:themeColor="text1"/>
        </w:rPr>
        <w:t>根据《环境影响评价技术导则—土壤环境（试行）》（HJ964-2018）中提出土壤评价范围一般与现状调查范围一致，建设项目（除线性工程外）土壤环境影现状调查评价范围可根据建设项目影响类型、污染途径、气象条件、地形地貌、水文地质条件等确定并说明，或参考表5确定。则本项目评价分为参考《环境影响评价技术导则—土壤环境（试行）》（HJ964-2018）中表5中的调查范围，本项目的评价范围包括本项目占地范围和本项目占地范围外0.05km。</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color w:val="000000" w:themeColor="text1"/>
        </w:rPr>
      </w:pPr>
      <w:r>
        <w:rPr>
          <w:rFonts w:hint="eastAsia" w:cs="Times New Roman"/>
          <w:color w:val="000000" w:themeColor="text1"/>
        </w:rPr>
        <w:t>（7）环境风险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color w:val="000000" w:themeColor="text1"/>
        </w:rPr>
      </w:pPr>
      <w:r>
        <w:rPr>
          <w:rFonts w:hint="eastAsia" w:cs="Times New Roman"/>
          <w:color w:val="000000" w:themeColor="text1"/>
        </w:rPr>
        <w:t>以</w:t>
      </w:r>
      <w:r>
        <w:rPr>
          <w:szCs w:val="24"/>
        </w:rPr>
        <w:t>本项目</w:t>
      </w:r>
      <w:r>
        <w:rPr>
          <w:rFonts w:hint="eastAsia"/>
        </w:rPr>
        <w:t>药剂存放间</w:t>
      </w:r>
      <w:r>
        <w:rPr>
          <w:szCs w:val="24"/>
        </w:rPr>
        <w:t>为中心</w:t>
      </w:r>
      <w:r>
        <w:rPr>
          <w:rFonts w:hint="eastAsia" w:cs="Times New Roman"/>
          <w:color w:val="000000" w:themeColor="text1"/>
        </w:rPr>
        <w:t>，半径</w:t>
      </w:r>
      <w:r>
        <w:rPr>
          <w:rFonts w:cs="Times New Roman"/>
          <w:color w:val="000000" w:themeColor="text1"/>
        </w:rPr>
        <w:t>3km</w:t>
      </w:r>
      <w:r>
        <w:rPr>
          <w:rFonts w:hint="eastAsia" w:cs="Times New Roman"/>
          <w:color w:val="000000" w:themeColor="text1"/>
        </w:rPr>
        <w:t>的范围。</w:t>
      </w:r>
    </w:p>
    <w:p>
      <w:pPr>
        <w:pStyle w:val="4"/>
        <w:adjustRightInd w:val="0"/>
        <w:snapToGrid w:val="0"/>
        <w:rPr>
          <w:color w:val="000000" w:themeColor="text1"/>
        </w:rPr>
      </w:pPr>
      <w:bookmarkStart w:id="91" w:name="_Toc532376138"/>
      <w:bookmarkStart w:id="92" w:name="_Toc532497618"/>
      <w:bookmarkStart w:id="93" w:name="_Toc532498731"/>
      <w:bookmarkStart w:id="94" w:name="_Toc19434"/>
      <w:bookmarkStart w:id="95" w:name="_Toc532763195"/>
      <w:r>
        <w:rPr>
          <w:rFonts w:hint="eastAsia"/>
          <w:color w:val="000000" w:themeColor="text1"/>
        </w:rPr>
        <w:t>环境保护目标</w:t>
      </w:r>
      <w:bookmarkEnd w:id="91"/>
      <w:bookmarkEnd w:id="92"/>
      <w:bookmarkEnd w:id="93"/>
      <w:bookmarkEnd w:id="94"/>
      <w:bookmarkEnd w:id="95"/>
    </w:p>
    <w:p>
      <w:pPr>
        <w:adjustRightInd w:val="0"/>
        <w:snapToGrid w:val="0"/>
        <w:spacing w:line="360" w:lineRule="auto"/>
        <w:ind w:firstLine="480" w:firstLineChars="200"/>
        <w:rPr>
          <w:color w:val="000000" w:themeColor="text1"/>
        </w:rPr>
      </w:pPr>
      <w:r>
        <w:rPr>
          <w:rFonts w:hint="eastAsia"/>
          <w:color w:val="000000" w:themeColor="text1"/>
        </w:rPr>
        <w:t>本项目位于</w:t>
      </w:r>
      <w:r>
        <w:rPr>
          <w:rFonts w:ascii="宋体" w:hAnsi="宋体"/>
          <w:color w:val="000000" w:themeColor="text1"/>
          <w:szCs w:val="24"/>
        </w:rPr>
        <w:t>岳阳市华容县石伏工业园</w:t>
      </w:r>
      <w:r>
        <w:rPr>
          <w:rFonts w:hint="eastAsia"/>
          <w:color w:val="000000" w:themeColor="text1"/>
        </w:rPr>
        <w:t>，</w:t>
      </w:r>
      <w:r>
        <w:rPr>
          <w:rFonts w:hint="eastAsia"/>
          <w:color w:val="000000" w:themeColor="text1"/>
          <w:kern w:val="0"/>
        </w:rPr>
        <w:t>根据工程污染物排放特征和区域的水文、气象情况，结合现场踏勘和初步调查，区域内无重点保护文物和珍稀动植物。本项目具体的环境保护目标见</w:t>
      </w:r>
      <w:r>
        <w:fldChar w:fldCharType="begin"/>
      </w:r>
      <w:r>
        <w:instrText xml:space="preserve"> REF _Ref493766402 \h  \* MERGEFORMAT </w:instrText>
      </w:r>
      <w:r>
        <w:fldChar w:fldCharType="separate"/>
      </w:r>
      <w:r>
        <w:rPr>
          <w:rFonts w:hint="eastAsia" w:eastAsia="宋体" w:cs="Times New Roman"/>
          <w:color w:val="000000" w:themeColor="text1"/>
          <w:szCs w:val="24"/>
        </w:rPr>
        <w:t>表</w:t>
      </w:r>
      <w:r>
        <w:rPr>
          <w:rFonts w:hint="eastAsia" w:eastAsia="宋体" w:cs="Times New Roman"/>
          <w:color w:val="000000" w:themeColor="text1"/>
          <w:szCs w:val="24"/>
        </w:rPr>
        <w:fldChar w:fldCharType="begin"/>
      </w:r>
      <w:r>
        <w:rPr>
          <w:rFonts w:hint="eastAsia" w:eastAsia="宋体" w:cs="Times New Roman"/>
          <w:color w:val="000000" w:themeColor="text1"/>
          <w:szCs w:val="24"/>
        </w:rPr>
        <w:instrText xml:space="preserve">STYLEREF 2</w:instrText>
      </w:r>
      <w:r>
        <w:rPr>
          <w:rFonts w:hint="eastAsia"/>
        </w:rPr>
        <w:instrText xml:space="preserve"> \s</w:instrText>
      </w:r>
      <w:r>
        <w:fldChar w:fldCharType="separate"/>
      </w:r>
      <w:r>
        <w:rPr>
          <w:rFonts w:hint="eastAsia"/>
        </w:rPr>
        <w:t>1</w:t>
      </w:r>
      <w:r>
        <w:rPr>
          <w:rFonts w:hint="eastAsia"/>
          <w:lang w:val="en-US" w:eastAsia="zh-CN"/>
        </w:rPr>
        <w:t>.</w:t>
      </w:r>
      <w:r>
        <w:rPr>
          <w:rFonts w:hint="eastAsia"/>
        </w:rPr>
        <w:t>6</w:t>
      </w:r>
      <w:r>
        <w:fldChar w:fldCharType="end"/>
      </w:r>
      <w:r>
        <w:noBreakHyphen/>
      </w:r>
      <w:r>
        <w:rPr>
          <w:rFonts w:hint="eastAsia"/>
        </w:rPr>
        <w:t>1</w:t>
      </w:r>
      <w:r>
        <w:rPr>
          <w:rFonts w:eastAsia="宋体" w:cs="Times New Roman"/>
          <w:color w:val="000000" w:themeColor="text1"/>
          <w:szCs w:val="24"/>
        </w:rPr>
        <w:fldChar w:fldCharType="end"/>
      </w:r>
      <w:r>
        <w:rPr>
          <w:rFonts w:hint="eastAsia"/>
          <w:color w:val="000000" w:themeColor="text1"/>
          <w:kern w:val="0"/>
        </w:rPr>
        <w:t>。</w:t>
      </w:r>
    </w:p>
    <w:p>
      <w:pPr>
        <w:keepNext/>
        <w:adjustRightInd w:val="0"/>
        <w:snapToGrid w:val="0"/>
        <w:ind w:firstLine="2761" w:firstLineChars="1146"/>
        <w:rPr>
          <w:b/>
          <w:color w:val="000000" w:themeColor="text1"/>
        </w:rPr>
      </w:pPr>
      <w:bookmarkStart w:id="96" w:name="_Ref493766402"/>
      <w:r>
        <w:rPr>
          <w:rFonts w:hint="eastAsia" w:eastAsia="宋体" w:cs="Times New Roman"/>
          <w:b/>
          <w:color w:val="000000" w:themeColor="text1"/>
          <w:szCs w:val="24"/>
        </w:rPr>
        <w:t>表</w:t>
      </w:r>
      <w:r>
        <w:rPr>
          <w:rFonts w:eastAsia="宋体" w:cs="Times New Roman"/>
          <w:b/>
          <w:color w:val="000000" w:themeColor="text1"/>
          <w:szCs w:val="24"/>
        </w:rPr>
        <w:fldChar w:fldCharType="begin"/>
      </w:r>
      <w:r>
        <w:rPr>
          <w:rFonts w:hint="eastAsia" w:eastAsia="宋体" w:cs="Times New Roman"/>
          <w:b/>
          <w:color w:val="000000" w:themeColor="text1"/>
          <w:szCs w:val="24"/>
        </w:rPr>
        <w:instrText xml:space="preserve">STYLEREF 2 \s</w:instrText>
      </w:r>
      <w:r>
        <w:rPr>
          <w:rFonts w:eastAsia="宋体" w:cs="Times New Roman"/>
          <w:b/>
          <w:color w:val="000000" w:themeColor="text1"/>
          <w:szCs w:val="24"/>
        </w:rPr>
        <w:fldChar w:fldCharType="separate"/>
      </w:r>
      <w:r>
        <w:rPr>
          <w:rFonts w:hint="eastAsia" w:eastAsia="宋体" w:cs="Times New Roman"/>
          <w:b/>
          <w:color w:val="000000" w:themeColor="text1"/>
          <w:szCs w:val="24"/>
        </w:rPr>
        <w:t>1</w:t>
      </w:r>
      <w:r>
        <w:rPr>
          <w:rFonts w:hint="eastAsia" w:eastAsia="宋体" w:cs="Times New Roman"/>
          <w:b/>
          <w:color w:val="000000" w:themeColor="text1"/>
          <w:szCs w:val="24"/>
          <w:lang w:val="en-US" w:eastAsia="zh-CN"/>
        </w:rPr>
        <w:t>.</w:t>
      </w:r>
      <w:r>
        <w:rPr>
          <w:rFonts w:hint="eastAsia" w:eastAsia="宋体" w:cs="Times New Roman"/>
          <w:b/>
          <w:color w:val="000000" w:themeColor="text1"/>
          <w:szCs w:val="24"/>
        </w:rPr>
        <w:t>6</w:t>
      </w:r>
      <w:r>
        <w:rPr>
          <w:rFonts w:eastAsia="宋体" w:cs="Times New Roman"/>
          <w:b/>
          <w:color w:val="000000" w:themeColor="text1"/>
          <w:szCs w:val="24"/>
        </w:rPr>
        <w:fldChar w:fldCharType="end"/>
      </w:r>
      <w:r>
        <w:rPr>
          <w:rFonts w:eastAsia="宋体" w:cs="Times New Roman"/>
          <w:b/>
          <w:color w:val="000000" w:themeColor="text1"/>
          <w:szCs w:val="24"/>
        </w:rPr>
        <w:noBreakHyphen/>
      </w:r>
      <w:r>
        <w:rPr>
          <w:rFonts w:eastAsia="宋体" w:cs="Times New Roman"/>
          <w:b/>
          <w:color w:val="000000" w:themeColor="text1"/>
          <w:szCs w:val="24"/>
        </w:rPr>
        <w:fldChar w:fldCharType="begin"/>
      </w:r>
      <w:r>
        <w:rPr>
          <w:rFonts w:hint="eastAsia" w:eastAsia="宋体" w:cs="Times New Roman"/>
          <w:b/>
          <w:color w:val="000000" w:themeColor="text1"/>
          <w:szCs w:val="24"/>
        </w:rPr>
        <w:instrText xml:space="preserve">SEQ 表 \* ARABIC \s 2</w:instrText>
      </w:r>
      <w:r>
        <w:rPr>
          <w:rFonts w:eastAsia="宋体" w:cs="Times New Roman"/>
          <w:b/>
          <w:color w:val="000000" w:themeColor="text1"/>
          <w:szCs w:val="24"/>
        </w:rPr>
        <w:fldChar w:fldCharType="separate"/>
      </w:r>
      <w:r>
        <w:rPr>
          <w:rFonts w:hint="eastAsia" w:eastAsia="宋体" w:cs="Times New Roman"/>
          <w:b/>
          <w:color w:val="000000" w:themeColor="text1"/>
          <w:szCs w:val="24"/>
        </w:rPr>
        <w:t>1</w:t>
      </w:r>
      <w:r>
        <w:rPr>
          <w:rFonts w:eastAsia="宋体" w:cs="Times New Roman"/>
          <w:b/>
          <w:color w:val="000000" w:themeColor="text1"/>
          <w:szCs w:val="24"/>
        </w:rPr>
        <w:fldChar w:fldCharType="end"/>
      </w:r>
      <w:bookmarkEnd w:id="96"/>
      <w:r>
        <w:rPr>
          <w:rFonts w:hint="eastAsia" w:cs="Times New Roman"/>
          <w:b/>
          <w:color w:val="000000" w:themeColor="text1"/>
          <w:szCs w:val="24"/>
        </w:rPr>
        <w:t xml:space="preserve">  </w:t>
      </w:r>
      <w:r>
        <w:rPr>
          <w:rFonts w:hint="eastAsia" w:cs="Times New Roman"/>
          <w:b/>
          <w:color w:val="000000" w:themeColor="text1"/>
          <w:szCs w:val="24"/>
          <w:lang w:eastAsia="zh-CN"/>
        </w:rPr>
        <w:t>污水处理厂</w:t>
      </w:r>
      <w:r>
        <w:rPr>
          <w:rFonts w:hint="eastAsia" w:cs="Times New Roman"/>
          <w:b/>
          <w:color w:val="000000" w:themeColor="text1"/>
          <w:szCs w:val="24"/>
        </w:rPr>
        <w:t>环境保护目标一览表</w:t>
      </w:r>
    </w:p>
    <w:tbl>
      <w:tblPr>
        <w:tblStyle w:val="38"/>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0"/>
        <w:gridCol w:w="754"/>
        <w:gridCol w:w="1448"/>
        <w:gridCol w:w="1559"/>
        <w:gridCol w:w="1276"/>
        <w:gridCol w:w="1134"/>
        <w:gridCol w:w="1267"/>
        <w:gridCol w:w="521"/>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环境要素</w:t>
            </w:r>
          </w:p>
        </w:tc>
        <w:tc>
          <w:tcPr>
            <w:tcW w:w="754"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名称</w:t>
            </w:r>
          </w:p>
        </w:tc>
        <w:tc>
          <w:tcPr>
            <w:tcW w:w="3007" w:type="dxa"/>
            <w:gridSpan w:val="2"/>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坐标/m</w:t>
            </w:r>
          </w:p>
        </w:tc>
        <w:tc>
          <w:tcPr>
            <w:tcW w:w="1276"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保护对象</w:t>
            </w:r>
          </w:p>
        </w:tc>
        <w:tc>
          <w:tcPr>
            <w:tcW w:w="1134"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保护内容</w:t>
            </w:r>
          </w:p>
        </w:tc>
        <w:tc>
          <w:tcPr>
            <w:tcW w:w="1267"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环境功能区</w:t>
            </w:r>
          </w:p>
        </w:tc>
        <w:tc>
          <w:tcPr>
            <w:tcW w:w="521"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相对厂址方位</w:t>
            </w:r>
          </w:p>
        </w:tc>
        <w:tc>
          <w:tcPr>
            <w:tcW w:w="679"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0" w:type="dxa"/>
            <w:vMerge w:val="continue"/>
            <w:noWrap/>
            <w:vAlign w:val="center"/>
          </w:tcPr>
          <w:p>
            <w:pPr>
              <w:pStyle w:val="22"/>
              <w:rPr>
                <w:rFonts w:ascii="Times New Roman" w:hAnsi="Times New Roman"/>
                <w:color w:val="000000" w:themeColor="text1"/>
                <w:szCs w:val="21"/>
              </w:rPr>
            </w:pPr>
          </w:p>
        </w:tc>
        <w:tc>
          <w:tcPr>
            <w:tcW w:w="754" w:type="dxa"/>
            <w:vMerge w:val="continue"/>
            <w:noWrap/>
            <w:vAlign w:val="center"/>
          </w:tcPr>
          <w:p>
            <w:pPr>
              <w:pStyle w:val="22"/>
              <w:rPr>
                <w:rFonts w:ascii="Times New Roman" w:hAnsi="Times New Roman"/>
                <w:color w:val="000000" w:themeColor="text1"/>
                <w:szCs w:val="21"/>
              </w:rPr>
            </w:pP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X</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Y</w:t>
            </w:r>
          </w:p>
        </w:tc>
        <w:tc>
          <w:tcPr>
            <w:tcW w:w="1276" w:type="dxa"/>
            <w:vMerge w:val="continue"/>
            <w:noWrap/>
            <w:vAlign w:val="center"/>
          </w:tcPr>
          <w:p>
            <w:pPr>
              <w:pStyle w:val="22"/>
              <w:jc w:val="center"/>
              <w:rPr>
                <w:rFonts w:ascii="Times New Roman" w:hAnsi="Times New Roman"/>
                <w:color w:val="000000" w:themeColor="text1"/>
                <w:szCs w:val="21"/>
              </w:rPr>
            </w:pPr>
          </w:p>
        </w:tc>
        <w:tc>
          <w:tcPr>
            <w:tcW w:w="1134" w:type="dxa"/>
            <w:vMerge w:val="continue"/>
            <w:noWrap/>
            <w:vAlign w:val="center"/>
          </w:tcPr>
          <w:p>
            <w:pPr>
              <w:pStyle w:val="22"/>
              <w:jc w:val="center"/>
              <w:rPr>
                <w:rFonts w:ascii="Times New Roman" w:hAnsi="Times New Roman"/>
                <w:color w:val="000000" w:themeColor="text1"/>
                <w:szCs w:val="21"/>
              </w:rPr>
            </w:pPr>
          </w:p>
        </w:tc>
        <w:tc>
          <w:tcPr>
            <w:tcW w:w="1267" w:type="dxa"/>
            <w:vMerge w:val="continue"/>
            <w:noWrap/>
            <w:vAlign w:val="center"/>
          </w:tcPr>
          <w:p>
            <w:pPr>
              <w:pStyle w:val="22"/>
              <w:jc w:val="center"/>
              <w:rPr>
                <w:rFonts w:ascii="Times New Roman" w:hAnsi="Times New Roman"/>
                <w:color w:val="000000" w:themeColor="text1"/>
                <w:szCs w:val="21"/>
              </w:rPr>
            </w:pPr>
          </w:p>
        </w:tc>
        <w:tc>
          <w:tcPr>
            <w:tcW w:w="521" w:type="dxa"/>
            <w:vMerge w:val="continue"/>
            <w:noWrap/>
            <w:vAlign w:val="center"/>
          </w:tcPr>
          <w:p>
            <w:pPr>
              <w:pStyle w:val="22"/>
              <w:jc w:val="center"/>
              <w:rPr>
                <w:rFonts w:ascii="Times New Roman" w:hAnsi="Times New Roman"/>
                <w:color w:val="000000" w:themeColor="text1"/>
                <w:szCs w:val="21"/>
              </w:rPr>
            </w:pPr>
          </w:p>
        </w:tc>
        <w:tc>
          <w:tcPr>
            <w:tcW w:w="679" w:type="dxa"/>
            <w:vMerge w:val="continue"/>
            <w:noWrap/>
            <w:vAlign w:val="center"/>
          </w:tcPr>
          <w:p>
            <w:pPr>
              <w:pStyle w:val="22"/>
              <w:jc w:val="center"/>
              <w:rPr>
                <w:rFonts w:ascii="Times New Roman" w:hAnsi="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restart"/>
            <w:noWrap/>
            <w:vAlign w:val="center"/>
          </w:tcPr>
          <w:p>
            <w:pPr>
              <w:wordWrap w:val="0"/>
              <w:jc w:val="center"/>
              <w:rPr>
                <w:rFonts w:cs="Times New Roman"/>
                <w:color w:val="000000" w:themeColor="text1"/>
                <w:sz w:val="21"/>
              </w:rPr>
            </w:pPr>
            <w:r>
              <w:rPr>
                <w:rFonts w:cs="Times New Roman"/>
                <w:color w:val="000000" w:themeColor="text1"/>
                <w:sz w:val="21"/>
              </w:rPr>
              <w:t>大气环境</w:t>
            </w:r>
          </w:p>
        </w:tc>
        <w:tc>
          <w:tcPr>
            <w:tcW w:w="754" w:type="dxa"/>
            <w:noWrap/>
            <w:vAlign w:val="center"/>
          </w:tcPr>
          <w:p>
            <w:pPr>
              <w:wordWrap w:val="0"/>
              <w:jc w:val="center"/>
              <w:rPr>
                <w:rFonts w:cs="Times New Roman"/>
                <w:color w:val="000000" w:themeColor="text1"/>
                <w:sz w:val="21"/>
              </w:rPr>
            </w:pPr>
            <w:r>
              <w:rPr>
                <w:rFonts w:cs="Times New Roman"/>
                <w:color w:val="000000" w:themeColor="text1"/>
                <w:sz w:val="21"/>
              </w:rPr>
              <w:t>石伏村居住区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3443858.186</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12534336.006</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石伏村居民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约50人</w:t>
            </w:r>
          </w:p>
        </w:tc>
        <w:tc>
          <w:tcPr>
            <w:tcW w:w="1267" w:type="dxa"/>
            <w:noWrap/>
            <w:vAlign w:val="center"/>
          </w:tcPr>
          <w:p>
            <w:pPr>
              <w:pStyle w:val="78"/>
              <w:jc w:val="center"/>
              <w:rPr>
                <w:color w:val="000000" w:themeColor="text1"/>
                <w:kern w:val="2"/>
                <w:sz w:val="21"/>
                <w:szCs w:val="21"/>
              </w:rPr>
            </w:pPr>
            <w:r>
              <w:rPr>
                <w:color w:val="000000" w:themeColor="text1"/>
                <w:kern w:val="2"/>
                <w:sz w:val="2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东北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center"/>
              <w:rPr>
                <w:rFonts w:cs="Times New Roman"/>
                <w:color w:val="000000" w:themeColor="text1"/>
                <w:sz w:val="21"/>
              </w:rPr>
            </w:pPr>
            <w:r>
              <w:rPr>
                <w:rFonts w:cs="Times New Roman"/>
                <w:color w:val="000000" w:themeColor="text1"/>
                <w:sz w:val="21"/>
              </w:rPr>
              <w:t>石伏村居住区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3443339.317</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12534851.956</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石伏村居民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约120人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东</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center"/>
              <w:rPr>
                <w:rFonts w:cs="Times New Roman"/>
                <w:color w:val="000000" w:themeColor="text1"/>
                <w:sz w:val="21"/>
              </w:rPr>
            </w:pPr>
            <w:r>
              <w:rPr>
                <w:rFonts w:cs="Times New Roman"/>
                <w:color w:val="000000" w:themeColor="text1"/>
                <w:sz w:val="21"/>
              </w:rPr>
              <w:t>荆湖堂居住区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3442924.785</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12534610.702</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荆湖堂居民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约150</w:t>
            </w:r>
            <w:r>
              <w:rPr>
                <w:rFonts w:hint="eastAsia" w:ascii="Times New Roman" w:hAnsi="Times New Roman"/>
                <w:color w:val="000000" w:themeColor="text1"/>
                <w:szCs w:val="21"/>
              </w:rPr>
              <w:t>厂</w:t>
            </w:r>
            <w:r>
              <w:rPr>
                <w:rFonts w:ascii="Times New Roman" w:hAnsi="Times New Roman"/>
                <w:color w:val="000000" w:themeColor="text1"/>
                <w:szCs w:val="21"/>
              </w:rPr>
              <w:t>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东南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center"/>
              <w:rPr>
                <w:rFonts w:cs="Times New Roman"/>
                <w:color w:val="000000" w:themeColor="text1"/>
                <w:sz w:val="21"/>
              </w:rPr>
            </w:pPr>
            <w:r>
              <w:rPr>
                <w:rFonts w:cs="Times New Roman"/>
                <w:color w:val="000000" w:themeColor="text1"/>
                <w:sz w:val="21"/>
              </w:rPr>
              <w:t>治河村二组居住区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3443180.091</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12532099.776</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治河村居民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约130人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西南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rPr>
                <w:rFonts w:cs="Times New Roman"/>
                <w:color w:val="000000" w:themeColor="text1"/>
                <w:sz w:val="21"/>
              </w:rPr>
            </w:pPr>
            <w:r>
              <w:rPr>
                <w:rFonts w:cs="Times New Roman"/>
                <w:color w:val="000000" w:themeColor="text1"/>
                <w:sz w:val="21"/>
              </w:rPr>
              <w:t>治河村三组居住区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3443174.600</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12533626.575</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治河村居民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约50人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rPr>
                <w:rFonts w:cs="Times New Roman"/>
                <w:color w:val="000000" w:themeColor="text1"/>
                <w:sz w:val="21"/>
              </w:rPr>
            </w:pPr>
            <w:r>
              <w:rPr>
                <w:rFonts w:cs="Times New Roman"/>
                <w:color w:val="000000" w:themeColor="text1"/>
                <w:sz w:val="21"/>
              </w:rPr>
              <w:t>荆湖堂村八组居住区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3443070.281</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12536010.455</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荆湖堂居民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约60人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东南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rPr>
                <w:rFonts w:cs="Times New Roman"/>
                <w:color w:val="000000" w:themeColor="text1"/>
                <w:sz w:val="21"/>
              </w:rPr>
            </w:pPr>
            <w:r>
              <w:rPr>
                <w:rFonts w:cs="Times New Roman"/>
                <w:color w:val="000000" w:themeColor="text1"/>
                <w:sz w:val="21"/>
              </w:rPr>
              <w:t>荆湖堂村九组居住区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3442482.815</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12536134.665</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荆湖堂居民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约180人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东南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rPr>
                <w:rFonts w:cs="Times New Roman"/>
                <w:color w:val="000000" w:themeColor="text1"/>
                <w:sz w:val="21"/>
              </w:rPr>
            </w:pPr>
            <w:r>
              <w:rPr>
                <w:rFonts w:cs="Times New Roman"/>
                <w:color w:val="000000" w:themeColor="text1"/>
                <w:sz w:val="21"/>
              </w:rPr>
              <w:t>治河村居住区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3441881.651</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12533908.437</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治河村居民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约350人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二类区</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声环境</w:t>
            </w:r>
          </w:p>
        </w:tc>
        <w:tc>
          <w:tcPr>
            <w:tcW w:w="754" w:type="dxa"/>
            <w:noWrap/>
            <w:vAlign w:val="center"/>
          </w:tcPr>
          <w:p>
            <w:pPr>
              <w:wordWrap w:val="0"/>
              <w:jc w:val="center"/>
              <w:rPr>
                <w:rFonts w:cs="Times New Roman"/>
                <w:color w:val="000000" w:themeColor="text1"/>
                <w:sz w:val="21"/>
              </w:rPr>
            </w:pPr>
            <w:r>
              <w:rPr>
                <w:rFonts w:cs="Times New Roman"/>
                <w:color w:val="000000" w:themeColor="text1"/>
                <w:sz w:val="21"/>
              </w:rPr>
              <w:t>石伏村居住区</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3443729.153</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12534263.152</w:t>
            </w:r>
          </w:p>
        </w:tc>
        <w:tc>
          <w:tcPr>
            <w:tcW w:w="1276"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石伏村居民</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约20人</w:t>
            </w:r>
          </w:p>
        </w:tc>
        <w:tc>
          <w:tcPr>
            <w:tcW w:w="1267"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2类</w:t>
            </w:r>
          </w:p>
        </w:tc>
        <w:tc>
          <w:tcPr>
            <w:tcW w:w="521" w:type="dxa"/>
            <w:noWrap/>
            <w:vAlign w:val="center"/>
          </w:tcPr>
          <w:p>
            <w:pPr>
              <w:wordWrap w:val="0"/>
              <w:jc w:val="center"/>
              <w:rPr>
                <w:rFonts w:cs="Times New Roman"/>
                <w:color w:val="000000" w:themeColor="text1"/>
                <w:sz w:val="21"/>
              </w:rPr>
            </w:pPr>
            <w:r>
              <w:rPr>
                <w:rFonts w:cs="Times New Roman"/>
                <w:color w:val="000000" w:themeColor="text1"/>
                <w:sz w:val="21"/>
              </w:rPr>
              <w:t>东北</w:t>
            </w:r>
          </w:p>
        </w:tc>
        <w:tc>
          <w:tcPr>
            <w:tcW w:w="67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地表水</w:t>
            </w:r>
          </w:p>
        </w:tc>
        <w:tc>
          <w:tcPr>
            <w:tcW w:w="754" w:type="dxa"/>
            <w:noWrap/>
            <w:vAlign w:val="center"/>
          </w:tcPr>
          <w:p>
            <w:pPr>
              <w:wordWrap w:val="0"/>
              <w:jc w:val="center"/>
              <w:rPr>
                <w:rFonts w:cs="Times New Roman"/>
                <w:color w:val="000000" w:themeColor="text1"/>
                <w:sz w:val="21"/>
              </w:rPr>
            </w:pPr>
            <w:r>
              <w:rPr>
                <w:rFonts w:cs="Times New Roman"/>
                <w:color w:val="000000" w:themeColor="text1"/>
                <w:sz w:val="21"/>
              </w:rPr>
              <w:t>华容河</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w:t>
            </w:r>
          </w:p>
        </w:tc>
        <w:tc>
          <w:tcPr>
            <w:tcW w:w="1276" w:type="dxa"/>
            <w:noWrap/>
            <w:vAlign w:val="center"/>
          </w:tcPr>
          <w:p>
            <w:pPr>
              <w:wordWrap w:val="0"/>
              <w:jc w:val="center"/>
              <w:rPr>
                <w:rFonts w:cs="Times New Roman"/>
                <w:color w:val="000000" w:themeColor="text1"/>
                <w:sz w:val="21"/>
              </w:rPr>
            </w:pPr>
            <w:r>
              <w:rPr>
                <w:rFonts w:cs="Times New Roman"/>
                <w:color w:val="000000" w:themeColor="text1"/>
                <w:sz w:val="21"/>
              </w:rPr>
              <w:t>华容河</w:t>
            </w:r>
          </w:p>
          <w:p>
            <w:pPr>
              <w:pStyle w:val="17"/>
              <w:jc w:val="center"/>
              <w:rPr>
                <w:rFonts w:cs="Times New Roman"/>
                <w:color w:val="000000" w:themeColor="text1"/>
                <w:sz w:val="21"/>
              </w:rPr>
            </w:pPr>
            <w:r>
              <w:rPr>
                <w:rFonts w:cs="Times New Roman"/>
                <w:color w:val="000000" w:themeColor="text1"/>
                <w:sz w:val="21"/>
              </w:rPr>
              <w:t>（大河）</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保护现有水质功能不下降</w:t>
            </w:r>
          </w:p>
        </w:tc>
        <w:tc>
          <w:tcPr>
            <w:tcW w:w="1267" w:type="dxa"/>
            <w:noWrap/>
            <w:vAlign w:val="center"/>
          </w:tcPr>
          <w:p>
            <w:pPr>
              <w:spacing w:line="400" w:lineRule="exact"/>
              <w:jc w:val="center"/>
              <w:rPr>
                <w:rFonts w:cs="Times New Roman"/>
                <w:color w:val="000000" w:themeColor="text1"/>
                <w:sz w:val="21"/>
              </w:rPr>
            </w:pPr>
            <w:r>
              <w:rPr>
                <w:rFonts w:cs="Times New Roman"/>
                <w:color w:val="000000" w:themeColor="text1"/>
                <w:sz w:val="21"/>
              </w:rPr>
              <w:t>Ⅲ类，渔业用水区</w:t>
            </w:r>
          </w:p>
        </w:tc>
        <w:tc>
          <w:tcPr>
            <w:tcW w:w="521" w:type="dxa"/>
            <w:noWrap/>
            <w:vAlign w:val="center"/>
          </w:tcPr>
          <w:p>
            <w:pPr>
              <w:spacing w:line="400" w:lineRule="exact"/>
              <w:jc w:val="center"/>
              <w:rPr>
                <w:rFonts w:cs="Times New Roman"/>
                <w:color w:val="000000" w:themeColor="text1"/>
                <w:sz w:val="21"/>
              </w:rPr>
            </w:pPr>
            <w:r>
              <w:rPr>
                <w:rFonts w:cs="Times New Roman"/>
                <w:color w:val="000000" w:themeColor="text1"/>
                <w:sz w:val="21"/>
              </w:rPr>
              <w:t>S</w:t>
            </w:r>
          </w:p>
        </w:tc>
        <w:tc>
          <w:tcPr>
            <w:tcW w:w="679" w:type="dxa"/>
            <w:noWrap/>
            <w:vAlign w:val="center"/>
          </w:tcPr>
          <w:p>
            <w:pPr>
              <w:spacing w:line="400" w:lineRule="exact"/>
              <w:jc w:val="center"/>
              <w:rPr>
                <w:rFonts w:cs="Times New Roman"/>
                <w:color w:val="000000" w:themeColor="text1"/>
                <w:sz w:val="21"/>
              </w:rPr>
            </w:pPr>
            <w:r>
              <w:rPr>
                <w:rFonts w:cs="Times New Roman"/>
                <w:color w:val="000000" w:themeColor="text1"/>
                <w:sz w:val="21"/>
              </w:rPr>
              <w:t>180m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地下水</w:t>
            </w:r>
          </w:p>
        </w:tc>
        <w:tc>
          <w:tcPr>
            <w:tcW w:w="754" w:type="dxa"/>
            <w:noWrap/>
            <w:vAlign w:val="center"/>
          </w:tcPr>
          <w:p>
            <w:pPr>
              <w:wordWrap w:val="0"/>
              <w:jc w:val="center"/>
              <w:rPr>
                <w:rFonts w:cs="Times New Roman"/>
                <w:color w:val="000000" w:themeColor="text1"/>
                <w:sz w:val="21"/>
              </w:rPr>
            </w:pPr>
            <w:r>
              <w:rPr>
                <w:rFonts w:cs="Times New Roman"/>
                <w:color w:val="000000" w:themeColor="text1"/>
                <w:sz w:val="21"/>
              </w:rPr>
              <w:t>地下水</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w:t>
            </w:r>
          </w:p>
        </w:tc>
        <w:tc>
          <w:tcPr>
            <w:tcW w:w="1276" w:type="dxa"/>
            <w:noWrap/>
            <w:vAlign w:val="center"/>
          </w:tcPr>
          <w:p>
            <w:pPr>
              <w:wordWrap w:val="0"/>
              <w:jc w:val="center"/>
              <w:rPr>
                <w:rFonts w:cs="Times New Roman"/>
                <w:color w:val="000000" w:themeColor="text1"/>
                <w:sz w:val="21"/>
              </w:rPr>
            </w:pPr>
            <w:r>
              <w:rPr>
                <w:rFonts w:cs="Times New Roman"/>
                <w:color w:val="000000" w:themeColor="text1"/>
                <w:sz w:val="21"/>
              </w:rPr>
              <w:t>项目周边6.5km</w:t>
            </w:r>
            <w:r>
              <w:rPr>
                <w:rFonts w:cs="Times New Roman"/>
                <w:color w:val="000000" w:themeColor="text1"/>
                <w:sz w:val="21"/>
                <w:vertAlign w:val="superscript"/>
              </w:rPr>
              <w:t>2</w:t>
            </w:r>
            <w:r>
              <w:rPr>
                <w:rFonts w:cs="Times New Roman"/>
                <w:color w:val="000000" w:themeColor="text1"/>
                <w:sz w:val="21"/>
              </w:rPr>
              <w:t>范围内地下水</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GB/T14848-2017  Ⅲ类</w:t>
            </w:r>
          </w:p>
        </w:tc>
        <w:tc>
          <w:tcPr>
            <w:tcW w:w="1267" w:type="dxa"/>
            <w:noWrap/>
            <w:vAlign w:val="center"/>
          </w:tcPr>
          <w:p>
            <w:pPr>
              <w:spacing w:line="400" w:lineRule="exact"/>
              <w:jc w:val="center"/>
              <w:rPr>
                <w:rFonts w:cs="Times New Roman"/>
                <w:color w:val="000000" w:themeColor="text1"/>
                <w:sz w:val="21"/>
              </w:rPr>
            </w:pPr>
            <w:r>
              <w:rPr>
                <w:rFonts w:cs="Times New Roman"/>
                <w:color w:val="000000" w:themeColor="text1"/>
                <w:sz w:val="21"/>
              </w:rPr>
              <w:t>Ⅲ类</w:t>
            </w:r>
          </w:p>
        </w:tc>
        <w:tc>
          <w:tcPr>
            <w:tcW w:w="1200" w:type="dxa"/>
            <w:gridSpan w:val="2"/>
            <w:noWrap/>
            <w:vAlign w:val="center"/>
          </w:tcPr>
          <w:p>
            <w:pPr>
              <w:spacing w:line="400" w:lineRule="exact"/>
              <w:jc w:val="center"/>
              <w:rPr>
                <w:rFonts w:cs="Times New Roman"/>
                <w:color w:val="000000" w:themeColor="text1"/>
                <w:sz w:val="21"/>
              </w:rPr>
            </w:pPr>
            <w:r>
              <w:rPr>
                <w:rFonts w:cs="Times New Roman"/>
                <w:color w:val="000000" w:themeColor="text1"/>
                <w:sz w:val="21"/>
              </w:rPr>
              <w:t>区域水文单元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土壤生态环境</w:t>
            </w:r>
          </w:p>
        </w:tc>
        <w:tc>
          <w:tcPr>
            <w:tcW w:w="8638" w:type="dxa"/>
            <w:gridSpan w:val="8"/>
            <w:noWrap/>
            <w:vAlign w:val="center"/>
          </w:tcPr>
          <w:p>
            <w:pPr>
              <w:spacing w:line="400" w:lineRule="exact"/>
              <w:jc w:val="center"/>
              <w:rPr>
                <w:rFonts w:cs="Times New Roman"/>
                <w:color w:val="000000" w:themeColor="text1"/>
                <w:sz w:val="21"/>
              </w:rPr>
            </w:pPr>
            <w:r>
              <w:rPr>
                <w:rFonts w:eastAsia="宋体" w:cs="Times New Roman"/>
                <w:color w:val="000000" w:themeColor="text1"/>
                <w:sz w:val="21"/>
              </w:rPr>
              <w:t>项目所在地周边耕地（旱地、水田、菜地）、项目拟建地动植物资源</w:t>
            </w:r>
          </w:p>
        </w:tc>
      </w:tr>
    </w:tbl>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bookmarkStart w:id="97" w:name="_Toc532497619"/>
      <w:bookmarkStart w:id="98" w:name="_Toc532376139"/>
      <w:bookmarkStart w:id="99" w:name="_Toc532498732"/>
      <w:bookmarkStart w:id="100" w:name="_Toc532763196"/>
      <w:r>
        <w:t xml:space="preserve">表 </w:t>
      </w:r>
      <w:r>
        <w:fldChar w:fldCharType="begin"/>
      </w:r>
      <w:r>
        <w:instrText xml:space="preserve"> STYLEREF 2 \s </w:instrText>
      </w:r>
      <w:r>
        <w:fldChar w:fldCharType="separate"/>
      </w:r>
      <w:r>
        <w:t>1</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污水管网周边环境保护目标一栏表</w:t>
      </w:r>
    </w:p>
    <w:tbl>
      <w:tblPr>
        <w:tblStyle w:val="38"/>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0"/>
        <w:gridCol w:w="754"/>
        <w:gridCol w:w="1448"/>
        <w:gridCol w:w="1559"/>
        <w:gridCol w:w="1276"/>
        <w:gridCol w:w="1134"/>
        <w:gridCol w:w="1267"/>
        <w:gridCol w:w="1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环境要素</w:t>
            </w:r>
          </w:p>
        </w:tc>
        <w:tc>
          <w:tcPr>
            <w:tcW w:w="754"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名称</w:t>
            </w:r>
          </w:p>
        </w:tc>
        <w:tc>
          <w:tcPr>
            <w:tcW w:w="3007" w:type="dxa"/>
            <w:gridSpan w:val="2"/>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坐标/m</w:t>
            </w:r>
          </w:p>
        </w:tc>
        <w:tc>
          <w:tcPr>
            <w:tcW w:w="1276"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保护对象</w:t>
            </w:r>
          </w:p>
        </w:tc>
        <w:tc>
          <w:tcPr>
            <w:tcW w:w="1134"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保护内容</w:t>
            </w:r>
          </w:p>
        </w:tc>
        <w:tc>
          <w:tcPr>
            <w:tcW w:w="1267" w:type="dxa"/>
            <w:vMerge w:val="restart"/>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环境功能区</w:t>
            </w:r>
          </w:p>
        </w:tc>
        <w:tc>
          <w:tcPr>
            <w:tcW w:w="1200" w:type="dxa"/>
            <w:vMerge w:val="restart"/>
            <w:noWrap/>
            <w:vAlign w:val="center"/>
          </w:tcPr>
          <w:p>
            <w:pPr>
              <w:pStyle w:val="22"/>
              <w:jc w:val="center"/>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0" w:type="dxa"/>
            <w:vMerge w:val="continue"/>
            <w:noWrap/>
            <w:vAlign w:val="center"/>
          </w:tcPr>
          <w:p>
            <w:pPr>
              <w:pStyle w:val="22"/>
              <w:rPr>
                <w:rFonts w:ascii="Times New Roman" w:hAnsi="Times New Roman"/>
                <w:color w:val="000000" w:themeColor="text1"/>
                <w:szCs w:val="21"/>
              </w:rPr>
            </w:pPr>
          </w:p>
        </w:tc>
        <w:tc>
          <w:tcPr>
            <w:tcW w:w="754" w:type="dxa"/>
            <w:vMerge w:val="continue"/>
            <w:noWrap/>
            <w:vAlign w:val="center"/>
          </w:tcPr>
          <w:p>
            <w:pPr>
              <w:pStyle w:val="22"/>
              <w:rPr>
                <w:rFonts w:ascii="Times New Roman" w:hAnsi="Times New Roman"/>
                <w:color w:val="000000" w:themeColor="text1"/>
                <w:szCs w:val="21"/>
              </w:rPr>
            </w:pP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X</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Y</w:t>
            </w:r>
          </w:p>
        </w:tc>
        <w:tc>
          <w:tcPr>
            <w:tcW w:w="1276" w:type="dxa"/>
            <w:vMerge w:val="continue"/>
            <w:noWrap/>
            <w:vAlign w:val="center"/>
          </w:tcPr>
          <w:p>
            <w:pPr>
              <w:pStyle w:val="22"/>
              <w:jc w:val="center"/>
              <w:rPr>
                <w:rFonts w:ascii="Times New Roman" w:hAnsi="Times New Roman"/>
                <w:color w:val="000000" w:themeColor="text1"/>
                <w:szCs w:val="21"/>
              </w:rPr>
            </w:pPr>
          </w:p>
        </w:tc>
        <w:tc>
          <w:tcPr>
            <w:tcW w:w="1134" w:type="dxa"/>
            <w:vMerge w:val="continue"/>
            <w:noWrap/>
            <w:vAlign w:val="center"/>
          </w:tcPr>
          <w:p>
            <w:pPr>
              <w:pStyle w:val="22"/>
              <w:jc w:val="center"/>
              <w:rPr>
                <w:rFonts w:ascii="Times New Roman" w:hAnsi="Times New Roman"/>
                <w:color w:val="000000" w:themeColor="text1"/>
                <w:szCs w:val="21"/>
              </w:rPr>
            </w:pPr>
          </w:p>
        </w:tc>
        <w:tc>
          <w:tcPr>
            <w:tcW w:w="1267" w:type="dxa"/>
            <w:vMerge w:val="continue"/>
            <w:noWrap/>
            <w:vAlign w:val="center"/>
          </w:tcPr>
          <w:p>
            <w:pPr>
              <w:pStyle w:val="22"/>
              <w:jc w:val="center"/>
              <w:rPr>
                <w:rFonts w:ascii="Times New Roman" w:hAnsi="Times New Roman"/>
                <w:color w:val="000000" w:themeColor="text1"/>
                <w:szCs w:val="21"/>
              </w:rPr>
            </w:pPr>
          </w:p>
        </w:tc>
        <w:tc>
          <w:tcPr>
            <w:tcW w:w="1200" w:type="dxa"/>
            <w:vMerge w:val="continue"/>
            <w:noWrap/>
            <w:vAlign w:val="center"/>
          </w:tcPr>
          <w:p>
            <w:pPr>
              <w:pStyle w:val="22"/>
              <w:jc w:val="center"/>
              <w:rPr>
                <w:rFonts w:ascii="Times New Roman" w:hAnsi="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restart"/>
            <w:noWrap/>
            <w:vAlign w:val="center"/>
          </w:tcPr>
          <w:p>
            <w:pPr>
              <w:wordWrap w:val="0"/>
              <w:jc w:val="center"/>
              <w:rPr>
                <w:rFonts w:cs="Times New Roman"/>
                <w:color w:val="000000" w:themeColor="text1"/>
                <w:sz w:val="21"/>
              </w:rPr>
            </w:pPr>
            <w:r>
              <w:rPr>
                <w:rFonts w:cs="Times New Roman"/>
                <w:color w:val="000000" w:themeColor="text1"/>
                <w:sz w:val="21"/>
              </w:rPr>
              <w:t>大气环境</w:t>
            </w:r>
          </w:p>
        </w:tc>
        <w:tc>
          <w:tcPr>
            <w:tcW w:w="754" w:type="dxa"/>
            <w:noWrap/>
            <w:vAlign w:val="center"/>
          </w:tcPr>
          <w:p>
            <w:pPr>
              <w:wordWrap w:val="0"/>
              <w:jc w:val="both"/>
              <w:rPr>
                <w:rFonts w:hint="eastAsia" w:cs="Times New Roman" w:eastAsiaTheme="minorEastAsia"/>
                <w:color w:val="000000" w:themeColor="text1"/>
                <w:sz w:val="21"/>
                <w:lang w:val="en-US" w:eastAsia="zh-CN"/>
              </w:rPr>
            </w:pPr>
            <w:r>
              <w:rPr>
                <w:rFonts w:hint="eastAsia" w:cs="Times New Roman"/>
                <w:color w:val="000000" w:themeColor="text1"/>
                <w:sz w:val="21"/>
                <w:lang w:val="en-US" w:eastAsia="zh-CN"/>
              </w:rPr>
              <w:t>华容县桥东片区</w:t>
            </w:r>
          </w:p>
        </w:tc>
        <w:tc>
          <w:tcPr>
            <w:tcW w:w="1448"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112.586067</w:t>
            </w:r>
          </w:p>
        </w:tc>
        <w:tc>
          <w:tcPr>
            <w:tcW w:w="1559"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29.533027</w:t>
            </w:r>
          </w:p>
        </w:tc>
        <w:tc>
          <w:tcPr>
            <w:tcW w:w="1276" w:type="dxa"/>
            <w:noWrap/>
            <w:vAlign w:val="center"/>
          </w:tcPr>
          <w:p>
            <w:pPr>
              <w:pStyle w:val="22"/>
              <w:jc w:val="center"/>
              <w:rPr>
                <w:rFonts w:hint="eastAsia" w:ascii="Times New Roman" w:hAnsi="Times New Roman" w:eastAsia="宋体"/>
                <w:color w:val="000000" w:themeColor="text1"/>
                <w:szCs w:val="21"/>
                <w:lang w:val="en-US" w:eastAsia="zh-CN"/>
              </w:rPr>
            </w:pPr>
            <w:r>
              <w:rPr>
                <w:rFonts w:hint="eastAsia" w:ascii="Times New Roman" w:hAnsi="Times New Roman"/>
                <w:color w:val="000000" w:themeColor="text1"/>
                <w:szCs w:val="21"/>
                <w:lang w:eastAsia="zh-CN"/>
              </w:rPr>
              <w:t>约</w:t>
            </w:r>
            <w:r>
              <w:rPr>
                <w:rFonts w:hint="eastAsia" w:ascii="Times New Roman" w:hAnsi="Times New Roman"/>
                <w:color w:val="000000" w:themeColor="text1"/>
                <w:szCs w:val="21"/>
                <w:lang w:val="en-US" w:eastAsia="zh-CN"/>
              </w:rPr>
              <w:t>5000人</w:t>
            </w:r>
          </w:p>
        </w:tc>
        <w:tc>
          <w:tcPr>
            <w:tcW w:w="1134" w:type="dxa"/>
            <w:noWrap/>
            <w:vAlign w:val="center"/>
          </w:tcPr>
          <w:p>
            <w:pPr>
              <w:pStyle w:val="22"/>
              <w:jc w:val="center"/>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华容县桥东片区居民</w:t>
            </w:r>
          </w:p>
        </w:tc>
        <w:tc>
          <w:tcPr>
            <w:tcW w:w="1267" w:type="dxa"/>
            <w:noWrap/>
            <w:vAlign w:val="center"/>
          </w:tcPr>
          <w:p>
            <w:pPr>
              <w:pStyle w:val="78"/>
              <w:jc w:val="center"/>
              <w:rPr>
                <w:rFonts w:hint="eastAsia" w:eastAsiaTheme="minorEastAsia"/>
                <w:color w:val="000000" w:themeColor="text1"/>
                <w:kern w:val="2"/>
                <w:sz w:val="21"/>
                <w:szCs w:val="21"/>
                <w:lang w:eastAsia="zh-CN"/>
              </w:rPr>
            </w:pPr>
            <w:r>
              <w:rPr>
                <w:rFonts w:hint="eastAsia"/>
                <w:color w:val="000000" w:themeColor="text1"/>
                <w:kern w:val="2"/>
                <w:sz w:val="21"/>
                <w:szCs w:val="21"/>
                <w:lang w:eastAsia="zh-CN"/>
              </w:rPr>
              <w:t>二类</w:t>
            </w:r>
          </w:p>
        </w:tc>
        <w:tc>
          <w:tcPr>
            <w:tcW w:w="1200" w:type="dxa"/>
            <w:noWrap/>
            <w:vAlign w:val="center"/>
          </w:tcPr>
          <w:p>
            <w:pPr>
              <w:pStyle w:val="22"/>
              <w:jc w:val="center"/>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位于管道北面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both"/>
              <w:rPr>
                <w:rFonts w:hint="eastAsia" w:cs="Times New Roman" w:eastAsiaTheme="minorEastAsia"/>
                <w:color w:val="000000" w:themeColor="text1"/>
                <w:sz w:val="21"/>
                <w:lang w:eastAsia="zh-CN"/>
              </w:rPr>
            </w:pPr>
            <w:r>
              <w:rPr>
                <w:rFonts w:hint="eastAsia" w:cs="Times New Roman"/>
                <w:color w:val="000000" w:themeColor="text1"/>
                <w:sz w:val="21"/>
                <w:lang w:eastAsia="zh-CN"/>
              </w:rPr>
              <w:t>石伏村</w:t>
            </w:r>
          </w:p>
        </w:tc>
        <w:tc>
          <w:tcPr>
            <w:tcW w:w="1448"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112.596238</w:t>
            </w:r>
          </w:p>
        </w:tc>
        <w:tc>
          <w:tcPr>
            <w:tcW w:w="1559"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29.534184</w:t>
            </w:r>
          </w:p>
        </w:tc>
        <w:tc>
          <w:tcPr>
            <w:tcW w:w="1276" w:type="dxa"/>
            <w:noWrap/>
            <w:vAlign w:val="center"/>
          </w:tcPr>
          <w:p>
            <w:pPr>
              <w:pStyle w:val="22"/>
              <w:jc w:val="center"/>
              <w:rPr>
                <w:rFonts w:hint="default" w:ascii="Times New Roman" w:hAnsi="Times New Roman" w:eastAsia="宋体"/>
                <w:color w:val="000000" w:themeColor="text1"/>
                <w:szCs w:val="21"/>
                <w:lang w:val="en-US" w:eastAsia="zh-CN"/>
              </w:rPr>
            </w:pPr>
            <w:r>
              <w:rPr>
                <w:rFonts w:hint="eastAsia" w:ascii="Times New Roman" w:hAnsi="Times New Roman"/>
                <w:color w:val="000000" w:themeColor="text1"/>
                <w:szCs w:val="21"/>
                <w:lang w:eastAsia="zh-CN"/>
              </w:rPr>
              <w:t>约</w:t>
            </w:r>
            <w:r>
              <w:rPr>
                <w:rFonts w:hint="eastAsia" w:ascii="Times New Roman" w:hAnsi="Times New Roman"/>
                <w:color w:val="000000" w:themeColor="text1"/>
                <w:szCs w:val="21"/>
                <w:lang w:val="en-US" w:eastAsia="zh-CN"/>
              </w:rPr>
              <w:t>50人</w:t>
            </w:r>
          </w:p>
        </w:tc>
        <w:tc>
          <w:tcPr>
            <w:tcW w:w="1134" w:type="dxa"/>
            <w:noWrap/>
            <w:vAlign w:val="center"/>
          </w:tcPr>
          <w:p>
            <w:pPr>
              <w:pStyle w:val="22"/>
              <w:jc w:val="both"/>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石伏村居民</w:t>
            </w:r>
          </w:p>
        </w:tc>
        <w:tc>
          <w:tcPr>
            <w:tcW w:w="1267" w:type="dxa"/>
            <w:noWrap/>
            <w:vAlign w:val="center"/>
          </w:tcPr>
          <w:p>
            <w:pPr>
              <w:pStyle w:val="22"/>
              <w:jc w:val="center"/>
              <w:rPr>
                <w:rFonts w:ascii="Times New Roman" w:hAnsi="Times New Roman"/>
                <w:color w:val="000000" w:themeColor="text1"/>
                <w:szCs w:val="21"/>
              </w:rPr>
            </w:pPr>
            <w:r>
              <w:rPr>
                <w:rFonts w:hint="eastAsia"/>
                <w:color w:val="000000" w:themeColor="text1"/>
                <w:kern w:val="2"/>
                <w:sz w:val="21"/>
                <w:szCs w:val="21"/>
                <w:lang w:eastAsia="zh-CN"/>
              </w:rPr>
              <w:t>二类</w:t>
            </w:r>
          </w:p>
        </w:tc>
        <w:tc>
          <w:tcPr>
            <w:tcW w:w="1200" w:type="dxa"/>
            <w:noWrap/>
            <w:vAlign w:val="center"/>
          </w:tcPr>
          <w:p>
            <w:pPr>
              <w:jc w:val="center"/>
              <w:rPr>
                <w:rFonts w:ascii="Times New Roman" w:hAnsi="Times New Roman"/>
                <w:color w:val="000000" w:themeColor="text1"/>
                <w:sz w:val="21"/>
                <w:szCs w:val="21"/>
              </w:rPr>
            </w:pPr>
            <w:r>
              <w:rPr>
                <w:rFonts w:hint="eastAsia" w:ascii="Times New Roman" w:hAnsi="Times New Roman"/>
                <w:color w:val="000000" w:themeColor="text1"/>
                <w:sz w:val="21"/>
                <w:szCs w:val="21"/>
                <w:lang w:eastAsia="zh-CN"/>
              </w:rPr>
              <w:t>位于管道</w:t>
            </w:r>
            <w:r>
              <w:rPr>
                <w:rFonts w:hint="eastAsia"/>
                <w:color w:val="000000" w:themeColor="text1"/>
                <w:sz w:val="21"/>
                <w:szCs w:val="21"/>
                <w:lang w:eastAsia="zh-CN"/>
              </w:rPr>
              <w:t>东</w:t>
            </w:r>
            <w:r>
              <w:rPr>
                <w:rFonts w:hint="eastAsia" w:ascii="Times New Roman" w:hAnsi="Times New Roman"/>
                <w:color w:val="000000" w:themeColor="text1"/>
                <w:sz w:val="21"/>
                <w:szCs w:val="21"/>
                <w:lang w:eastAsia="zh-CN"/>
              </w:rPr>
              <w:t>北面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center"/>
              <w:rPr>
                <w:rFonts w:cs="Times New Roman"/>
                <w:color w:val="000000" w:themeColor="text1"/>
                <w:sz w:val="21"/>
              </w:rPr>
            </w:pPr>
            <w:r>
              <w:rPr>
                <w:rFonts w:hint="eastAsia" w:cs="Times New Roman"/>
                <w:color w:val="000000" w:themeColor="text1"/>
                <w:sz w:val="21"/>
                <w:lang w:eastAsia="zh-CN"/>
              </w:rPr>
              <w:t>石伏村</w:t>
            </w:r>
          </w:p>
        </w:tc>
        <w:tc>
          <w:tcPr>
            <w:tcW w:w="1448"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112.597139</w:t>
            </w:r>
          </w:p>
        </w:tc>
        <w:tc>
          <w:tcPr>
            <w:tcW w:w="1559"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29.531160</w:t>
            </w:r>
          </w:p>
        </w:tc>
        <w:tc>
          <w:tcPr>
            <w:tcW w:w="1276" w:type="dxa"/>
            <w:noWrap/>
            <w:vAlign w:val="center"/>
          </w:tcPr>
          <w:p>
            <w:pPr>
              <w:pStyle w:val="22"/>
              <w:jc w:val="center"/>
              <w:rPr>
                <w:rFonts w:hint="default" w:ascii="Times New Roman" w:hAnsi="Times New Roman" w:eastAsia="宋体"/>
                <w:color w:val="000000" w:themeColor="text1"/>
                <w:szCs w:val="21"/>
                <w:lang w:val="en-US" w:eastAsia="zh-CN"/>
              </w:rPr>
            </w:pPr>
            <w:r>
              <w:rPr>
                <w:rFonts w:hint="eastAsia" w:ascii="Times New Roman" w:hAnsi="Times New Roman"/>
                <w:color w:val="000000" w:themeColor="text1"/>
                <w:szCs w:val="21"/>
                <w:lang w:eastAsia="zh-CN"/>
              </w:rPr>
              <w:t>约</w:t>
            </w:r>
            <w:r>
              <w:rPr>
                <w:rFonts w:hint="eastAsia" w:ascii="Times New Roman" w:hAnsi="Times New Roman"/>
                <w:color w:val="000000" w:themeColor="text1"/>
                <w:szCs w:val="21"/>
                <w:lang w:val="en-US" w:eastAsia="zh-CN"/>
              </w:rPr>
              <w:t>20人</w:t>
            </w:r>
          </w:p>
        </w:tc>
        <w:tc>
          <w:tcPr>
            <w:tcW w:w="1134" w:type="dxa"/>
            <w:noWrap/>
            <w:vAlign w:val="center"/>
          </w:tcPr>
          <w:p>
            <w:pPr>
              <w:pStyle w:val="22"/>
              <w:jc w:val="center"/>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石伏村居民</w:t>
            </w:r>
          </w:p>
        </w:tc>
        <w:tc>
          <w:tcPr>
            <w:tcW w:w="1267" w:type="dxa"/>
            <w:noWrap/>
            <w:vAlign w:val="center"/>
          </w:tcPr>
          <w:p>
            <w:pPr>
              <w:pStyle w:val="22"/>
              <w:jc w:val="center"/>
              <w:rPr>
                <w:rFonts w:ascii="Times New Roman" w:hAnsi="Times New Roman"/>
                <w:color w:val="000000" w:themeColor="text1"/>
                <w:szCs w:val="21"/>
              </w:rPr>
            </w:pPr>
            <w:r>
              <w:rPr>
                <w:rFonts w:hint="eastAsia"/>
                <w:color w:val="000000" w:themeColor="text1"/>
                <w:kern w:val="2"/>
                <w:sz w:val="21"/>
                <w:szCs w:val="21"/>
                <w:lang w:eastAsia="zh-CN"/>
              </w:rPr>
              <w:t>二类</w:t>
            </w:r>
          </w:p>
        </w:tc>
        <w:tc>
          <w:tcPr>
            <w:tcW w:w="1200" w:type="dxa"/>
            <w:noWrap/>
            <w:vAlign w:val="center"/>
          </w:tcPr>
          <w:p>
            <w:pPr>
              <w:jc w:val="center"/>
              <w:rPr>
                <w:rFonts w:ascii="Times New Roman" w:hAnsi="Times New Roman"/>
                <w:color w:val="000000" w:themeColor="text1"/>
                <w:sz w:val="21"/>
                <w:szCs w:val="21"/>
              </w:rPr>
            </w:pPr>
            <w:r>
              <w:rPr>
                <w:rFonts w:hint="eastAsia" w:ascii="Times New Roman" w:hAnsi="Times New Roman"/>
                <w:color w:val="000000" w:themeColor="text1"/>
                <w:sz w:val="21"/>
                <w:szCs w:val="21"/>
                <w:lang w:eastAsia="zh-CN"/>
              </w:rPr>
              <w:t>位于管道</w:t>
            </w:r>
            <w:r>
              <w:rPr>
                <w:rFonts w:hint="eastAsia"/>
                <w:color w:val="000000" w:themeColor="text1"/>
                <w:sz w:val="21"/>
                <w:szCs w:val="21"/>
                <w:lang w:eastAsia="zh-CN"/>
              </w:rPr>
              <w:t>东</w:t>
            </w:r>
            <w:r>
              <w:rPr>
                <w:rFonts w:hint="eastAsia" w:ascii="Times New Roman" w:hAnsi="Times New Roman"/>
                <w:color w:val="000000" w:themeColor="text1"/>
                <w:sz w:val="21"/>
                <w:szCs w:val="21"/>
                <w:lang w:eastAsia="zh-CN"/>
              </w:rPr>
              <w:t>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restart"/>
            <w:noWrap/>
            <w:vAlign w:val="center"/>
          </w:tcPr>
          <w:p>
            <w:pPr>
              <w:wordWrap w:val="0"/>
              <w:jc w:val="center"/>
              <w:rPr>
                <w:rFonts w:cs="Times New Roman"/>
                <w:color w:val="000000" w:themeColor="text1"/>
                <w:sz w:val="21"/>
              </w:rPr>
            </w:pPr>
            <w:r>
              <w:rPr>
                <w:rFonts w:cs="Times New Roman"/>
                <w:color w:val="000000" w:themeColor="text1"/>
                <w:sz w:val="21"/>
              </w:rPr>
              <w:t>声环境</w:t>
            </w:r>
          </w:p>
        </w:tc>
        <w:tc>
          <w:tcPr>
            <w:tcW w:w="754" w:type="dxa"/>
            <w:noWrap/>
            <w:vAlign w:val="center"/>
          </w:tcPr>
          <w:p>
            <w:pPr>
              <w:wordWrap w:val="0"/>
              <w:jc w:val="both"/>
              <w:rPr>
                <w:rFonts w:cs="Times New Roman"/>
                <w:color w:val="000000" w:themeColor="text1"/>
                <w:sz w:val="21"/>
              </w:rPr>
            </w:pPr>
            <w:r>
              <w:rPr>
                <w:rFonts w:hint="eastAsia" w:cs="Times New Roman"/>
                <w:color w:val="000000" w:themeColor="text1"/>
                <w:sz w:val="21"/>
                <w:lang w:val="en-US" w:eastAsia="zh-CN"/>
              </w:rPr>
              <w:t>华容县桥东片区</w:t>
            </w:r>
          </w:p>
        </w:tc>
        <w:tc>
          <w:tcPr>
            <w:tcW w:w="1448" w:type="dxa"/>
            <w:noWrap/>
            <w:vAlign w:val="center"/>
          </w:tcPr>
          <w:p>
            <w:pPr>
              <w:pStyle w:val="22"/>
              <w:jc w:val="center"/>
              <w:rPr>
                <w:rFonts w:hint="default" w:ascii="Times New Roman" w:hAnsi="Times New Roman" w:eastAsia="宋体"/>
                <w:color w:val="000000" w:themeColor="text1"/>
                <w:szCs w:val="21"/>
                <w:lang w:val="en-US" w:eastAsia="zh-CN"/>
              </w:rPr>
            </w:pPr>
            <w:r>
              <w:rPr>
                <w:rFonts w:hint="eastAsia" w:ascii="Times New Roman" w:hAnsi="Times New Roman"/>
                <w:color w:val="000000" w:themeColor="text1"/>
                <w:szCs w:val="21"/>
                <w:lang w:val="en-US" w:eastAsia="zh-CN"/>
              </w:rPr>
              <w:t>112.586067</w:t>
            </w:r>
          </w:p>
        </w:tc>
        <w:tc>
          <w:tcPr>
            <w:tcW w:w="1559" w:type="dxa"/>
            <w:noWrap/>
            <w:vAlign w:val="center"/>
          </w:tcPr>
          <w:p>
            <w:pPr>
              <w:pStyle w:val="22"/>
              <w:jc w:val="center"/>
              <w:rPr>
                <w:rFonts w:hint="default" w:ascii="Times New Roman" w:hAnsi="Times New Roman" w:eastAsia="宋体"/>
                <w:color w:val="000000" w:themeColor="text1"/>
                <w:szCs w:val="21"/>
                <w:lang w:val="en-US" w:eastAsia="zh-CN"/>
              </w:rPr>
            </w:pPr>
            <w:r>
              <w:rPr>
                <w:rFonts w:hint="eastAsia" w:ascii="Times New Roman" w:hAnsi="Times New Roman"/>
                <w:color w:val="000000" w:themeColor="text1"/>
                <w:szCs w:val="21"/>
                <w:lang w:val="en-US" w:eastAsia="zh-CN"/>
              </w:rPr>
              <w:t>29.533027</w:t>
            </w:r>
          </w:p>
        </w:tc>
        <w:tc>
          <w:tcPr>
            <w:tcW w:w="1276"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约</w:t>
            </w:r>
            <w:r>
              <w:rPr>
                <w:rFonts w:hint="eastAsia" w:ascii="Times New Roman" w:hAnsi="Times New Roman"/>
                <w:color w:val="000000" w:themeColor="text1"/>
                <w:szCs w:val="21"/>
                <w:lang w:val="en-US" w:eastAsia="zh-CN"/>
              </w:rPr>
              <w:t>5000人</w:t>
            </w:r>
          </w:p>
        </w:tc>
        <w:tc>
          <w:tcPr>
            <w:tcW w:w="1134"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华容县桥东片区居民</w:t>
            </w:r>
          </w:p>
        </w:tc>
        <w:tc>
          <w:tcPr>
            <w:tcW w:w="1267" w:type="dxa"/>
            <w:noWrap/>
            <w:vAlign w:val="center"/>
          </w:tcPr>
          <w:p>
            <w:pPr>
              <w:pStyle w:val="22"/>
              <w:jc w:val="center"/>
              <w:rPr>
                <w:rFonts w:ascii="Times New Roman" w:hAnsi="Times New Roman"/>
                <w:color w:val="000000" w:themeColor="text1"/>
                <w:szCs w:val="21"/>
              </w:rPr>
            </w:pPr>
            <w:r>
              <w:rPr>
                <w:rFonts w:hint="default" w:ascii="Times New Roman" w:hAnsi="Times New Roman" w:cs="Times New Roman"/>
                <w:color w:val="000000" w:themeColor="text1"/>
                <w:kern w:val="2"/>
                <w:sz w:val="21"/>
                <w:szCs w:val="21"/>
                <w:lang w:val="en-US" w:eastAsia="zh-CN"/>
              </w:rPr>
              <w:t>2类</w:t>
            </w:r>
          </w:p>
        </w:tc>
        <w:tc>
          <w:tcPr>
            <w:tcW w:w="1200"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位于管道北面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both"/>
              <w:rPr>
                <w:rFonts w:cs="Times New Roman"/>
                <w:color w:val="000000" w:themeColor="text1"/>
                <w:sz w:val="21"/>
              </w:rPr>
            </w:pPr>
            <w:r>
              <w:rPr>
                <w:rFonts w:hint="eastAsia" w:cs="Times New Roman"/>
                <w:color w:val="000000" w:themeColor="text1"/>
                <w:sz w:val="21"/>
                <w:lang w:eastAsia="zh-CN"/>
              </w:rPr>
              <w:t>石伏村</w:t>
            </w:r>
          </w:p>
        </w:tc>
        <w:tc>
          <w:tcPr>
            <w:tcW w:w="1448" w:type="dxa"/>
            <w:noWrap/>
            <w:vAlign w:val="center"/>
          </w:tcPr>
          <w:p>
            <w:pPr>
              <w:pStyle w:val="22"/>
              <w:jc w:val="center"/>
              <w:rPr>
                <w:rFonts w:hint="default" w:ascii="Times New Roman" w:hAnsi="Times New Roman" w:eastAsia="宋体"/>
                <w:color w:val="000000" w:themeColor="text1"/>
                <w:szCs w:val="21"/>
                <w:lang w:val="en-US" w:eastAsia="zh-CN"/>
              </w:rPr>
            </w:pPr>
            <w:r>
              <w:rPr>
                <w:rFonts w:hint="eastAsia" w:ascii="Times New Roman" w:hAnsi="Times New Roman"/>
                <w:color w:val="000000" w:themeColor="text1"/>
                <w:szCs w:val="21"/>
                <w:lang w:val="en-US" w:eastAsia="zh-CN"/>
              </w:rPr>
              <w:t>112.596238</w:t>
            </w:r>
          </w:p>
        </w:tc>
        <w:tc>
          <w:tcPr>
            <w:tcW w:w="1559" w:type="dxa"/>
            <w:noWrap/>
            <w:vAlign w:val="center"/>
          </w:tcPr>
          <w:p>
            <w:pPr>
              <w:pStyle w:val="22"/>
              <w:jc w:val="center"/>
              <w:rPr>
                <w:rFonts w:hint="default" w:ascii="Times New Roman" w:hAnsi="Times New Roman" w:eastAsia="宋体"/>
                <w:color w:val="000000" w:themeColor="text1"/>
                <w:szCs w:val="21"/>
                <w:lang w:val="en-US" w:eastAsia="zh-CN"/>
              </w:rPr>
            </w:pPr>
            <w:r>
              <w:rPr>
                <w:rFonts w:hint="eastAsia" w:ascii="Times New Roman" w:hAnsi="Times New Roman"/>
                <w:color w:val="000000" w:themeColor="text1"/>
                <w:szCs w:val="21"/>
                <w:lang w:val="en-US" w:eastAsia="zh-CN"/>
              </w:rPr>
              <w:t>29.534184</w:t>
            </w:r>
          </w:p>
        </w:tc>
        <w:tc>
          <w:tcPr>
            <w:tcW w:w="1276"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约</w:t>
            </w:r>
            <w:r>
              <w:rPr>
                <w:rFonts w:hint="eastAsia" w:ascii="Times New Roman" w:hAnsi="Times New Roman"/>
                <w:color w:val="000000" w:themeColor="text1"/>
                <w:szCs w:val="21"/>
                <w:lang w:val="en-US" w:eastAsia="zh-CN"/>
              </w:rPr>
              <w:t>50人</w:t>
            </w:r>
          </w:p>
        </w:tc>
        <w:tc>
          <w:tcPr>
            <w:tcW w:w="1134" w:type="dxa"/>
            <w:noWrap/>
            <w:vAlign w:val="center"/>
          </w:tcPr>
          <w:p>
            <w:pPr>
              <w:pStyle w:val="22"/>
              <w:jc w:val="both"/>
              <w:rPr>
                <w:rFonts w:ascii="Times New Roman" w:hAnsi="Times New Roman"/>
                <w:color w:val="000000" w:themeColor="text1"/>
                <w:szCs w:val="21"/>
              </w:rPr>
            </w:pPr>
            <w:r>
              <w:rPr>
                <w:rFonts w:hint="eastAsia" w:ascii="Times New Roman" w:hAnsi="Times New Roman"/>
                <w:color w:val="000000" w:themeColor="text1"/>
                <w:szCs w:val="21"/>
                <w:lang w:eastAsia="zh-CN"/>
              </w:rPr>
              <w:t>石伏村居民</w:t>
            </w:r>
          </w:p>
        </w:tc>
        <w:tc>
          <w:tcPr>
            <w:tcW w:w="1267" w:type="dxa"/>
            <w:noWrap/>
            <w:vAlign w:val="center"/>
          </w:tcPr>
          <w:p>
            <w:pPr>
              <w:pStyle w:val="22"/>
              <w:jc w:val="center"/>
              <w:rPr>
                <w:rFonts w:ascii="Times New Roman" w:hAnsi="Times New Roman"/>
                <w:color w:val="000000" w:themeColor="text1"/>
                <w:szCs w:val="21"/>
              </w:rPr>
            </w:pPr>
            <w:r>
              <w:rPr>
                <w:rFonts w:hint="default" w:ascii="Times New Roman" w:hAnsi="Times New Roman" w:cs="Times New Roman"/>
                <w:color w:val="000000" w:themeColor="text1"/>
                <w:kern w:val="2"/>
                <w:sz w:val="21"/>
                <w:szCs w:val="21"/>
                <w:lang w:val="en-US" w:eastAsia="zh-CN"/>
              </w:rPr>
              <w:t>2类</w:t>
            </w:r>
          </w:p>
        </w:tc>
        <w:tc>
          <w:tcPr>
            <w:tcW w:w="1200" w:type="dxa"/>
            <w:noWrap/>
            <w:vAlign w:val="center"/>
          </w:tcPr>
          <w:p>
            <w:pPr>
              <w:jc w:val="center"/>
              <w:rPr>
                <w:rFonts w:ascii="Times New Roman" w:hAnsi="Times New Roman"/>
                <w:color w:val="000000" w:themeColor="text1"/>
                <w:szCs w:val="21"/>
              </w:rPr>
            </w:pPr>
            <w:r>
              <w:rPr>
                <w:rFonts w:hint="eastAsia" w:ascii="Times New Roman" w:hAnsi="Times New Roman"/>
                <w:color w:val="000000" w:themeColor="text1"/>
                <w:sz w:val="21"/>
                <w:szCs w:val="21"/>
                <w:lang w:eastAsia="zh-CN"/>
              </w:rPr>
              <w:t>位于管道</w:t>
            </w:r>
            <w:r>
              <w:rPr>
                <w:rFonts w:hint="eastAsia"/>
                <w:color w:val="000000" w:themeColor="text1"/>
                <w:sz w:val="21"/>
                <w:szCs w:val="21"/>
                <w:lang w:eastAsia="zh-CN"/>
              </w:rPr>
              <w:t>东</w:t>
            </w:r>
            <w:r>
              <w:rPr>
                <w:rFonts w:hint="eastAsia" w:ascii="Times New Roman" w:hAnsi="Times New Roman"/>
                <w:color w:val="000000" w:themeColor="text1"/>
                <w:sz w:val="21"/>
                <w:szCs w:val="21"/>
                <w:lang w:eastAsia="zh-CN"/>
              </w:rPr>
              <w:t>北面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vMerge w:val="continue"/>
            <w:noWrap/>
            <w:vAlign w:val="center"/>
          </w:tcPr>
          <w:p>
            <w:pPr>
              <w:wordWrap w:val="0"/>
              <w:jc w:val="center"/>
              <w:rPr>
                <w:rFonts w:cs="Times New Roman"/>
                <w:color w:val="000000" w:themeColor="text1"/>
                <w:sz w:val="21"/>
              </w:rPr>
            </w:pPr>
          </w:p>
        </w:tc>
        <w:tc>
          <w:tcPr>
            <w:tcW w:w="754" w:type="dxa"/>
            <w:noWrap/>
            <w:vAlign w:val="center"/>
          </w:tcPr>
          <w:p>
            <w:pPr>
              <w:pStyle w:val="37"/>
              <w:ind w:firstLine="0" w:firstLineChars="0"/>
              <w:jc w:val="center"/>
              <w:rPr>
                <w:rFonts w:cs="Times New Roman"/>
                <w:color w:val="000000" w:themeColor="text1"/>
                <w:sz w:val="21"/>
              </w:rPr>
            </w:pPr>
            <w:r>
              <w:rPr>
                <w:rFonts w:hint="eastAsia" w:cs="Times New Roman"/>
                <w:color w:val="000000" w:themeColor="text1"/>
                <w:sz w:val="21"/>
                <w:lang w:eastAsia="zh-CN"/>
              </w:rPr>
              <w:t>石伏村</w:t>
            </w:r>
          </w:p>
        </w:tc>
        <w:tc>
          <w:tcPr>
            <w:tcW w:w="1448"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112.597139</w:t>
            </w:r>
          </w:p>
        </w:tc>
        <w:tc>
          <w:tcPr>
            <w:tcW w:w="1559"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val="en-US" w:eastAsia="zh-CN"/>
              </w:rPr>
              <w:t>29.531160</w:t>
            </w:r>
          </w:p>
        </w:tc>
        <w:tc>
          <w:tcPr>
            <w:tcW w:w="1276"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约</w:t>
            </w:r>
            <w:r>
              <w:rPr>
                <w:rFonts w:hint="eastAsia" w:ascii="Times New Roman" w:hAnsi="Times New Roman"/>
                <w:color w:val="000000" w:themeColor="text1"/>
                <w:szCs w:val="21"/>
                <w:lang w:val="en-US" w:eastAsia="zh-CN"/>
              </w:rPr>
              <w:t>20人</w:t>
            </w:r>
          </w:p>
        </w:tc>
        <w:tc>
          <w:tcPr>
            <w:tcW w:w="1134" w:type="dxa"/>
            <w:noWrap/>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石伏村居民</w:t>
            </w:r>
          </w:p>
        </w:tc>
        <w:tc>
          <w:tcPr>
            <w:tcW w:w="1267" w:type="dxa"/>
            <w:noWrap/>
            <w:vAlign w:val="center"/>
          </w:tcPr>
          <w:p>
            <w:pPr>
              <w:pStyle w:val="22"/>
              <w:jc w:val="center"/>
              <w:rPr>
                <w:rFonts w:ascii="Times New Roman" w:hAnsi="Times New Roman"/>
                <w:color w:val="000000" w:themeColor="text1"/>
                <w:szCs w:val="21"/>
              </w:rPr>
            </w:pPr>
            <w:r>
              <w:rPr>
                <w:rFonts w:hint="default" w:ascii="Times New Roman" w:hAnsi="Times New Roman" w:cs="Times New Roman"/>
                <w:color w:val="000000" w:themeColor="text1"/>
                <w:kern w:val="2"/>
                <w:sz w:val="21"/>
                <w:szCs w:val="21"/>
                <w:lang w:val="en-US" w:eastAsia="zh-CN"/>
              </w:rPr>
              <w:t>2类</w:t>
            </w:r>
          </w:p>
        </w:tc>
        <w:tc>
          <w:tcPr>
            <w:tcW w:w="1200" w:type="dxa"/>
            <w:noWrap/>
            <w:vAlign w:val="center"/>
          </w:tcPr>
          <w:p>
            <w:pPr>
              <w:jc w:val="center"/>
              <w:rPr>
                <w:rFonts w:ascii="Times New Roman" w:hAnsi="Times New Roman"/>
                <w:color w:val="000000" w:themeColor="text1"/>
                <w:szCs w:val="21"/>
              </w:rPr>
            </w:pPr>
            <w:r>
              <w:rPr>
                <w:rFonts w:hint="eastAsia" w:ascii="Times New Roman" w:hAnsi="Times New Roman"/>
                <w:color w:val="000000" w:themeColor="text1"/>
                <w:sz w:val="21"/>
                <w:szCs w:val="21"/>
                <w:lang w:eastAsia="zh-CN"/>
              </w:rPr>
              <w:t>位于管道</w:t>
            </w:r>
            <w:r>
              <w:rPr>
                <w:rFonts w:hint="eastAsia"/>
                <w:color w:val="000000" w:themeColor="text1"/>
                <w:sz w:val="21"/>
                <w:szCs w:val="21"/>
                <w:lang w:eastAsia="zh-CN"/>
              </w:rPr>
              <w:t>东</w:t>
            </w:r>
            <w:r>
              <w:rPr>
                <w:rFonts w:hint="eastAsia" w:ascii="Times New Roman" w:hAnsi="Times New Roman"/>
                <w:color w:val="000000" w:themeColor="text1"/>
                <w:sz w:val="21"/>
                <w:szCs w:val="21"/>
                <w:lang w:eastAsia="zh-CN"/>
              </w:rPr>
              <w:t>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地表水</w:t>
            </w:r>
          </w:p>
        </w:tc>
        <w:tc>
          <w:tcPr>
            <w:tcW w:w="754" w:type="dxa"/>
            <w:noWrap/>
            <w:vAlign w:val="center"/>
          </w:tcPr>
          <w:p>
            <w:pPr>
              <w:wordWrap w:val="0"/>
              <w:jc w:val="center"/>
              <w:rPr>
                <w:rFonts w:cs="Times New Roman"/>
                <w:color w:val="000000" w:themeColor="text1"/>
                <w:sz w:val="21"/>
              </w:rPr>
            </w:pPr>
            <w:r>
              <w:rPr>
                <w:rFonts w:cs="Times New Roman"/>
                <w:color w:val="000000" w:themeColor="text1"/>
                <w:sz w:val="21"/>
              </w:rPr>
              <w:t>华容河</w:t>
            </w:r>
          </w:p>
        </w:tc>
        <w:tc>
          <w:tcPr>
            <w:tcW w:w="1448"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w:t>
            </w:r>
          </w:p>
        </w:tc>
        <w:tc>
          <w:tcPr>
            <w:tcW w:w="1559"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w:t>
            </w:r>
          </w:p>
        </w:tc>
        <w:tc>
          <w:tcPr>
            <w:tcW w:w="1276" w:type="dxa"/>
            <w:noWrap/>
            <w:vAlign w:val="center"/>
          </w:tcPr>
          <w:p>
            <w:pPr>
              <w:wordWrap w:val="0"/>
              <w:jc w:val="center"/>
              <w:rPr>
                <w:rFonts w:cs="Times New Roman"/>
                <w:color w:val="000000" w:themeColor="text1"/>
                <w:sz w:val="21"/>
              </w:rPr>
            </w:pPr>
            <w:r>
              <w:rPr>
                <w:rFonts w:cs="Times New Roman"/>
                <w:color w:val="000000" w:themeColor="text1"/>
                <w:sz w:val="21"/>
              </w:rPr>
              <w:t>华容河</w:t>
            </w:r>
          </w:p>
          <w:p>
            <w:pPr>
              <w:pStyle w:val="17"/>
              <w:jc w:val="center"/>
              <w:rPr>
                <w:rFonts w:cs="Times New Roman"/>
                <w:color w:val="000000" w:themeColor="text1"/>
                <w:sz w:val="21"/>
              </w:rPr>
            </w:pPr>
            <w:r>
              <w:rPr>
                <w:rFonts w:cs="Times New Roman"/>
                <w:color w:val="000000" w:themeColor="text1"/>
                <w:sz w:val="21"/>
              </w:rPr>
              <w:t>（大河）</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保护现有水质功能不下降</w:t>
            </w:r>
          </w:p>
        </w:tc>
        <w:tc>
          <w:tcPr>
            <w:tcW w:w="1267" w:type="dxa"/>
            <w:noWrap/>
            <w:vAlign w:val="center"/>
          </w:tcPr>
          <w:p>
            <w:pPr>
              <w:spacing w:line="400" w:lineRule="exact"/>
              <w:jc w:val="center"/>
              <w:rPr>
                <w:rFonts w:cs="Times New Roman"/>
                <w:color w:val="000000" w:themeColor="text1"/>
                <w:sz w:val="21"/>
              </w:rPr>
            </w:pPr>
            <w:r>
              <w:rPr>
                <w:rFonts w:cs="Times New Roman"/>
                <w:color w:val="000000" w:themeColor="text1"/>
                <w:sz w:val="21"/>
              </w:rPr>
              <w:t>Ⅲ类，渔业用水区</w:t>
            </w:r>
          </w:p>
        </w:tc>
        <w:tc>
          <w:tcPr>
            <w:tcW w:w="1200" w:type="dxa"/>
            <w:noWrap/>
            <w:vAlign w:val="center"/>
          </w:tcPr>
          <w:p>
            <w:pPr>
              <w:spacing w:line="400" w:lineRule="exact"/>
              <w:jc w:val="center"/>
              <w:rPr>
                <w:rFonts w:hint="eastAsia" w:cs="Times New Roman" w:eastAsiaTheme="minorEastAsia"/>
                <w:color w:val="000000" w:themeColor="text1"/>
                <w:sz w:val="21"/>
                <w:lang w:eastAsia="zh-CN"/>
              </w:rPr>
            </w:pPr>
            <w:r>
              <w:rPr>
                <w:rFonts w:hint="eastAsia" w:cs="Times New Roman"/>
                <w:color w:val="000000" w:themeColor="text1"/>
                <w:sz w:val="21"/>
                <w:lang w:eastAsia="zh-CN"/>
              </w:rPr>
              <w:t>南面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地下水</w:t>
            </w:r>
          </w:p>
        </w:tc>
        <w:tc>
          <w:tcPr>
            <w:tcW w:w="3761" w:type="dxa"/>
            <w:gridSpan w:val="3"/>
            <w:noWrap/>
            <w:vAlign w:val="center"/>
          </w:tcPr>
          <w:p>
            <w:pPr>
              <w:pStyle w:val="22"/>
              <w:jc w:val="center"/>
              <w:rPr>
                <w:rFonts w:hint="eastAsia" w:ascii="Times New Roman" w:hAnsi="Times New Roman" w:eastAsia="宋体"/>
                <w:color w:val="000000" w:themeColor="text1"/>
                <w:szCs w:val="21"/>
                <w:lang w:eastAsia="zh-CN"/>
              </w:rPr>
            </w:pPr>
            <w:r>
              <w:rPr>
                <w:rFonts w:hint="eastAsia" w:ascii="Times New Roman" w:hAnsi="Times New Roman"/>
                <w:color w:val="000000" w:themeColor="text1"/>
                <w:szCs w:val="21"/>
                <w:lang w:eastAsia="zh-CN"/>
              </w:rPr>
              <w:t>项目区周边、下游区域地下水</w:t>
            </w:r>
          </w:p>
        </w:tc>
        <w:tc>
          <w:tcPr>
            <w:tcW w:w="1276" w:type="dxa"/>
            <w:noWrap/>
            <w:vAlign w:val="center"/>
          </w:tcPr>
          <w:p>
            <w:pPr>
              <w:wordWrap w:val="0"/>
              <w:jc w:val="center"/>
              <w:rPr>
                <w:rFonts w:hint="default" w:cs="Times New Roman" w:eastAsiaTheme="minorEastAsia"/>
                <w:color w:val="000000" w:themeColor="text1"/>
                <w:sz w:val="21"/>
                <w:lang w:val="en-US" w:eastAsia="zh-CN"/>
              </w:rPr>
            </w:pPr>
            <w:r>
              <w:rPr>
                <w:rFonts w:hint="eastAsia" w:cs="Times New Roman"/>
                <w:color w:val="000000" w:themeColor="text1"/>
                <w:sz w:val="21"/>
                <w:lang w:eastAsia="zh-CN"/>
              </w:rPr>
              <w:t>污水管网两侧</w:t>
            </w:r>
            <w:r>
              <w:rPr>
                <w:rFonts w:hint="eastAsia" w:cs="Times New Roman"/>
                <w:color w:val="000000" w:themeColor="text1"/>
                <w:sz w:val="21"/>
                <w:lang w:val="en-US" w:eastAsia="zh-CN"/>
              </w:rPr>
              <w:t>200m范围</w:t>
            </w:r>
          </w:p>
        </w:tc>
        <w:tc>
          <w:tcPr>
            <w:tcW w:w="1134" w:type="dxa"/>
            <w:noWrap/>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GB/T14848-2017Ⅲ类</w:t>
            </w:r>
          </w:p>
        </w:tc>
        <w:tc>
          <w:tcPr>
            <w:tcW w:w="1267" w:type="dxa"/>
            <w:noWrap/>
            <w:vAlign w:val="center"/>
          </w:tcPr>
          <w:p>
            <w:pPr>
              <w:spacing w:line="400" w:lineRule="exact"/>
              <w:jc w:val="center"/>
              <w:rPr>
                <w:rFonts w:cs="Times New Roman"/>
                <w:color w:val="000000" w:themeColor="text1"/>
                <w:sz w:val="21"/>
              </w:rPr>
            </w:pPr>
            <w:r>
              <w:rPr>
                <w:rFonts w:cs="Times New Roman"/>
                <w:color w:val="000000" w:themeColor="text1"/>
                <w:sz w:val="21"/>
              </w:rPr>
              <w:t>Ⅲ类</w:t>
            </w:r>
          </w:p>
        </w:tc>
        <w:tc>
          <w:tcPr>
            <w:tcW w:w="1200" w:type="dxa"/>
            <w:noWrap/>
            <w:vAlign w:val="center"/>
          </w:tcPr>
          <w:p>
            <w:pPr>
              <w:spacing w:line="400" w:lineRule="exact"/>
              <w:jc w:val="center"/>
              <w:rPr>
                <w:rFonts w:cs="Times New Roman"/>
                <w:color w:val="000000" w:themeColor="text1"/>
                <w:sz w:val="21"/>
              </w:rPr>
            </w:pPr>
            <w:r>
              <w:rPr>
                <w:rFonts w:cs="Times New Roman"/>
                <w:color w:val="000000" w:themeColor="text1"/>
                <w:sz w:val="21"/>
              </w:rPr>
              <w:t>区域水文单元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0" w:type="dxa"/>
            <w:noWrap/>
            <w:vAlign w:val="center"/>
          </w:tcPr>
          <w:p>
            <w:pPr>
              <w:wordWrap w:val="0"/>
              <w:jc w:val="center"/>
              <w:rPr>
                <w:rFonts w:cs="Times New Roman"/>
                <w:color w:val="000000" w:themeColor="text1"/>
                <w:sz w:val="21"/>
              </w:rPr>
            </w:pPr>
            <w:r>
              <w:rPr>
                <w:rFonts w:cs="Times New Roman"/>
                <w:color w:val="000000" w:themeColor="text1"/>
                <w:sz w:val="21"/>
              </w:rPr>
              <w:t>土壤生态环境</w:t>
            </w:r>
          </w:p>
        </w:tc>
        <w:tc>
          <w:tcPr>
            <w:tcW w:w="8638" w:type="dxa"/>
            <w:gridSpan w:val="7"/>
            <w:noWrap/>
            <w:vAlign w:val="center"/>
          </w:tcPr>
          <w:p>
            <w:pPr>
              <w:spacing w:line="400" w:lineRule="exact"/>
              <w:jc w:val="center"/>
              <w:rPr>
                <w:rFonts w:hint="default" w:cs="Times New Roman" w:eastAsiaTheme="minorEastAsia"/>
                <w:color w:val="000000" w:themeColor="text1"/>
                <w:sz w:val="21"/>
                <w:lang w:val="en-US" w:eastAsia="zh-CN"/>
              </w:rPr>
            </w:pPr>
            <w:r>
              <w:rPr>
                <w:rFonts w:hint="eastAsia" w:cs="Times New Roman"/>
                <w:color w:val="000000" w:themeColor="text1"/>
                <w:sz w:val="21"/>
                <w:lang w:eastAsia="zh-CN"/>
              </w:rPr>
              <w:t>项目管网工程两侧</w:t>
            </w:r>
            <w:r>
              <w:rPr>
                <w:rFonts w:hint="eastAsia" w:cs="Times New Roman"/>
                <w:color w:val="000000" w:themeColor="text1"/>
                <w:sz w:val="21"/>
                <w:lang w:val="en-US" w:eastAsia="zh-CN"/>
              </w:rPr>
              <w:t>50m范围</w:t>
            </w:r>
          </w:p>
        </w:tc>
      </w:tr>
    </w:tbl>
    <w:p>
      <w:pPr>
        <w:pStyle w:val="14"/>
        <w:rPr>
          <w:rFonts w:hint="default" w:eastAsia="宋体"/>
          <w:lang w:val="en-US" w:eastAsia="zh-CN"/>
        </w:rPr>
      </w:pPr>
    </w:p>
    <w:p>
      <w:pPr>
        <w:rPr>
          <w:rFonts w:hint="eastAsia"/>
          <w:lang w:eastAsia="zh-CN"/>
        </w:rPr>
      </w:pPr>
      <w:r>
        <w:rPr>
          <w:rFonts w:hint="eastAsia"/>
          <w:lang w:eastAsia="zh-CN"/>
        </w:rPr>
        <w:br w:type="page"/>
      </w:r>
    </w:p>
    <w:bookmarkEnd w:id="97"/>
    <w:bookmarkEnd w:id="98"/>
    <w:bookmarkEnd w:id="99"/>
    <w:bookmarkEnd w:id="100"/>
    <w:p>
      <w:pPr>
        <w:pStyle w:val="2"/>
        <w:adjustRightInd w:val="0"/>
        <w:snapToGrid w:val="0"/>
        <w:spacing w:line="360" w:lineRule="auto"/>
        <w:rPr>
          <w:color w:val="000000" w:themeColor="text1"/>
        </w:rPr>
      </w:pPr>
      <w:bookmarkStart w:id="101" w:name="_Toc3248"/>
      <w:r>
        <w:rPr>
          <w:rFonts w:hint="eastAsia"/>
          <w:color w:val="000000" w:themeColor="text1"/>
        </w:rPr>
        <w:t>项目概况</w:t>
      </w:r>
      <w:bookmarkEnd w:id="101"/>
    </w:p>
    <w:p>
      <w:pPr>
        <w:pStyle w:val="4"/>
        <w:adjustRightInd w:val="0"/>
        <w:snapToGrid w:val="0"/>
        <w:rPr>
          <w:color w:val="000000" w:themeColor="text1"/>
        </w:rPr>
      </w:pPr>
      <w:bookmarkStart w:id="102" w:name="_Toc5663"/>
      <w:r>
        <w:rPr>
          <w:rFonts w:hint="eastAsia"/>
          <w:color w:val="000000" w:themeColor="text1"/>
        </w:rPr>
        <w:t>工程概况</w:t>
      </w:r>
      <w:bookmarkEnd w:id="102"/>
    </w:p>
    <w:p>
      <w:pPr>
        <w:pStyle w:val="5"/>
      </w:pPr>
      <w:r>
        <w:rPr>
          <w:rFonts w:hint="eastAsia"/>
        </w:rPr>
        <w:t>项目要基本情况</w:t>
      </w:r>
    </w:p>
    <w:p>
      <w:pPr>
        <w:spacing w:line="360" w:lineRule="auto"/>
        <w:ind w:firstLine="480" w:firstLineChars="200"/>
        <w:rPr>
          <w:rFonts w:asciiTheme="minorEastAsia" w:hAnsiTheme="minorEastAsia"/>
        </w:rPr>
      </w:pPr>
      <w:r>
        <w:rPr>
          <w:rFonts w:hint="eastAsia"/>
        </w:rPr>
        <w:t>项目名称</w:t>
      </w:r>
      <w:r>
        <w:rPr>
          <w:rFonts w:hint="eastAsia" w:asciiTheme="minorEastAsia" w:hAnsiTheme="minorEastAsia"/>
        </w:rPr>
        <w:t>：</w:t>
      </w:r>
      <w:r>
        <w:rPr>
          <w:rFonts w:hint="eastAsia" w:cs="Times New Roman"/>
          <w:szCs w:val="24"/>
        </w:rPr>
        <w:t>华容县桥东污水处理厂2万m</w:t>
      </w:r>
      <w:r>
        <w:rPr>
          <w:rFonts w:hint="eastAsia" w:cs="Times New Roman"/>
          <w:szCs w:val="24"/>
          <w:vertAlign w:val="superscript"/>
        </w:rPr>
        <w:t>3</w:t>
      </w:r>
      <w:r>
        <w:rPr>
          <w:rFonts w:hint="eastAsia" w:cs="Times New Roman"/>
          <w:szCs w:val="24"/>
        </w:rPr>
        <w:t>/d建设项目</w:t>
      </w:r>
    </w:p>
    <w:p>
      <w:pPr>
        <w:spacing w:line="360" w:lineRule="auto"/>
        <w:ind w:firstLine="480" w:firstLineChars="200"/>
        <w:rPr>
          <w:rFonts w:asciiTheme="minorEastAsia" w:hAnsiTheme="minorEastAsia"/>
        </w:rPr>
      </w:pPr>
      <w:r>
        <w:rPr>
          <w:rFonts w:hint="eastAsia" w:asciiTheme="minorEastAsia" w:hAnsiTheme="minorEastAsia"/>
        </w:rPr>
        <w:t>建设单位：</w:t>
      </w:r>
      <w:r>
        <w:rPr>
          <w:rFonts w:hint="eastAsia"/>
        </w:rPr>
        <w:t>华容国祯惠华环保科技有限责任公司</w:t>
      </w:r>
    </w:p>
    <w:p>
      <w:pPr>
        <w:spacing w:line="360" w:lineRule="auto"/>
        <w:ind w:firstLine="480" w:firstLineChars="200"/>
        <w:rPr>
          <w:rFonts w:eastAsia="宋体" w:cs="Times New Roman"/>
        </w:rPr>
      </w:pPr>
      <w:r>
        <w:rPr>
          <w:rFonts w:cs="Times New Roman" w:hAnsiTheme="minorEastAsia"/>
        </w:rPr>
        <w:t>拟建地点：</w:t>
      </w:r>
      <w:r>
        <w:rPr>
          <w:rFonts w:eastAsia="宋体" w:cs="Times New Roman"/>
        </w:rPr>
        <w:t>湖南省岳阳市华容县石伏</w:t>
      </w:r>
      <w:r>
        <w:rPr>
          <w:rFonts w:hint="eastAsia" w:eastAsia="宋体" w:cs="Times New Roman"/>
        </w:rPr>
        <w:t>工业园</w:t>
      </w:r>
      <w:r>
        <w:rPr>
          <w:rFonts w:eastAsia="宋体" w:cs="Times New Roman"/>
        </w:rPr>
        <w:t>，南向距离华容河约120m。</w:t>
      </w:r>
    </w:p>
    <w:p>
      <w:pPr>
        <w:spacing w:line="360" w:lineRule="auto"/>
        <w:ind w:firstLine="480" w:firstLineChars="200"/>
        <w:rPr>
          <w:rFonts w:cs="Times New Roman"/>
        </w:rPr>
      </w:pPr>
      <w:r>
        <w:rPr>
          <w:rFonts w:eastAsia="宋体" w:cs="Times New Roman"/>
        </w:rPr>
        <w:t>（污水处理厂中心坐标：29°31′53.03″N，112°35′40.25″E；排污口坐标：29°31′39.7″N，112°35′53.4″E）</w:t>
      </w:r>
    </w:p>
    <w:p>
      <w:pPr>
        <w:spacing w:line="360" w:lineRule="auto"/>
        <w:ind w:firstLine="480" w:firstLineChars="200"/>
        <w:rPr>
          <w:rFonts w:cs="Times New Roman"/>
        </w:rPr>
      </w:pPr>
      <w:r>
        <w:rPr>
          <w:rFonts w:cs="Times New Roman" w:hAnsiTheme="minorEastAsia"/>
        </w:rPr>
        <w:t>建设性质：</w:t>
      </w:r>
      <w:r>
        <w:rPr>
          <w:rFonts w:hint="eastAsia" w:cs="Times New Roman" w:hAnsiTheme="minorEastAsia"/>
        </w:rPr>
        <w:t>新建</w:t>
      </w:r>
      <w:r>
        <w:rPr>
          <w:rFonts w:cs="Times New Roman" w:hAnsiTheme="minorEastAsia"/>
        </w:rPr>
        <w:t>（补办）</w:t>
      </w:r>
    </w:p>
    <w:p>
      <w:pPr>
        <w:spacing w:line="360" w:lineRule="auto"/>
        <w:ind w:firstLine="480" w:firstLineChars="200"/>
        <w:rPr>
          <w:rFonts w:cs="Times New Roman"/>
        </w:rPr>
      </w:pPr>
      <w:r>
        <w:rPr>
          <w:rFonts w:cs="Times New Roman" w:hAnsiTheme="minorEastAsia"/>
        </w:rPr>
        <w:t>生产规模：</w:t>
      </w:r>
      <w:r>
        <w:rPr>
          <w:rFonts w:cs="Times New Roman"/>
        </w:rPr>
        <w:t>2万m</w:t>
      </w:r>
      <w:r>
        <w:rPr>
          <w:rFonts w:cs="Times New Roman"/>
          <w:vertAlign w:val="superscript"/>
        </w:rPr>
        <w:t>3</w:t>
      </w:r>
      <w:r>
        <w:rPr>
          <w:rFonts w:cs="Times New Roman"/>
        </w:rPr>
        <w:t>/d</w:t>
      </w:r>
    </w:p>
    <w:p>
      <w:pPr>
        <w:spacing w:line="360" w:lineRule="auto"/>
        <w:ind w:firstLine="480" w:firstLineChars="200"/>
        <w:rPr>
          <w:rFonts w:cs="Times New Roman"/>
          <w:color w:val="000000" w:themeColor="text1"/>
        </w:rPr>
      </w:pPr>
      <w:r>
        <w:rPr>
          <w:rFonts w:cs="Times New Roman" w:hAnsiTheme="minorEastAsia"/>
          <w:color w:val="000000" w:themeColor="text1"/>
        </w:rPr>
        <w:t>项目总用地面面积：</w:t>
      </w:r>
      <w:r>
        <w:rPr>
          <w:rFonts w:cs="Times New Roman"/>
          <w:color w:val="000000" w:themeColor="text1"/>
        </w:rPr>
        <w:t>57494m</w:t>
      </w:r>
      <w:r>
        <w:rPr>
          <w:rFonts w:cs="Times New Roman"/>
          <w:color w:val="000000" w:themeColor="text1"/>
          <w:vertAlign w:val="superscript"/>
        </w:rPr>
        <w:t>2</w:t>
      </w:r>
    </w:p>
    <w:p>
      <w:pPr>
        <w:spacing w:line="360" w:lineRule="auto"/>
        <w:ind w:firstLine="480" w:firstLineChars="200"/>
        <w:rPr>
          <w:rFonts w:cs="Times New Roman"/>
        </w:rPr>
      </w:pPr>
      <w:r>
        <w:rPr>
          <w:rFonts w:cs="Times New Roman" w:hAnsiTheme="minorEastAsia"/>
        </w:rPr>
        <w:t>投资情况：</w:t>
      </w:r>
      <w:r>
        <w:rPr>
          <w:rFonts w:cs="Times New Roman" w:hAnsiTheme="minorEastAsia"/>
          <w:color w:val="000000" w:themeColor="text1"/>
        </w:rPr>
        <w:t>项目总投资</w:t>
      </w:r>
      <w:r>
        <w:rPr>
          <w:rFonts w:hint="eastAsia" w:cs="Times New Roman"/>
          <w:color w:val="000000" w:themeColor="text1"/>
        </w:rPr>
        <w:t>14270</w:t>
      </w:r>
      <w:r>
        <w:rPr>
          <w:rFonts w:cs="Times New Roman" w:hAnsiTheme="minorEastAsia"/>
          <w:color w:val="000000" w:themeColor="text1"/>
        </w:rPr>
        <w:t>万元，其中环保投资</w:t>
      </w:r>
      <w:r>
        <w:rPr>
          <w:rFonts w:hint="eastAsia" w:cs="Times New Roman"/>
          <w:color w:val="000000" w:themeColor="text1"/>
        </w:rPr>
        <w:t>14270</w:t>
      </w:r>
      <w:r>
        <w:rPr>
          <w:rFonts w:hint="eastAsia" w:cs="Times New Roman" w:hAnsiTheme="minorEastAsia"/>
          <w:color w:val="000000" w:themeColor="text1"/>
        </w:rPr>
        <w:t>万元</w:t>
      </w:r>
      <w:r>
        <w:rPr>
          <w:rFonts w:cs="Times New Roman" w:hAnsiTheme="minorEastAsia"/>
          <w:color w:val="000000" w:themeColor="text1"/>
        </w:rPr>
        <w:t>，占总投资的</w:t>
      </w:r>
      <w:r>
        <w:rPr>
          <w:rFonts w:hint="eastAsia" w:cs="Times New Roman" w:hAnsiTheme="minorEastAsia"/>
          <w:color w:val="000000" w:themeColor="text1"/>
        </w:rPr>
        <w:t>100%</w:t>
      </w:r>
      <w:r>
        <w:rPr>
          <w:rFonts w:cs="Times New Roman" w:hAnsiTheme="minorEastAsia"/>
          <w:color w:val="000000" w:themeColor="text1"/>
        </w:rPr>
        <w:t>。</w:t>
      </w:r>
    </w:p>
    <w:p>
      <w:pPr>
        <w:spacing w:line="360" w:lineRule="auto"/>
        <w:ind w:firstLine="480" w:firstLineChars="200"/>
        <w:rPr>
          <w:rFonts w:hint="eastAsia" w:cs="Times New Roman"/>
          <w:lang w:val="en-US" w:eastAsia="zh-CN"/>
        </w:rPr>
      </w:pPr>
      <w:r>
        <w:rPr>
          <w:rFonts w:hint="default" w:ascii="Times New Roman" w:hAnsi="Times New Roman" w:cs="Times New Roman"/>
        </w:rPr>
        <w:t>项目接纳废水：包含华容县桥东片区生活污水和石伏工业园的工业污水，</w:t>
      </w:r>
      <w:r>
        <w:rPr>
          <w:rFonts w:hint="default" w:ascii="Times New Roman" w:hAnsi="Times New Roman" w:eastAsia="宋体" w:cs="Times New Roman"/>
        </w:rPr>
        <w:t>污水收集范围为8.5km</w:t>
      </w:r>
      <w:r>
        <w:rPr>
          <w:rFonts w:hint="default" w:ascii="Times New Roman" w:hAnsi="Times New Roman" w:eastAsia="宋体" w:cs="Times New Roman"/>
          <w:vertAlign w:val="superscript"/>
        </w:rPr>
        <w:t>2</w:t>
      </w:r>
      <w:r>
        <w:rPr>
          <w:rFonts w:hint="default" w:ascii="Times New Roman" w:hAnsi="Times New Roman" w:eastAsia="宋体" w:cs="Times New Roman"/>
        </w:rPr>
        <w:t>，服务人口8.5万人</w:t>
      </w:r>
      <w:r>
        <w:rPr>
          <w:rFonts w:hint="default" w:ascii="Times New Roman" w:hAnsi="Times New Roman" w:eastAsia="宋体" w:cs="Times New Roman"/>
          <w:u w:val="single"/>
        </w:rPr>
        <w:t>。</w:t>
      </w:r>
      <w:r>
        <w:rPr>
          <w:rFonts w:hint="default" w:ascii="Times New Roman" w:hAnsi="Times New Roman" w:cs="Times New Roman"/>
          <w:u w:val="single"/>
          <w:lang w:val="en-US" w:eastAsia="zh-CN"/>
        </w:rPr>
        <w:t>本项目生活污水的接纳量为16000m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/d、工业污水的接纳量为</w:t>
      </w:r>
      <w:r>
        <w:rPr>
          <w:rFonts w:hint="eastAsia" w:ascii="Times New Roman" w:hAnsi="Times New Roman" w:cs="Times New Roman"/>
          <w:u w:val="single"/>
          <w:lang w:val="en-US" w:eastAsia="zh-CN"/>
        </w:rPr>
        <w:t>2278</w:t>
      </w:r>
      <w:r>
        <w:rPr>
          <w:rFonts w:hint="default" w:ascii="Times New Roman" w:hAnsi="Times New Roman" w:cs="Times New Roman"/>
          <w:u w:val="single"/>
          <w:lang w:val="en-US" w:eastAsia="zh-CN"/>
        </w:rPr>
        <w:t>m</w:t>
      </w:r>
      <w:r>
        <w:rPr>
          <w:rFonts w:hint="default" w:ascii="Times New Roman" w:hAnsi="Times New Roman" w:cs="Times New Roman"/>
          <w:u w:val="single"/>
          <w:vertAlign w:val="superscript"/>
          <w:lang w:val="en-US" w:eastAsia="zh-CN"/>
        </w:rPr>
        <w:t>3</w:t>
      </w:r>
      <w:r>
        <w:rPr>
          <w:rFonts w:hint="default" w:ascii="Times New Roman" w:hAnsi="Times New Roman" w:cs="Times New Roman"/>
          <w:u w:val="single"/>
          <w:lang w:val="en-US" w:eastAsia="zh-CN"/>
        </w:rPr>
        <w:t>/d</w:t>
      </w:r>
      <w:r>
        <w:rPr>
          <w:rFonts w:hint="eastAsia" w:cs="Times New Roman"/>
          <w:u w:val="single"/>
          <w:lang w:val="en-US" w:eastAsia="zh-CN"/>
        </w:rPr>
        <w:t>，则工业废水的接纳比例为1:8.7，桥东污水处理厂不得接入印染类的企业的废水和涉及重金属排放的企业的废水。</w:t>
      </w:r>
    </w:p>
    <w:p>
      <w:pPr>
        <w:spacing w:line="360" w:lineRule="auto"/>
        <w:ind w:firstLine="480" w:firstLineChars="200"/>
        <w:rPr>
          <w:u w:val="single"/>
        </w:rPr>
      </w:pPr>
      <w:r>
        <w:rPr>
          <w:rFonts w:hint="eastAsia" w:asciiTheme="minorEastAsia" w:hAnsiTheme="minorEastAsia"/>
          <w:u w:val="single"/>
        </w:rPr>
        <w:t>项目排污口：本项目排污口设置于华容河，</w:t>
      </w:r>
      <w:r>
        <w:rPr>
          <w:rFonts w:cs="Times New Roman"/>
          <w:color w:val="000000" w:themeColor="text1"/>
          <w:szCs w:val="24"/>
          <w:u w:val="single"/>
        </w:rPr>
        <w:t>废水经过处理达到《城镇污水处理厂污染物排放标准》（GB18918-2002）中的一级A标准</w:t>
      </w:r>
      <w:r>
        <w:rPr>
          <w:rFonts w:hint="eastAsia" w:cs="Times New Roman"/>
          <w:color w:val="000000" w:themeColor="text1"/>
          <w:szCs w:val="24"/>
          <w:u w:val="single"/>
        </w:rPr>
        <w:t>后再排入华容河，</w:t>
      </w:r>
      <w:r>
        <w:rPr>
          <w:rFonts w:hint="eastAsia"/>
          <w:color w:val="000000" w:themeColor="text1"/>
          <w:u w:val="single"/>
        </w:rPr>
        <w:t>根据入河排污口设置认证报告（已编制）项目污水排放口设置于华容河。</w:t>
      </w:r>
    </w:p>
    <w:p>
      <w:pPr>
        <w:pStyle w:val="5"/>
        <w:rPr>
          <w:kern w:val="44"/>
        </w:rPr>
      </w:pPr>
      <w:bookmarkStart w:id="103" w:name="_Toc532376152"/>
      <w:bookmarkStart w:id="104" w:name="_Toc532497636"/>
      <w:bookmarkStart w:id="105" w:name="_Toc532498745"/>
      <w:bookmarkStart w:id="106" w:name="_Toc532763209"/>
      <w:r>
        <w:rPr>
          <w:rFonts w:hint="eastAsia"/>
          <w:kern w:val="44"/>
        </w:rPr>
        <w:t>项目基础设施建设情况</w:t>
      </w:r>
    </w:p>
    <w:p>
      <w:pPr>
        <w:spacing w:line="360" w:lineRule="auto"/>
        <w:ind w:firstLine="480" w:firstLineChars="200"/>
      </w:pPr>
      <w:r>
        <w:rPr>
          <w:rFonts w:hint="eastAsia"/>
        </w:rPr>
        <w:t>根据项目设计可知，本项目建设情况见下表所示。</w:t>
      </w:r>
    </w:p>
    <w:p>
      <w:pPr>
        <w:widowControl/>
        <w:jc w:val="left"/>
      </w:pPr>
    </w:p>
    <w:p>
      <w:pPr>
        <w:widowControl/>
        <w:jc w:val="left"/>
        <w:sectPr>
          <w:pgSz w:w="11906" w:h="16838"/>
          <w:pgMar w:top="1440" w:right="1440" w:bottom="1440" w:left="1440" w:header="851" w:footer="680" w:gutter="0"/>
          <w:pgBorders>
            <w:top w:val="none" w:sz="0" w:space="0"/>
            <w:left w:val="none" w:sz="0" w:space="0"/>
            <w:bottom w:val="none" w:sz="0" w:space="0"/>
            <w:right w:val="none" w:sz="0" w:space="0"/>
          </w:pgBorders>
          <w:cols w:space="425" w:num="1"/>
          <w:docGrid w:type="lines" w:linePitch="326" w:charSpace="0"/>
        </w:sectPr>
      </w:pPr>
    </w:p>
    <w:p>
      <w:pPr>
        <w:pStyle w:val="127"/>
        <w:rPr>
          <w:sz w:val="24"/>
          <w:szCs w:val="24"/>
        </w:rPr>
      </w:pPr>
      <w:r>
        <w:rPr>
          <w:rFonts w:hint="eastAsia"/>
          <w:sz w:val="24"/>
          <w:szCs w:val="24"/>
        </w:rPr>
        <w:t>表</w:t>
      </w:r>
      <w:r>
        <w:rPr>
          <w:sz w:val="24"/>
          <w:szCs w:val="24"/>
        </w:rPr>
        <w:fldChar w:fldCharType="begin"/>
      </w:r>
      <w:r>
        <w:rPr>
          <w:rFonts w:hint="eastAsia"/>
          <w:sz w:val="24"/>
          <w:szCs w:val="24"/>
        </w:rPr>
        <w:instrText xml:space="preserve">STYLEREF 2 \s</w:instrText>
      </w:r>
      <w:r>
        <w:rPr>
          <w:sz w:val="24"/>
          <w:szCs w:val="24"/>
        </w:rPr>
        <w:fldChar w:fldCharType="separate"/>
      </w:r>
      <w:r>
        <w:rPr>
          <w:sz w:val="24"/>
          <w:szCs w:val="24"/>
        </w:rPr>
        <w:t>2.1</w:t>
      </w:r>
      <w:r>
        <w:rPr>
          <w:sz w:val="24"/>
          <w:szCs w:val="24"/>
        </w:rPr>
        <w:fldChar w:fldCharType="end"/>
      </w:r>
      <w:r>
        <w:rPr>
          <w:sz w:val="24"/>
          <w:szCs w:val="24"/>
        </w:rPr>
        <w:noBreakHyphen/>
      </w:r>
      <w:r>
        <w:rPr>
          <w:sz w:val="24"/>
          <w:szCs w:val="24"/>
        </w:rPr>
        <w:fldChar w:fldCharType="begin"/>
      </w:r>
      <w:r>
        <w:rPr>
          <w:rFonts w:hint="eastAsia"/>
          <w:sz w:val="24"/>
          <w:szCs w:val="24"/>
        </w:rPr>
        <w:instrText xml:space="preserve">SEQ 表 \* ARABIC \s 2</w:instrText>
      </w:r>
      <w:r>
        <w:rPr>
          <w:sz w:val="24"/>
          <w:szCs w:val="24"/>
        </w:rPr>
        <w:fldChar w:fldCharType="separate"/>
      </w:r>
      <w:r>
        <w:rPr>
          <w:rFonts w:hint="eastAsia"/>
          <w:sz w:val="24"/>
          <w:szCs w:val="24"/>
        </w:rPr>
        <w:t>1</w:t>
      </w:r>
      <w:r>
        <w:rPr>
          <w:sz w:val="24"/>
          <w:szCs w:val="24"/>
        </w:rPr>
        <w:fldChar w:fldCharType="end"/>
      </w:r>
      <w:r>
        <w:rPr>
          <w:rFonts w:hint="eastAsia"/>
          <w:sz w:val="24"/>
          <w:szCs w:val="24"/>
        </w:rPr>
        <w:t>项目基本情况一览表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55"/>
        <w:gridCol w:w="762"/>
        <w:gridCol w:w="2770"/>
        <w:gridCol w:w="3186"/>
        <w:gridCol w:w="13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Align w:val="center"/>
          </w:tcPr>
          <w:p>
            <w:pPr>
              <w:pStyle w:val="122"/>
              <w:rPr>
                <w:rFonts w:cs="Times New Roman"/>
                <w:szCs w:val="21"/>
              </w:rPr>
            </w:pPr>
            <w:r>
              <w:rPr>
                <w:rFonts w:cs="Times New Roman"/>
                <w:szCs w:val="21"/>
              </w:rPr>
              <w:t>工程类别</w:t>
            </w:r>
          </w:p>
        </w:tc>
        <w:tc>
          <w:tcPr>
            <w:tcW w:w="409" w:type="pct"/>
            <w:vAlign w:val="center"/>
          </w:tcPr>
          <w:p>
            <w:pPr>
              <w:pStyle w:val="122"/>
              <w:rPr>
                <w:rFonts w:cs="Times New Roman"/>
                <w:szCs w:val="21"/>
              </w:rPr>
            </w:pPr>
            <w:r>
              <w:rPr>
                <w:rFonts w:cs="Times New Roman"/>
                <w:szCs w:val="21"/>
              </w:rPr>
              <w:t>工程名称</w:t>
            </w:r>
          </w:p>
        </w:tc>
        <w:tc>
          <w:tcPr>
            <w:tcW w:w="1910" w:type="pct"/>
            <w:gridSpan w:val="2"/>
            <w:vAlign w:val="center"/>
          </w:tcPr>
          <w:p>
            <w:pPr>
              <w:pStyle w:val="122"/>
              <w:rPr>
                <w:rFonts w:cs="Times New Roman"/>
                <w:szCs w:val="21"/>
              </w:rPr>
            </w:pPr>
            <w:r>
              <w:rPr>
                <w:rFonts w:cs="Times New Roman"/>
                <w:szCs w:val="21"/>
              </w:rPr>
              <w:t>占地面积（m</w:t>
            </w:r>
            <w:r>
              <w:rPr>
                <w:rFonts w:cs="Times New Roman"/>
                <w:szCs w:val="21"/>
                <w:vertAlign w:val="superscript"/>
              </w:rPr>
              <w:t>2</w:t>
            </w:r>
            <w:r>
              <w:rPr>
                <w:rFonts w:cs="Times New Roman"/>
                <w:szCs w:val="21"/>
              </w:rPr>
              <w:t>）</w:t>
            </w:r>
          </w:p>
        </w:tc>
        <w:tc>
          <w:tcPr>
            <w:tcW w:w="1722" w:type="pct"/>
            <w:vAlign w:val="center"/>
          </w:tcPr>
          <w:p>
            <w:pPr>
              <w:pStyle w:val="122"/>
              <w:rPr>
                <w:rFonts w:cs="Times New Roman"/>
                <w:szCs w:val="21"/>
              </w:rPr>
            </w:pPr>
            <w:r>
              <w:rPr>
                <w:rFonts w:cs="Times New Roman"/>
                <w:szCs w:val="21"/>
              </w:rPr>
              <w:t>情况说明</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vAlign w:val="center"/>
          </w:tcPr>
          <w:p>
            <w:pPr>
              <w:pStyle w:val="122"/>
              <w:rPr>
                <w:rFonts w:cs="Times New Roman"/>
                <w:szCs w:val="21"/>
              </w:rPr>
            </w:pPr>
            <w:r>
              <w:rPr>
                <w:rFonts w:cs="Times New Roman"/>
                <w:szCs w:val="21"/>
              </w:rPr>
              <w:t>主体</w:t>
            </w:r>
          </w:p>
          <w:p>
            <w:pPr>
              <w:pStyle w:val="122"/>
              <w:rPr>
                <w:rFonts w:cs="Times New Roman"/>
                <w:szCs w:val="21"/>
              </w:rPr>
            </w:pPr>
            <w:r>
              <w:rPr>
                <w:rFonts w:cs="Times New Roman"/>
                <w:szCs w:val="21"/>
              </w:rPr>
              <w:t>工程</w:t>
            </w:r>
          </w:p>
        </w:tc>
        <w:tc>
          <w:tcPr>
            <w:tcW w:w="409" w:type="pct"/>
            <w:vAlign w:val="center"/>
          </w:tcPr>
          <w:p>
            <w:pPr>
              <w:pStyle w:val="122"/>
              <w:rPr>
                <w:rFonts w:cs="Times New Roman"/>
                <w:szCs w:val="21"/>
              </w:rPr>
            </w:pPr>
            <w:r>
              <w:rPr>
                <w:rFonts w:cs="Times New Roman"/>
                <w:szCs w:val="21"/>
              </w:rPr>
              <w:t>粗格栅及提升泵房</w:t>
            </w:r>
          </w:p>
        </w:tc>
        <w:tc>
          <w:tcPr>
            <w:tcW w:w="1910" w:type="pct"/>
            <w:gridSpan w:val="2"/>
            <w:vAlign w:val="center"/>
          </w:tcPr>
          <w:p>
            <w:pPr>
              <w:pStyle w:val="122"/>
              <w:rPr>
                <w:rFonts w:cs="Times New Roman"/>
                <w:szCs w:val="21"/>
              </w:rPr>
            </w:pPr>
            <w:r>
              <w:rPr>
                <w:rFonts w:cs="Times New Roman"/>
                <w:szCs w:val="21"/>
              </w:rPr>
              <w:t>L×B ×H=</w:t>
            </w:r>
            <w:r>
              <w:rPr>
                <w:rFonts w:hint="eastAsia" w:cs="Times New Roman"/>
                <w:szCs w:val="21"/>
              </w:rPr>
              <w:t>23.7</w:t>
            </w:r>
            <w:r>
              <w:rPr>
                <w:rFonts w:cs="Times New Roman"/>
                <w:szCs w:val="21"/>
              </w:rPr>
              <w:t>m×</w:t>
            </w:r>
            <w:r>
              <w:rPr>
                <w:rFonts w:hint="eastAsia" w:cs="Times New Roman"/>
                <w:szCs w:val="21"/>
              </w:rPr>
              <w:t>12.9</w:t>
            </w:r>
            <w:r>
              <w:rPr>
                <w:rFonts w:cs="Times New Roman"/>
                <w:szCs w:val="21"/>
              </w:rPr>
              <w:t>m×</w:t>
            </w:r>
            <w:r>
              <w:rPr>
                <w:rFonts w:hint="eastAsia" w:cs="Times New Roman"/>
                <w:szCs w:val="21"/>
              </w:rPr>
              <w:t>9.4</w:t>
            </w:r>
            <w:r>
              <w:rPr>
                <w:rFonts w:cs="Times New Roman"/>
                <w:szCs w:val="21"/>
              </w:rPr>
              <w:t>m</w:t>
            </w:r>
          </w:p>
        </w:tc>
        <w:tc>
          <w:tcPr>
            <w:tcW w:w="1722" w:type="pct"/>
            <w:vAlign w:val="center"/>
          </w:tcPr>
          <w:p>
            <w:pPr>
              <w:pStyle w:val="122"/>
              <w:rPr>
                <w:rFonts w:cs="Times New Roman"/>
                <w:szCs w:val="21"/>
              </w:rPr>
            </w:pPr>
            <w:r>
              <w:rPr>
                <w:rFonts w:cs="Times New Roman"/>
                <w:szCs w:val="21"/>
              </w:rPr>
              <w:t>去除水中大的悬浮物</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szCs w:val="21"/>
              </w:rPr>
            </w:pPr>
            <w:r>
              <w:rPr>
                <w:rFonts w:cs="Times New Roman"/>
                <w:color w:val="000000" w:themeColor="text1"/>
                <w:szCs w:val="21"/>
              </w:rPr>
              <w:t>细格栅及</w:t>
            </w:r>
            <w:r>
              <w:rPr>
                <w:rFonts w:hint="eastAsia" w:cs="Times New Roman"/>
                <w:color w:val="000000" w:themeColor="text1"/>
                <w:szCs w:val="21"/>
              </w:rPr>
              <w:t>平</w:t>
            </w:r>
            <w:r>
              <w:rPr>
                <w:rFonts w:cs="Times New Roman"/>
                <w:color w:val="000000" w:themeColor="text1"/>
                <w:szCs w:val="21"/>
              </w:rPr>
              <w:t>流沉砂池</w:t>
            </w:r>
          </w:p>
        </w:tc>
        <w:tc>
          <w:tcPr>
            <w:tcW w:w="1910" w:type="pct"/>
            <w:gridSpan w:val="2"/>
            <w:vAlign w:val="center"/>
          </w:tcPr>
          <w:p>
            <w:pPr>
              <w:ind w:left="-36" w:leftChars="-28" w:right="-118" w:rightChars="-49" w:hanging="31" w:hangingChars="15"/>
              <w:jc w:val="center"/>
              <w:rPr>
                <w:rFonts w:cs="Times New Roman"/>
                <w:sz w:val="21"/>
              </w:rPr>
            </w:pPr>
            <w:r>
              <w:rPr>
                <w:rFonts w:cs="Times New Roman"/>
                <w:sz w:val="21"/>
              </w:rPr>
              <w:t>L×B×H=</w:t>
            </w:r>
            <w:r>
              <w:rPr>
                <w:rFonts w:hint="eastAsia" w:cs="Times New Roman"/>
                <w:sz w:val="21"/>
              </w:rPr>
              <w:t>42.925</w:t>
            </w:r>
            <w:r>
              <w:rPr>
                <w:rFonts w:cs="Times New Roman"/>
                <w:sz w:val="21"/>
              </w:rPr>
              <w:t>m×</w:t>
            </w:r>
            <w:r>
              <w:rPr>
                <w:rFonts w:hint="eastAsia" w:cs="Times New Roman"/>
                <w:sz w:val="21"/>
              </w:rPr>
              <w:t>6.575</w:t>
            </w:r>
            <w:r>
              <w:rPr>
                <w:rFonts w:cs="Times New Roman"/>
                <w:sz w:val="21"/>
              </w:rPr>
              <w:t>m×</w:t>
            </w:r>
            <w:r>
              <w:rPr>
                <w:rFonts w:hint="eastAsia" w:cs="Times New Roman"/>
                <w:sz w:val="21"/>
              </w:rPr>
              <w:t>3.85</w:t>
            </w:r>
            <w:r>
              <w:rPr>
                <w:rFonts w:cs="Times New Roman"/>
                <w:sz w:val="21"/>
              </w:rPr>
              <w:t>m</w:t>
            </w:r>
          </w:p>
        </w:tc>
        <w:tc>
          <w:tcPr>
            <w:tcW w:w="1722" w:type="pct"/>
            <w:vAlign w:val="center"/>
          </w:tcPr>
          <w:p>
            <w:pPr>
              <w:pStyle w:val="122"/>
              <w:rPr>
                <w:rFonts w:cs="Times New Roman"/>
                <w:szCs w:val="21"/>
              </w:rPr>
            </w:pPr>
            <w:r>
              <w:rPr>
                <w:rFonts w:cs="Times New Roman"/>
                <w:szCs w:val="21"/>
              </w:rPr>
              <w:t>去除水中微小悬浮物</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30" w:type="pct"/>
            <w:vMerge w:val="continue"/>
            <w:vAlign w:val="center"/>
          </w:tcPr>
          <w:p>
            <w:pPr>
              <w:pStyle w:val="122"/>
              <w:rPr>
                <w:rFonts w:cs="Times New Roman"/>
                <w:szCs w:val="21"/>
              </w:rPr>
            </w:pPr>
          </w:p>
        </w:tc>
        <w:tc>
          <w:tcPr>
            <w:tcW w:w="409" w:type="pct"/>
            <w:vMerge w:val="restart"/>
            <w:vAlign w:val="center"/>
          </w:tcPr>
          <w:p>
            <w:pPr>
              <w:pStyle w:val="122"/>
              <w:rPr>
                <w:rFonts w:cs="Times New Roman"/>
                <w:szCs w:val="21"/>
              </w:rPr>
            </w:pPr>
            <w:r>
              <w:rPr>
                <w:rFonts w:cs="Times New Roman"/>
                <w:szCs w:val="21"/>
              </w:rPr>
              <w:t>组合池</w:t>
            </w:r>
          </w:p>
        </w:tc>
        <w:tc>
          <w:tcPr>
            <w:tcW w:w="412" w:type="pct"/>
            <w:vAlign w:val="center"/>
          </w:tcPr>
          <w:p>
            <w:pPr>
              <w:pStyle w:val="122"/>
              <w:rPr>
                <w:rFonts w:cs="Times New Roman"/>
                <w:szCs w:val="21"/>
              </w:rPr>
            </w:pPr>
            <w:r>
              <w:rPr>
                <w:rFonts w:cs="Times New Roman"/>
                <w:szCs w:val="21"/>
              </w:rPr>
              <w:t>水解酸化池</w:t>
            </w:r>
          </w:p>
        </w:tc>
        <w:tc>
          <w:tcPr>
            <w:tcW w:w="1498" w:type="pct"/>
            <w:vMerge w:val="restart"/>
            <w:vAlign w:val="center"/>
          </w:tcPr>
          <w:p>
            <w:pPr>
              <w:pStyle w:val="122"/>
              <w:rPr>
                <w:rFonts w:cs="Times New Roman"/>
                <w:color w:val="FF0000"/>
                <w:szCs w:val="21"/>
              </w:rPr>
            </w:pPr>
            <w:r>
              <w:rPr>
                <w:rFonts w:cs="Times New Roman"/>
              </w:rPr>
              <w:t>L×B×H=</w:t>
            </w:r>
            <w:r>
              <w:rPr>
                <w:rFonts w:hint="eastAsia" w:cs="Times New Roman"/>
              </w:rPr>
              <w:t>115.88</w:t>
            </w:r>
            <w:r>
              <w:rPr>
                <w:rFonts w:cs="Times New Roman"/>
              </w:rPr>
              <w:t>m×</w:t>
            </w:r>
            <w:r>
              <w:rPr>
                <w:rFonts w:hint="eastAsia" w:cs="Times New Roman"/>
              </w:rPr>
              <w:t>35.7</w:t>
            </w:r>
            <w:r>
              <w:rPr>
                <w:rFonts w:cs="Times New Roman"/>
              </w:rPr>
              <w:t>m×</w:t>
            </w:r>
            <w:r>
              <w:rPr>
                <w:rFonts w:hint="eastAsia" w:cs="Times New Roman"/>
              </w:rPr>
              <w:t>7</w:t>
            </w:r>
            <w:r>
              <w:rPr>
                <w:rFonts w:cs="Times New Roman"/>
              </w:rPr>
              <w:t>m</w:t>
            </w:r>
          </w:p>
        </w:tc>
        <w:tc>
          <w:tcPr>
            <w:tcW w:w="1722" w:type="pct"/>
            <w:vAlign w:val="center"/>
          </w:tcPr>
          <w:p>
            <w:pPr>
              <w:pStyle w:val="137"/>
            </w:pPr>
            <w:r>
              <w:t>将大分子物质转化为小分子物质</w:t>
            </w:r>
            <w:r>
              <w:rPr>
                <w:rFonts w:hint="eastAsia"/>
              </w:rPr>
              <w:t>，</w:t>
            </w:r>
            <w:r>
              <w:t>将环状结构转化为链状结构</w:t>
            </w:r>
            <w:r>
              <w:rPr>
                <w:rFonts w:hint="eastAsia"/>
              </w:rPr>
              <w:t>，</w:t>
            </w:r>
            <w:r>
              <w:t>进一步提高了废水的</w:t>
            </w:r>
            <w:r>
              <w:rPr>
                <w:rFonts w:hint="eastAsia"/>
              </w:rPr>
              <w:t>BOD/COD比，增加了废水的可生化性，为后续的好氧生化处理创造条件</w:t>
            </w:r>
          </w:p>
        </w:tc>
        <w:tc>
          <w:tcPr>
            <w:tcW w:w="726" w:type="pct"/>
            <w:vMerge w:val="restar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30" w:type="pct"/>
            <w:vMerge w:val="continue"/>
            <w:vAlign w:val="center"/>
          </w:tcPr>
          <w:p>
            <w:pPr>
              <w:pStyle w:val="122"/>
              <w:rPr>
                <w:rFonts w:cs="Times New Roman"/>
                <w:szCs w:val="21"/>
              </w:rPr>
            </w:pPr>
          </w:p>
        </w:tc>
        <w:tc>
          <w:tcPr>
            <w:tcW w:w="409" w:type="pct"/>
            <w:vMerge w:val="continue"/>
            <w:vAlign w:val="center"/>
          </w:tcPr>
          <w:p>
            <w:pPr>
              <w:pStyle w:val="122"/>
              <w:rPr>
                <w:rFonts w:cs="Times New Roman"/>
                <w:szCs w:val="21"/>
              </w:rPr>
            </w:pPr>
          </w:p>
        </w:tc>
        <w:tc>
          <w:tcPr>
            <w:tcW w:w="412" w:type="pct"/>
            <w:vAlign w:val="center"/>
          </w:tcPr>
          <w:p>
            <w:pPr>
              <w:pStyle w:val="122"/>
              <w:rPr>
                <w:rFonts w:cs="Times New Roman"/>
                <w:szCs w:val="21"/>
              </w:rPr>
            </w:pPr>
            <w:r>
              <w:rPr>
                <w:rFonts w:cs="Times New Roman"/>
                <w:szCs w:val="21"/>
              </w:rPr>
              <w:t>AAO生物池</w:t>
            </w:r>
          </w:p>
        </w:tc>
        <w:tc>
          <w:tcPr>
            <w:tcW w:w="1498" w:type="pct"/>
            <w:vMerge w:val="continue"/>
            <w:vAlign w:val="center"/>
          </w:tcPr>
          <w:p>
            <w:pPr>
              <w:pStyle w:val="122"/>
              <w:rPr>
                <w:rFonts w:cs="Times New Roman"/>
                <w:color w:val="000000" w:themeColor="text1"/>
                <w:szCs w:val="21"/>
              </w:rPr>
            </w:pPr>
          </w:p>
        </w:tc>
        <w:tc>
          <w:tcPr>
            <w:tcW w:w="1722" w:type="pct"/>
            <w:vAlign w:val="center"/>
          </w:tcPr>
          <w:p>
            <w:pPr>
              <w:pStyle w:val="137"/>
            </w:pPr>
            <w:r>
              <w:t>去除有机物及脱氮除磷功能</w:t>
            </w:r>
          </w:p>
        </w:tc>
        <w:tc>
          <w:tcPr>
            <w:tcW w:w="726" w:type="pct"/>
            <w:vMerge w:val="continue"/>
            <w:vAlign w:val="center"/>
          </w:tcPr>
          <w:p>
            <w:pPr>
              <w:pStyle w:val="122"/>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30" w:type="pct"/>
            <w:vMerge w:val="continue"/>
            <w:vAlign w:val="center"/>
          </w:tcPr>
          <w:p>
            <w:pPr>
              <w:pStyle w:val="122"/>
              <w:rPr>
                <w:rFonts w:cs="Times New Roman"/>
                <w:szCs w:val="21"/>
              </w:rPr>
            </w:pPr>
          </w:p>
        </w:tc>
        <w:tc>
          <w:tcPr>
            <w:tcW w:w="409" w:type="pct"/>
            <w:vMerge w:val="continue"/>
            <w:vAlign w:val="center"/>
          </w:tcPr>
          <w:p>
            <w:pPr>
              <w:pStyle w:val="122"/>
              <w:rPr>
                <w:rFonts w:cs="Times New Roman"/>
                <w:szCs w:val="21"/>
              </w:rPr>
            </w:pPr>
          </w:p>
        </w:tc>
        <w:tc>
          <w:tcPr>
            <w:tcW w:w="412" w:type="pct"/>
            <w:vAlign w:val="center"/>
          </w:tcPr>
          <w:p>
            <w:pPr>
              <w:pStyle w:val="122"/>
              <w:rPr>
                <w:rFonts w:cs="Times New Roman"/>
                <w:szCs w:val="21"/>
              </w:rPr>
            </w:pPr>
            <w:r>
              <w:rPr>
                <w:rFonts w:cs="Times New Roman"/>
                <w:szCs w:val="21"/>
              </w:rPr>
              <w:t>二沉池</w:t>
            </w:r>
          </w:p>
        </w:tc>
        <w:tc>
          <w:tcPr>
            <w:tcW w:w="1498" w:type="pct"/>
            <w:vMerge w:val="continue"/>
          </w:tcPr>
          <w:p>
            <w:pPr>
              <w:pStyle w:val="122"/>
              <w:rPr>
                <w:color w:val="000000" w:themeColor="text1"/>
                <w:szCs w:val="21"/>
              </w:rPr>
            </w:pPr>
          </w:p>
        </w:tc>
        <w:tc>
          <w:tcPr>
            <w:tcW w:w="1722" w:type="pct"/>
            <w:vAlign w:val="center"/>
          </w:tcPr>
          <w:p>
            <w:pPr>
              <w:pStyle w:val="137"/>
            </w:pPr>
            <w:r>
              <w:rPr>
                <w:rFonts w:hint="eastAsia" w:ascii="宋体" w:hAnsi="宋体"/>
              </w:rPr>
              <w:t>使污泥分离，使混合液澄清、浓缩和回流活性污泥</w:t>
            </w:r>
          </w:p>
        </w:tc>
        <w:tc>
          <w:tcPr>
            <w:tcW w:w="726" w:type="pct"/>
            <w:vMerge w:val="continue"/>
            <w:vAlign w:val="center"/>
          </w:tcPr>
          <w:p>
            <w:pPr>
              <w:pStyle w:val="122"/>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color w:val="000000" w:themeColor="text1"/>
                <w:szCs w:val="21"/>
              </w:rPr>
            </w:pPr>
            <w:r>
              <w:rPr>
                <w:rFonts w:cs="Times New Roman"/>
                <w:color w:val="000000" w:themeColor="text1"/>
                <w:szCs w:val="21"/>
              </w:rPr>
              <w:t>高效沉淀池</w:t>
            </w:r>
          </w:p>
        </w:tc>
        <w:tc>
          <w:tcPr>
            <w:tcW w:w="1910" w:type="pct"/>
            <w:gridSpan w:val="2"/>
            <w:vAlign w:val="center"/>
          </w:tcPr>
          <w:p>
            <w:pPr>
              <w:pStyle w:val="122"/>
              <w:rPr>
                <w:rFonts w:cs="Times New Roman"/>
                <w:color w:val="000000" w:themeColor="text1"/>
                <w:szCs w:val="21"/>
              </w:rPr>
            </w:pPr>
            <w:r>
              <w:rPr>
                <w:rFonts w:cs="Times New Roman"/>
                <w:color w:val="000000" w:themeColor="text1"/>
                <w:szCs w:val="21"/>
              </w:rPr>
              <w:t>L×B×H =</w:t>
            </w:r>
            <w:r>
              <w:rPr>
                <w:rFonts w:hint="eastAsia" w:cs="Times New Roman"/>
                <w:color w:val="000000" w:themeColor="text1"/>
                <w:szCs w:val="21"/>
              </w:rPr>
              <w:t>25.3</w:t>
            </w:r>
            <w:r>
              <w:rPr>
                <w:rFonts w:cs="Times New Roman"/>
                <w:color w:val="000000" w:themeColor="text1"/>
                <w:szCs w:val="21"/>
              </w:rPr>
              <w:t>m×</w:t>
            </w:r>
            <w:r>
              <w:rPr>
                <w:rFonts w:hint="eastAsia" w:cs="Times New Roman"/>
                <w:color w:val="000000" w:themeColor="text1"/>
                <w:szCs w:val="21"/>
              </w:rPr>
              <w:t>14.3</w:t>
            </w:r>
            <w:r>
              <w:rPr>
                <w:rFonts w:cs="Times New Roman"/>
                <w:color w:val="000000" w:themeColor="text1"/>
                <w:szCs w:val="21"/>
              </w:rPr>
              <w:t>m×</w:t>
            </w:r>
            <w:r>
              <w:rPr>
                <w:rFonts w:hint="eastAsia" w:cs="Times New Roman"/>
                <w:color w:val="000000" w:themeColor="text1"/>
                <w:szCs w:val="21"/>
              </w:rPr>
              <w:t>7</w:t>
            </w:r>
            <w:r>
              <w:rPr>
                <w:rFonts w:cs="Times New Roman"/>
                <w:color w:val="000000" w:themeColor="text1"/>
                <w:szCs w:val="21"/>
              </w:rPr>
              <w:t>m</w:t>
            </w:r>
          </w:p>
        </w:tc>
        <w:tc>
          <w:tcPr>
            <w:tcW w:w="1722" w:type="pct"/>
            <w:vAlign w:val="center"/>
          </w:tcPr>
          <w:p>
            <w:pPr>
              <w:pStyle w:val="122"/>
              <w:rPr>
                <w:rFonts w:cs="Times New Roman"/>
                <w:color w:val="000000" w:themeColor="text1"/>
                <w:szCs w:val="21"/>
              </w:rPr>
            </w:pPr>
            <w:r>
              <w:rPr>
                <w:rFonts w:cs="Times New Roman"/>
                <w:color w:val="000000" w:themeColor="text1"/>
                <w:szCs w:val="21"/>
              </w:rPr>
              <w:t>进一步通过混凝沉淀降低污水中的污染物质</w:t>
            </w:r>
          </w:p>
        </w:tc>
        <w:tc>
          <w:tcPr>
            <w:tcW w:w="726" w:type="pct"/>
            <w:vAlign w:val="center"/>
          </w:tcPr>
          <w:p>
            <w:pPr>
              <w:pStyle w:val="122"/>
              <w:rPr>
                <w:rFonts w:cs="Times New Roman"/>
                <w:color w:val="000000" w:themeColor="text1"/>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szCs w:val="21"/>
              </w:rPr>
            </w:pPr>
            <w:r>
              <w:rPr>
                <w:rFonts w:cs="Times New Roman"/>
                <w:szCs w:val="21"/>
              </w:rPr>
              <w:t>定盘滤布滤池：</w:t>
            </w:r>
          </w:p>
        </w:tc>
        <w:tc>
          <w:tcPr>
            <w:tcW w:w="1910" w:type="pct"/>
            <w:gridSpan w:val="2"/>
            <w:vAlign w:val="center"/>
          </w:tcPr>
          <w:p>
            <w:pPr>
              <w:pStyle w:val="122"/>
              <w:rPr>
                <w:rFonts w:cs="Times New Roman"/>
                <w:szCs w:val="21"/>
              </w:rPr>
            </w:pPr>
            <w:r>
              <w:rPr>
                <w:rFonts w:cs="Times New Roman"/>
                <w:szCs w:val="21"/>
              </w:rPr>
              <w:t>L×B×H =</w:t>
            </w:r>
            <w:r>
              <w:rPr>
                <w:rFonts w:hint="eastAsia" w:cs="Times New Roman"/>
                <w:szCs w:val="21"/>
              </w:rPr>
              <w:t>13.1</w:t>
            </w:r>
            <w:r>
              <w:rPr>
                <w:rFonts w:cs="Times New Roman"/>
                <w:szCs w:val="21"/>
              </w:rPr>
              <w:t>m×</w:t>
            </w:r>
            <w:r>
              <w:rPr>
                <w:rFonts w:hint="eastAsia" w:cs="Times New Roman"/>
                <w:szCs w:val="21"/>
              </w:rPr>
              <w:t>10.9</w:t>
            </w:r>
            <w:r>
              <w:rPr>
                <w:rFonts w:cs="Times New Roman"/>
                <w:szCs w:val="21"/>
              </w:rPr>
              <w:t>m×</w:t>
            </w:r>
            <w:r>
              <w:rPr>
                <w:rFonts w:hint="eastAsia" w:cs="Times New Roman"/>
                <w:szCs w:val="21"/>
              </w:rPr>
              <w:t>4.3</w:t>
            </w:r>
            <w:r>
              <w:rPr>
                <w:rFonts w:cs="Times New Roman"/>
                <w:szCs w:val="21"/>
              </w:rPr>
              <w:t>m</w:t>
            </w:r>
          </w:p>
        </w:tc>
        <w:tc>
          <w:tcPr>
            <w:tcW w:w="1722" w:type="pct"/>
            <w:vAlign w:val="center"/>
          </w:tcPr>
          <w:p>
            <w:pPr>
              <w:pStyle w:val="137"/>
            </w:pPr>
            <w:r>
              <w:rPr>
                <w:rFonts w:ascii="宋体" w:hAnsi="宋体"/>
              </w:rPr>
              <w:t>截留前端处理工艺不能去除的细微的絮体颗粒及其他杂质，确保SS稳定达标。</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szCs w:val="21"/>
              </w:rPr>
            </w:pPr>
            <w:r>
              <w:rPr>
                <w:rFonts w:cs="Times New Roman"/>
                <w:szCs w:val="21"/>
              </w:rPr>
              <w:t>接触消毒池</w:t>
            </w:r>
            <w:r>
              <w:rPr>
                <w:rFonts w:hint="eastAsia" w:cs="Times New Roman"/>
                <w:szCs w:val="21"/>
              </w:rPr>
              <w:t>、巴氏计量槽及尾水泵站</w:t>
            </w:r>
          </w:p>
        </w:tc>
        <w:tc>
          <w:tcPr>
            <w:tcW w:w="1910" w:type="pct"/>
            <w:gridSpan w:val="2"/>
            <w:vAlign w:val="center"/>
          </w:tcPr>
          <w:p>
            <w:pPr>
              <w:pStyle w:val="122"/>
              <w:rPr>
                <w:rFonts w:cs="Times New Roman"/>
                <w:szCs w:val="21"/>
              </w:rPr>
            </w:pPr>
            <w:r>
              <w:rPr>
                <w:rFonts w:cs="Times New Roman"/>
                <w:szCs w:val="21"/>
              </w:rPr>
              <w:t>L×B×H =</w:t>
            </w:r>
            <w:r>
              <w:rPr>
                <w:rFonts w:hint="eastAsia" w:cs="Times New Roman"/>
                <w:szCs w:val="21"/>
              </w:rPr>
              <w:t>39.9</w:t>
            </w:r>
            <w:r>
              <w:rPr>
                <w:rFonts w:cs="Times New Roman"/>
                <w:szCs w:val="21"/>
              </w:rPr>
              <w:t>m×</w:t>
            </w:r>
            <w:r>
              <w:rPr>
                <w:rFonts w:hint="eastAsia" w:cs="Times New Roman"/>
                <w:szCs w:val="21"/>
              </w:rPr>
              <w:t>18.6</w:t>
            </w:r>
            <w:r>
              <w:rPr>
                <w:rFonts w:cs="Times New Roman"/>
                <w:szCs w:val="21"/>
              </w:rPr>
              <w:t>m×</w:t>
            </w:r>
            <w:r>
              <w:rPr>
                <w:rFonts w:hint="eastAsia" w:cs="Times New Roman"/>
                <w:szCs w:val="21"/>
              </w:rPr>
              <w:t>6.65</w:t>
            </w:r>
            <w:r>
              <w:rPr>
                <w:rFonts w:cs="Times New Roman"/>
                <w:szCs w:val="21"/>
              </w:rPr>
              <w:t>m</w:t>
            </w:r>
          </w:p>
        </w:tc>
        <w:tc>
          <w:tcPr>
            <w:tcW w:w="1722" w:type="pct"/>
            <w:vAlign w:val="center"/>
          </w:tcPr>
          <w:p>
            <w:pPr>
              <w:pStyle w:val="122"/>
              <w:rPr>
                <w:rFonts w:cs="Times New Roman"/>
                <w:szCs w:val="21"/>
              </w:rPr>
            </w:pPr>
            <w:r>
              <w:rPr>
                <w:rFonts w:cs="Times New Roman"/>
                <w:szCs w:val="21"/>
              </w:rPr>
              <w:t>将过滤后的污水接入加氯接触消毒池进行折点加氯，进一步去除氨氮及消毒，从而满足一级A标准的消毒要求</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szCs w:val="21"/>
              </w:rPr>
            </w:pPr>
            <w:r>
              <w:rPr>
                <w:rFonts w:cs="Times New Roman"/>
                <w:szCs w:val="21"/>
              </w:rPr>
              <w:t>污泥泵站</w:t>
            </w:r>
          </w:p>
        </w:tc>
        <w:tc>
          <w:tcPr>
            <w:tcW w:w="1910" w:type="pct"/>
            <w:gridSpan w:val="2"/>
            <w:vAlign w:val="center"/>
          </w:tcPr>
          <w:p>
            <w:pPr>
              <w:pStyle w:val="122"/>
              <w:rPr>
                <w:rFonts w:cs="Times New Roman"/>
                <w:szCs w:val="21"/>
              </w:rPr>
            </w:pPr>
            <w:r>
              <w:rPr>
                <w:rFonts w:cs="Times New Roman"/>
                <w:szCs w:val="21"/>
              </w:rPr>
              <w:t>L×B×H =</w:t>
            </w:r>
            <w:r>
              <w:rPr>
                <w:rFonts w:hint="eastAsia" w:cs="Times New Roman"/>
                <w:szCs w:val="21"/>
              </w:rPr>
              <w:t>9.99</w:t>
            </w:r>
            <w:r>
              <w:rPr>
                <w:rFonts w:cs="Times New Roman"/>
                <w:szCs w:val="21"/>
              </w:rPr>
              <w:t>m×</w:t>
            </w:r>
            <w:r>
              <w:rPr>
                <w:rFonts w:hint="eastAsia" w:cs="Times New Roman"/>
                <w:szCs w:val="21"/>
              </w:rPr>
              <w:t>7.0</w:t>
            </w:r>
            <w:r>
              <w:rPr>
                <w:rFonts w:cs="Times New Roman"/>
                <w:szCs w:val="21"/>
              </w:rPr>
              <w:t>m×</w:t>
            </w:r>
            <w:r>
              <w:rPr>
                <w:rFonts w:hint="eastAsia" w:cs="Times New Roman"/>
                <w:szCs w:val="21"/>
              </w:rPr>
              <w:t>5.4</w:t>
            </w:r>
            <w:r>
              <w:rPr>
                <w:rFonts w:cs="Times New Roman"/>
                <w:szCs w:val="21"/>
              </w:rPr>
              <w:t>m</w:t>
            </w:r>
          </w:p>
        </w:tc>
        <w:tc>
          <w:tcPr>
            <w:tcW w:w="1722" w:type="pct"/>
            <w:vAlign w:val="center"/>
          </w:tcPr>
          <w:p>
            <w:pPr>
              <w:pStyle w:val="122"/>
              <w:rPr>
                <w:rFonts w:cs="Times New Roman"/>
                <w:szCs w:val="21"/>
              </w:rPr>
            </w:pPr>
            <w:r>
              <w:rPr>
                <w:rFonts w:ascii="宋体" w:hAnsi="宋体"/>
              </w:rPr>
              <w:t>二沉池活性污泥被泵提升至</w:t>
            </w:r>
            <w:r>
              <w:t>AAO</w:t>
            </w:r>
            <w:r>
              <w:rPr>
                <w:rFonts w:ascii="宋体" w:hAnsi="宋体"/>
              </w:rPr>
              <w:t>反应池前的预缺氧池，以提高脱氮除磷效果防止污泥膨胀和维持</w:t>
            </w:r>
            <w:r>
              <w:t>AAO</w:t>
            </w:r>
            <w:r>
              <w:rPr>
                <w:rFonts w:ascii="宋体" w:hAnsi="宋体"/>
              </w:rPr>
              <w:t>反应池内污泥浓度，剩余污泥用泵送至浓缩池，进脱水机房浓缩脱水后外运</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szCs w:val="21"/>
              </w:rPr>
            </w:pPr>
            <w:r>
              <w:rPr>
                <w:rFonts w:cs="Times New Roman"/>
                <w:szCs w:val="21"/>
              </w:rPr>
              <w:t>污泥浓缩池</w:t>
            </w:r>
          </w:p>
        </w:tc>
        <w:tc>
          <w:tcPr>
            <w:tcW w:w="1910" w:type="pct"/>
            <w:gridSpan w:val="2"/>
            <w:vAlign w:val="center"/>
          </w:tcPr>
          <w:p>
            <w:pPr>
              <w:pStyle w:val="122"/>
              <w:rPr>
                <w:rFonts w:cs="Times New Roman"/>
                <w:szCs w:val="21"/>
              </w:rPr>
            </w:pPr>
            <w:r>
              <w:rPr>
                <w:kern w:val="16"/>
                <w:szCs w:val="24"/>
              </w:rPr>
              <w:t>直径14.0m的圆形水池，池深5.47m</w:t>
            </w:r>
          </w:p>
        </w:tc>
        <w:tc>
          <w:tcPr>
            <w:tcW w:w="1722" w:type="pct"/>
            <w:vAlign w:val="center"/>
          </w:tcPr>
          <w:p>
            <w:pPr>
              <w:pStyle w:val="137"/>
            </w:pPr>
            <w:r>
              <w:rPr>
                <w:rFonts w:hint="eastAsia" w:ascii="宋体" w:hAnsi="宋体"/>
              </w:rPr>
              <w:t>减少污泥体积，采用重力浓缩池，并辅以化学除磷</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szCs w:val="21"/>
              </w:rPr>
            </w:pPr>
          </w:p>
        </w:tc>
        <w:tc>
          <w:tcPr>
            <w:tcW w:w="409" w:type="pct"/>
            <w:vAlign w:val="center"/>
          </w:tcPr>
          <w:p>
            <w:pPr>
              <w:pStyle w:val="122"/>
              <w:rPr>
                <w:rFonts w:cs="Times New Roman"/>
                <w:szCs w:val="21"/>
              </w:rPr>
            </w:pPr>
            <w:r>
              <w:rPr>
                <w:rFonts w:cs="Times New Roman"/>
                <w:szCs w:val="21"/>
              </w:rPr>
              <w:t>污泥深度脱水车间及加药间</w:t>
            </w:r>
          </w:p>
        </w:tc>
        <w:tc>
          <w:tcPr>
            <w:tcW w:w="1910" w:type="pct"/>
            <w:gridSpan w:val="2"/>
            <w:vAlign w:val="center"/>
          </w:tcPr>
          <w:p>
            <w:pPr>
              <w:pStyle w:val="122"/>
              <w:rPr>
                <w:rFonts w:cs="Times New Roman"/>
                <w:szCs w:val="21"/>
              </w:rPr>
            </w:pPr>
            <w:r>
              <w:rPr>
                <w:rFonts w:cs="Times New Roman"/>
                <w:szCs w:val="21"/>
              </w:rPr>
              <w:t>L×B×H =</w:t>
            </w:r>
            <w:r>
              <w:rPr>
                <w:rFonts w:hint="eastAsia" w:cs="Times New Roman"/>
                <w:szCs w:val="21"/>
              </w:rPr>
              <w:t>10.5</w:t>
            </w:r>
            <w:r>
              <w:rPr>
                <w:rFonts w:cs="Times New Roman"/>
                <w:szCs w:val="21"/>
              </w:rPr>
              <w:t>m×</w:t>
            </w:r>
            <w:r>
              <w:rPr>
                <w:rFonts w:hint="eastAsia" w:cs="Times New Roman"/>
                <w:szCs w:val="21"/>
              </w:rPr>
              <w:t>12</w:t>
            </w:r>
            <w:r>
              <w:rPr>
                <w:rFonts w:cs="Times New Roman"/>
                <w:szCs w:val="21"/>
              </w:rPr>
              <w:t>m×</w:t>
            </w:r>
            <w:r>
              <w:rPr>
                <w:rFonts w:hint="eastAsia" w:cs="Times New Roman"/>
                <w:szCs w:val="21"/>
              </w:rPr>
              <w:t>14.2</w:t>
            </w:r>
            <w:r>
              <w:rPr>
                <w:rFonts w:cs="Times New Roman"/>
                <w:szCs w:val="21"/>
              </w:rPr>
              <w:t>m</w:t>
            </w:r>
            <w:r>
              <w:rPr>
                <w:rFonts w:hint="eastAsia" w:cs="Times New Roman"/>
                <w:szCs w:val="21"/>
              </w:rPr>
              <w:t>（污泥深度脱水间）、加药间（</w:t>
            </w:r>
            <w:r>
              <w:rPr>
                <w:rFonts w:cs="Times New Roman"/>
                <w:szCs w:val="21"/>
              </w:rPr>
              <w:t>L×B×H =</w:t>
            </w:r>
            <w:r>
              <w:rPr>
                <w:rFonts w:hint="eastAsia" w:cs="Times New Roman"/>
                <w:szCs w:val="21"/>
              </w:rPr>
              <w:t>10.5</w:t>
            </w:r>
            <w:r>
              <w:rPr>
                <w:rFonts w:cs="Times New Roman"/>
                <w:szCs w:val="21"/>
              </w:rPr>
              <w:t>m×</w:t>
            </w:r>
            <w:r>
              <w:rPr>
                <w:rFonts w:hint="eastAsia" w:cs="Times New Roman"/>
                <w:szCs w:val="21"/>
              </w:rPr>
              <w:t>12</w:t>
            </w:r>
            <w:r>
              <w:rPr>
                <w:rFonts w:cs="Times New Roman"/>
                <w:szCs w:val="21"/>
              </w:rPr>
              <w:t>m×</w:t>
            </w:r>
            <w:r>
              <w:rPr>
                <w:rFonts w:hint="eastAsia" w:cs="Times New Roman"/>
                <w:szCs w:val="21"/>
              </w:rPr>
              <w:t>4.5</w:t>
            </w:r>
            <w:r>
              <w:rPr>
                <w:rFonts w:cs="Times New Roman"/>
                <w:szCs w:val="21"/>
              </w:rPr>
              <w:t>m</w:t>
            </w:r>
            <w:r>
              <w:rPr>
                <w:rFonts w:hint="eastAsia" w:cs="Times New Roman"/>
                <w:szCs w:val="21"/>
              </w:rPr>
              <w:t>）</w:t>
            </w:r>
          </w:p>
        </w:tc>
        <w:tc>
          <w:tcPr>
            <w:tcW w:w="1722" w:type="pct"/>
            <w:vAlign w:val="center"/>
          </w:tcPr>
          <w:p>
            <w:pPr>
              <w:pStyle w:val="122"/>
              <w:rPr>
                <w:rFonts w:cs="Times New Roman"/>
                <w:szCs w:val="21"/>
              </w:rPr>
            </w:pPr>
            <w:r>
              <w:rPr>
                <w:rFonts w:cs="Times New Roman"/>
                <w:szCs w:val="21"/>
              </w:rPr>
              <w:t>降低污泥中的含水率</w:t>
            </w:r>
          </w:p>
        </w:tc>
        <w:tc>
          <w:tcPr>
            <w:tcW w:w="726" w:type="pct"/>
            <w:vAlign w:val="center"/>
          </w:tcPr>
          <w:p>
            <w:pPr>
              <w:pStyle w:val="122"/>
              <w:rPr>
                <w:rFonts w:cs="Times New Roman"/>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vAlign w:val="center"/>
          </w:tcPr>
          <w:p>
            <w:pPr>
              <w:pStyle w:val="122"/>
              <w:rPr>
                <w:rFonts w:cs="Times New Roman"/>
                <w:color w:val="000000" w:themeColor="text1"/>
                <w:szCs w:val="21"/>
              </w:rPr>
            </w:pPr>
            <w:r>
              <w:rPr>
                <w:rFonts w:cs="Times New Roman"/>
                <w:color w:val="000000" w:themeColor="text1"/>
                <w:szCs w:val="21"/>
              </w:rPr>
              <w:t>辅助</w:t>
            </w:r>
          </w:p>
          <w:p>
            <w:pPr>
              <w:pStyle w:val="122"/>
              <w:rPr>
                <w:rFonts w:cs="Times New Roman"/>
                <w:color w:val="000000" w:themeColor="text1"/>
                <w:szCs w:val="21"/>
              </w:rPr>
            </w:pPr>
            <w:r>
              <w:rPr>
                <w:rFonts w:cs="Times New Roman"/>
                <w:color w:val="000000" w:themeColor="text1"/>
                <w:szCs w:val="21"/>
              </w:rPr>
              <w:t>工程</w:t>
            </w:r>
          </w:p>
        </w:tc>
        <w:tc>
          <w:tcPr>
            <w:tcW w:w="409" w:type="pct"/>
            <w:vAlign w:val="center"/>
          </w:tcPr>
          <w:p>
            <w:pPr>
              <w:pStyle w:val="122"/>
              <w:rPr>
                <w:rFonts w:cs="Times New Roman"/>
                <w:color w:val="000000" w:themeColor="text1"/>
                <w:szCs w:val="21"/>
              </w:rPr>
            </w:pPr>
            <w:r>
              <w:rPr>
                <w:rFonts w:cs="Times New Roman"/>
                <w:color w:val="000000" w:themeColor="text1"/>
                <w:szCs w:val="21"/>
              </w:rPr>
              <w:t>综合楼</w:t>
            </w:r>
          </w:p>
        </w:tc>
        <w:tc>
          <w:tcPr>
            <w:tcW w:w="1910" w:type="pct"/>
            <w:gridSpan w:val="2"/>
            <w:vAlign w:val="center"/>
          </w:tcPr>
          <w:p>
            <w:pPr>
              <w:pStyle w:val="122"/>
              <w:rPr>
                <w:rFonts w:cs="Times New Roman"/>
                <w:color w:val="000000" w:themeColor="text1"/>
                <w:szCs w:val="21"/>
              </w:rPr>
            </w:pPr>
            <w:r>
              <w:rPr>
                <w:rFonts w:cs="Times New Roman"/>
                <w:color w:val="000000" w:themeColor="text1"/>
                <w:szCs w:val="21"/>
              </w:rPr>
              <w:t>L×B×H =</w:t>
            </w:r>
            <w:r>
              <w:rPr>
                <w:rFonts w:hint="eastAsia" w:cs="Times New Roman"/>
                <w:color w:val="000000" w:themeColor="text1"/>
                <w:szCs w:val="21"/>
              </w:rPr>
              <w:t>39.4</w:t>
            </w:r>
            <w:r>
              <w:rPr>
                <w:rFonts w:cs="Times New Roman"/>
                <w:color w:val="000000" w:themeColor="text1"/>
                <w:szCs w:val="21"/>
              </w:rPr>
              <w:t>m×</w:t>
            </w:r>
            <w:r>
              <w:rPr>
                <w:rFonts w:hint="eastAsia" w:cs="Times New Roman"/>
                <w:color w:val="000000" w:themeColor="text1"/>
                <w:szCs w:val="21"/>
              </w:rPr>
              <w:t>15</w:t>
            </w:r>
            <w:r>
              <w:rPr>
                <w:rFonts w:cs="Times New Roman"/>
                <w:color w:val="000000" w:themeColor="text1"/>
                <w:szCs w:val="21"/>
              </w:rPr>
              <w:t>m×</w:t>
            </w:r>
            <w:r>
              <w:rPr>
                <w:rFonts w:hint="eastAsia" w:cs="Times New Roman"/>
                <w:color w:val="000000" w:themeColor="text1"/>
                <w:szCs w:val="21"/>
              </w:rPr>
              <w:t>12.6</w:t>
            </w:r>
            <w:r>
              <w:rPr>
                <w:rFonts w:cs="Times New Roman"/>
                <w:color w:val="000000" w:themeColor="text1"/>
                <w:szCs w:val="21"/>
              </w:rPr>
              <w:t>m</w:t>
            </w:r>
          </w:p>
        </w:tc>
        <w:tc>
          <w:tcPr>
            <w:tcW w:w="1722" w:type="pct"/>
            <w:vAlign w:val="center"/>
          </w:tcPr>
          <w:p>
            <w:pPr>
              <w:pStyle w:val="122"/>
              <w:rPr>
                <w:rFonts w:cs="Times New Roman"/>
                <w:color w:val="000000" w:themeColor="text1"/>
                <w:szCs w:val="21"/>
              </w:rPr>
            </w:pPr>
            <w:r>
              <w:rPr>
                <w:rFonts w:cs="Times New Roman"/>
                <w:color w:val="000000" w:themeColor="text1"/>
                <w:szCs w:val="21"/>
              </w:rPr>
              <w:t>综合办公</w:t>
            </w:r>
          </w:p>
        </w:tc>
        <w:tc>
          <w:tcPr>
            <w:tcW w:w="726" w:type="pct"/>
            <w:vMerge w:val="restart"/>
            <w:vAlign w:val="center"/>
          </w:tcPr>
          <w:p>
            <w:pPr>
              <w:pStyle w:val="122"/>
              <w:rPr>
                <w:rFonts w:cs="Times New Roman"/>
                <w:color w:val="000000" w:themeColor="text1"/>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122"/>
              <w:rPr>
                <w:rFonts w:cs="Times New Roman"/>
                <w:color w:val="000000" w:themeColor="text1"/>
                <w:szCs w:val="21"/>
              </w:rPr>
            </w:pPr>
            <w:r>
              <w:rPr>
                <w:rFonts w:cs="Times New Roman"/>
                <w:color w:val="000000" w:themeColor="text1"/>
                <w:szCs w:val="21"/>
              </w:rPr>
              <w:t>鼓风机房及变配电间</w:t>
            </w:r>
            <w:r>
              <w:rPr>
                <w:rFonts w:hint="eastAsia" w:cs="Times New Roman"/>
                <w:color w:val="000000" w:themeColor="text1"/>
                <w:szCs w:val="21"/>
              </w:rPr>
              <w:t>、</w:t>
            </w:r>
            <w:r>
              <w:rPr>
                <w:rFonts w:cs="Times New Roman"/>
                <w:color w:val="000000" w:themeColor="text1"/>
                <w:szCs w:val="21"/>
              </w:rPr>
              <w:t>机修</w:t>
            </w:r>
          </w:p>
        </w:tc>
        <w:tc>
          <w:tcPr>
            <w:tcW w:w="1910" w:type="pct"/>
            <w:gridSpan w:val="2"/>
            <w:vAlign w:val="center"/>
          </w:tcPr>
          <w:p>
            <w:pPr>
              <w:pStyle w:val="122"/>
              <w:rPr>
                <w:rFonts w:cs="Times New Roman"/>
                <w:color w:val="000000" w:themeColor="text1"/>
                <w:szCs w:val="21"/>
              </w:rPr>
            </w:pPr>
            <w:r>
              <w:rPr>
                <w:rFonts w:cs="Times New Roman"/>
                <w:color w:val="000000" w:themeColor="text1"/>
                <w:szCs w:val="21"/>
              </w:rPr>
              <w:t>L×B×H =</w:t>
            </w:r>
            <w:r>
              <w:rPr>
                <w:rFonts w:hint="eastAsia" w:cs="Times New Roman"/>
                <w:color w:val="000000" w:themeColor="text1"/>
                <w:szCs w:val="21"/>
              </w:rPr>
              <w:t>43.3</w:t>
            </w:r>
            <w:r>
              <w:rPr>
                <w:rFonts w:cs="Times New Roman"/>
                <w:color w:val="000000" w:themeColor="text1"/>
                <w:szCs w:val="21"/>
              </w:rPr>
              <w:t>m×</w:t>
            </w:r>
            <w:r>
              <w:rPr>
                <w:rFonts w:hint="eastAsia" w:cs="Times New Roman"/>
                <w:color w:val="000000" w:themeColor="text1"/>
                <w:szCs w:val="21"/>
              </w:rPr>
              <w:t>13.8</w:t>
            </w:r>
            <w:r>
              <w:rPr>
                <w:rFonts w:cs="Times New Roman"/>
                <w:color w:val="000000" w:themeColor="text1"/>
                <w:szCs w:val="21"/>
              </w:rPr>
              <w:t>m×</w:t>
            </w:r>
            <w:r>
              <w:rPr>
                <w:rFonts w:hint="eastAsia" w:cs="Times New Roman"/>
                <w:color w:val="000000" w:themeColor="text1"/>
                <w:szCs w:val="21"/>
              </w:rPr>
              <w:t>6.2</w:t>
            </w:r>
            <w:r>
              <w:rPr>
                <w:rFonts w:cs="Times New Roman"/>
                <w:color w:val="000000" w:themeColor="text1"/>
                <w:szCs w:val="21"/>
              </w:rPr>
              <w:t>m</w:t>
            </w:r>
          </w:p>
        </w:tc>
        <w:tc>
          <w:tcPr>
            <w:tcW w:w="1722" w:type="pct"/>
            <w:vAlign w:val="center"/>
          </w:tcPr>
          <w:p>
            <w:pPr>
              <w:pStyle w:val="122"/>
              <w:rPr>
                <w:rFonts w:cs="Times New Roman"/>
                <w:color w:val="000000" w:themeColor="text1"/>
                <w:szCs w:val="21"/>
              </w:rPr>
            </w:pPr>
            <w:r>
              <w:rPr>
                <w:rFonts w:hint="eastAsia" w:cs="Times New Roman"/>
                <w:color w:val="000000" w:themeColor="text1"/>
                <w:szCs w:val="21"/>
              </w:rPr>
              <w:t>鼓风、</w:t>
            </w:r>
            <w:r>
              <w:rPr>
                <w:rFonts w:cs="Times New Roman"/>
                <w:color w:val="000000" w:themeColor="text1"/>
                <w:szCs w:val="21"/>
              </w:rPr>
              <w:t>配电、机修</w:t>
            </w:r>
          </w:p>
        </w:tc>
        <w:tc>
          <w:tcPr>
            <w:tcW w:w="726" w:type="pct"/>
            <w:vMerge w:val="continue"/>
            <w:vAlign w:val="center"/>
          </w:tcPr>
          <w:p>
            <w:pPr>
              <w:pStyle w:val="122"/>
              <w:rPr>
                <w:rFonts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122"/>
              <w:rPr>
                <w:rFonts w:cs="Times New Roman"/>
                <w:color w:val="000000" w:themeColor="text1"/>
                <w:szCs w:val="21"/>
              </w:rPr>
            </w:pPr>
            <w:r>
              <w:rPr>
                <w:rFonts w:cs="Times New Roman"/>
                <w:color w:val="000000" w:themeColor="text1"/>
                <w:szCs w:val="21"/>
              </w:rPr>
              <w:t>传达大门</w:t>
            </w:r>
          </w:p>
        </w:tc>
        <w:tc>
          <w:tcPr>
            <w:tcW w:w="1910" w:type="pct"/>
            <w:gridSpan w:val="2"/>
            <w:vAlign w:val="center"/>
          </w:tcPr>
          <w:p>
            <w:pPr>
              <w:pStyle w:val="122"/>
              <w:rPr>
                <w:rFonts w:cs="Times New Roman"/>
                <w:color w:val="000000" w:themeColor="text1"/>
                <w:szCs w:val="21"/>
              </w:rPr>
            </w:pPr>
            <w:r>
              <w:rPr>
                <w:rFonts w:cs="Times New Roman"/>
                <w:color w:val="000000" w:themeColor="text1"/>
                <w:szCs w:val="21"/>
              </w:rPr>
              <w:t>L×B×H =</w:t>
            </w:r>
            <w:r>
              <w:rPr>
                <w:rFonts w:hint="eastAsia" w:cs="Times New Roman"/>
                <w:color w:val="000000" w:themeColor="text1"/>
                <w:szCs w:val="21"/>
              </w:rPr>
              <w:t>11</w:t>
            </w:r>
            <w:r>
              <w:rPr>
                <w:rFonts w:cs="Times New Roman"/>
                <w:color w:val="000000" w:themeColor="text1"/>
                <w:szCs w:val="21"/>
              </w:rPr>
              <w:t>m×</w:t>
            </w:r>
            <w:r>
              <w:rPr>
                <w:rFonts w:hint="eastAsia" w:cs="Times New Roman"/>
                <w:color w:val="000000" w:themeColor="text1"/>
                <w:szCs w:val="21"/>
              </w:rPr>
              <w:t>4.5</w:t>
            </w:r>
            <w:r>
              <w:rPr>
                <w:rFonts w:cs="Times New Roman"/>
                <w:color w:val="000000" w:themeColor="text1"/>
                <w:szCs w:val="21"/>
              </w:rPr>
              <w:t>m×</w:t>
            </w:r>
            <w:r>
              <w:rPr>
                <w:rFonts w:hint="eastAsia" w:cs="Times New Roman"/>
                <w:color w:val="000000" w:themeColor="text1"/>
                <w:szCs w:val="21"/>
              </w:rPr>
              <w:t>4.5</w:t>
            </w:r>
            <w:r>
              <w:rPr>
                <w:rFonts w:cs="Times New Roman"/>
                <w:color w:val="000000" w:themeColor="text1"/>
                <w:szCs w:val="21"/>
              </w:rPr>
              <w:t>m</w:t>
            </w:r>
          </w:p>
        </w:tc>
        <w:tc>
          <w:tcPr>
            <w:tcW w:w="1722" w:type="pct"/>
            <w:vAlign w:val="center"/>
          </w:tcPr>
          <w:p>
            <w:pPr>
              <w:pStyle w:val="122"/>
              <w:rPr>
                <w:rFonts w:cs="Times New Roman"/>
                <w:color w:val="000000" w:themeColor="text1"/>
                <w:szCs w:val="21"/>
              </w:rPr>
            </w:pPr>
            <w:r>
              <w:rPr>
                <w:rFonts w:cs="Times New Roman"/>
                <w:color w:val="000000" w:themeColor="text1"/>
                <w:szCs w:val="21"/>
              </w:rPr>
              <w:t>门卫</w:t>
            </w:r>
          </w:p>
        </w:tc>
        <w:tc>
          <w:tcPr>
            <w:tcW w:w="726" w:type="pct"/>
            <w:vMerge w:val="continue"/>
            <w:vAlign w:val="center"/>
          </w:tcPr>
          <w:p>
            <w:pPr>
              <w:pStyle w:val="122"/>
              <w:rPr>
                <w:rFonts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vAlign w:val="center"/>
          </w:tcPr>
          <w:p>
            <w:pPr>
              <w:pStyle w:val="122"/>
              <w:rPr>
                <w:rFonts w:cs="Times New Roman"/>
                <w:color w:val="000000" w:themeColor="text1"/>
                <w:szCs w:val="21"/>
              </w:rPr>
            </w:pPr>
            <w:r>
              <w:rPr>
                <w:rFonts w:cs="Times New Roman"/>
                <w:color w:val="000000" w:themeColor="text1"/>
                <w:szCs w:val="21"/>
              </w:rPr>
              <w:t>公用</w:t>
            </w:r>
          </w:p>
          <w:p>
            <w:pPr>
              <w:pStyle w:val="122"/>
              <w:rPr>
                <w:rFonts w:cs="Times New Roman"/>
                <w:color w:val="000000" w:themeColor="text1"/>
                <w:szCs w:val="21"/>
              </w:rPr>
            </w:pPr>
            <w:r>
              <w:rPr>
                <w:rFonts w:cs="Times New Roman"/>
                <w:color w:val="000000" w:themeColor="text1"/>
                <w:szCs w:val="21"/>
              </w:rPr>
              <w:t>工程</w:t>
            </w:r>
          </w:p>
        </w:tc>
        <w:tc>
          <w:tcPr>
            <w:tcW w:w="409" w:type="pct"/>
            <w:vAlign w:val="center"/>
          </w:tcPr>
          <w:p>
            <w:pPr>
              <w:pStyle w:val="122"/>
              <w:rPr>
                <w:rFonts w:cs="Times New Roman"/>
                <w:color w:val="000000" w:themeColor="text1"/>
                <w:szCs w:val="21"/>
              </w:rPr>
            </w:pPr>
            <w:r>
              <w:rPr>
                <w:rFonts w:cs="Times New Roman"/>
                <w:color w:val="000000" w:themeColor="text1"/>
                <w:szCs w:val="21"/>
              </w:rPr>
              <w:t>供电</w:t>
            </w:r>
          </w:p>
        </w:tc>
        <w:tc>
          <w:tcPr>
            <w:tcW w:w="3633" w:type="pct"/>
            <w:gridSpan w:val="3"/>
            <w:vAlign w:val="center"/>
          </w:tcPr>
          <w:p>
            <w:pPr>
              <w:pStyle w:val="122"/>
              <w:rPr>
                <w:rFonts w:cs="Times New Roman"/>
                <w:color w:val="000000" w:themeColor="text1"/>
                <w:szCs w:val="21"/>
              </w:rPr>
            </w:pPr>
            <w:r>
              <w:rPr>
                <w:rFonts w:cs="Times New Roman"/>
                <w:color w:val="000000" w:themeColor="text1"/>
                <w:szCs w:val="21"/>
              </w:rPr>
              <w:t>当地电网供给</w:t>
            </w:r>
          </w:p>
        </w:tc>
        <w:tc>
          <w:tcPr>
            <w:tcW w:w="726" w:type="pct"/>
            <w:vMerge w:val="restart"/>
            <w:vAlign w:val="center"/>
          </w:tcPr>
          <w:p>
            <w:pPr>
              <w:pStyle w:val="122"/>
              <w:rPr>
                <w:rFonts w:cs="Times New Roman"/>
                <w:color w:val="000000" w:themeColor="text1"/>
                <w:szCs w:val="21"/>
              </w:rPr>
            </w:pPr>
            <w:r>
              <w:rPr>
                <w:rFonts w:hint="eastAsia" w:cs="Times New Roman"/>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122"/>
              <w:rPr>
                <w:rFonts w:cs="Times New Roman"/>
                <w:color w:val="000000" w:themeColor="text1"/>
                <w:szCs w:val="21"/>
              </w:rPr>
            </w:pPr>
            <w:r>
              <w:rPr>
                <w:rFonts w:cs="Times New Roman"/>
                <w:color w:val="000000" w:themeColor="text1"/>
                <w:szCs w:val="21"/>
              </w:rPr>
              <w:t>供水</w:t>
            </w:r>
          </w:p>
        </w:tc>
        <w:tc>
          <w:tcPr>
            <w:tcW w:w="3633" w:type="pct"/>
            <w:gridSpan w:val="3"/>
            <w:vAlign w:val="center"/>
          </w:tcPr>
          <w:p>
            <w:pPr>
              <w:pStyle w:val="122"/>
              <w:rPr>
                <w:rFonts w:cs="Times New Roman"/>
                <w:color w:val="000000" w:themeColor="text1"/>
                <w:szCs w:val="21"/>
              </w:rPr>
            </w:pPr>
            <w:r>
              <w:rPr>
                <w:rFonts w:cs="Times New Roman"/>
                <w:color w:val="000000" w:themeColor="text1"/>
                <w:szCs w:val="21"/>
              </w:rPr>
              <w:t>自来水管供给</w:t>
            </w:r>
          </w:p>
        </w:tc>
        <w:tc>
          <w:tcPr>
            <w:tcW w:w="726" w:type="pct"/>
            <w:vMerge w:val="continue"/>
            <w:vAlign w:val="center"/>
          </w:tcPr>
          <w:p>
            <w:pPr>
              <w:pStyle w:val="122"/>
              <w:rPr>
                <w:rFonts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122"/>
              <w:rPr>
                <w:rFonts w:cs="Times New Roman"/>
                <w:color w:val="000000" w:themeColor="text1"/>
                <w:szCs w:val="21"/>
              </w:rPr>
            </w:pPr>
            <w:r>
              <w:rPr>
                <w:rFonts w:cs="Times New Roman"/>
                <w:color w:val="000000" w:themeColor="text1"/>
                <w:szCs w:val="21"/>
              </w:rPr>
              <w:t>排水</w:t>
            </w:r>
          </w:p>
        </w:tc>
        <w:tc>
          <w:tcPr>
            <w:tcW w:w="3633" w:type="pct"/>
            <w:gridSpan w:val="3"/>
            <w:vAlign w:val="center"/>
          </w:tcPr>
          <w:p>
            <w:pPr>
              <w:pStyle w:val="122"/>
              <w:rPr>
                <w:rFonts w:cs="Times New Roman"/>
                <w:color w:val="000000" w:themeColor="text1"/>
                <w:szCs w:val="21"/>
              </w:rPr>
            </w:pPr>
            <w:r>
              <w:rPr>
                <w:rFonts w:hint="eastAsia"/>
                <w:szCs w:val="21"/>
              </w:rPr>
              <w:t>按照</w:t>
            </w:r>
            <w:r>
              <w:rPr>
                <w:szCs w:val="21"/>
              </w:rPr>
              <w:t>“</w:t>
            </w:r>
            <w:r>
              <w:rPr>
                <w:rFonts w:hint="eastAsia"/>
                <w:szCs w:val="21"/>
              </w:rPr>
              <w:t>雨污分流</w:t>
            </w:r>
            <w:r>
              <w:rPr>
                <w:szCs w:val="21"/>
              </w:rPr>
              <w:t>”</w:t>
            </w:r>
            <w:r>
              <w:rPr>
                <w:rFonts w:hint="eastAsia"/>
                <w:szCs w:val="21"/>
              </w:rPr>
              <w:t>原则布设排水管网。雨水经雨水管网收集后，排入雨水管网；项目废水经自身处理系统处理达标后排放。</w:t>
            </w:r>
          </w:p>
        </w:tc>
        <w:tc>
          <w:tcPr>
            <w:tcW w:w="726" w:type="pct"/>
            <w:vMerge w:val="continue"/>
            <w:vAlign w:val="center"/>
          </w:tcPr>
          <w:p>
            <w:pPr>
              <w:pStyle w:val="122"/>
              <w:rPr>
                <w:rFonts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vAlign w:val="center"/>
          </w:tcPr>
          <w:p>
            <w:pPr>
              <w:pStyle w:val="122"/>
              <w:rPr>
                <w:rFonts w:cs="Times New Roman"/>
                <w:color w:val="000000" w:themeColor="text1"/>
                <w:szCs w:val="21"/>
              </w:rPr>
            </w:pPr>
            <w:r>
              <w:rPr>
                <w:rFonts w:cs="Times New Roman"/>
                <w:color w:val="000000" w:themeColor="text1"/>
                <w:szCs w:val="21"/>
              </w:rPr>
              <w:t>环保工程</w:t>
            </w:r>
          </w:p>
        </w:tc>
        <w:tc>
          <w:tcPr>
            <w:tcW w:w="409" w:type="pct"/>
            <w:vAlign w:val="center"/>
          </w:tcPr>
          <w:p>
            <w:pPr>
              <w:pStyle w:val="122"/>
              <w:rPr>
                <w:rFonts w:cs="Times New Roman"/>
                <w:color w:val="000000" w:themeColor="text1"/>
                <w:szCs w:val="21"/>
              </w:rPr>
            </w:pPr>
            <w:r>
              <w:rPr>
                <w:rFonts w:cs="Times New Roman"/>
                <w:color w:val="000000" w:themeColor="text1"/>
                <w:szCs w:val="21"/>
              </w:rPr>
              <w:t>废气治理</w:t>
            </w:r>
          </w:p>
        </w:tc>
        <w:tc>
          <w:tcPr>
            <w:tcW w:w="3633" w:type="pct"/>
            <w:gridSpan w:val="3"/>
            <w:vAlign w:val="center"/>
          </w:tcPr>
          <w:p>
            <w:pPr>
              <w:pStyle w:val="122"/>
              <w:rPr>
                <w:rFonts w:cs="Times New Roman"/>
                <w:color w:val="000000" w:themeColor="text1"/>
                <w:szCs w:val="21"/>
              </w:rPr>
            </w:pPr>
            <w:r>
              <w:rPr>
                <w:rFonts w:hint="eastAsia" w:cs="Times New Roman"/>
                <w:color w:val="000000" w:themeColor="text1"/>
              </w:rPr>
              <w:t>加盖抽风+生物滤池除臭+15m高排气筒</w:t>
            </w:r>
          </w:p>
        </w:tc>
        <w:tc>
          <w:tcPr>
            <w:tcW w:w="726" w:type="pct"/>
            <w:vAlign w:val="center"/>
          </w:tcPr>
          <w:p>
            <w:pPr>
              <w:pStyle w:val="122"/>
              <w:rPr>
                <w:rFonts w:cs="Times New Roman"/>
                <w:color w:val="000000" w:themeColor="text1"/>
                <w:szCs w:val="21"/>
              </w:rPr>
            </w:pPr>
            <w:r>
              <w:rPr>
                <w:rFonts w:cs="Times New Roman"/>
                <w:color w:val="000000" w:themeColor="text1"/>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122"/>
              <w:rPr>
                <w:rFonts w:cs="Times New Roman"/>
                <w:color w:val="000000" w:themeColor="text1"/>
                <w:szCs w:val="21"/>
              </w:rPr>
            </w:pPr>
            <w:r>
              <w:rPr>
                <w:rFonts w:cs="Times New Roman"/>
                <w:color w:val="000000" w:themeColor="text1"/>
                <w:szCs w:val="21"/>
              </w:rPr>
              <w:t>废水治理</w:t>
            </w:r>
          </w:p>
        </w:tc>
        <w:tc>
          <w:tcPr>
            <w:tcW w:w="3633" w:type="pct"/>
            <w:gridSpan w:val="3"/>
            <w:vAlign w:val="center"/>
          </w:tcPr>
          <w:p>
            <w:pPr>
              <w:pStyle w:val="122"/>
              <w:rPr>
                <w:rFonts w:cs="Times New Roman"/>
                <w:color w:val="000000" w:themeColor="text1"/>
                <w:szCs w:val="21"/>
              </w:rPr>
            </w:pPr>
            <w:r>
              <w:rPr>
                <w:rFonts w:cs="Times New Roman"/>
                <w:color w:val="000000" w:themeColor="text1"/>
                <w:szCs w:val="21"/>
              </w:rPr>
              <w:t>生活污水设置化粪池</w:t>
            </w:r>
            <w:r>
              <w:rPr>
                <w:rFonts w:hint="eastAsia" w:cs="Times New Roman"/>
                <w:color w:val="000000" w:themeColor="text1"/>
                <w:szCs w:val="21"/>
              </w:rPr>
              <w:t>，</w:t>
            </w:r>
            <w:r>
              <w:rPr>
                <w:rFonts w:cs="Times New Roman"/>
                <w:color w:val="000000" w:themeColor="text1"/>
                <w:szCs w:val="21"/>
              </w:rPr>
              <w:t>项目废水全部经自身污水处理系统处理达标后排放</w:t>
            </w:r>
          </w:p>
        </w:tc>
        <w:tc>
          <w:tcPr>
            <w:tcW w:w="726" w:type="pct"/>
            <w:vAlign w:val="center"/>
          </w:tcPr>
          <w:p>
            <w:pPr>
              <w:pStyle w:val="122"/>
              <w:rPr>
                <w:rFonts w:cs="Times New Roman"/>
                <w:color w:val="000000" w:themeColor="text1"/>
                <w:szCs w:val="21"/>
              </w:rPr>
            </w:pPr>
            <w:r>
              <w:rPr>
                <w:rFonts w:cs="Times New Roman"/>
                <w:color w:val="000000" w:themeColor="text1"/>
                <w:szCs w:val="21"/>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122"/>
              <w:rPr>
                <w:rFonts w:cs="Times New Roman"/>
                <w:color w:val="000000" w:themeColor="text1"/>
                <w:szCs w:val="21"/>
              </w:rPr>
            </w:pPr>
            <w:r>
              <w:rPr>
                <w:rFonts w:hint="eastAsia"/>
                <w:szCs w:val="21"/>
              </w:rPr>
              <w:t>固废治理</w:t>
            </w:r>
          </w:p>
        </w:tc>
        <w:tc>
          <w:tcPr>
            <w:tcW w:w="3633" w:type="pct"/>
            <w:gridSpan w:val="3"/>
            <w:vAlign w:val="center"/>
          </w:tcPr>
          <w:p>
            <w:pPr>
              <w:pStyle w:val="122"/>
              <w:rPr>
                <w:rFonts w:cs="Times New Roman"/>
                <w:color w:val="000000" w:themeColor="text1"/>
                <w:szCs w:val="21"/>
              </w:rPr>
            </w:pPr>
            <w:r>
              <w:rPr>
                <w:rFonts w:cs="Times New Roman"/>
                <w:color w:val="000000" w:themeColor="text1"/>
              </w:rPr>
              <w:t>栅渣和生活垃圾一起交由环卫部门处理</w:t>
            </w:r>
            <w:r>
              <w:rPr>
                <w:rFonts w:hint="eastAsia" w:cs="Times New Roman"/>
                <w:color w:val="000000" w:themeColor="text1"/>
              </w:rPr>
              <w:t>，</w:t>
            </w:r>
            <w:r>
              <w:rPr>
                <w:rFonts w:cs="Times New Roman"/>
                <w:color w:val="000000" w:themeColor="text1"/>
              </w:rPr>
              <w:t>生活垃圾</w:t>
            </w:r>
            <w:r>
              <w:rPr>
                <w:rFonts w:hint="eastAsia" w:cs="Times New Roman"/>
                <w:color w:val="000000" w:themeColor="text1"/>
              </w:rPr>
              <w:t>经</w:t>
            </w:r>
            <w:r>
              <w:rPr>
                <w:rFonts w:cs="Times New Roman"/>
                <w:color w:val="000000" w:themeColor="text1"/>
              </w:rPr>
              <w:t>收集后交由环卫部门处理</w:t>
            </w:r>
            <w:r>
              <w:rPr>
                <w:rFonts w:hint="eastAsia" w:cs="Times New Roman"/>
                <w:color w:val="000000" w:themeColor="text1"/>
              </w:rPr>
              <w:t>，</w:t>
            </w:r>
            <w:r>
              <w:rPr>
                <w:rFonts w:cs="Times New Roman"/>
                <w:color w:val="000000" w:themeColor="text1"/>
              </w:rPr>
              <w:t>污泥</w:t>
            </w:r>
            <w:r>
              <w:rPr>
                <w:rFonts w:hint="eastAsia" w:cs="Times New Roman"/>
                <w:color w:val="000000" w:themeColor="text1"/>
              </w:rPr>
              <w:t>收集</w:t>
            </w:r>
            <w:r>
              <w:rPr>
                <w:rFonts w:cs="Times New Roman"/>
                <w:color w:val="000000" w:themeColor="text1"/>
              </w:rPr>
              <w:t>后</w:t>
            </w:r>
            <w:r>
              <w:rPr>
                <w:rFonts w:hint="eastAsia" w:cs="Times New Roman"/>
                <w:color w:val="000000" w:themeColor="text1"/>
              </w:rPr>
              <w:t>委托资质单位处理</w:t>
            </w:r>
          </w:p>
        </w:tc>
        <w:tc>
          <w:tcPr>
            <w:tcW w:w="726" w:type="pct"/>
            <w:vAlign w:val="center"/>
          </w:tcPr>
          <w:p>
            <w:pPr>
              <w:pStyle w:val="122"/>
              <w:jc w:val="both"/>
              <w:rPr>
                <w:rFonts w:cs="Times New Roman"/>
                <w:color w:val="000000" w:themeColor="text1"/>
                <w:szCs w:val="21"/>
              </w:rPr>
            </w:pPr>
            <w:r>
              <w:rPr>
                <w:rFonts w:hint="eastAsia" w:cs="Times New Roman"/>
                <w:color w:val="000000" w:themeColor="text1"/>
                <w:szCs w:val="21"/>
              </w:rPr>
              <w:t>已签订固废处置协议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vAlign w:val="center"/>
          </w:tcPr>
          <w:p>
            <w:pPr>
              <w:pStyle w:val="122"/>
              <w:rPr>
                <w:rFonts w:cs="Times New Roman"/>
                <w:color w:val="000000" w:themeColor="text1"/>
                <w:szCs w:val="21"/>
              </w:rPr>
            </w:pPr>
          </w:p>
        </w:tc>
        <w:tc>
          <w:tcPr>
            <w:tcW w:w="409" w:type="pct"/>
            <w:vAlign w:val="center"/>
          </w:tcPr>
          <w:p>
            <w:pPr>
              <w:pStyle w:val="78"/>
              <w:jc w:val="center"/>
              <w:rPr>
                <w:kern w:val="2"/>
                <w:sz w:val="21"/>
                <w:szCs w:val="21"/>
              </w:rPr>
            </w:pPr>
            <w:r>
              <w:rPr>
                <w:rFonts w:hint="eastAsia"/>
                <w:kern w:val="2"/>
                <w:sz w:val="21"/>
                <w:szCs w:val="21"/>
              </w:rPr>
              <w:t>噪声治理</w:t>
            </w:r>
          </w:p>
        </w:tc>
        <w:tc>
          <w:tcPr>
            <w:tcW w:w="3633" w:type="pct"/>
            <w:gridSpan w:val="3"/>
            <w:vAlign w:val="center"/>
          </w:tcPr>
          <w:p>
            <w:pPr>
              <w:pStyle w:val="78"/>
              <w:jc w:val="center"/>
              <w:rPr>
                <w:kern w:val="2"/>
                <w:sz w:val="21"/>
                <w:szCs w:val="21"/>
              </w:rPr>
            </w:pPr>
            <w:r>
              <w:rPr>
                <w:rFonts w:hint="eastAsia"/>
                <w:kern w:val="2"/>
                <w:sz w:val="21"/>
                <w:szCs w:val="21"/>
              </w:rPr>
              <w:t>采用隔音、消音等措施</w:t>
            </w:r>
          </w:p>
        </w:tc>
        <w:tc>
          <w:tcPr>
            <w:tcW w:w="726" w:type="pct"/>
            <w:vAlign w:val="center"/>
          </w:tcPr>
          <w:p>
            <w:pPr>
              <w:pStyle w:val="122"/>
              <w:rPr>
                <w:rFonts w:cs="Times New Roman"/>
                <w:color w:val="000000" w:themeColor="text1"/>
                <w:szCs w:val="21"/>
              </w:rPr>
            </w:pPr>
            <w:r>
              <w:rPr>
                <w:rFonts w:cs="Times New Roman"/>
                <w:color w:val="000000" w:themeColor="text1"/>
                <w:szCs w:val="21"/>
              </w:rPr>
              <w:t>已采取措施</w:t>
            </w:r>
          </w:p>
        </w:tc>
      </w:tr>
    </w:tbl>
    <w:p>
      <w:pPr>
        <w:pStyle w:val="5"/>
      </w:pPr>
      <w:r>
        <w:rPr>
          <w:rFonts w:hint="eastAsia"/>
        </w:rPr>
        <w:t>本项目</w:t>
      </w:r>
      <w:r>
        <w:t>处理规模</w:t>
      </w:r>
      <w:r>
        <w:rPr>
          <w:rFonts w:hint="eastAsia"/>
        </w:rPr>
        <w:t>情况</w:t>
      </w:r>
    </w:p>
    <w:p>
      <w:pPr>
        <w:ind w:firstLine="480" w:firstLineChars="200"/>
      </w:pPr>
      <w:r>
        <w:rPr>
          <w:rFonts w:hint="eastAsia"/>
        </w:rPr>
        <w:t>本项目处理规模情况见</w:t>
      </w:r>
      <w:r>
        <w:fldChar w:fldCharType="begin"/>
      </w:r>
      <w:r>
        <w:rPr>
          <w:rFonts w:hint="eastAsia"/>
        </w:rPr>
        <w:instrText xml:space="preserve">REF _Ref16169817 \h</w:instrText>
      </w:r>
      <w:r>
        <w:fldChar w:fldCharType="separate"/>
      </w:r>
      <w:r>
        <w:rPr>
          <w:rFonts w:hint="eastAsia"/>
          <w:szCs w:val="24"/>
        </w:rPr>
        <w:t>表</w:t>
      </w:r>
      <w:r>
        <w:rPr>
          <w:szCs w:val="24"/>
        </w:rPr>
        <w:fldChar w:fldCharType="begin"/>
      </w:r>
      <w:r>
        <w:rPr>
          <w:rFonts w:hint="eastAsia"/>
          <w:szCs w:val="24"/>
        </w:rPr>
        <w:instrText xml:space="preserve">STYLEREF 2 \s</w:instrText>
      </w:r>
      <w:r>
        <w:rPr>
          <w:szCs w:val="24"/>
        </w:rPr>
        <w:fldChar w:fldCharType="separate"/>
      </w:r>
      <w:r>
        <w:rPr>
          <w:szCs w:val="24"/>
        </w:rPr>
        <w:t>2.1</w:t>
      </w:r>
      <w:r>
        <w:rPr>
          <w:szCs w:val="24"/>
        </w:rPr>
        <w:fldChar w:fldCharType="end"/>
      </w:r>
      <w:r>
        <w:rPr>
          <w:szCs w:val="24"/>
        </w:rPr>
        <w:noBreakHyphen/>
      </w:r>
      <w:r>
        <w:rPr>
          <w:rFonts w:hint="eastAsia"/>
          <w:szCs w:val="24"/>
        </w:rPr>
        <w:t>2</w:t>
      </w:r>
      <w:r>
        <w:fldChar w:fldCharType="end"/>
      </w:r>
      <w:r>
        <w:rPr>
          <w:rFonts w:hint="eastAsia"/>
        </w:rPr>
        <w:t>。</w:t>
      </w:r>
    </w:p>
    <w:p>
      <w:pPr>
        <w:pStyle w:val="127"/>
        <w:rPr>
          <w:sz w:val="24"/>
          <w:szCs w:val="24"/>
        </w:rPr>
      </w:pPr>
      <w:bookmarkStart w:id="107" w:name="_Ref16169817"/>
      <w:r>
        <w:rPr>
          <w:rFonts w:hint="eastAsia"/>
          <w:sz w:val="24"/>
          <w:szCs w:val="24"/>
        </w:rPr>
        <w:t>表</w:t>
      </w:r>
      <w:r>
        <w:rPr>
          <w:sz w:val="24"/>
          <w:szCs w:val="24"/>
        </w:rPr>
        <w:fldChar w:fldCharType="begin"/>
      </w:r>
      <w:r>
        <w:rPr>
          <w:rFonts w:hint="eastAsia"/>
          <w:sz w:val="24"/>
          <w:szCs w:val="24"/>
        </w:rPr>
        <w:instrText xml:space="preserve">STYLEREF 2 \s</w:instrText>
      </w:r>
      <w:r>
        <w:rPr>
          <w:sz w:val="24"/>
          <w:szCs w:val="24"/>
        </w:rPr>
        <w:fldChar w:fldCharType="separate"/>
      </w:r>
      <w:r>
        <w:rPr>
          <w:sz w:val="24"/>
          <w:szCs w:val="24"/>
        </w:rPr>
        <w:t>2.1</w:t>
      </w:r>
      <w:r>
        <w:rPr>
          <w:sz w:val="24"/>
          <w:szCs w:val="24"/>
        </w:rPr>
        <w:fldChar w:fldCharType="end"/>
      </w:r>
      <w:r>
        <w:rPr>
          <w:sz w:val="24"/>
          <w:szCs w:val="24"/>
        </w:rPr>
        <w:noBreakHyphen/>
      </w:r>
      <w:r>
        <w:rPr>
          <w:sz w:val="24"/>
          <w:szCs w:val="24"/>
        </w:rPr>
        <w:fldChar w:fldCharType="begin"/>
      </w:r>
      <w:r>
        <w:rPr>
          <w:rFonts w:hint="eastAsia"/>
          <w:sz w:val="24"/>
          <w:szCs w:val="24"/>
        </w:rPr>
        <w:instrText xml:space="preserve">SEQ 表 \* ARABIC \s 2</w:instrText>
      </w:r>
      <w:r>
        <w:rPr>
          <w:sz w:val="24"/>
          <w:szCs w:val="24"/>
        </w:rPr>
        <w:fldChar w:fldCharType="separate"/>
      </w:r>
      <w:r>
        <w:rPr>
          <w:rFonts w:hint="eastAsia"/>
          <w:sz w:val="24"/>
          <w:szCs w:val="24"/>
        </w:rPr>
        <w:t>2</w:t>
      </w:r>
      <w:r>
        <w:rPr>
          <w:sz w:val="24"/>
          <w:szCs w:val="24"/>
        </w:rPr>
        <w:fldChar w:fldCharType="end"/>
      </w:r>
      <w:bookmarkEnd w:id="107"/>
      <w:r>
        <w:rPr>
          <w:rFonts w:hint="eastAsia"/>
          <w:sz w:val="24"/>
          <w:szCs w:val="24"/>
        </w:rPr>
        <w:t xml:space="preserve">  本项目处理规模情况一览表</w:t>
      </w:r>
    </w:p>
    <w:tbl>
      <w:tblPr>
        <w:tblStyle w:val="3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942"/>
        <w:gridCol w:w="1832"/>
        <w:gridCol w:w="546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1" w:type="pct"/>
            <w:vAlign w:val="center"/>
          </w:tcPr>
          <w:p>
            <w:pPr>
              <w:pStyle w:val="122"/>
              <w:rPr>
                <w:rFonts w:cs="Times New Roman"/>
                <w:color w:val="000000" w:themeColor="text1"/>
                <w:kern w:val="2"/>
              </w:rPr>
            </w:pPr>
            <w:r>
              <w:rPr>
                <w:rFonts w:hAnsi="宋体" w:cs="Times New Roman"/>
                <w:color w:val="000000" w:themeColor="text1"/>
                <w:kern w:val="2"/>
              </w:rPr>
              <w:t>处理量（</w:t>
            </w:r>
            <w:r>
              <w:rPr>
                <w:rFonts w:cs="Times New Roman"/>
                <w:color w:val="000000" w:themeColor="text1"/>
                <w:kern w:val="2"/>
              </w:rPr>
              <w:t>m</w:t>
            </w:r>
            <w:r>
              <w:rPr>
                <w:rFonts w:cs="Times New Roman"/>
                <w:color w:val="000000" w:themeColor="text1"/>
                <w:kern w:val="2"/>
                <w:vertAlign w:val="superscript"/>
              </w:rPr>
              <w:t>3</w:t>
            </w:r>
            <w:r>
              <w:rPr>
                <w:rFonts w:cs="Times New Roman"/>
                <w:color w:val="000000" w:themeColor="text1"/>
                <w:kern w:val="2"/>
              </w:rPr>
              <w:t>/d</w:t>
            </w:r>
            <w:r>
              <w:rPr>
                <w:rFonts w:hAnsi="宋体" w:cs="Times New Roman"/>
                <w:color w:val="000000" w:themeColor="text1"/>
                <w:kern w:val="2"/>
              </w:rPr>
              <w:t>）</w:t>
            </w:r>
          </w:p>
        </w:tc>
        <w:tc>
          <w:tcPr>
            <w:tcW w:w="991" w:type="pct"/>
            <w:vAlign w:val="center"/>
          </w:tcPr>
          <w:p>
            <w:pPr>
              <w:pStyle w:val="122"/>
              <w:rPr>
                <w:rFonts w:cs="Times New Roman"/>
                <w:color w:val="000000" w:themeColor="text1"/>
                <w:kern w:val="2"/>
              </w:rPr>
            </w:pPr>
            <w:r>
              <w:rPr>
                <w:rFonts w:hAnsi="宋体" w:cs="Times New Roman"/>
                <w:color w:val="000000" w:themeColor="text1"/>
                <w:kern w:val="2"/>
              </w:rPr>
              <w:t>污泥含水率</w:t>
            </w:r>
          </w:p>
        </w:tc>
        <w:tc>
          <w:tcPr>
            <w:tcW w:w="2958" w:type="pct"/>
            <w:vAlign w:val="center"/>
          </w:tcPr>
          <w:p>
            <w:pPr>
              <w:pStyle w:val="122"/>
              <w:rPr>
                <w:rFonts w:cs="Times New Roman"/>
                <w:color w:val="000000" w:themeColor="text1"/>
                <w:kern w:val="2"/>
              </w:rPr>
            </w:pPr>
            <w:r>
              <w:rPr>
                <w:rFonts w:hAnsi="宋体" w:cs="Times New Roman"/>
                <w:color w:val="000000" w:themeColor="text1"/>
                <w:kern w:val="2"/>
              </w:rPr>
              <w:t>出水排放标准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1" w:type="pct"/>
            <w:vAlign w:val="center"/>
          </w:tcPr>
          <w:p>
            <w:pPr>
              <w:pStyle w:val="122"/>
              <w:rPr>
                <w:rFonts w:cs="Times New Roman"/>
                <w:color w:val="000000" w:themeColor="text1"/>
                <w:kern w:val="2"/>
              </w:rPr>
            </w:pPr>
            <w:r>
              <w:rPr>
                <w:rFonts w:cs="Times New Roman"/>
                <w:color w:val="000000" w:themeColor="text1"/>
                <w:kern w:val="2"/>
              </w:rPr>
              <w:t>2</w:t>
            </w:r>
            <w:r>
              <w:rPr>
                <w:rFonts w:hAnsi="宋体" w:cs="Times New Roman"/>
                <w:color w:val="000000" w:themeColor="text1"/>
                <w:kern w:val="2"/>
              </w:rPr>
              <w:t>万</w:t>
            </w:r>
          </w:p>
        </w:tc>
        <w:tc>
          <w:tcPr>
            <w:tcW w:w="991" w:type="pct"/>
            <w:vAlign w:val="center"/>
          </w:tcPr>
          <w:p>
            <w:pPr>
              <w:pStyle w:val="122"/>
              <w:rPr>
                <w:rFonts w:cs="Times New Roman"/>
                <w:color w:val="000000" w:themeColor="text1"/>
                <w:kern w:val="2"/>
              </w:rPr>
            </w:pPr>
            <w:r>
              <w:rPr>
                <w:rFonts w:hint="eastAsia" w:cs="Times New Roman"/>
                <w:color w:val="000000" w:themeColor="text1"/>
                <w:kern w:val="2"/>
              </w:rPr>
              <w:t>60</w:t>
            </w:r>
            <w:r>
              <w:rPr>
                <w:rFonts w:cs="Times New Roman"/>
                <w:color w:val="000000" w:themeColor="text1"/>
                <w:kern w:val="2"/>
              </w:rPr>
              <w:t>%</w:t>
            </w:r>
          </w:p>
        </w:tc>
        <w:tc>
          <w:tcPr>
            <w:tcW w:w="2958" w:type="pct"/>
            <w:vAlign w:val="center"/>
          </w:tcPr>
          <w:p>
            <w:pPr>
              <w:pStyle w:val="122"/>
              <w:jc w:val="both"/>
              <w:rPr>
                <w:rFonts w:cs="Times New Roman"/>
                <w:color w:val="000000" w:themeColor="text1"/>
                <w:kern w:val="2"/>
              </w:rPr>
            </w:pPr>
            <w:r>
              <w:rPr>
                <w:rFonts w:hAnsi="宋体" w:cs="Times New Roman"/>
                <w:color w:val="000000" w:themeColor="text1"/>
              </w:rPr>
              <w:t>执行《城镇污水处理厂污染物排放标准》（</w:t>
            </w:r>
            <w:r>
              <w:rPr>
                <w:rFonts w:cs="Times New Roman"/>
                <w:color w:val="000000" w:themeColor="text1"/>
              </w:rPr>
              <w:t>GB18918-2002</w:t>
            </w:r>
            <w:r>
              <w:rPr>
                <w:rFonts w:hAnsi="宋体" w:cs="Times New Roman"/>
                <w:color w:val="000000" w:themeColor="text1"/>
              </w:rPr>
              <w:t>）一级</w:t>
            </w:r>
            <w:r>
              <w:rPr>
                <w:rFonts w:cs="Times New Roman"/>
                <w:color w:val="000000" w:themeColor="text1"/>
              </w:rPr>
              <w:t>A</w:t>
            </w:r>
            <w:r>
              <w:rPr>
                <w:rFonts w:hAnsi="宋体" w:cs="Times New Roman"/>
                <w:color w:val="000000" w:themeColor="text1"/>
              </w:rPr>
              <w:t>标准</w:t>
            </w:r>
          </w:p>
        </w:tc>
      </w:tr>
    </w:tbl>
    <w:p>
      <w:pPr>
        <w:pStyle w:val="5"/>
      </w:pPr>
      <w:r>
        <w:rPr>
          <w:rFonts w:hint="eastAsia"/>
        </w:rPr>
        <w:t>本项目</w:t>
      </w:r>
      <w:r>
        <w:t>纳污范围</w:t>
      </w:r>
      <w:r>
        <w:rPr>
          <w:rFonts w:hint="eastAsia"/>
        </w:rPr>
        <w:t>情况</w:t>
      </w:r>
    </w:p>
    <w:p>
      <w:pPr>
        <w:spacing w:line="360" w:lineRule="auto"/>
        <w:ind w:firstLine="480" w:firstLineChars="200"/>
      </w:pPr>
      <w:r>
        <w:rPr>
          <w:rFonts w:hint="eastAsia"/>
        </w:rPr>
        <w:t>本项目纳污范围情况见下表所示。</w:t>
      </w:r>
    </w:p>
    <w:p>
      <w:pPr>
        <w:pStyle w:val="127"/>
        <w:rPr>
          <w:sz w:val="24"/>
          <w:szCs w:val="24"/>
        </w:rPr>
      </w:pPr>
      <w:r>
        <w:rPr>
          <w:rFonts w:hint="eastAsia"/>
          <w:sz w:val="24"/>
          <w:szCs w:val="24"/>
        </w:rPr>
        <w:t>表</w:t>
      </w:r>
      <w:r>
        <w:rPr>
          <w:sz w:val="24"/>
          <w:szCs w:val="24"/>
        </w:rPr>
        <w:fldChar w:fldCharType="begin"/>
      </w:r>
      <w:r>
        <w:rPr>
          <w:rFonts w:hint="eastAsia"/>
          <w:sz w:val="24"/>
          <w:szCs w:val="24"/>
        </w:rPr>
        <w:instrText xml:space="preserve">STYLEREF 2 \s</w:instrText>
      </w:r>
      <w:r>
        <w:rPr>
          <w:sz w:val="24"/>
          <w:szCs w:val="24"/>
        </w:rPr>
        <w:fldChar w:fldCharType="separate"/>
      </w:r>
      <w:r>
        <w:rPr>
          <w:sz w:val="24"/>
          <w:szCs w:val="24"/>
        </w:rPr>
        <w:t>2.1</w:t>
      </w:r>
      <w:r>
        <w:rPr>
          <w:sz w:val="24"/>
          <w:szCs w:val="24"/>
        </w:rPr>
        <w:fldChar w:fldCharType="end"/>
      </w:r>
      <w:r>
        <w:rPr>
          <w:sz w:val="24"/>
          <w:szCs w:val="24"/>
        </w:rPr>
        <w:noBreakHyphen/>
      </w:r>
      <w:r>
        <w:rPr>
          <w:sz w:val="24"/>
          <w:szCs w:val="24"/>
        </w:rPr>
        <w:fldChar w:fldCharType="begin"/>
      </w:r>
      <w:r>
        <w:rPr>
          <w:rFonts w:hint="eastAsia"/>
          <w:sz w:val="24"/>
          <w:szCs w:val="24"/>
        </w:rPr>
        <w:instrText xml:space="preserve">SEQ 表 \* ARABIC \s 2</w:instrText>
      </w:r>
      <w:r>
        <w:rPr>
          <w:sz w:val="24"/>
          <w:szCs w:val="24"/>
        </w:rPr>
        <w:fldChar w:fldCharType="separate"/>
      </w:r>
      <w:r>
        <w:rPr>
          <w:rFonts w:hint="eastAsia"/>
          <w:sz w:val="24"/>
          <w:szCs w:val="24"/>
        </w:rPr>
        <w:t>3</w:t>
      </w:r>
      <w:r>
        <w:rPr>
          <w:sz w:val="24"/>
          <w:szCs w:val="24"/>
        </w:rPr>
        <w:fldChar w:fldCharType="end"/>
      </w:r>
      <w:r>
        <w:rPr>
          <w:rFonts w:hint="eastAsia"/>
          <w:sz w:val="24"/>
          <w:szCs w:val="24"/>
        </w:rPr>
        <w:t xml:space="preserve">  纳污范围情况一览表</w:t>
      </w:r>
    </w:p>
    <w:tbl>
      <w:tblPr>
        <w:tblStyle w:val="3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234"/>
        <w:gridCol w:w="50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90" w:type="pct"/>
            <w:vAlign w:val="center"/>
          </w:tcPr>
          <w:p>
            <w:pPr>
              <w:pStyle w:val="122"/>
              <w:rPr>
                <w:rFonts w:cs="Times New Roman"/>
                <w:kern w:val="2"/>
                <w:szCs w:val="21"/>
              </w:rPr>
            </w:pPr>
            <w:r>
              <w:rPr>
                <w:rFonts w:hAnsi="宋体" w:cs="Times New Roman"/>
                <w:kern w:val="2"/>
                <w:szCs w:val="21"/>
              </w:rPr>
              <w:t>主城区</w:t>
            </w:r>
          </w:p>
        </w:tc>
        <w:tc>
          <w:tcPr>
            <w:tcW w:w="2709" w:type="pct"/>
            <w:vAlign w:val="center"/>
          </w:tcPr>
          <w:p>
            <w:pPr>
              <w:pStyle w:val="122"/>
              <w:rPr>
                <w:rFonts w:cs="Times New Roman"/>
                <w:kern w:val="2"/>
                <w:szCs w:val="21"/>
              </w:rPr>
            </w:pPr>
            <w:r>
              <w:rPr>
                <w:rFonts w:hAnsi="宋体" w:cs="Times New Roman"/>
                <w:kern w:val="2"/>
                <w:szCs w:val="21"/>
              </w:rPr>
              <w:t>工业园</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90" w:type="pct"/>
            <w:vAlign w:val="center"/>
          </w:tcPr>
          <w:p>
            <w:pPr>
              <w:pStyle w:val="122"/>
              <w:rPr>
                <w:rFonts w:cs="Times New Roman"/>
                <w:kern w:val="2"/>
                <w:szCs w:val="21"/>
              </w:rPr>
            </w:pPr>
            <w:r>
              <w:rPr>
                <w:rFonts w:hAnsi="宋体" w:cs="Times New Roman"/>
                <w:kern w:val="2"/>
                <w:szCs w:val="21"/>
              </w:rPr>
              <w:t>河东片区（</w:t>
            </w:r>
            <w:r>
              <w:rPr>
                <w:rFonts w:cs="Times New Roman"/>
                <w:kern w:val="2"/>
                <w:szCs w:val="21"/>
              </w:rPr>
              <w:t>847ha</w:t>
            </w:r>
            <w:r>
              <w:rPr>
                <w:rFonts w:hAnsi="宋体" w:cs="Times New Roman"/>
                <w:kern w:val="2"/>
                <w:szCs w:val="21"/>
              </w:rPr>
              <w:t>）</w:t>
            </w:r>
          </w:p>
        </w:tc>
        <w:tc>
          <w:tcPr>
            <w:tcW w:w="2709" w:type="pct"/>
            <w:vAlign w:val="center"/>
          </w:tcPr>
          <w:p>
            <w:pPr>
              <w:jc w:val="center"/>
              <w:rPr>
                <w:rFonts w:eastAsia="宋体" w:cs="Times New Roman"/>
                <w:sz w:val="21"/>
              </w:rPr>
            </w:pPr>
            <w:r>
              <w:rPr>
                <w:rFonts w:hint="eastAsia" w:hAnsi="宋体" w:eastAsia="宋体" w:cs="Times New Roman"/>
                <w:sz w:val="21"/>
              </w:rPr>
              <w:t>河东</w:t>
            </w:r>
            <w:r>
              <w:rPr>
                <w:rFonts w:hAnsi="宋体" w:eastAsia="宋体" w:cs="Times New Roman"/>
                <w:sz w:val="21"/>
              </w:rPr>
              <w:t>片区及石伏工业园</w:t>
            </w:r>
          </w:p>
        </w:tc>
      </w:tr>
    </w:tbl>
    <w:p>
      <w:pPr>
        <w:pStyle w:val="5"/>
      </w:pPr>
      <w:r>
        <w:rPr>
          <w:rFonts w:hint="eastAsia"/>
        </w:rPr>
        <w:t>本项目主要原辅材料消耗</w:t>
      </w:r>
    </w:p>
    <w:p>
      <w:pPr>
        <w:pStyle w:val="129"/>
        <w:spacing w:line="360" w:lineRule="auto"/>
        <w:ind w:firstLine="480" w:firstLineChars="200"/>
        <w:rPr>
          <w:sz w:val="24"/>
          <w:szCs w:val="24"/>
        </w:rPr>
      </w:pPr>
      <w:r>
        <w:rPr>
          <w:sz w:val="24"/>
          <w:szCs w:val="24"/>
        </w:rPr>
        <w:t>根据项目可研可知，本项目原辅材料均不属于《剧毒化学品目录(2015版)》中所列的335种剧毒化学品，也未涉及铬、铅、汞等重金属元素。项目主要原辅材料具体情况见</w:t>
      </w:r>
      <w:r>
        <w:fldChar w:fldCharType="begin"/>
      </w:r>
      <w:r>
        <w:instrText xml:space="preserve"> REF _Ref16669044 \h  \* MERGEFORMAT </w:instrText>
      </w:r>
      <w:r>
        <w:fldChar w:fldCharType="separate"/>
      </w:r>
      <w:r>
        <w:rPr>
          <w:sz w:val="24"/>
          <w:szCs w:val="24"/>
        </w:rPr>
        <w:t>表</w:t>
      </w:r>
      <w:r>
        <w:rPr>
          <w:sz w:val="24"/>
          <w:szCs w:val="24"/>
        </w:rPr>
        <w:fldChar w:fldCharType="begin"/>
      </w:r>
      <w:r>
        <w:rPr>
          <w:sz w:val="24"/>
          <w:szCs w:val="24"/>
        </w:rPr>
        <w:instrText xml:space="preserve"> STYLEREF 2 \s </w:instrText>
      </w:r>
      <w:r>
        <w:rPr>
          <w:sz w:val="24"/>
          <w:szCs w:val="24"/>
        </w:rPr>
        <w:fldChar w:fldCharType="separate"/>
      </w:r>
      <w:r>
        <w:rPr>
          <w:sz w:val="24"/>
          <w:szCs w:val="24"/>
        </w:rPr>
        <w:t>2.1</w:t>
      </w:r>
      <w:r>
        <w:rPr>
          <w:sz w:val="24"/>
          <w:szCs w:val="24"/>
        </w:rPr>
        <w:fldChar w:fldCharType="end"/>
      </w:r>
      <w:r>
        <w:rPr>
          <w:sz w:val="24"/>
          <w:szCs w:val="24"/>
        </w:rPr>
        <w:noBreakHyphen/>
      </w:r>
      <w:r>
        <w:rPr>
          <w:sz w:val="24"/>
          <w:szCs w:val="24"/>
        </w:rPr>
        <w:t>4</w:t>
      </w:r>
      <w:r>
        <w:rPr>
          <w:sz w:val="24"/>
          <w:szCs w:val="24"/>
        </w:rPr>
        <w:fldChar w:fldCharType="end"/>
      </w:r>
      <w:r>
        <w:rPr>
          <w:sz w:val="24"/>
          <w:szCs w:val="24"/>
        </w:rPr>
        <w:t>。</w:t>
      </w:r>
    </w:p>
    <w:p>
      <w:pPr>
        <w:pStyle w:val="129"/>
        <w:jc w:val="center"/>
        <w:rPr>
          <w:b/>
          <w:sz w:val="24"/>
          <w:szCs w:val="24"/>
        </w:rPr>
      </w:pPr>
      <w:bookmarkStart w:id="108" w:name="_Ref16669044"/>
    </w:p>
    <w:p>
      <w:pPr>
        <w:pStyle w:val="129"/>
        <w:jc w:val="center"/>
        <w:rPr>
          <w:b/>
          <w:sz w:val="24"/>
          <w:szCs w:val="24"/>
        </w:rPr>
      </w:pPr>
    </w:p>
    <w:p>
      <w:pPr>
        <w:pStyle w:val="129"/>
        <w:jc w:val="center"/>
        <w:rPr>
          <w:b/>
          <w:sz w:val="24"/>
          <w:szCs w:val="24"/>
        </w:rPr>
      </w:pPr>
    </w:p>
    <w:p>
      <w:pPr>
        <w:pStyle w:val="129"/>
        <w:jc w:val="center"/>
        <w:rPr>
          <w:b/>
          <w:sz w:val="24"/>
          <w:szCs w:val="24"/>
        </w:rPr>
      </w:pPr>
      <w:r>
        <w:rPr>
          <w:b/>
          <w:sz w:val="24"/>
          <w:szCs w:val="24"/>
        </w:rPr>
        <w:t>表</w:t>
      </w:r>
      <w:r>
        <w:rPr>
          <w:b/>
          <w:sz w:val="24"/>
          <w:szCs w:val="24"/>
        </w:rPr>
        <w:fldChar w:fldCharType="begin"/>
      </w:r>
      <w:r>
        <w:rPr>
          <w:b/>
          <w:sz w:val="24"/>
          <w:szCs w:val="24"/>
        </w:rPr>
        <w:instrText xml:space="preserve"> STYLEREF 2 \s </w:instrText>
      </w:r>
      <w:r>
        <w:rPr>
          <w:b/>
          <w:sz w:val="24"/>
          <w:szCs w:val="24"/>
        </w:rPr>
        <w:fldChar w:fldCharType="separate"/>
      </w:r>
      <w:r>
        <w:rPr>
          <w:b/>
          <w:sz w:val="24"/>
          <w:szCs w:val="24"/>
        </w:rPr>
        <w:t>2.1</w:t>
      </w:r>
      <w:r>
        <w:rPr>
          <w:b/>
          <w:sz w:val="24"/>
          <w:szCs w:val="24"/>
        </w:rPr>
        <w:fldChar w:fldCharType="end"/>
      </w:r>
      <w:r>
        <w:rPr>
          <w:b/>
          <w:sz w:val="24"/>
          <w:szCs w:val="24"/>
        </w:rPr>
        <w:noBreakHyphen/>
      </w:r>
      <w:r>
        <w:rPr>
          <w:b/>
          <w:sz w:val="24"/>
          <w:szCs w:val="24"/>
        </w:rPr>
        <w:fldChar w:fldCharType="begin"/>
      </w:r>
      <w:r>
        <w:rPr>
          <w:b/>
          <w:sz w:val="24"/>
          <w:szCs w:val="24"/>
        </w:rPr>
        <w:instrText xml:space="preserve"> SEQ 表 \* ARABIC \s 2 </w:instrText>
      </w:r>
      <w:r>
        <w:rPr>
          <w:b/>
          <w:sz w:val="24"/>
          <w:szCs w:val="24"/>
        </w:rPr>
        <w:fldChar w:fldCharType="separate"/>
      </w:r>
      <w:r>
        <w:rPr>
          <w:b/>
          <w:sz w:val="24"/>
          <w:szCs w:val="24"/>
        </w:rPr>
        <w:t>4</w:t>
      </w:r>
      <w:r>
        <w:rPr>
          <w:b/>
          <w:sz w:val="24"/>
          <w:szCs w:val="24"/>
        </w:rPr>
        <w:fldChar w:fldCharType="end"/>
      </w:r>
      <w:bookmarkEnd w:id="108"/>
      <w:r>
        <w:rPr>
          <w:rFonts w:hint="eastAsia" w:hAnsi="宋体"/>
          <w:b/>
          <w:sz w:val="24"/>
          <w:szCs w:val="24"/>
        </w:rPr>
        <w:t>本</w:t>
      </w:r>
      <w:r>
        <w:rPr>
          <w:rFonts w:hAnsi="宋体"/>
          <w:b/>
          <w:sz w:val="24"/>
          <w:szCs w:val="24"/>
        </w:rPr>
        <w:t>项目主要原辅材料一览表</w:t>
      </w:r>
    </w:p>
    <w:tbl>
      <w:tblPr>
        <w:tblStyle w:val="38"/>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74"/>
        <w:gridCol w:w="1527"/>
        <w:gridCol w:w="1771"/>
        <w:gridCol w:w="1915"/>
        <w:gridCol w:w="2000"/>
        <w:gridCol w:w="11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473" w:type="pct"/>
            <w:tcBorders>
              <w:top w:val="single" w:color="000000" w:sz="12" w:space="0"/>
              <w:left w:val="nil"/>
              <w:bottom w:val="single" w:color="000000" w:sz="6" w:space="0"/>
              <w:right w:val="single" w:color="000000" w:sz="6" w:space="0"/>
            </w:tcBorders>
            <w:vAlign w:val="center"/>
          </w:tcPr>
          <w:p>
            <w:pPr>
              <w:pStyle w:val="122"/>
              <w:rPr>
                <w:rFonts w:cs="Times New Roman"/>
                <w:kern w:val="2"/>
                <w:szCs w:val="21"/>
              </w:rPr>
            </w:pPr>
            <w:r>
              <w:rPr>
                <w:rFonts w:cs="Times New Roman"/>
                <w:kern w:val="2"/>
                <w:szCs w:val="21"/>
              </w:rPr>
              <w:t>序号</w:t>
            </w:r>
          </w:p>
        </w:tc>
        <w:tc>
          <w:tcPr>
            <w:tcW w:w="826" w:type="pct"/>
            <w:tcBorders>
              <w:top w:val="single" w:color="000000" w:sz="12" w:space="0"/>
              <w:left w:val="single" w:color="000000" w:sz="6" w:space="0"/>
              <w:right w:val="single" w:color="auto" w:sz="4" w:space="0"/>
            </w:tcBorders>
            <w:vAlign w:val="center"/>
          </w:tcPr>
          <w:p>
            <w:pPr>
              <w:pStyle w:val="122"/>
              <w:rPr>
                <w:rFonts w:cs="Times New Roman"/>
                <w:kern w:val="2"/>
                <w:szCs w:val="21"/>
              </w:rPr>
            </w:pPr>
            <w:r>
              <w:rPr>
                <w:rFonts w:cs="Times New Roman"/>
                <w:kern w:val="2"/>
                <w:szCs w:val="21"/>
              </w:rPr>
              <w:t>项目名称</w:t>
            </w:r>
          </w:p>
        </w:tc>
        <w:tc>
          <w:tcPr>
            <w:tcW w:w="958" w:type="pct"/>
            <w:tcBorders>
              <w:top w:val="single" w:color="000000" w:sz="12" w:space="0"/>
              <w:left w:val="single" w:color="auto" w:sz="4" w:space="0"/>
              <w:right w:val="single" w:color="auto" w:sz="4" w:space="0"/>
            </w:tcBorders>
            <w:vAlign w:val="center"/>
          </w:tcPr>
          <w:p>
            <w:pPr>
              <w:pStyle w:val="122"/>
              <w:rPr>
                <w:rFonts w:cs="Times New Roman"/>
                <w:kern w:val="2"/>
                <w:szCs w:val="21"/>
              </w:rPr>
            </w:pPr>
            <w:r>
              <w:rPr>
                <w:rFonts w:cs="Times New Roman"/>
                <w:kern w:val="2"/>
                <w:szCs w:val="21"/>
              </w:rPr>
              <w:t>主要化学成分</w:t>
            </w:r>
          </w:p>
        </w:tc>
        <w:tc>
          <w:tcPr>
            <w:tcW w:w="1036" w:type="pct"/>
            <w:tcBorders>
              <w:top w:val="single" w:color="000000" w:sz="12" w:space="0"/>
              <w:left w:val="single" w:color="auto" w:sz="4" w:space="0"/>
              <w:right w:val="single" w:color="auto" w:sz="4" w:space="0"/>
            </w:tcBorders>
            <w:vAlign w:val="center"/>
          </w:tcPr>
          <w:p>
            <w:pPr>
              <w:pStyle w:val="122"/>
              <w:rPr>
                <w:rFonts w:cs="Times New Roman"/>
                <w:kern w:val="2"/>
                <w:szCs w:val="21"/>
              </w:rPr>
            </w:pPr>
            <w:r>
              <w:rPr>
                <w:rFonts w:cs="Times New Roman"/>
                <w:kern w:val="2"/>
                <w:szCs w:val="21"/>
              </w:rPr>
              <w:t>年耗量（t/a）</w:t>
            </w:r>
          </w:p>
        </w:tc>
        <w:tc>
          <w:tcPr>
            <w:tcW w:w="1082" w:type="pct"/>
            <w:tcBorders>
              <w:top w:val="single" w:color="000000" w:sz="12" w:space="0"/>
              <w:left w:val="single" w:color="auto" w:sz="4" w:space="0"/>
              <w:right w:val="single" w:color="auto" w:sz="4" w:space="0"/>
            </w:tcBorders>
            <w:vAlign w:val="center"/>
          </w:tcPr>
          <w:p>
            <w:pPr>
              <w:pStyle w:val="122"/>
              <w:rPr>
                <w:rFonts w:cs="Times New Roman"/>
                <w:kern w:val="2"/>
                <w:szCs w:val="21"/>
              </w:rPr>
            </w:pPr>
            <w:r>
              <w:rPr>
                <w:rFonts w:cs="Times New Roman"/>
                <w:szCs w:val="21"/>
              </w:rPr>
              <w:t>规格（纯度）</w:t>
            </w:r>
          </w:p>
        </w:tc>
        <w:tc>
          <w:tcPr>
            <w:tcW w:w="625" w:type="pct"/>
            <w:tcBorders>
              <w:top w:val="single" w:color="000000" w:sz="12" w:space="0"/>
              <w:left w:val="single" w:color="auto" w:sz="4" w:space="0"/>
              <w:right w:val="nil"/>
            </w:tcBorders>
            <w:vAlign w:val="center"/>
          </w:tcPr>
          <w:p>
            <w:pPr>
              <w:pStyle w:val="122"/>
              <w:rPr>
                <w:rFonts w:cs="Times New Roman"/>
                <w:kern w:val="2"/>
                <w:szCs w:val="21"/>
              </w:rPr>
            </w:pPr>
            <w:r>
              <w:rPr>
                <w:rFonts w:cs="Times New Roman"/>
                <w:kern w:val="2"/>
                <w:szCs w:val="21"/>
              </w:rPr>
              <w:t>用途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1</w:t>
            </w:r>
          </w:p>
        </w:tc>
        <w:tc>
          <w:tcPr>
            <w:tcW w:w="826" w:type="pct"/>
            <w:tcBorders>
              <w:top w:val="single" w:color="000000" w:sz="6" w:space="0"/>
              <w:left w:val="single" w:color="000000" w:sz="6" w:space="0"/>
              <w:bottom w:val="single" w:color="000000" w:sz="6" w:space="0"/>
              <w:right w:val="single" w:color="auto" w:sz="4" w:space="0"/>
            </w:tcBorders>
            <w:vAlign w:val="center"/>
          </w:tcPr>
          <w:p>
            <w:pPr>
              <w:spacing w:line="300" w:lineRule="exact"/>
              <w:jc w:val="center"/>
              <w:rPr>
                <w:rFonts w:cs="Times New Roman"/>
                <w:color w:val="000000" w:themeColor="text1"/>
                <w:kern w:val="0"/>
                <w:sz w:val="21"/>
              </w:rPr>
            </w:pPr>
            <w:r>
              <w:rPr>
                <w:rFonts w:cs="Times New Roman"/>
                <w:color w:val="000000" w:themeColor="text1"/>
                <w:kern w:val="0"/>
                <w:sz w:val="21"/>
              </w:rPr>
              <w:t>PAM</w:t>
            </w:r>
          </w:p>
        </w:tc>
        <w:tc>
          <w:tcPr>
            <w:tcW w:w="958" w:type="pct"/>
            <w:tcBorders>
              <w:top w:val="single" w:color="000000" w:sz="6" w:space="0"/>
              <w:left w:val="single" w:color="auto" w:sz="4" w:space="0"/>
              <w:bottom w:val="single" w:color="000000" w:sz="6" w:space="0"/>
              <w:right w:val="single" w:color="auto" w:sz="4" w:space="0"/>
            </w:tcBorders>
            <w:vAlign w:val="center"/>
          </w:tcPr>
          <w:p>
            <w:pPr>
              <w:jc w:val="center"/>
              <w:rPr>
                <w:rFonts w:cs="Times New Roman"/>
                <w:color w:val="000000" w:themeColor="text1"/>
                <w:sz w:val="21"/>
              </w:rPr>
            </w:pPr>
            <w:r>
              <w:rPr>
                <w:rFonts w:cs="Times New Roman"/>
                <w:color w:val="000000" w:themeColor="text1"/>
                <w:sz w:val="21"/>
              </w:rPr>
              <w:t>聚丙稀酰胺</w:t>
            </w:r>
          </w:p>
        </w:tc>
        <w:tc>
          <w:tcPr>
            <w:tcW w:w="1036" w:type="pct"/>
            <w:tcBorders>
              <w:top w:val="single" w:color="000000" w:sz="6" w:space="0"/>
              <w:left w:val="single" w:color="auto" w:sz="4" w:space="0"/>
              <w:bottom w:val="single" w:color="000000" w:sz="6" w:space="0"/>
              <w:right w:val="single" w:color="auto" w:sz="4" w:space="0"/>
            </w:tcBorders>
            <w:vAlign w:val="center"/>
          </w:tcPr>
          <w:p>
            <w:pPr>
              <w:spacing w:line="300" w:lineRule="exact"/>
              <w:jc w:val="center"/>
              <w:rPr>
                <w:rFonts w:cs="Times New Roman"/>
                <w:color w:val="000000" w:themeColor="text1"/>
                <w:sz w:val="21"/>
              </w:rPr>
            </w:pPr>
            <w:r>
              <w:rPr>
                <w:rFonts w:cs="Times New Roman"/>
                <w:color w:val="000000" w:themeColor="text1"/>
                <w:sz w:val="21"/>
              </w:rPr>
              <w:t>2.92</w:t>
            </w:r>
          </w:p>
        </w:tc>
        <w:tc>
          <w:tcPr>
            <w:tcW w:w="1082" w:type="pct"/>
            <w:tcBorders>
              <w:top w:val="single" w:color="000000" w:sz="6" w:space="0"/>
              <w:left w:val="single" w:color="auto" w:sz="4" w:space="0"/>
              <w:bottom w:val="single" w:color="000000" w:sz="6" w:space="0"/>
              <w:right w:val="single" w:color="auto" w:sz="4" w:space="0"/>
            </w:tcBorders>
            <w:vAlign w:val="center"/>
          </w:tcPr>
          <w:p>
            <w:pPr>
              <w:pStyle w:val="78"/>
              <w:jc w:val="center"/>
              <w:rPr>
                <w:color w:val="000000" w:themeColor="text1"/>
                <w:kern w:val="2"/>
                <w:sz w:val="21"/>
                <w:szCs w:val="21"/>
              </w:rPr>
            </w:pPr>
            <w:r>
              <w:rPr>
                <w:color w:val="000000" w:themeColor="text1"/>
                <w:kern w:val="2"/>
                <w:sz w:val="21"/>
                <w:szCs w:val="21"/>
              </w:rPr>
              <w:t>固体，90%</w:t>
            </w:r>
          </w:p>
        </w:tc>
        <w:tc>
          <w:tcPr>
            <w:tcW w:w="625" w:type="pct"/>
            <w:tcBorders>
              <w:top w:val="single" w:color="000000" w:sz="6" w:space="0"/>
              <w:left w:val="single" w:color="auto" w:sz="4" w:space="0"/>
              <w:bottom w:val="single" w:color="000000" w:sz="6" w:space="0"/>
              <w:right w:val="nil"/>
            </w:tcBorders>
            <w:vAlign w:val="center"/>
          </w:tcPr>
          <w:p>
            <w:pPr>
              <w:spacing w:line="320" w:lineRule="exact"/>
              <w:jc w:val="center"/>
              <w:rPr>
                <w:rFonts w:cs="Times New Roman"/>
                <w:color w:val="000000" w:themeColor="text1"/>
                <w:sz w:val="21"/>
              </w:rPr>
            </w:pPr>
            <w:r>
              <w:rPr>
                <w:rFonts w:cs="Times New Roman"/>
                <w:color w:val="000000" w:themeColor="text1"/>
                <w:sz w:val="21"/>
              </w:rPr>
              <w:t>絮凝剂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2</w:t>
            </w:r>
          </w:p>
        </w:tc>
        <w:tc>
          <w:tcPr>
            <w:tcW w:w="826"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cs="Times New Roman"/>
                <w:color w:val="000000" w:themeColor="text1"/>
                <w:kern w:val="0"/>
                <w:sz w:val="21"/>
              </w:rPr>
            </w:pPr>
            <w:r>
              <w:rPr>
                <w:rFonts w:cs="Times New Roman"/>
                <w:color w:val="000000" w:themeColor="text1"/>
                <w:kern w:val="0"/>
                <w:sz w:val="21"/>
              </w:rPr>
              <w:t>PAC</w:t>
            </w:r>
          </w:p>
        </w:tc>
        <w:tc>
          <w:tcPr>
            <w:tcW w:w="958" w:type="pct"/>
            <w:tcBorders>
              <w:top w:val="single" w:color="000000" w:sz="6" w:space="0"/>
              <w:left w:val="single" w:color="000000" w:sz="6" w:space="0"/>
              <w:bottom w:val="single" w:color="000000" w:sz="6" w:space="0"/>
              <w:right w:val="single" w:color="000000" w:sz="6" w:space="0"/>
            </w:tcBorders>
            <w:vAlign w:val="center"/>
          </w:tcPr>
          <w:p>
            <w:pPr>
              <w:pStyle w:val="149"/>
              <w:jc w:val="center"/>
              <w:rPr>
                <w:color w:val="000000" w:themeColor="text1"/>
              </w:rPr>
            </w:pPr>
            <w:r>
              <w:rPr>
                <w:rFonts w:hAnsi="宋体"/>
                <w:color w:val="000000" w:themeColor="text1"/>
              </w:rPr>
              <w:t>聚合氯化铝</w:t>
            </w:r>
          </w:p>
        </w:tc>
        <w:tc>
          <w:tcPr>
            <w:tcW w:w="1036"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cs="Times New Roman"/>
                <w:color w:val="000000" w:themeColor="text1"/>
                <w:sz w:val="21"/>
              </w:rPr>
            </w:pPr>
            <w:r>
              <w:rPr>
                <w:rFonts w:cs="Times New Roman"/>
                <w:color w:val="000000" w:themeColor="text1"/>
                <w:sz w:val="21"/>
              </w:rPr>
              <w:t>49.88</w:t>
            </w:r>
          </w:p>
        </w:tc>
        <w:tc>
          <w:tcPr>
            <w:tcW w:w="1082"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固体，90%</w:t>
            </w:r>
          </w:p>
        </w:tc>
        <w:tc>
          <w:tcPr>
            <w:tcW w:w="625" w:type="pct"/>
            <w:tcBorders>
              <w:top w:val="single" w:color="000000" w:sz="6" w:space="0"/>
              <w:left w:val="single" w:color="000000" w:sz="6" w:space="0"/>
              <w:bottom w:val="single" w:color="000000" w:sz="6" w:space="0"/>
              <w:right w:val="nil"/>
            </w:tcBorders>
            <w:vAlign w:val="center"/>
          </w:tcPr>
          <w:p>
            <w:pPr>
              <w:spacing w:line="320" w:lineRule="exact"/>
              <w:jc w:val="center"/>
              <w:rPr>
                <w:rFonts w:cs="Times New Roman"/>
                <w:color w:val="000000" w:themeColor="text1"/>
                <w:sz w:val="21"/>
              </w:rPr>
            </w:pPr>
            <w:r>
              <w:rPr>
                <w:rFonts w:cs="Times New Roman"/>
                <w:color w:val="000000" w:themeColor="text1"/>
                <w:sz w:val="21"/>
              </w:rPr>
              <w:t>助凝剂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3</w:t>
            </w:r>
          </w:p>
        </w:tc>
        <w:tc>
          <w:tcPr>
            <w:tcW w:w="826"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cs="Times New Roman"/>
                <w:color w:val="000000" w:themeColor="text1"/>
                <w:kern w:val="0"/>
                <w:sz w:val="21"/>
              </w:rPr>
            </w:pPr>
            <w:r>
              <w:rPr>
                <w:rFonts w:cs="Times New Roman"/>
                <w:color w:val="000000" w:themeColor="text1"/>
                <w:kern w:val="0"/>
                <w:sz w:val="21"/>
              </w:rPr>
              <w:t>氯酸钠</w:t>
            </w:r>
          </w:p>
        </w:tc>
        <w:tc>
          <w:tcPr>
            <w:tcW w:w="958"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NaClO</w:t>
            </w:r>
            <w:r>
              <w:rPr>
                <w:color w:val="000000" w:themeColor="text1"/>
                <w:kern w:val="2"/>
                <w:sz w:val="21"/>
                <w:szCs w:val="21"/>
                <w:vertAlign w:val="subscript"/>
              </w:rPr>
              <w:t>3</w:t>
            </w:r>
          </w:p>
        </w:tc>
        <w:tc>
          <w:tcPr>
            <w:tcW w:w="1036"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18.92</w:t>
            </w:r>
          </w:p>
        </w:tc>
        <w:tc>
          <w:tcPr>
            <w:tcW w:w="1082"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固体，30%</w:t>
            </w:r>
          </w:p>
        </w:tc>
        <w:tc>
          <w:tcPr>
            <w:tcW w:w="625" w:type="pct"/>
            <w:tcBorders>
              <w:top w:val="single" w:color="000000" w:sz="6" w:space="0"/>
              <w:left w:val="single" w:color="000000" w:sz="6" w:space="0"/>
              <w:bottom w:val="single" w:color="000000" w:sz="6" w:space="0"/>
              <w:right w:val="nil"/>
            </w:tcBorders>
            <w:vAlign w:val="center"/>
          </w:tcPr>
          <w:p>
            <w:pPr>
              <w:spacing w:line="320" w:lineRule="exact"/>
              <w:jc w:val="center"/>
              <w:rPr>
                <w:rFonts w:cs="Times New Roman"/>
                <w:color w:val="000000" w:themeColor="text1"/>
                <w:sz w:val="21"/>
              </w:rPr>
            </w:pPr>
            <w:r>
              <w:rPr>
                <w:rFonts w:cs="Times New Roman"/>
                <w:color w:val="000000" w:themeColor="text1"/>
                <w:sz w:val="21"/>
              </w:rPr>
              <w:t>消毒剂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4</w:t>
            </w:r>
          </w:p>
        </w:tc>
        <w:tc>
          <w:tcPr>
            <w:tcW w:w="826"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cs="Times New Roman"/>
                <w:color w:val="000000" w:themeColor="text1"/>
                <w:sz w:val="21"/>
              </w:rPr>
            </w:pPr>
            <w:r>
              <w:rPr>
                <w:rFonts w:cs="Times New Roman"/>
                <w:color w:val="000000" w:themeColor="text1"/>
                <w:sz w:val="21"/>
              </w:rPr>
              <w:t>三氯化铁</w:t>
            </w:r>
          </w:p>
        </w:tc>
        <w:tc>
          <w:tcPr>
            <w:tcW w:w="958"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 FeCl</w:t>
            </w:r>
            <w:r>
              <w:rPr>
                <w:color w:val="000000" w:themeColor="text1"/>
                <w:kern w:val="2"/>
                <w:sz w:val="21"/>
                <w:szCs w:val="21"/>
                <w:vertAlign w:val="subscript"/>
              </w:rPr>
              <w:t>3</w:t>
            </w:r>
          </w:p>
        </w:tc>
        <w:tc>
          <w:tcPr>
            <w:tcW w:w="1036"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1.825</w:t>
            </w:r>
          </w:p>
        </w:tc>
        <w:tc>
          <w:tcPr>
            <w:tcW w:w="1082"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固体，40%</w:t>
            </w:r>
          </w:p>
        </w:tc>
        <w:tc>
          <w:tcPr>
            <w:tcW w:w="625" w:type="pct"/>
            <w:tcBorders>
              <w:top w:val="single" w:color="000000" w:sz="6" w:space="0"/>
              <w:left w:val="single" w:color="000000" w:sz="6" w:space="0"/>
              <w:bottom w:val="single" w:color="000000" w:sz="6" w:space="0"/>
              <w:right w:val="nil"/>
            </w:tcBorders>
            <w:vAlign w:val="center"/>
          </w:tcPr>
          <w:p>
            <w:pPr>
              <w:spacing w:line="320" w:lineRule="exact"/>
              <w:jc w:val="center"/>
              <w:rPr>
                <w:rFonts w:cs="Times New Roman"/>
                <w:color w:val="000000" w:themeColor="text1"/>
                <w:sz w:val="21"/>
              </w:rPr>
            </w:pPr>
            <w:r>
              <w:rPr>
                <w:rFonts w:cs="Times New Roman"/>
                <w:color w:val="000000" w:themeColor="text1"/>
                <w:sz w:val="21"/>
              </w:rPr>
              <w:t>絮凝剂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5</w:t>
            </w:r>
          </w:p>
        </w:tc>
        <w:tc>
          <w:tcPr>
            <w:tcW w:w="826"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cs="Times New Roman"/>
                <w:color w:val="000000" w:themeColor="text1"/>
                <w:sz w:val="21"/>
              </w:rPr>
            </w:pPr>
            <w:r>
              <w:rPr>
                <w:rFonts w:cs="Times New Roman"/>
                <w:color w:val="000000" w:themeColor="text1"/>
                <w:sz w:val="21"/>
              </w:rPr>
              <w:t>盐酸</w:t>
            </w:r>
          </w:p>
        </w:tc>
        <w:tc>
          <w:tcPr>
            <w:tcW w:w="958"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HCl</w:t>
            </w:r>
          </w:p>
        </w:tc>
        <w:tc>
          <w:tcPr>
            <w:tcW w:w="1036"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10</w:t>
            </w:r>
          </w:p>
        </w:tc>
        <w:tc>
          <w:tcPr>
            <w:tcW w:w="1082" w:type="pct"/>
            <w:tcBorders>
              <w:top w:val="single" w:color="000000" w:sz="6" w:space="0"/>
              <w:left w:val="single" w:color="000000" w:sz="6" w:space="0"/>
              <w:bottom w:val="single" w:color="000000" w:sz="6" w:space="0"/>
              <w:right w:val="single" w:color="000000" w:sz="6" w:space="0"/>
            </w:tcBorders>
            <w:vAlign w:val="center"/>
          </w:tcPr>
          <w:p>
            <w:pPr>
              <w:pStyle w:val="78"/>
              <w:jc w:val="center"/>
              <w:rPr>
                <w:color w:val="000000" w:themeColor="text1"/>
                <w:kern w:val="2"/>
                <w:sz w:val="21"/>
                <w:szCs w:val="21"/>
              </w:rPr>
            </w:pPr>
            <w:r>
              <w:rPr>
                <w:color w:val="000000" w:themeColor="text1"/>
                <w:kern w:val="2"/>
                <w:sz w:val="21"/>
                <w:szCs w:val="21"/>
              </w:rPr>
              <w:t>液体，30%</w:t>
            </w:r>
          </w:p>
        </w:tc>
        <w:tc>
          <w:tcPr>
            <w:tcW w:w="625" w:type="pct"/>
            <w:tcBorders>
              <w:top w:val="single" w:color="000000" w:sz="6" w:space="0"/>
              <w:left w:val="single" w:color="000000" w:sz="6" w:space="0"/>
              <w:bottom w:val="single" w:color="000000" w:sz="6" w:space="0"/>
              <w:right w:val="nil"/>
            </w:tcBorders>
            <w:vAlign w:val="center"/>
          </w:tcPr>
          <w:p>
            <w:pPr>
              <w:spacing w:line="320" w:lineRule="exact"/>
              <w:jc w:val="center"/>
              <w:rPr>
                <w:rFonts w:hint="eastAsia" w:cs="Times New Roman" w:eastAsiaTheme="minorEastAsia"/>
                <w:color w:val="000000" w:themeColor="text1"/>
                <w:sz w:val="21"/>
                <w:lang w:eastAsia="zh-CN"/>
              </w:rPr>
            </w:pPr>
            <w:r>
              <w:rPr>
                <w:rFonts w:hint="eastAsia" w:cs="Times New Roman"/>
                <w:color w:val="000000" w:themeColor="text1"/>
                <w:sz w:val="21"/>
                <w:lang w:eastAsia="zh-CN"/>
              </w:rPr>
              <w:t>消毒剂的反应原料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kern w:val="2"/>
                <w:szCs w:val="21"/>
              </w:rPr>
            </w:pPr>
            <w:r>
              <w:rPr>
                <w:rFonts w:cs="Times New Roman"/>
                <w:kern w:val="2"/>
                <w:szCs w:val="21"/>
              </w:rPr>
              <w:t>6</w:t>
            </w:r>
          </w:p>
        </w:tc>
        <w:tc>
          <w:tcPr>
            <w:tcW w:w="826"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cs="Times New Roman"/>
                <w:sz w:val="21"/>
              </w:rPr>
            </w:pPr>
            <w:r>
              <w:rPr>
                <w:rFonts w:cs="Times New Roman"/>
                <w:sz w:val="21"/>
              </w:rPr>
              <w:t>石灰</w:t>
            </w:r>
          </w:p>
        </w:tc>
        <w:tc>
          <w:tcPr>
            <w:tcW w:w="958" w:type="pct"/>
            <w:tcBorders>
              <w:top w:val="single" w:color="000000" w:sz="6" w:space="0"/>
              <w:left w:val="single" w:color="000000" w:sz="6" w:space="0"/>
              <w:bottom w:val="single" w:color="000000" w:sz="6" w:space="0"/>
              <w:right w:val="single" w:color="000000" w:sz="6" w:space="0"/>
            </w:tcBorders>
            <w:vAlign w:val="center"/>
          </w:tcPr>
          <w:p>
            <w:pPr>
              <w:pStyle w:val="78"/>
              <w:jc w:val="center"/>
              <w:rPr>
                <w:kern w:val="2"/>
                <w:sz w:val="21"/>
                <w:szCs w:val="21"/>
              </w:rPr>
            </w:pPr>
            <w:r>
              <w:rPr>
                <w:kern w:val="2"/>
                <w:sz w:val="18"/>
                <w:szCs w:val="18"/>
                <w:shd w:val="clear" w:color="auto" w:fill="FFFFFF"/>
              </w:rPr>
              <w:t>CaO</w:t>
            </w:r>
          </w:p>
        </w:tc>
        <w:tc>
          <w:tcPr>
            <w:tcW w:w="1036" w:type="pct"/>
            <w:tcBorders>
              <w:top w:val="single" w:color="000000" w:sz="6" w:space="0"/>
              <w:left w:val="single" w:color="000000" w:sz="6" w:space="0"/>
              <w:bottom w:val="single" w:color="000000" w:sz="6" w:space="0"/>
              <w:right w:val="single" w:color="000000" w:sz="6" w:space="0"/>
            </w:tcBorders>
            <w:vAlign w:val="center"/>
          </w:tcPr>
          <w:p>
            <w:pPr>
              <w:pStyle w:val="78"/>
              <w:jc w:val="center"/>
              <w:rPr>
                <w:kern w:val="2"/>
                <w:sz w:val="21"/>
                <w:szCs w:val="21"/>
              </w:rPr>
            </w:pPr>
            <w:r>
              <w:rPr>
                <w:kern w:val="2"/>
                <w:sz w:val="21"/>
                <w:szCs w:val="21"/>
              </w:rPr>
              <w:t>7</w:t>
            </w:r>
          </w:p>
        </w:tc>
        <w:tc>
          <w:tcPr>
            <w:tcW w:w="1082" w:type="pct"/>
            <w:tcBorders>
              <w:top w:val="single" w:color="000000" w:sz="6" w:space="0"/>
              <w:left w:val="single" w:color="000000" w:sz="6" w:space="0"/>
              <w:bottom w:val="single" w:color="000000" w:sz="6" w:space="0"/>
              <w:right w:val="single" w:color="000000" w:sz="6" w:space="0"/>
            </w:tcBorders>
            <w:vAlign w:val="center"/>
          </w:tcPr>
          <w:p>
            <w:pPr>
              <w:pStyle w:val="78"/>
              <w:jc w:val="center"/>
              <w:rPr>
                <w:kern w:val="2"/>
                <w:sz w:val="21"/>
                <w:szCs w:val="21"/>
              </w:rPr>
            </w:pPr>
            <w:r>
              <w:rPr>
                <w:kern w:val="2"/>
                <w:sz w:val="21"/>
                <w:szCs w:val="21"/>
              </w:rPr>
              <w:t>固体，</w:t>
            </w:r>
          </w:p>
        </w:tc>
        <w:tc>
          <w:tcPr>
            <w:tcW w:w="625" w:type="pct"/>
            <w:tcBorders>
              <w:top w:val="single" w:color="000000" w:sz="6" w:space="0"/>
              <w:left w:val="single" w:color="000000" w:sz="6" w:space="0"/>
              <w:bottom w:val="single" w:color="000000" w:sz="6" w:space="0"/>
              <w:right w:val="nil"/>
            </w:tcBorders>
            <w:vAlign w:val="center"/>
          </w:tcPr>
          <w:p>
            <w:pPr>
              <w:spacing w:line="320" w:lineRule="exact"/>
              <w:jc w:val="center"/>
              <w:rPr>
                <w:rFonts w:hint="eastAsia" w:cs="Times New Roman" w:eastAsiaTheme="minorEastAsia"/>
                <w:sz w:val="21"/>
                <w:lang w:eastAsia="zh-CN"/>
              </w:rPr>
            </w:pPr>
            <w:r>
              <w:rPr>
                <w:rFonts w:hint="eastAsia" w:cs="Times New Roman"/>
                <w:sz w:val="21"/>
                <w:lang w:eastAsia="zh-CN"/>
              </w:rPr>
              <w:t>干燥剂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3" w:type="pct"/>
            <w:tcBorders>
              <w:top w:val="single" w:color="000000" w:sz="6" w:space="0"/>
              <w:left w:val="nil"/>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7</w:t>
            </w:r>
          </w:p>
        </w:tc>
        <w:tc>
          <w:tcPr>
            <w:tcW w:w="826" w:type="pct"/>
            <w:tcBorders>
              <w:top w:val="single" w:color="000000" w:sz="6" w:space="0"/>
              <w:left w:val="single" w:color="000000" w:sz="6" w:space="0"/>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水</w:t>
            </w:r>
          </w:p>
        </w:tc>
        <w:tc>
          <w:tcPr>
            <w:tcW w:w="958" w:type="pct"/>
            <w:tcBorders>
              <w:top w:val="single" w:color="000000" w:sz="6" w:space="0"/>
              <w:left w:val="single" w:color="000000" w:sz="6" w:space="0"/>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m</w:t>
            </w:r>
            <w:r>
              <w:rPr>
                <w:rFonts w:cs="Times New Roman"/>
                <w:color w:val="000000" w:themeColor="text1"/>
                <w:kern w:val="2"/>
                <w:szCs w:val="21"/>
                <w:vertAlign w:val="superscript"/>
              </w:rPr>
              <w:t>3</w:t>
            </w:r>
          </w:p>
        </w:tc>
        <w:tc>
          <w:tcPr>
            <w:tcW w:w="1036" w:type="pct"/>
            <w:tcBorders>
              <w:top w:val="single" w:color="000000" w:sz="6" w:space="0"/>
              <w:left w:val="single" w:color="000000" w:sz="6" w:space="0"/>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857</w:t>
            </w:r>
          </w:p>
        </w:tc>
        <w:tc>
          <w:tcPr>
            <w:tcW w:w="1082" w:type="pct"/>
            <w:tcBorders>
              <w:top w:val="single" w:color="000000" w:sz="6" w:space="0"/>
              <w:left w:val="single" w:color="000000" w:sz="6" w:space="0"/>
              <w:bottom w:val="single" w:color="000000" w:sz="6"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自来水厂</w:t>
            </w:r>
          </w:p>
        </w:tc>
        <w:tc>
          <w:tcPr>
            <w:tcW w:w="625" w:type="pct"/>
            <w:tcBorders>
              <w:top w:val="single" w:color="000000" w:sz="6" w:space="0"/>
              <w:left w:val="single" w:color="000000" w:sz="6" w:space="0"/>
              <w:bottom w:val="single" w:color="000000" w:sz="6" w:space="0"/>
              <w:right w:val="nil"/>
            </w:tcBorders>
            <w:vAlign w:val="center"/>
          </w:tcPr>
          <w:p>
            <w:pPr>
              <w:pStyle w:val="122"/>
              <w:rPr>
                <w:rFonts w:cs="Times New Roman"/>
                <w:color w:val="000000" w:themeColor="text1"/>
                <w:kern w:val="2"/>
                <w:szCs w:val="21"/>
              </w:rPr>
            </w:pPr>
            <w:r>
              <w:rPr>
                <w:rFonts w:cs="Times New Roman"/>
                <w:color w:val="000000" w:themeColor="text1"/>
                <w:kern w:val="2"/>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 w:hRule="atLeast"/>
          <w:jc w:val="center"/>
        </w:trPr>
        <w:tc>
          <w:tcPr>
            <w:tcW w:w="473" w:type="pct"/>
            <w:tcBorders>
              <w:top w:val="single" w:color="000000" w:sz="6" w:space="0"/>
              <w:left w:val="nil"/>
              <w:bottom w:val="single" w:color="000000" w:sz="12"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8</w:t>
            </w:r>
          </w:p>
        </w:tc>
        <w:tc>
          <w:tcPr>
            <w:tcW w:w="826" w:type="pct"/>
            <w:tcBorders>
              <w:top w:val="single" w:color="000000" w:sz="6" w:space="0"/>
              <w:left w:val="single" w:color="000000" w:sz="6" w:space="0"/>
              <w:bottom w:val="single" w:color="000000" w:sz="12"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电</w:t>
            </w:r>
          </w:p>
        </w:tc>
        <w:tc>
          <w:tcPr>
            <w:tcW w:w="958" w:type="pct"/>
            <w:tcBorders>
              <w:top w:val="single" w:color="000000" w:sz="6" w:space="0"/>
              <w:left w:val="single" w:color="000000" w:sz="6" w:space="0"/>
              <w:bottom w:val="single" w:color="000000" w:sz="12"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万Kw.h</w:t>
            </w:r>
          </w:p>
        </w:tc>
        <w:tc>
          <w:tcPr>
            <w:tcW w:w="1036" w:type="pct"/>
            <w:tcBorders>
              <w:top w:val="single" w:color="000000" w:sz="6" w:space="0"/>
              <w:left w:val="single" w:color="000000" w:sz="6" w:space="0"/>
              <w:bottom w:val="single" w:color="000000" w:sz="12"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226</w:t>
            </w:r>
          </w:p>
        </w:tc>
        <w:tc>
          <w:tcPr>
            <w:tcW w:w="1082" w:type="pct"/>
            <w:tcBorders>
              <w:top w:val="single" w:color="000000" w:sz="6" w:space="0"/>
              <w:left w:val="single" w:color="000000" w:sz="6" w:space="0"/>
              <w:bottom w:val="single" w:color="000000" w:sz="12" w:space="0"/>
              <w:right w:val="single" w:color="000000" w:sz="6" w:space="0"/>
            </w:tcBorders>
            <w:vAlign w:val="center"/>
          </w:tcPr>
          <w:p>
            <w:pPr>
              <w:pStyle w:val="122"/>
              <w:rPr>
                <w:rFonts w:cs="Times New Roman"/>
                <w:color w:val="000000" w:themeColor="text1"/>
                <w:kern w:val="2"/>
                <w:szCs w:val="21"/>
              </w:rPr>
            </w:pPr>
            <w:r>
              <w:rPr>
                <w:rFonts w:cs="Times New Roman"/>
                <w:color w:val="000000" w:themeColor="text1"/>
                <w:kern w:val="2"/>
                <w:szCs w:val="21"/>
              </w:rPr>
              <w:t>当地供电</w:t>
            </w:r>
          </w:p>
        </w:tc>
        <w:tc>
          <w:tcPr>
            <w:tcW w:w="625" w:type="pct"/>
            <w:tcBorders>
              <w:top w:val="single" w:color="000000" w:sz="6" w:space="0"/>
              <w:left w:val="single" w:color="000000" w:sz="6" w:space="0"/>
              <w:bottom w:val="single" w:color="000000" w:sz="12" w:space="0"/>
              <w:right w:val="nil"/>
            </w:tcBorders>
            <w:vAlign w:val="center"/>
          </w:tcPr>
          <w:p>
            <w:pPr>
              <w:pStyle w:val="122"/>
              <w:rPr>
                <w:rFonts w:cs="Times New Roman"/>
                <w:color w:val="000000" w:themeColor="text1"/>
                <w:kern w:val="2"/>
                <w:szCs w:val="21"/>
              </w:rPr>
            </w:pPr>
            <w:r>
              <w:rPr>
                <w:rFonts w:cs="Times New Roman"/>
                <w:color w:val="000000" w:themeColor="text1"/>
                <w:kern w:val="2"/>
                <w:szCs w:val="21"/>
              </w:rPr>
              <w:t>/</w:t>
            </w:r>
          </w:p>
        </w:tc>
      </w:tr>
    </w:tbl>
    <w:p>
      <w:pPr>
        <w:pStyle w:val="14"/>
        <w:spacing w:line="240" w:lineRule="auto"/>
        <w:rPr>
          <w:rFonts w:hAnsi="宋体"/>
          <w:szCs w:val="24"/>
        </w:rPr>
      </w:pPr>
      <w:r>
        <w:rPr>
          <w:rFonts w:hAnsi="宋体"/>
          <w:szCs w:val="24"/>
        </w:rPr>
        <w:t>表</w:t>
      </w:r>
      <w:r>
        <w:rPr>
          <w:rFonts w:hAnsi="宋体"/>
          <w:szCs w:val="24"/>
        </w:rPr>
        <w:fldChar w:fldCharType="begin"/>
      </w:r>
      <w:r>
        <w:rPr>
          <w:rFonts w:hAnsi="宋体"/>
          <w:szCs w:val="24"/>
        </w:rPr>
        <w:instrText xml:space="preserve"> STYLEREF 2 \s </w:instrText>
      </w:r>
      <w:r>
        <w:rPr>
          <w:rFonts w:hAnsi="宋体"/>
          <w:szCs w:val="24"/>
        </w:rPr>
        <w:fldChar w:fldCharType="separate"/>
      </w:r>
      <w:r>
        <w:rPr>
          <w:rFonts w:hAnsi="宋体"/>
          <w:szCs w:val="24"/>
        </w:rPr>
        <w:t>2.1</w:t>
      </w:r>
      <w:r>
        <w:rPr>
          <w:rFonts w:hAnsi="宋体"/>
          <w:szCs w:val="24"/>
        </w:rPr>
        <w:fldChar w:fldCharType="end"/>
      </w:r>
      <w:r>
        <w:rPr>
          <w:rFonts w:hAnsi="宋体"/>
          <w:szCs w:val="24"/>
        </w:rPr>
        <w:noBreakHyphen/>
      </w:r>
      <w:r>
        <w:rPr>
          <w:rFonts w:hAnsi="宋体"/>
          <w:szCs w:val="24"/>
        </w:rPr>
        <w:fldChar w:fldCharType="begin"/>
      </w:r>
      <w:r>
        <w:rPr>
          <w:rFonts w:hAnsi="宋体"/>
          <w:szCs w:val="24"/>
        </w:rPr>
        <w:instrText xml:space="preserve"> SEQ 表 \* ARABIC \s 2 </w:instrText>
      </w:r>
      <w:r>
        <w:rPr>
          <w:rFonts w:hAnsi="宋体"/>
          <w:szCs w:val="24"/>
        </w:rPr>
        <w:fldChar w:fldCharType="separate"/>
      </w:r>
      <w:r>
        <w:rPr>
          <w:rFonts w:hAnsi="宋体"/>
          <w:szCs w:val="24"/>
        </w:rPr>
        <w:t>5</w:t>
      </w:r>
      <w:r>
        <w:rPr>
          <w:rFonts w:hAnsi="宋体"/>
          <w:szCs w:val="24"/>
        </w:rPr>
        <w:fldChar w:fldCharType="end"/>
      </w:r>
      <w:r>
        <w:rPr>
          <w:rFonts w:hint="eastAsia" w:hAnsi="宋体"/>
          <w:szCs w:val="24"/>
        </w:rPr>
        <w:t xml:space="preserve">  主要原辅材料理化特性</w:t>
      </w:r>
    </w:p>
    <w:tbl>
      <w:tblPr>
        <w:tblStyle w:val="3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49"/>
        <w:gridCol w:w="4539"/>
        <w:gridCol w:w="1388"/>
        <w:gridCol w:w="2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14"/>
              <w:rPr>
                <w:rFonts w:hAnsi="宋体"/>
                <w:b w:val="0"/>
                <w:color w:val="000000" w:themeColor="text1"/>
                <w:sz w:val="21"/>
                <w:szCs w:val="21"/>
              </w:rPr>
            </w:pPr>
            <w:r>
              <w:rPr>
                <w:rFonts w:hAnsi="宋体"/>
                <w:b w:val="0"/>
                <w:color w:val="000000" w:themeColor="text1"/>
                <w:sz w:val="21"/>
                <w:szCs w:val="21"/>
              </w:rPr>
              <w:t>序号</w:t>
            </w:r>
          </w:p>
        </w:tc>
        <w:tc>
          <w:tcPr>
            <w:tcW w:w="406" w:type="pct"/>
            <w:vAlign w:val="center"/>
          </w:tcPr>
          <w:p>
            <w:pPr>
              <w:pStyle w:val="14"/>
              <w:rPr>
                <w:rFonts w:hAnsi="宋体"/>
                <w:b w:val="0"/>
                <w:color w:val="000000" w:themeColor="text1"/>
                <w:sz w:val="21"/>
                <w:szCs w:val="21"/>
              </w:rPr>
            </w:pPr>
            <w:r>
              <w:rPr>
                <w:rFonts w:hAnsi="宋体"/>
                <w:b w:val="0"/>
                <w:color w:val="000000" w:themeColor="text1"/>
                <w:sz w:val="21"/>
                <w:szCs w:val="21"/>
              </w:rPr>
              <w:t>名称</w:t>
            </w:r>
          </w:p>
        </w:tc>
        <w:tc>
          <w:tcPr>
            <w:tcW w:w="2456" w:type="pct"/>
            <w:vAlign w:val="center"/>
          </w:tcPr>
          <w:p>
            <w:pPr>
              <w:pStyle w:val="14"/>
              <w:rPr>
                <w:rFonts w:hAnsi="宋体"/>
                <w:b w:val="0"/>
                <w:color w:val="000000" w:themeColor="text1"/>
                <w:sz w:val="21"/>
                <w:szCs w:val="21"/>
              </w:rPr>
            </w:pPr>
            <w:r>
              <w:rPr>
                <w:rFonts w:hAnsi="宋体"/>
                <w:b w:val="0"/>
                <w:color w:val="000000" w:themeColor="text1"/>
                <w:sz w:val="21"/>
                <w:szCs w:val="21"/>
              </w:rPr>
              <w:t>理化性质</w:t>
            </w:r>
          </w:p>
        </w:tc>
        <w:tc>
          <w:tcPr>
            <w:tcW w:w="751" w:type="pct"/>
            <w:vAlign w:val="center"/>
          </w:tcPr>
          <w:p>
            <w:pPr>
              <w:pStyle w:val="14"/>
              <w:rPr>
                <w:rFonts w:hAnsi="宋体"/>
                <w:b w:val="0"/>
                <w:color w:val="000000" w:themeColor="text1"/>
                <w:sz w:val="21"/>
                <w:szCs w:val="21"/>
              </w:rPr>
            </w:pPr>
            <w:r>
              <w:rPr>
                <w:rFonts w:hAnsi="宋体"/>
                <w:b w:val="0"/>
                <w:color w:val="000000" w:themeColor="text1"/>
                <w:sz w:val="21"/>
                <w:szCs w:val="21"/>
              </w:rPr>
              <w:t>危险特性</w:t>
            </w:r>
          </w:p>
        </w:tc>
        <w:tc>
          <w:tcPr>
            <w:tcW w:w="1154" w:type="pct"/>
            <w:vAlign w:val="center"/>
          </w:tcPr>
          <w:p>
            <w:pPr>
              <w:pStyle w:val="14"/>
              <w:rPr>
                <w:rFonts w:hAnsi="宋体"/>
                <w:b w:val="0"/>
                <w:color w:val="000000" w:themeColor="text1"/>
                <w:sz w:val="21"/>
                <w:szCs w:val="21"/>
              </w:rPr>
            </w:pPr>
            <w:r>
              <w:rPr>
                <w:rFonts w:hAnsi="宋体"/>
                <w:b w:val="0"/>
                <w:color w:val="000000" w:themeColor="text1"/>
                <w:sz w:val="21"/>
                <w:szCs w:val="21"/>
              </w:rPr>
              <w:t>毒理指标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1</w:t>
            </w:r>
          </w:p>
        </w:tc>
        <w:tc>
          <w:tcPr>
            <w:tcW w:w="406"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聚丙烯酰胺</w:t>
            </w:r>
          </w:p>
        </w:tc>
        <w:tc>
          <w:tcPr>
            <w:tcW w:w="2456"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分子量</w:t>
            </w:r>
            <w:r>
              <w:rPr>
                <w:rFonts w:eastAsia="宋体"/>
                <w:color w:val="000000" w:themeColor="text1"/>
                <w:kern w:val="2"/>
                <w:sz w:val="21"/>
                <w:szCs w:val="21"/>
              </w:rPr>
              <w:t>71.07</w:t>
            </w:r>
            <w:r>
              <w:rPr>
                <w:rFonts w:ascii="宋体" w:hAnsi="宋体" w:eastAsia="宋体" w:cs="宋体"/>
                <w:color w:val="000000" w:themeColor="text1"/>
                <w:kern w:val="2"/>
                <w:sz w:val="21"/>
                <w:szCs w:val="21"/>
              </w:rPr>
              <w:t>；外观为白色粉末，易溶于水，几乎不溶于苯，乙醚、酯类、丙酮等一般有机溶剂，其水溶液几近透明的粘稠液体，属非危险品，无毒、无腐蚀性</w:t>
            </w:r>
          </w:p>
        </w:tc>
        <w:tc>
          <w:tcPr>
            <w:tcW w:w="751"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无危险性</w:t>
            </w:r>
          </w:p>
        </w:tc>
        <w:tc>
          <w:tcPr>
            <w:tcW w:w="1154"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无毒，无腐蚀性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2</w:t>
            </w:r>
          </w:p>
        </w:tc>
        <w:tc>
          <w:tcPr>
            <w:tcW w:w="406" w:type="pct"/>
            <w:vAlign w:val="center"/>
          </w:tcPr>
          <w:p>
            <w:pPr>
              <w:pStyle w:val="78"/>
              <w:jc w:val="center"/>
              <w:rPr>
                <w:rFonts w:ascii="宋体" w:hAnsi="宋体" w:eastAsia="宋体" w:cs="宋体"/>
                <w:color w:val="000000" w:themeColor="text1"/>
                <w:kern w:val="2"/>
                <w:sz w:val="21"/>
                <w:szCs w:val="21"/>
              </w:rPr>
            </w:pPr>
            <w:r>
              <w:rPr>
                <w:rFonts w:hint="eastAsia" w:ascii="宋体" w:hAnsi="宋体" w:eastAsia="宋体" w:cs="宋体"/>
                <w:color w:val="000000" w:themeColor="text1"/>
                <w:kern w:val="2"/>
                <w:sz w:val="21"/>
                <w:szCs w:val="21"/>
              </w:rPr>
              <w:t>聚合氯化铝</w:t>
            </w:r>
          </w:p>
        </w:tc>
        <w:tc>
          <w:tcPr>
            <w:tcW w:w="2456" w:type="pct"/>
            <w:vAlign w:val="center"/>
          </w:tcPr>
          <w:p>
            <w:pPr>
              <w:pStyle w:val="78"/>
              <w:jc w:val="both"/>
              <w:rPr>
                <w:rFonts w:eastAsia="宋体"/>
                <w:color w:val="000000" w:themeColor="text1"/>
                <w:kern w:val="2"/>
                <w:sz w:val="21"/>
                <w:szCs w:val="21"/>
              </w:rPr>
            </w:pPr>
            <w:r>
              <w:rPr>
                <w:rFonts w:eastAsia="宋体"/>
                <w:color w:val="000000" w:themeColor="text1"/>
                <w:kern w:val="2"/>
                <w:sz w:val="21"/>
                <w:szCs w:val="21"/>
              </w:rPr>
              <w:t>分子量</w:t>
            </w:r>
            <w:r>
              <w:rPr>
                <w:rFonts w:hint="eastAsia" w:eastAsia="宋体"/>
                <w:color w:val="000000" w:themeColor="text1"/>
                <w:kern w:val="2"/>
                <w:sz w:val="21"/>
                <w:szCs w:val="21"/>
              </w:rPr>
              <w:t>133.3405；是一种净水材料，无机高分子混凝剂，又被简称为聚铝，英文缩写PAC，由于氢氧根离子的架桥作用和多价阴离子的聚合作用而产生的分子量较大，电荷较高的无机高分子水处理药剂。在形态上又可以分为固体和液体两种。固体按颜色不同又分为棕褐色、米黄色、金黄色和白色，液体可以分为无色透明、微黄色、浅黄色至黄褐色。</w:t>
            </w:r>
          </w:p>
        </w:tc>
        <w:tc>
          <w:tcPr>
            <w:tcW w:w="751"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无危险性</w:t>
            </w:r>
          </w:p>
        </w:tc>
        <w:tc>
          <w:tcPr>
            <w:tcW w:w="1154"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无毒，无腐蚀性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230" w:type="pc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3</w:t>
            </w:r>
          </w:p>
        </w:tc>
        <w:tc>
          <w:tcPr>
            <w:tcW w:w="406"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氯酸钠</w:t>
            </w:r>
          </w:p>
        </w:tc>
        <w:tc>
          <w:tcPr>
            <w:tcW w:w="2456" w:type="pct"/>
            <w:vAlign w:val="center"/>
          </w:tcPr>
          <w:p>
            <w:pPr>
              <w:pStyle w:val="78"/>
              <w:jc w:val="center"/>
              <w:rPr>
                <w:rFonts w:eastAsia="宋体"/>
                <w:color w:val="000000" w:themeColor="text1"/>
                <w:kern w:val="2"/>
                <w:sz w:val="21"/>
                <w:szCs w:val="21"/>
              </w:rPr>
            </w:pPr>
            <w:r>
              <w:rPr>
                <w:rFonts w:hAnsi="宋体" w:eastAsia="宋体"/>
                <w:color w:val="000000" w:themeColor="text1"/>
                <w:kern w:val="2"/>
                <w:sz w:val="21"/>
                <w:szCs w:val="21"/>
              </w:rPr>
              <w:t>分子量</w:t>
            </w:r>
            <w:r>
              <w:rPr>
                <w:rFonts w:eastAsia="宋体"/>
                <w:color w:val="000000" w:themeColor="text1"/>
                <w:kern w:val="2"/>
                <w:sz w:val="21"/>
                <w:szCs w:val="21"/>
              </w:rPr>
              <w:t>106.44</w:t>
            </w:r>
            <w:r>
              <w:rPr>
                <w:rFonts w:hAnsi="宋体" w:eastAsia="宋体"/>
                <w:color w:val="000000" w:themeColor="text1"/>
                <w:kern w:val="2"/>
                <w:sz w:val="21"/>
                <w:szCs w:val="21"/>
              </w:rPr>
              <w:t>；白色或微黄色等轴晶体，有似氯气的气味。属强碱弱酸盐。沸点：＞</w:t>
            </w:r>
            <w:r>
              <w:rPr>
                <w:rFonts w:eastAsia="宋体"/>
                <w:color w:val="000000" w:themeColor="text1"/>
                <w:kern w:val="2"/>
                <w:sz w:val="21"/>
                <w:szCs w:val="21"/>
              </w:rPr>
              <w:t>102.2℃</w:t>
            </w:r>
            <w:r>
              <w:rPr>
                <w:rFonts w:hAnsi="宋体" w:eastAsia="宋体"/>
                <w:color w:val="000000" w:themeColor="text1"/>
                <w:kern w:val="2"/>
                <w:sz w:val="21"/>
                <w:szCs w:val="21"/>
              </w:rPr>
              <w:t>；相对密度</w:t>
            </w:r>
            <w:r>
              <w:rPr>
                <w:rFonts w:eastAsia="宋体"/>
                <w:color w:val="000000" w:themeColor="text1"/>
                <w:kern w:val="2"/>
                <w:sz w:val="21"/>
                <w:szCs w:val="21"/>
              </w:rPr>
              <w:t>(</w:t>
            </w:r>
            <w:r>
              <w:rPr>
                <w:rFonts w:hAnsi="宋体" w:eastAsia="宋体"/>
                <w:color w:val="000000" w:themeColor="text1"/>
                <w:kern w:val="2"/>
                <w:sz w:val="21"/>
                <w:szCs w:val="21"/>
              </w:rPr>
              <w:t>水</w:t>
            </w:r>
            <w:r>
              <w:rPr>
                <w:rFonts w:eastAsia="宋体"/>
                <w:color w:val="000000" w:themeColor="text1"/>
                <w:kern w:val="2"/>
                <w:sz w:val="21"/>
                <w:szCs w:val="21"/>
              </w:rPr>
              <w:t>=1)1.10</w:t>
            </w:r>
            <w:r>
              <w:rPr>
                <w:rFonts w:hAnsi="宋体" w:eastAsia="宋体"/>
                <w:color w:val="000000" w:themeColor="text1"/>
                <w:kern w:val="2"/>
                <w:sz w:val="21"/>
                <w:szCs w:val="21"/>
              </w:rPr>
              <w:t>。</w:t>
            </w:r>
          </w:p>
        </w:tc>
        <w:tc>
          <w:tcPr>
            <w:tcW w:w="751"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不燃，具腐蚀性，可致人体灼伤，具有致敏性</w:t>
            </w:r>
          </w:p>
        </w:tc>
        <w:tc>
          <w:tcPr>
            <w:tcW w:w="1154"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具有腐蚀性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4</w:t>
            </w:r>
          </w:p>
        </w:tc>
        <w:tc>
          <w:tcPr>
            <w:tcW w:w="406" w:type="pct"/>
            <w:vAlign w:val="center"/>
          </w:tcPr>
          <w:p>
            <w:pPr>
              <w:pStyle w:val="78"/>
              <w:jc w:val="center"/>
              <w:rPr>
                <w:rFonts w:ascii="宋体" w:hAnsi="宋体" w:eastAsia="宋体" w:cs="宋体"/>
                <w:color w:val="000000" w:themeColor="text1"/>
                <w:kern w:val="2"/>
                <w:sz w:val="21"/>
                <w:szCs w:val="21"/>
              </w:rPr>
            </w:pPr>
            <w:r>
              <w:rPr>
                <w:rFonts w:hint="eastAsia" w:ascii="宋体" w:hAnsi="宋体" w:eastAsia="宋体" w:cs="宋体"/>
                <w:color w:val="000000" w:themeColor="text1"/>
                <w:kern w:val="2"/>
                <w:sz w:val="21"/>
                <w:szCs w:val="21"/>
              </w:rPr>
              <w:t>石灰</w:t>
            </w:r>
          </w:p>
        </w:tc>
        <w:tc>
          <w:tcPr>
            <w:tcW w:w="2456" w:type="pct"/>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分子量</w:t>
            </w:r>
            <w:r>
              <w:rPr>
                <w:rFonts w:hint="eastAsia" w:eastAsia="宋体"/>
                <w:color w:val="000000" w:themeColor="text1"/>
                <w:kern w:val="2"/>
                <w:sz w:val="21"/>
                <w:szCs w:val="21"/>
              </w:rPr>
              <w:t>56.08，碱性，主要成分是氧化钙，熔点在</w:t>
            </w:r>
            <w:r>
              <w:rPr>
                <w:rFonts w:eastAsia="宋体"/>
                <w:color w:val="000000" w:themeColor="text1"/>
                <w:kern w:val="2"/>
                <w:sz w:val="21"/>
                <w:szCs w:val="21"/>
              </w:rPr>
              <w:t>2580℃-沸2850℃</w:t>
            </w:r>
            <w:r>
              <w:rPr>
                <w:rFonts w:hint="eastAsia" w:eastAsia="宋体"/>
                <w:color w:val="000000" w:themeColor="text1"/>
                <w:kern w:val="2"/>
                <w:sz w:val="21"/>
                <w:szCs w:val="21"/>
              </w:rPr>
              <w:t>，外形为白色（或灰色、棕白），无定形，在空气中吸收水和二氧化碳。CaO与水作用生成氢氧化钙，并放出热量。溶于酸水，不溶于醇。</w:t>
            </w:r>
          </w:p>
        </w:tc>
        <w:tc>
          <w:tcPr>
            <w:tcW w:w="751"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不燃</w:t>
            </w:r>
            <w:r>
              <w:rPr>
                <w:rFonts w:hint="eastAsia" w:ascii="宋体" w:hAnsi="宋体" w:eastAsia="宋体" w:cs="宋体"/>
                <w:color w:val="000000" w:themeColor="text1"/>
                <w:kern w:val="2"/>
                <w:sz w:val="21"/>
                <w:szCs w:val="21"/>
              </w:rPr>
              <w:t>，</w:t>
            </w:r>
            <w:r>
              <w:rPr>
                <w:rFonts w:ascii="宋体" w:hAnsi="宋体" w:eastAsia="宋体" w:cs="宋体"/>
                <w:color w:val="000000" w:themeColor="text1"/>
                <w:kern w:val="2"/>
                <w:sz w:val="21"/>
                <w:szCs w:val="21"/>
              </w:rPr>
              <w:t>具腐蚀性</w:t>
            </w:r>
            <w:r>
              <w:rPr>
                <w:rFonts w:hint="eastAsia" w:ascii="宋体" w:hAnsi="宋体" w:eastAsia="宋体" w:cs="宋体"/>
                <w:color w:val="000000" w:themeColor="text1"/>
                <w:kern w:val="2"/>
                <w:sz w:val="21"/>
                <w:szCs w:val="21"/>
              </w:rPr>
              <w:t>，</w:t>
            </w:r>
            <w:r>
              <w:rPr>
                <w:rFonts w:ascii="宋体" w:hAnsi="宋体" w:eastAsia="宋体" w:cs="宋体"/>
                <w:color w:val="000000" w:themeColor="text1"/>
                <w:kern w:val="2"/>
                <w:sz w:val="21"/>
                <w:szCs w:val="21"/>
              </w:rPr>
              <w:t>可致人体灼伤</w:t>
            </w:r>
          </w:p>
        </w:tc>
        <w:tc>
          <w:tcPr>
            <w:tcW w:w="1154"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具有腐蚀性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5</w:t>
            </w:r>
          </w:p>
        </w:tc>
        <w:tc>
          <w:tcPr>
            <w:tcW w:w="406"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盐酸</w:t>
            </w:r>
          </w:p>
        </w:tc>
        <w:tc>
          <w:tcPr>
            <w:tcW w:w="2456"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分子量</w:t>
            </w:r>
            <w:r>
              <w:rPr>
                <w:rFonts w:eastAsia="宋体"/>
                <w:color w:val="000000" w:themeColor="text1"/>
                <w:kern w:val="2"/>
                <w:sz w:val="21"/>
                <w:szCs w:val="21"/>
              </w:rPr>
              <w:t>36.46</w:t>
            </w:r>
            <w:r>
              <w:rPr>
                <w:rFonts w:ascii="宋体" w:hAnsi="宋体" w:eastAsia="宋体" w:cs="宋体"/>
                <w:color w:val="000000" w:themeColor="text1"/>
                <w:kern w:val="2"/>
                <w:sz w:val="21"/>
                <w:szCs w:val="21"/>
              </w:rPr>
              <w:t>；无色或微黄色发烟液体，有刺鼻的酸味。熔点：</w:t>
            </w:r>
            <w:r>
              <w:rPr>
                <w:rFonts w:eastAsia="宋体"/>
                <w:color w:val="000000" w:themeColor="text1"/>
                <w:kern w:val="2"/>
                <w:sz w:val="21"/>
                <w:szCs w:val="21"/>
              </w:rPr>
              <w:t>-114.8℃</w:t>
            </w:r>
            <w:r>
              <w:rPr>
                <w:rFonts w:ascii="宋体" w:hAnsi="宋体" w:eastAsia="宋体" w:cs="宋体"/>
                <w:color w:val="000000" w:themeColor="text1"/>
                <w:kern w:val="2"/>
                <w:sz w:val="21"/>
                <w:szCs w:val="21"/>
              </w:rPr>
              <w:t>，沸点：</w:t>
            </w:r>
            <w:r>
              <w:rPr>
                <w:rFonts w:eastAsia="宋体"/>
                <w:color w:val="000000" w:themeColor="text1"/>
                <w:kern w:val="2"/>
                <w:sz w:val="21"/>
                <w:szCs w:val="21"/>
              </w:rPr>
              <w:t>108.6℃</w:t>
            </w:r>
            <w:r>
              <w:rPr>
                <w:rFonts w:ascii="宋体" w:hAnsi="宋体" w:eastAsia="宋体" w:cs="宋体"/>
                <w:color w:val="000000" w:themeColor="text1"/>
                <w:kern w:val="2"/>
                <w:sz w:val="21"/>
                <w:szCs w:val="21"/>
              </w:rPr>
              <w:t>，相对密度（水</w:t>
            </w:r>
            <w:r>
              <w:rPr>
                <w:rFonts w:eastAsia="宋体"/>
                <w:color w:val="000000" w:themeColor="text1"/>
                <w:kern w:val="2"/>
                <w:sz w:val="21"/>
                <w:szCs w:val="21"/>
              </w:rPr>
              <w:t>=1</w:t>
            </w:r>
            <w:r>
              <w:rPr>
                <w:rFonts w:ascii="宋体" w:hAnsi="宋体" w:eastAsia="宋体" w:cs="宋体"/>
                <w:color w:val="000000" w:themeColor="text1"/>
                <w:kern w:val="2"/>
                <w:sz w:val="21"/>
                <w:szCs w:val="21"/>
              </w:rPr>
              <w:t>）</w:t>
            </w:r>
            <w:r>
              <w:rPr>
                <w:rFonts w:eastAsia="宋体"/>
                <w:color w:val="000000" w:themeColor="text1"/>
                <w:kern w:val="2"/>
                <w:sz w:val="21"/>
                <w:szCs w:val="21"/>
              </w:rPr>
              <w:t>1.1</w:t>
            </w:r>
            <w:r>
              <w:rPr>
                <w:rFonts w:ascii="宋体" w:hAnsi="宋体" w:eastAsia="宋体" w:cs="宋体"/>
                <w:color w:val="000000" w:themeColor="text1"/>
                <w:kern w:val="2"/>
                <w:sz w:val="21"/>
                <w:szCs w:val="21"/>
              </w:rPr>
              <w:t>，饱和蒸气压</w:t>
            </w:r>
            <w:r>
              <w:rPr>
                <w:rFonts w:eastAsia="宋体"/>
                <w:color w:val="000000" w:themeColor="text1"/>
                <w:kern w:val="2"/>
                <w:sz w:val="21"/>
                <w:szCs w:val="21"/>
              </w:rPr>
              <w:t>30.66kPa(21℃)</w:t>
            </w:r>
            <w:r>
              <w:rPr>
                <w:rFonts w:ascii="宋体" w:hAnsi="宋体" w:eastAsia="宋体" w:cs="宋体"/>
                <w:color w:val="000000" w:themeColor="text1"/>
                <w:kern w:val="2"/>
                <w:sz w:val="21"/>
                <w:szCs w:val="21"/>
              </w:rPr>
              <w:t>。与水混溶，溶于甲醇、乙醇、乙醚、苯，不溶于烃类。</w:t>
            </w:r>
          </w:p>
        </w:tc>
        <w:tc>
          <w:tcPr>
            <w:tcW w:w="751"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与碱发生中和反应，并放出大量的热。具有较强的腐蚀性</w:t>
            </w:r>
          </w:p>
        </w:tc>
        <w:tc>
          <w:tcPr>
            <w:tcW w:w="1154" w:type="pct"/>
            <w:vAlign w:val="center"/>
          </w:tcPr>
          <w:p>
            <w:pPr>
              <w:pStyle w:val="78"/>
              <w:jc w:val="center"/>
              <w:rPr>
                <w:rFonts w:eastAsia="宋体"/>
                <w:color w:val="000000" w:themeColor="text1"/>
                <w:kern w:val="2"/>
                <w:sz w:val="21"/>
                <w:szCs w:val="21"/>
              </w:rPr>
            </w:pPr>
            <w:r>
              <w:rPr>
                <w:rFonts w:ascii="宋体" w:hAnsi="宋体" w:eastAsia="宋体" w:cs="宋体"/>
                <w:color w:val="000000" w:themeColor="text1"/>
                <w:kern w:val="2"/>
                <w:sz w:val="21"/>
                <w:szCs w:val="21"/>
              </w:rPr>
              <w:t>本品对眼和呼吸道粘膜有强烈的刺激作用。</w:t>
            </w:r>
            <w:r>
              <w:rPr>
                <w:rFonts w:eastAsia="宋体"/>
                <w:color w:val="000000" w:themeColor="text1"/>
                <w:kern w:val="2"/>
                <w:sz w:val="21"/>
                <w:szCs w:val="21"/>
              </w:rPr>
              <w:t>LD50900mg/kg(</w:t>
            </w:r>
            <w:r>
              <w:rPr>
                <w:rFonts w:ascii="宋体" w:hAnsi="宋体" w:eastAsia="宋体" w:cs="宋体"/>
                <w:color w:val="000000" w:themeColor="text1"/>
                <w:kern w:val="2"/>
                <w:sz w:val="21"/>
                <w:szCs w:val="21"/>
              </w:rPr>
              <w:t>兔经口</w:t>
            </w:r>
            <w:r>
              <w:rPr>
                <w:rFonts w:eastAsia="宋体"/>
                <w:color w:val="000000" w:themeColor="text1"/>
                <w:kern w:val="2"/>
                <w:sz w:val="21"/>
                <w:szCs w:val="21"/>
              </w:rPr>
              <w:t>)</w:t>
            </w:r>
            <w:r>
              <w:rPr>
                <w:rFonts w:ascii="宋体" w:hAnsi="宋体" w:eastAsia="宋体" w:cs="宋体"/>
                <w:color w:val="000000" w:themeColor="text1"/>
                <w:kern w:val="2"/>
                <w:sz w:val="21"/>
                <w:szCs w:val="21"/>
              </w:rPr>
              <w:t>；</w:t>
            </w:r>
            <w:r>
              <w:rPr>
                <w:rFonts w:eastAsia="宋体"/>
                <w:color w:val="000000" w:themeColor="text1"/>
                <w:kern w:val="2"/>
                <w:sz w:val="21"/>
                <w:szCs w:val="21"/>
              </w:rPr>
              <w:t>LC503124 mg/m3</w:t>
            </w:r>
            <w:r>
              <w:rPr>
                <w:rFonts w:ascii="宋体" w:hAnsi="宋体" w:eastAsia="宋体" w:cs="宋体"/>
                <w:color w:val="000000" w:themeColor="text1"/>
                <w:kern w:val="2"/>
                <w:sz w:val="21"/>
                <w:szCs w:val="21"/>
              </w:rPr>
              <w:t>，</w:t>
            </w:r>
            <w:r>
              <w:rPr>
                <w:rFonts w:eastAsia="宋体"/>
                <w:color w:val="000000" w:themeColor="text1"/>
                <w:kern w:val="2"/>
                <w:sz w:val="21"/>
                <w:szCs w:val="21"/>
              </w:rPr>
              <w:t>1</w:t>
            </w:r>
            <w:r>
              <w:rPr>
                <w:rFonts w:ascii="宋体" w:hAnsi="宋体" w:eastAsia="宋体" w:cs="宋体"/>
                <w:color w:val="000000" w:themeColor="text1"/>
                <w:kern w:val="2"/>
                <w:sz w:val="21"/>
                <w:szCs w:val="21"/>
              </w:rPr>
              <w:t>小时</w:t>
            </w:r>
            <w:r>
              <w:rPr>
                <w:rFonts w:eastAsia="宋体"/>
                <w:color w:val="000000" w:themeColor="text1"/>
                <w:kern w:val="2"/>
                <w:sz w:val="21"/>
                <w:szCs w:val="21"/>
              </w:rPr>
              <w:t>(</w:t>
            </w:r>
            <w:r>
              <w:rPr>
                <w:rFonts w:ascii="宋体" w:hAnsi="宋体" w:eastAsia="宋体" w:cs="宋体"/>
                <w:color w:val="000000" w:themeColor="text1"/>
                <w:kern w:val="2"/>
                <w:sz w:val="21"/>
                <w:szCs w:val="21"/>
              </w:rPr>
              <w:t>大鼠吸入</w:t>
            </w:r>
            <w:r>
              <w:rPr>
                <w:rFonts w:eastAsia="宋体"/>
                <w:color w:val="000000" w:themeColor="text1"/>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6</w:t>
            </w:r>
          </w:p>
        </w:tc>
        <w:tc>
          <w:tcPr>
            <w:tcW w:w="406"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三氯化铁</w:t>
            </w:r>
          </w:p>
        </w:tc>
        <w:tc>
          <w:tcPr>
            <w:tcW w:w="2456" w:type="pct"/>
            <w:vAlign w:val="center"/>
          </w:tcPr>
          <w:p>
            <w:pPr>
              <w:pStyle w:val="78"/>
              <w:jc w:val="center"/>
              <w:rPr>
                <w:rFonts w:eastAsia="宋体"/>
                <w:color w:val="000000" w:themeColor="text1"/>
                <w:kern w:val="2"/>
                <w:sz w:val="21"/>
                <w:szCs w:val="21"/>
              </w:rPr>
            </w:pPr>
            <w:r>
              <w:rPr>
                <w:rFonts w:hAnsi="宋体" w:eastAsia="宋体"/>
                <w:color w:val="000000" w:themeColor="text1"/>
                <w:kern w:val="2"/>
                <w:sz w:val="21"/>
                <w:szCs w:val="21"/>
              </w:rPr>
              <w:t>分子量</w:t>
            </w:r>
            <w:r>
              <w:rPr>
                <w:rFonts w:eastAsia="宋体"/>
                <w:color w:val="000000" w:themeColor="text1"/>
                <w:kern w:val="2"/>
                <w:sz w:val="21"/>
                <w:szCs w:val="21"/>
                <w:shd w:val="clear" w:color="auto" w:fill="FFFFFF"/>
              </w:rPr>
              <w:t>162.21</w:t>
            </w:r>
            <w:r>
              <w:rPr>
                <w:rFonts w:hAnsi="Arial" w:eastAsia="宋体"/>
                <w:color w:val="000000" w:themeColor="text1"/>
                <w:kern w:val="2"/>
                <w:sz w:val="21"/>
                <w:szCs w:val="21"/>
                <w:shd w:val="clear" w:color="auto" w:fill="FFFFFF"/>
              </w:rPr>
              <w:t>；</w:t>
            </w:r>
            <w:r>
              <w:rPr>
                <w:rFonts w:hAnsi="Verdana" w:eastAsia="宋体"/>
                <w:color w:val="000000" w:themeColor="text1"/>
                <w:kern w:val="2"/>
                <w:sz w:val="21"/>
                <w:szCs w:val="21"/>
                <w:shd w:val="clear" w:color="auto" w:fill="FFFFFF"/>
              </w:rPr>
              <w:t>黑棕色结晶，大部分是片状，属于六方晶系。比重</w:t>
            </w:r>
            <w:r>
              <w:rPr>
                <w:rFonts w:eastAsia="宋体"/>
                <w:color w:val="000000" w:themeColor="text1"/>
                <w:kern w:val="2"/>
                <w:sz w:val="21"/>
                <w:szCs w:val="21"/>
                <w:shd w:val="clear" w:color="auto" w:fill="FFFFFF"/>
              </w:rPr>
              <w:t>2.898</w:t>
            </w:r>
            <w:r>
              <w:rPr>
                <w:rFonts w:hAnsi="Verdana" w:eastAsia="宋体"/>
                <w:color w:val="000000" w:themeColor="text1"/>
                <w:kern w:val="2"/>
                <w:sz w:val="21"/>
                <w:szCs w:val="21"/>
                <w:shd w:val="clear" w:color="auto" w:fill="FFFFFF"/>
              </w:rPr>
              <w:t>。熔点</w:t>
            </w:r>
            <w:r>
              <w:rPr>
                <w:rFonts w:eastAsia="宋体"/>
                <w:color w:val="000000" w:themeColor="text1"/>
                <w:kern w:val="2"/>
                <w:sz w:val="21"/>
                <w:szCs w:val="21"/>
                <w:shd w:val="clear" w:color="auto" w:fill="FFFFFF"/>
              </w:rPr>
              <w:t>306ºC</w:t>
            </w:r>
            <w:r>
              <w:rPr>
                <w:rFonts w:hAnsi="Verdana" w:eastAsia="宋体"/>
                <w:color w:val="000000" w:themeColor="text1"/>
                <w:kern w:val="2"/>
                <w:sz w:val="21"/>
                <w:szCs w:val="21"/>
                <w:shd w:val="clear" w:color="auto" w:fill="FFFFFF"/>
              </w:rPr>
              <w:t>。分解温度</w:t>
            </w:r>
            <w:r>
              <w:rPr>
                <w:rFonts w:eastAsia="宋体"/>
                <w:color w:val="000000" w:themeColor="text1"/>
                <w:kern w:val="2"/>
                <w:sz w:val="21"/>
                <w:szCs w:val="21"/>
                <w:shd w:val="clear" w:color="auto" w:fill="FFFFFF"/>
              </w:rPr>
              <w:t>315ºC</w:t>
            </w:r>
            <w:r>
              <w:rPr>
                <w:rFonts w:hAnsi="Verdana" w:eastAsia="宋体"/>
                <w:color w:val="000000" w:themeColor="text1"/>
                <w:kern w:val="2"/>
                <w:sz w:val="21"/>
                <w:szCs w:val="21"/>
                <w:shd w:val="clear" w:color="auto" w:fill="FFFFFF"/>
              </w:rPr>
              <w:t>。</w:t>
            </w:r>
            <w:r>
              <w:rPr>
                <w:rFonts w:eastAsia="宋体"/>
                <w:color w:val="000000" w:themeColor="text1"/>
                <w:kern w:val="2"/>
                <w:sz w:val="21"/>
                <w:szCs w:val="21"/>
                <w:shd w:val="clear" w:color="auto" w:fill="FFFFFF"/>
              </w:rPr>
              <w:t>D</w:t>
            </w:r>
            <w:r>
              <w:rPr>
                <w:rFonts w:hAnsi="Verdana" w:eastAsia="宋体"/>
                <w:color w:val="000000" w:themeColor="text1"/>
                <w:kern w:val="2"/>
                <w:sz w:val="21"/>
                <w:szCs w:val="21"/>
                <w:shd w:val="clear" w:color="auto" w:fill="FFFFFF"/>
              </w:rPr>
              <w:t>在透射光线下呈石榴红色，反射光线下呈金属样的绿色。沸点下部分分解。</w:t>
            </w:r>
            <w:r>
              <w:rPr>
                <w:rFonts w:eastAsia="宋体"/>
                <w:color w:val="000000" w:themeColor="text1"/>
                <w:kern w:val="2"/>
                <w:sz w:val="21"/>
                <w:szCs w:val="21"/>
                <w:shd w:val="clear" w:color="auto" w:fill="FFFFFF"/>
              </w:rPr>
              <w:t>400ºC</w:t>
            </w:r>
            <w:r>
              <w:rPr>
                <w:rFonts w:hAnsi="Verdana" w:eastAsia="宋体"/>
                <w:color w:val="000000" w:themeColor="text1"/>
                <w:kern w:val="2"/>
                <w:sz w:val="21"/>
                <w:szCs w:val="21"/>
                <w:shd w:val="clear" w:color="auto" w:fill="FFFFFF"/>
              </w:rPr>
              <w:t>的蒸气含</w:t>
            </w:r>
            <w:r>
              <w:rPr>
                <w:rFonts w:eastAsia="宋体"/>
                <w:color w:val="000000" w:themeColor="text1"/>
                <w:kern w:val="2"/>
                <w:sz w:val="21"/>
                <w:szCs w:val="21"/>
                <w:shd w:val="clear" w:color="auto" w:fill="FFFFFF"/>
              </w:rPr>
              <w:t>Fe</w:t>
            </w:r>
            <w:r>
              <w:rPr>
                <w:rFonts w:eastAsia="宋体"/>
                <w:color w:val="000000" w:themeColor="text1"/>
                <w:kern w:val="2"/>
                <w:sz w:val="21"/>
                <w:szCs w:val="21"/>
                <w:shd w:val="clear" w:color="auto" w:fill="FFFFFF"/>
                <w:vertAlign w:val="subscript"/>
              </w:rPr>
              <w:t>2</w:t>
            </w:r>
            <w:r>
              <w:rPr>
                <w:rFonts w:eastAsia="宋体"/>
                <w:color w:val="000000" w:themeColor="text1"/>
                <w:kern w:val="2"/>
                <w:sz w:val="21"/>
                <w:szCs w:val="21"/>
                <w:shd w:val="clear" w:color="auto" w:fill="FFFFFF"/>
              </w:rPr>
              <w:t>Cl</w:t>
            </w:r>
            <w:r>
              <w:rPr>
                <w:rFonts w:eastAsia="宋体"/>
                <w:color w:val="000000" w:themeColor="text1"/>
                <w:kern w:val="2"/>
                <w:sz w:val="21"/>
                <w:szCs w:val="21"/>
                <w:shd w:val="clear" w:color="auto" w:fill="FFFFFF"/>
                <w:vertAlign w:val="superscript"/>
              </w:rPr>
              <w:t>9</w:t>
            </w:r>
            <w:r>
              <w:rPr>
                <w:rFonts w:hAnsi="Verdana" w:eastAsia="宋体"/>
                <w:color w:val="000000" w:themeColor="text1"/>
                <w:kern w:val="2"/>
                <w:sz w:val="21"/>
                <w:szCs w:val="21"/>
                <w:shd w:val="clear" w:color="auto" w:fill="FFFFFF"/>
              </w:rPr>
              <w:t>分子，</w:t>
            </w:r>
            <w:r>
              <w:rPr>
                <w:rFonts w:eastAsia="宋体"/>
                <w:color w:val="000000" w:themeColor="text1"/>
                <w:kern w:val="2"/>
                <w:sz w:val="21"/>
                <w:szCs w:val="21"/>
                <w:shd w:val="clear" w:color="auto" w:fill="FFFFFF"/>
              </w:rPr>
              <w:t>750ºC</w:t>
            </w:r>
            <w:r>
              <w:rPr>
                <w:rFonts w:hAnsi="Verdana" w:eastAsia="宋体"/>
                <w:color w:val="000000" w:themeColor="text1"/>
                <w:kern w:val="2"/>
                <w:sz w:val="21"/>
                <w:szCs w:val="21"/>
                <w:shd w:val="clear" w:color="auto" w:fill="FFFFFF"/>
              </w:rPr>
              <w:t>的蒸气含</w:t>
            </w:r>
            <w:r>
              <w:rPr>
                <w:rFonts w:eastAsia="宋体"/>
                <w:color w:val="000000" w:themeColor="text1"/>
                <w:kern w:val="2"/>
                <w:sz w:val="21"/>
                <w:szCs w:val="21"/>
                <w:shd w:val="clear" w:color="auto" w:fill="FFFFFF"/>
              </w:rPr>
              <w:t>FeCl</w:t>
            </w:r>
            <w:r>
              <w:rPr>
                <w:rFonts w:eastAsia="宋体"/>
                <w:color w:val="000000" w:themeColor="text1"/>
                <w:kern w:val="2"/>
                <w:sz w:val="21"/>
                <w:szCs w:val="21"/>
                <w:shd w:val="clear" w:color="auto" w:fill="FFFFFF"/>
                <w:vertAlign w:val="subscript"/>
              </w:rPr>
              <w:t>3</w:t>
            </w:r>
            <w:r>
              <w:rPr>
                <w:rFonts w:hAnsi="Verdana" w:eastAsia="宋体"/>
                <w:color w:val="000000" w:themeColor="text1"/>
                <w:kern w:val="2"/>
                <w:sz w:val="21"/>
                <w:szCs w:val="21"/>
                <w:shd w:val="clear" w:color="auto" w:fill="FFFFFF"/>
              </w:rPr>
              <w:t>分子。</w:t>
            </w:r>
          </w:p>
        </w:tc>
        <w:tc>
          <w:tcPr>
            <w:tcW w:w="751"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无危险性</w:t>
            </w:r>
          </w:p>
        </w:tc>
        <w:tc>
          <w:tcPr>
            <w:tcW w:w="1154" w:type="pct"/>
            <w:vAlign w:val="center"/>
          </w:tcPr>
          <w:p>
            <w:pPr>
              <w:pStyle w:val="78"/>
              <w:jc w:val="center"/>
              <w:rPr>
                <w:rFonts w:ascii="宋体" w:hAnsi="宋体" w:eastAsia="宋体" w:cs="宋体"/>
                <w:color w:val="000000" w:themeColor="text1"/>
                <w:kern w:val="2"/>
                <w:sz w:val="21"/>
                <w:szCs w:val="21"/>
              </w:rPr>
            </w:pPr>
            <w:r>
              <w:rPr>
                <w:rFonts w:ascii="宋体" w:hAnsi="宋体" w:eastAsia="宋体" w:cs="宋体"/>
                <w:color w:val="000000" w:themeColor="text1"/>
                <w:kern w:val="2"/>
                <w:sz w:val="21"/>
                <w:szCs w:val="21"/>
              </w:rPr>
              <w:t>无毒，</w:t>
            </w:r>
            <w:r>
              <w:rPr>
                <w:rFonts w:hint="eastAsia" w:ascii="宋体" w:hAnsi="宋体" w:eastAsia="宋体" w:cs="宋体"/>
                <w:color w:val="000000" w:themeColor="text1"/>
                <w:kern w:val="2"/>
                <w:sz w:val="21"/>
                <w:szCs w:val="21"/>
              </w:rPr>
              <w:t>弱</w:t>
            </w:r>
            <w:r>
              <w:rPr>
                <w:rFonts w:ascii="宋体" w:hAnsi="宋体" w:eastAsia="宋体" w:cs="宋体"/>
                <w:color w:val="000000" w:themeColor="text1"/>
                <w:kern w:val="2"/>
                <w:sz w:val="21"/>
                <w:szCs w:val="21"/>
              </w:rPr>
              <w:t>腐蚀性</w:t>
            </w:r>
          </w:p>
        </w:tc>
      </w:tr>
    </w:tbl>
    <w:p>
      <w:pPr>
        <w:pStyle w:val="5"/>
      </w:pPr>
      <w:r>
        <w:rPr>
          <w:rFonts w:hint="eastAsia"/>
        </w:rPr>
        <w:t>本项目</w:t>
      </w:r>
      <w:r>
        <w:t>主要生产设备</w:t>
      </w:r>
    </w:p>
    <w:p>
      <w:pPr>
        <w:pStyle w:val="129"/>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sz w:val="24"/>
          <w:szCs w:val="24"/>
        </w:rPr>
      </w:pPr>
      <w:r>
        <w:rPr>
          <w:rFonts w:hint="eastAsia" w:ascii="宋体" w:hAnsi="宋体"/>
          <w:sz w:val="24"/>
          <w:szCs w:val="24"/>
        </w:rPr>
        <w:t>本</w:t>
      </w:r>
      <w:r>
        <w:rPr>
          <w:rFonts w:ascii="宋体" w:hAnsi="宋体"/>
          <w:sz w:val="24"/>
          <w:szCs w:val="24"/>
        </w:rPr>
        <w:t>项目所选设备均不属于国家淘汰和限制的产业类型，可满足</w:t>
      </w:r>
      <w:r>
        <w:rPr>
          <w:rFonts w:hint="eastAsia" w:ascii="宋体" w:hAnsi="宋体"/>
          <w:sz w:val="24"/>
          <w:szCs w:val="24"/>
        </w:rPr>
        <w:t>污水处理设备</w:t>
      </w:r>
      <w:r>
        <w:rPr>
          <w:rFonts w:ascii="宋体" w:hAnsi="宋体"/>
          <w:sz w:val="24"/>
          <w:szCs w:val="24"/>
        </w:rPr>
        <w:t>的需要。</w:t>
      </w:r>
      <w:r>
        <w:rPr>
          <w:rFonts w:hint="eastAsia" w:ascii="宋体" w:hAnsi="宋体"/>
          <w:sz w:val="24"/>
          <w:szCs w:val="24"/>
        </w:rPr>
        <w:t>根据项目可研可知</w:t>
      </w:r>
      <w:r>
        <w:rPr>
          <w:rFonts w:ascii="宋体" w:hAnsi="宋体"/>
          <w:sz w:val="24"/>
          <w:szCs w:val="24"/>
        </w:rPr>
        <w:t>项目主要设备，详</w:t>
      </w:r>
      <w:r>
        <w:rPr>
          <w:sz w:val="24"/>
          <w:szCs w:val="24"/>
        </w:rPr>
        <w:t>见</w:t>
      </w:r>
      <w:r>
        <w:fldChar w:fldCharType="begin"/>
      </w:r>
      <w:r>
        <w:instrText xml:space="preserve"> REF _Ref16233887 \h  \* MERGEFORMAT </w:instrText>
      </w:r>
      <w:r>
        <w:fldChar w:fldCharType="separate"/>
      </w:r>
      <w:r>
        <w:rPr>
          <w:sz w:val="24"/>
          <w:szCs w:val="24"/>
        </w:rPr>
        <w:t>表</w:t>
      </w:r>
      <w:r>
        <w:rPr>
          <w:sz w:val="24"/>
          <w:szCs w:val="24"/>
        </w:rPr>
        <w:fldChar w:fldCharType="begin"/>
      </w:r>
      <w:r>
        <w:rPr>
          <w:sz w:val="24"/>
          <w:szCs w:val="24"/>
        </w:rPr>
        <w:instrText xml:space="preserve"> STYLEREF 2 \s </w:instrText>
      </w:r>
      <w:r>
        <w:rPr>
          <w:sz w:val="24"/>
          <w:szCs w:val="24"/>
        </w:rPr>
        <w:fldChar w:fldCharType="separate"/>
      </w:r>
      <w:r>
        <w:rPr>
          <w:sz w:val="24"/>
          <w:szCs w:val="24"/>
        </w:rPr>
        <w:t>2.1</w:t>
      </w:r>
      <w:r>
        <w:rPr>
          <w:sz w:val="24"/>
          <w:szCs w:val="24"/>
        </w:rPr>
        <w:fldChar w:fldCharType="end"/>
      </w:r>
      <w:r>
        <w:rPr>
          <w:sz w:val="24"/>
          <w:szCs w:val="24"/>
        </w:rPr>
        <w:noBreakHyphen/>
      </w:r>
      <w:r>
        <w:rPr>
          <w:sz w:val="24"/>
          <w:szCs w:val="24"/>
        </w:rPr>
        <w:t>6</w:t>
      </w:r>
      <w:r>
        <w:rPr>
          <w:sz w:val="24"/>
          <w:szCs w:val="24"/>
        </w:rPr>
        <w:fldChar w:fldCharType="end"/>
      </w:r>
      <w:r>
        <w:rPr>
          <w:sz w:val="24"/>
          <w:szCs w:val="24"/>
        </w:rPr>
        <w:t>。</w:t>
      </w:r>
    </w:p>
    <w:p>
      <w:pPr>
        <w:pStyle w:val="14"/>
        <w:spacing w:line="240" w:lineRule="auto"/>
      </w:pPr>
      <w:bookmarkStart w:id="109" w:name="_Ref16233887"/>
      <w:r>
        <w:t>表</w:t>
      </w:r>
      <w:r>
        <w:fldChar w:fldCharType="begin"/>
      </w:r>
      <w:r>
        <w:instrText xml:space="preserve"> STYLEREF 2 \s </w:instrText>
      </w:r>
      <w:r>
        <w:fldChar w:fldCharType="separate"/>
      </w:r>
      <w:r>
        <w:t>2.1</w:t>
      </w:r>
      <w:r>
        <w:fldChar w:fldCharType="end"/>
      </w:r>
      <w:r>
        <w:noBreakHyphen/>
      </w:r>
      <w:r>
        <w:fldChar w:fldCharType="begin"/>
      </w:r>
      <w:r>
        <w:instrText xml:space="preserve"> SEQ 表 \* ARABIC \s 2 </w:instrText>
      </w:r>
      <w:r>
        <w:fldChar w:fldCharType="separate"/>
      </w:r>
      <w:r>
        <w:t>6</w:t>
      </w:r>
      <w:r>
        <w:fldChar w:fldCharType="end"/>
      </w:r>
      <w:bookmarkEnd w:id="109"/>
      <w:r>
        <w:rPr>
          <w:rFonts w:hint="eastAsia"/>
        </w:rPr>
        <w:t>本项目设备情况一览表</w:t>
      </w:r>
    </w:p>
    <w:tbl>
      <w:tblPr>
        <w:tblStyle w:val="3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90"/>
        <w:gridCol w:w="1661"/>
        <w:gridCol w:w="5345"/>
        <w:gridCol w:w="490"/>
        <w:gridCol w:w="636"/>
        <w:gridCol w:w="620"/>
      </w:tblGrid>
      <w:tr>
        <w:tblPrEx>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序号</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名  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规格及型号</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单位</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数量</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hint="eastAsia" w:eastAsia="宋体" w:cs="Times New Roman"/>
                <w:kern w:val="0"/>
                <w:sz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widowControl/>
              <w:adjustRightInd w:val="0"/>
              <w:spacing w:line="320" w:lineRule="exact"/>
              <w:jc w:val="center"/>
              <w:textAlignment w:val="baseline"/>
              <w:rPr>
                <w:rFonts w:cs="Times New Roman"/>
                <w:bCs/>
                <w:kern w:val="0"/>
                <w:sz w:val="21"/>
              </w:rPr>
            </w:pPr>
            <w:r>
              <w:rPr>
                <w:rFonts w:hint="eastAsia" w:cs="Times New Roman"/>
                <w:b/>
                <w:bCs/>
                <w:kern w:val="0"/>
                <w:sz w:val="21"/>
              </w:rPr>
              <w:t>1</w:t>
            </w:r>
            <w:r>
              <w:rPr>
                <w:rFonts w:hAnsi="宋体" w:cs="Times New Roman"/>
                <w:b/>
                <w:bCs/>
                <w:kern w:val="0"/>
                <w:sz w:val="21"/>
              </w:rPr>
              <w:t>粗格栅及提升泵站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潜 水 泵</w:t>
            </w:r>
          </w:p>
        </w:tc>
        <w:tc>
          <w:tcPr>
            <w:tcW w:w="0" w:type="auto"/>
            <w:vAlign w:val="center"/>
          </w:tcPr>
          <w:p>
            <w:pPr>
              <w:spacing w:line="320" w:lineRule="exact"/>
              <w:jc w:val="center"/>
              <w:rPr>
                <w:rFonts w:cs="Times New Roman"/>
                <w:kern w:val="0"/>
                <w:sz w:val="21"/>
              </w:rPr>
            </w:pPr>
            <w:r>
              <w:rPr>
                <w:rFonts w:cs="Times New Roman"/>
                <w:kern w:val="0"/>
                <w:sz w:val="21"/>
              </w:rPr>
              <w:t>300QW900-15-55</w:t>
            </w:r>
          </w:p>
          <w:p>
            <w:pPr>
              <w:adjustRightInd w:val="0"/>
              <w:spacing w:line="320" w:lineRule="exact"/>
              <w:jc w:val="center"/>
              <w:textAlignment w:val="baseline"/>
              <w:rPr>
                <w:rFonts w:eastAsia="宋体" w:cs="Times New Roman"/>
                <w:kern w:val="0"/>
                <w:sz w:val="21"/>
              </w:rPr>
            </w:pPr>
            <w:r>
              <w:rPr>
                <w:rFonts w:cs="Times New Roman"/>
                <w:kern w:val="0"/>
                <w:sz w:val="21"/>
              </w:rPr>
              <w:t>(Q=800~1000m</w:t>
            </w:r>
            <w:r>
              <w:rPr>
                <w:rFonts w:cs="Times New Roman"/>
                <w:kern w:val="0"/>
                <w:sz w:val="21"/>
                <w:vertAlign w:val="superscript"/>
              </w:rPr>
              <w:t>3</w:t>
            </w:r>
            <w:r>
              <w:rPr>
                <w:rFonts w:cs="Times New Roman"/>
                <w:kern w:val="0"/>
                <w:sz w:val="21"/>
              </w:rPr>
              <w:t>/h</w:t>
            </w:r>
            <w:r>
              <w:rPr>
                <w:rFonts w:hAnsi="宋体" w:cs="Times New Roman"/>
                <w:kern w:val="0"/>
                <w:sz w:val="21"/>
              </w:rPr>
              <w:t>，</w:t>
            </w:r>
            <w:r>
              <w:rPr>
                <w:rFonts w:cs="Times New Roman"/>
                <w:kern w:val="0"/>
                <w:sz w:val="21"/>
              </w:rPr>
              <w:t>H=13~17m</w:t>
            </w:r>
            <w:r>
              <w:rPr>
                <w:rFonts w:hAnsi="宋体" w:cs="Times New Roman"/>
                <w:kern w:val="0"/>
                <w:sz w:val="21"/>
              </w:rPr>
              <w:t>，</w:t>
            </w:r>
            <w:r>
              <w:rPr>
                <w:rFonts w:cs="Times New Roman"/>
                <w:kern w:val="0"/>
                <w:sz w:val="21"/>
              </w:rPr>
              <w:t>N=55kW)</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restart"/>
            <w:vAlign w:val="center"/>
          </w:tcPr>
          <w:p>
            <w:pPr>
              <w:adjustRightInd w:val="0"/>
              <w:spacing w:line="320" w:lineRule="exact"/>
              <w:jc w:val="center"/>
              <w:textAlignment w:val="baseline"/>
              <w:rPr>
                <w:rFonts w:eastAsia="宋体"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潜 水 泵</w:t>
            </w:r>
          </w:p>
        </w:tc>
        <w:tc>
          <w:tcPr>
            <w:tcW w:w="0" w:type="auto"/>
            <w:vAlign w:val="center"/>
          </w:tcPr>
          <w:p>
            <w:pPr>
              <w:widowControl/>
              <w:spacing w:line="320" w:lineRule="exact"/>
              <w:jc w:val="center"/>
              <w:rPr>
                <w:rFonts w:cs="Times New Roman"/>
                <w:kern w:val="0"/>
                <w:sz w:val="21"/>
              </w:rPr>
            </w:pPr>
            <w:r>
              <w:rPr>
                <w:rFonts w:cs="Times New Roman"/>
                <w:kern w:val="0"/>
                <w:sz w:val="21"/>
              </w:rPr>
              <w:t>350QW1500-15-90</w:t>
            </w:r>
          </w:p>
          <w:p>
            <w:pPr>
              <w:widowControl/>
              <w:adjustRightInd w:val="0"/>
              <w:spacing w:line="320" w:lineRule="exact"/>
              <w:jc w:val="center"/>
              <w:textAlignment w:val="baseline"/>
              <w:rPr>
                <w:rFonts w:eastAsia="宋体" w:cs="Times New Roman"/>
                <w:kern w:val="0"/>
                <w:sz w:val="21"/>
              </w:rPr>
            </w:pPr>
            <w:r>
              <w:rPr>
                <w:rFonts w:cs="Times New Roman"/>
                <w:kern w:val="0"/>
                <w:sz w:val="21"/>
              </w:rPr>
              <w:t>(Q=1400~1700m3/h</w:t>
            </w:r>
            <w:r>
              <w:rPr>
                <w:rFonts w:hAnsi="宋体" w:cs="Times New Roman"/>
                <w:kern w:val="0"/>
                <w:sz w:val="21"/>
              </w:rPr>
              <w:t>，</w:t>
            </w:r>
            <w:r>
              <w:rPr>
                <w:rFonts w:cs="Times New Roman"/>
                <w:kern w:val="0"/>
                <w:sz w:val="21"/>
              </w:rPr>
              <w:t>H=13~17m</w:t>
            </w:r>
            <w:r>
              <w:rPr>
                <w:rFonts w:hAnsi="宋体" w:cs="Times New Roman"/>
                <w:kern w:val="0"/>
                <w:sz w:val="21"/>
              </w:rPr>
              <w:t>，</w:t>
            </w:r>
            <w:r>
              <w:rPr>
                <w:rFonts w:cs="Times New Roman"/>
                <w:kern w:val="0"/>
                <w:sz w:val="21"/>
              </w:rPr>
              <w:t>N=90kW)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手轮式螺杆启闭机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QSY-2.0 (</w:t>
            </w:r>
            <w:r>
              <w:rPr>
                <w:rFonts w:hAnsi="宋体" w:cs="Times New Roman"/>
                <w:kern w:val="0"/>
                <w:sz w:val="21"/>
              </w:rPr>
              <w:t>上开式</w:t>
            </w:r>
            <w:r>
              <w:rPr>
                <w:rFonts w:cs="Times New Roman"/>
                <w:kern w:val="0"/>
                <w:sz w:val="21"/>
              </w:rPr>
              <w:t>)</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SFZ -1000x1200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扇</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手轮式螺杆启闭机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QSY-2.0 (</w:t>
            </w:r>
            <w:r>
              <w:rPr>
                <w:rFonts w:hAnsi="宋体" w:cs="Times New Roman"/>
                <w:kern w:val="0"/>
                <w:sz w:val="21"/>
              </w:rPr>
              <w:t>上开式</w:t>
            </w:r>
            <w:r>
              <w:rPr>
                <w:rFonts w:cs="Times New Roman"/>
                <w:kern w:val="0"/>
                <w:sz w:val="21"/>
              </w:rPr>
              <w:t>)</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SFZ -1500x1500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扇</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回转耙式粗格栅除污机</w:t>
            </w:r>
          </w:p>
        </w:tc>
        <w:tc>
          <w:tcPr>
            <w:tcW w:w="0" w:type="auto"/>
            <w:vAlign w:val="center"/>
          </w:tcPr>
          <w:p>
            <w:pPr>
              <w:widowControl/>
              <w:spacing w:line="320" w:lineRule="exact"/>
              <w:jc w:val="center"/>
              <w:rPr>
                <w:rFonts w:cs="Times New Roman"/>
                <w:kern w:val="0"/>
                <w:sz w:val="21"/>
              </w:rPr>
            </w:pPr>
            <w:r>
              <w:rPr>
                <w:rFonts w:cs="Times New Roman"/>
                <w:kern w:val="0"/>
                <w:sz w:val="21"/>
              </w:rPr>
              <w:t>设备宽1100</w:t>
            </w:r>
            <w:r>
              <w:rPr>
                <w:rFonts w:hAnsi="宋体" w:cs="Times New Roman"/>
                <w:kern w:val="0"/>
                <w:sz w:val="21"/>
              </w:rPr>
              <w:t>，渠宽</w:t>
            </w:r>
            <w:r>
              <w:rPr>
                <w:rFonts w:cs="Times New Roman"/>
                <w:kern w:val="0"/>
                <w:sz w:val="21"/>
              </w:rPr>
              <w:t>1200</w:t>
            </w:r>
            <w:r>
              <w:rPr>
                <w:rFonts w:hAnsi="宋体" w:cs="Times New Roman"/>
                <w:kern w:val="0"/>
                <w:sz w:val="21"/>
              </w:rPr>
              <w:t>，安装角</w:t>
            </w:r>
            <w:r>
              <w:rPr>
                <w:rFonts w:cs="Times New Roman"/>
                <w:kern w:val="0"/>
                <w:sz w:val="21"/>
              </w:rPr>
              <w:t>75°</w:t>
            </w:r>
            <w:r>
              <w:rPr>
                <w:rFonts w:hAnsi="宋体" w:cs="Times New Roman"/>
                <w:kern w:val="0"/>
                <w:sz w:val="21"/>
              </w:rPr>
              <w:t>，</w:t>
            </w:r>
          </w:p>
          <w:p>
            <w:pPr>
              <w:widowControl/>
              <w:adjustRightInd w:val="0"/>
              <w:spacing w:line="320" w:lineRule="exact"/>
              <w:jc w:val="center"/>
              <w:textAlignment w:val="baseline"/>
              <w:rPr>
                <w:rFonts w:eastAsia="宋体" w:cs="Times New Roman"/>
                <w:kern w:val="0"/>
                <w:sz w:val="21"/>
              </w:rPr>
            </w:pPr>
            <w:r>
              <w:rPr>
                <w:rFonts w:cs="Times New Roman"/>
                <w:kern w:val="0"/>
                <w:sz w:val="21"/>
              </w:rPr>
              <w:t>栅条间隙10mm</w:t>
            </w:r>
            <w:r>
              <w:rPr>
                <w:rFonts w:hAnsi="宋体" w:cs="Times New Roman"/>
                <w:kern w:val="0"/>
                <w:sz w:val="21"/>
              </w:rPr>
              <w:t>，</w:t>
            </w:r>
            <w:r>
              <w:rPr>
                <w:rFonts w:cs="Times New Roman"/>
                <w:kern w:val="0"/>
                <w:sz w:val="21"/>
              </w:rPr>
              <w:t>N=3.7kW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皮带输送机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SD500</w:t>
            </w:r>
            <w:r>
              <w:rPr>
                <w:rFonts w:hAnsi="宋体" w:cs="Times New Roman"/>
                <w:kern w:val="0"/>
                <w:sz w:val="21"/>
              </w:rPr>
              <w:t>，</w:t>
            </w:r>
            <w:r>
              <w:rPr>
                <w:rFonts w:cs="Times New Roman"/>
                <w:kern w:val="0"/>
                <w:sz w:val="21"/>
              </w:rPr>
              <w:t>N=2.2kW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超声波液位差计</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便携式有毒气体监测及报警装置</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电动葫芦</w:t>
            </w:r>
          </w:p>
        </w:tc>
        <w:tc>
          <w:tcPr>
            <w:tcW w:w="0" w:type="auto"/>
            <w:vAlign w:val="center"/>
          </w:tcPr>
          <w:p>
            <w:pPr>
              <w:widowControl/>
              <w:spacing w:line="320" w:lineRule="exact"/>
              <w:jc w:val="center"/>
              <w:rPr>
                <w:rFonts w:cs="Times New Roman"/>
                <w:kern w:val="0"/>
                <w:sz w:val="21"/>
              </w:rPr>
            </w:pPr>
            <w:r>
              <w:rPr>
                <w:rFonts w:cs="Times New Roman"/>
                <w:kern w:val="0"/>
                <w:sz w:val="21"/>
              </w:rPr>
              <w:t>MD13-18D</w:t>
            </w:r>
            <w:r>
              <w:rPr>
                <w:rFonts w:hAnsi="宋体" w:cs="Times New Roman"/>
                <w:kern w:val="0"/>
                <w:sz w:val="21"/>
              </w:rPr>
              <w:t>，起升重量</w:t>
            </w:r>
            <w:r>
              <w:rPr>
                <w:rFonts w:cs="Times New Roman"/>
                <w:kern w:val="0"/>
                <w:sz w:val="21"/>
              </w:rPr>
              <w:t>W=3.0t</w:t>
            </w:r>
            <w:r>
              <w:rPr>
                <w:rFonts w:hAnsi="宋体" w:cs="Times New Roman"/>
                <w:kern w:val="0"/>
                <w:sz w:val="21"/>
              </w:rPr>
              <w:t>，</w:t>
            </w:r>
          </w:p>
          <w:p>
            <w:pPr>
              <w:widowControl/>
              <w:adjustRightInd w:val="0"/>
              <w:spacing w:line="320" w:lineRule="exact"/>
              <w:jc w:val="center"/>
              <w:textAlignment w:val="baseline"/>
              <w:rPr>
                <w:rFonts w:eastAsia="宋体" w:cs="Times New Roman"/>
                <w:kern w:val="0"/>
                <w:sz w:val="21"/>
              </w:rPr>
            </w:pPr>
            <w:r>
              <w:rPr>
                <w:rFonts w:cs="Times New Roman"/>
                <w:kern w:val="0"/>
                <w:sz w:val="21"/>
              </w:rPr>
              <w:t>起升高度H=18m</w:t>
            </w:r>
            <w:r>
              <w:rPr>
                <w:rFonts w:hAnsi="宋体" w:cs="Times New Roman"/>
                <w:kern w:val="0"/>
                <w:sz w:val="21"/>
              </w:rPr>
              <w:t>，</w:t>
            </w:r>
            <w:r>
              <w:rPr>
                <w:rFonts w:cs="Times New Roman"/>
                <w:kern w:val="0"/>
                <w:sz w:val="21"/>
              </w:rPr>
              <w:t>N=4.5+0.8kW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超声波液位计</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潜水泵滑轨</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付</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风阀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DN150，PN10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风阀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DN200，PN10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风阀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DN300，PN10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widowControl/>
              <w:adjustRightInd w:val="0"/>
              <w:spacing w:line="320" w:lineRule="exact"/>
              <w:jc w:val="center"/>
              <w:textAlignment w:val="baseline"/>
              <w:rPr>
                <w:rFonts w:cs="Times New Roman"/>
                <w:b/>
                <w:bCs/>
                <w:kern w:val="0"/>
                <w:sz w:val="21"/>
              </w:rPr>
            </w:pPr>
            <w:r>
              <w:rPr>
                <w:rFonts w:hint="eastAsia" w:cs="Times New Roman"/>
                <w:b/>
                <w:bCs/>
                <w:kern w:val="0"/>
                <w:sz w:val="21"/>
              </w:rPr>
              <w:t>2</w:t>
            </w:r>
            <w:r>
              <w:rPr>
                <w:rFonts w:cs="Times New Roman"/>
                <w:b/>
                <w:bCs/>
                <w:kern w:val="0"/>
                <w:sz w:val="21"/>
              </w:rPr>
              <w:t xml:space="preserve"> 细格栅及</w:t>
            </w:r>
            <w:r>
              <w:rPr>
                <w:rFonts w:hint="eastAsia" w:cs="Times New Roman"/>
                <w:b/>
                <w:bCs/>
                <w:kern w:val="0"/>
                <w:sz w:val="21"/>
              </w:rPr>
              <w:t>平</w:t>
            </w:r>
            <w:r>
              <w:rPr>
                <w:rFonts w:cs="Times New Roman"/>
                <w:b/>
                <w:bCs/>
                <w:kern w:val="0"/>
                <w:sz w:val="21"/>
              </w:rPr>
              <w:t>流沉砂池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桥式吸砂机</w:t>
            </w:r>
          </w:p>
        </w:tc>
        <w:tc>
          <w:tcPr>
            <w:tcW w:w="0" w:type="auto"/>
            <w:vAlign w:val="center"/>
          </w:tcPr>
          <w:p>
            <w:pPr>
              <w:spacing w:line="320" w:lineRule="exact"/>
              <w:jc w:val="center"/>
              <w:rPr>
                <w:rFonts w:cs="Times New Roman"/>
                <w:kern w:val="0"/>
                <w:sz w:val="21"/>
              </w:rPr>
            </w:pPr>
            <w:r>
              <w:rPr>
                <w:rFonts w:cs="Times New Roman"/>
                <w:kern w:val="0"/>
                <w:sz w:val="21"/>
              </w:rPr>
              <w:t>池宽3.7m,池深3.85m,</w:t>
            </w:r>
          </w:p>
          <w:p>
            <w:pPr>
              <w:adjustRightInd w:val="0"/>
              <w:spacing w:line="320" w:lineRule="exact"/>
              <w:jc w:val="center"/>
              <w:textAlignment w:val="baseline"/>
              <w:rPr>
                <w:rFonts w:eastAsia="宋体" w:cs="Times New Roman"/>
                <w:kern w:val="0"/>
                <w:sz w:val="21"/>
              </w:rPr>
            </w:pPr>
            <w:r>
              <w:rPr>
                <w:rFonts w:cs="Times New Roman"/>
                <w:kern w:val="0"/>
                <w:sz w:val="21"/>
              </w:rPr>
              <w:t>驱动功率N=0.55kW</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restart"/>
            <w:vAlign w:val="center"/>
          </w:tcPr>
          <w:p>
            <w:pPr>
              <w:adjustRightInd w:val="0"/>
              <w:spacing w:line="320" w:lineRule="exact"/>
              <w:jc w:val="center"/>
              <w:textAlignment w:val="baseline"/>
              <w:rPr>
                <w:rFonts w:eastAsia="宋体"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KB型孔板式细格栅除污机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渠宽1600，渠深2米（栅前水深1.5米)，安装角90°，栅条间隙3mm，过水量3~4万吨/天</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螺旋压榨机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LYJ355，N=2.2kW，304不锈钢材质。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液位差计</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PH探头</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平板钢闸门</w:t>
            </w:r>
          </w:p>
        </w:tc>
        <w:tc>
          <w:tcPr>
            <w:tcW w:w="0" w:type="auto"/>
            <w:vAlign w:val="center"/>
          </w:tcPr>
          <w:p>
            <w:pPr>
              <w:widowControl/>
              <w:spacing w:line="320" w:lineRule="exact"/>
              <w:jc w:val="center"/>
              <w:rPr>
                <w:rFonts w:cs="Times New Roman"/>
                <w:kern w:val="0"/>
                <w:sz w:val="21"/>
              </w:rPr>
            </w:pPr>
            <w:r>
              <w:rPr>
                <w:rFonts w:cs="Times New Roman"/>
                <w:kern w:val="0"/>
                <w:sz w:val="21"/>
              </w:rPr>
              <w:t>渠宽1.6m，渠深2.0m；</w:t>
            </w:r>
          </w:p>
          <w:p>
            <w:pPr>
              <w:widowControl/>
              <w:adjustRightInd w:val="0"/>
              <w:spacing w:line="320" w:lineRule="exact"/>
              <w:jc w:val="center"/>
              <w:textAlignment w:val="baseline"/>
              <w:rPr>
                <w:rFonts w:eastAsia="宋体" w:cs="Times New Roman"/>
                <w:kern w:val="0"/>
                <w:sz w:val="21"/>
              </w:rPr>
            </w:pPr>
            <w:r>
              <w:rPr>
                <w:rFonts w:cs="Times New Roman"/>
                <w:kern w:val="0"/>
                <w:sz w:val="21"/>
              </w:rPr>
              <w:t>闸门宽B=1.7m，高H=1.8m</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通径WxH=1200×1000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手轮式螺杆启闭机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上开式,启闭力40kN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无轴螺旋式砂水分离器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SF-320,螺旋外径280mm，处理量Q=43~72m</w:t>
            </w:r>
            <w:r>
              <w:rPr>
                <w:rFonts w:cs="Times New Roman"/>
                <w:kern w:val="0"/>
                <w:sz w:val="21"/>
                <w:vertAlign w:val="superscript"/>
              </w:rPr>
              <w:t>3</w:t>
            </w:r>
            <w:r>
              <w:rPr>
                <w:rFonts w:cs="Times New Roman"/>
                <w:kern w:val="0"/>
                <w:sz w:val="21"/>
              </w:rPr>
              <w:t>/h,N=0.37kW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蜗杆传动法兰伸缩蝶阀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SgD341X-1.0, DN200, PN=1.0MPa</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SYZ-φ700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手电两用式螺杆启闭机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上开式,启闭力40kN,功率N=1.25kW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COD及氨氮在线检测仪</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手摇式螺杆启闭机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上开式,启闭力40kN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SYZ-φ800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扇</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潜污泵</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200QW360-6-11，Q=300~410m3/h,H=5~7m,N=11kW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不锈钢溜槽</w:t>
            </w:r>
          </w:p>
        </w:tc>
        <w:tc>
          <w:tcPr>
            <w:tcW w:w="0" w:type="auto"/>
            <w:vAlign w:val="center"/>
          </w:tcPr>
          <w:p>
            <w:pPr>
              <w:widowControl/>
              <w:spacing w:line="320" w:lineRule="exact"/>
              <w:jc w:val="center"/>
              <w:rPr>
                <w:rFonts w:cs="Times New Roman"/>
                <w:kern w:val="0"/>
                <w:sz w:val="21"/>
              </w:rPr>
            </w:pPr>
            <w:r>
              <w:rPr>
                <w:rFonts w:cs="Times New Roman"/>
                <w:kern w:val="0"/>
                <w:sz w:val="21"/>
              </w:rPr>
              <w:t>LC320，L=12.5m，</w:t>
            </w:r>
          </w:p>
          <w:p>
            <w:pPr>
              <w:widowControl/>
              <w:adjustRightInd w:val="0"/>
              <w:spacing w:line="320" w:lineRule="exact"/>
              <w:jc w:val="center"/>
              <w:textAlignment w:val="baseline"/>
              <w:rPr>
                <w:rFonts w:eastAsia="宋体" w:cs="Times New Roman"/>
                <w:kern w:val="0"/>
                <w:sz w:val="21"/>
              </w:rPr>
            </w:pPr>
            <w:r>
              <w:rPr>
                <w:rFonts w:cs="Times New Roman"/>
                <w:kern w:val="0"/>
                <w:sz w:val="21"/>
              </w:rPr>
              <w:t>长度可根据现场实际情况酌情调整</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手电两用式螺杆启闭机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上开式,启闭力60kN,功率N=1.5kW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SYZ-φ1200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风阀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DN150，PN10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手动球阀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DN20，PN10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手轮式螺杆启闭机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上开式,启闭力40kN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widowControl/>
              <w:adjustRightInd w:val="0"/>
              <w:spacing w:line="320" w:lineRule="exact"/>
              <w:jc w:val="center"/>
              <w:textAlignment w:val="baseline"/>
              <w:rPr>
                <w:rFonts w:cs="Times New Roman"/>
                <w:b/>
                <w:bCs/>
                <w:kern w:val="0"/>
                <w:sz w:val="21"/>
              </w:rPr>
            </w:pPr>
            <w:r>
              <w:rPr>
                <w:rFonts w:hint="eastAsia" w:cs="Times New Roman"/>
                <w:b/>
                <w:bCs/>
                <w:kern w:val="0"/>
                <w:sz w:val="21"/>
              </w:rPr>
              <w:t xml:space="preserve">3 </w:t>
            </w:r>
            <w:r>
              <w:rPr>
                <w:rFonts w:cs="Times New Roman"/>
                <w:b/>
                <w:bCs/>
                <w:kern w:val="0"/>
                <w:sz w:val="21"/>
              </w:rPr>
              <w:t>组合池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pacing w:line="320" w:lineRule="exact"/>
              <w:jc w:val="center"/>
              <w:rPr>
                <w:kern w:val="0"/>
                <w:sz w:val="21"/>
              </w:rPr>
            </w:pPr>
            <w:r>
              <w:rPr>
                <w:rFonts w:hint="eastAsia"/>
                <w:kern w:val="0"/>
                <w:sz w:val="21"/>
              </w:rPr>
              <w:t>1</w:t>
            </w:r>
          </w:p>
        </w:tc>
        <w:tc>
          <w:tcPr>
            <w:tcW w:w="0" w:type="auto"/>
            <w:vAlign w:val="center"/>
          </w:tcPr>
          <w:p>
            <w:pPr>
              <w:spacing w:line="320" w:lineRule="exact"/>
              <w:jc w:val="center"/>
              <w:rPr>
                <w:kern w:val="0"/>
                <w:sz w:val="21"/>
              </w:rPr>
            </w:pPr>
            <w:r>
              <w:rPr>
                <w:kern w:val="0"/>
                <w:sz w:val="21"/>
              </w:rPr>
              <w:t>内回流泵</w:t>
            </w:r>
          </w:p>
        </w:tc>
        <w:tc>
          <w:tcPr>
            <w:tcW w:w="0" w:type="auto"/>
            <w:vAlign w:val="center"/>
          </w:tcPr>
          <w:p>
            <w:pPr>
              <w:spacing w:line="320" w:lineRule="exact"/>
              <w:jc w:val="center"/>
              <w:rPr>
                <w:kern w:val="0"/>
                <w:sz w:val="21"/>
              </w:rPr>
            </w:pPr>
            <w:r>
              <w:rPr>
                <w:kern w:val="0"/>
                <w:sz w:val="21"/>
              </w:rPr>
              <w:t>Q=1800m3/h，H=1.0m，N=11.0kW</w:t>
            </w:r>
          </w:p>
        </w:tc>
        <w:tc>
          <w:tcPr>
            <w:tcW w:w="0" w:type="auto"/>
            <w:vAlign w:val="center"/>
          </w:tcPr>
          <w:p>
            <w:pPr>
              <w:spacing w:line="320" w:lineRule="exact"/>
              <w:jc w:val="center"/>
              <w:rPr>
                <w:kern w:val="0"/>
                <w:sz w:val="21"/>
              </w:rPr>
            </w:pPr>
            <w:r>
              <w:rPr>
                <w:kern w:val="0"/>
                <w:sz w:val="21"/>
              </w:rPr>
              <w:t>台</w:t>
            </w:r>
          </w:p>
        </w:tc>
        <w:tc>
          <w:tcPr>
            <w:tcW w:w="0" w:type="auto"/>
            <w:vAlign w:val="center"/>
          </w:tcPr>
          <w:p>
            <w:pPr>
              <w:spacing w:line="320" w:lineRule="exact"/>
              <w:jc w:val="center"/>
              <w:rPr>
                <w:kern w:val="0"/>
                <w:sz w:val="21"/>
              </w:rPr>
            </w:pPr>
            <w:r>
              <w:rPr>
                <w:kern w:val="0"/>
                <w:sz w:val="21"/>
              </w:rPr>
              <w:t>2</w:t>
            </w:r>
          </w:p>
        </w:tc>
        <w:tc>
          <w:tcPr>
            <w:tcW w:w="0" w:type="auto"/>
            <w:vMerge w:val="restart"/>
            <w:vAlign w:val="center"/>
          </w:tcPr>
          <w:p>
            <w:pPr>
              <w:jc w:val="center"/>
              <w:rPr>
                <w:rFonts w:cs="Times New Roman"/>
                <w:color w:val="000000" w:themeColor="text1"/>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w:t>
            </w:r>
          </w:p>
        </w:tc>
        <w:tc>
          <w:tcPr>
            <w:tcW w:w="0" w:type="auto"/>
            <w:vAlign w:val="center"/>
          </w:tcPr>
          <w:p>
            <w:pPr>
              <w:widowControl/>
              <w:spacing w:line="320" w:lineRule="exact"/>
              <w:jc w:val="center"/>
              <w:rPr>
                <w:kern w:val="0"/>
                <w:sz w:val="21"/>
              </w:rPr>
            </w:pPr>
            <w:r>
              <w:rPr>
                <w:kern w:val="0"/>
                <w:sz w:val="21"/>
              </w:rPr>
              <w:t>立式搅拌机</w:t>
            </w:r>
          </w:p>
        </w:tc>
        <w:tc>
          <w:tcPr>
            <w:tcW w:w="0" w:type="auto"/>
            <w:vAlign w:val="center"/>
          </w:tcPr>
          <w:p>
            <w:pPr>
              <w:widowControl/>
              <w:spacing w:line="320" w:lineRule="exact"/>
              <w:jc w:val="center"/>
              <w:rPr>
                <w:kern w:val="0"/>
                <w:sz w:val="21"/>
              </w:rPr>
            </w:pPr>
            <w:r>
              <w:rPr>
                <w:kern w:val="0"/>
                <w:sz w:val="21"/>
              </w:rPr>
              <w:t>GSJ2000，N=2.2kW</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w:t>
            </w:r>
          </w:p>
        </w:tc>
        <w:tc>
          <w:tcPr>
            <w:tcW w:w="0" w:type="auto"/>
            <w:vAlign w:val="center"/>
          </w:tcPr>
          <w:p>
            <w:pPr>
              <w:widowControl/>
              <w:spacing w:line="320" w:lineRule="exact"/>
              <w:jc w:val="center"/>
              <w:rPr>
                <w:kern w:val="0"/>
                <w:sz w:val="21"/>
              </w:rPr>
            </w:pPr>
            <w:r>
              <w:rPr>
                <w:kern w:val="0"/>
                <w:sz w:val="21"/>
              </w:rPr>
              <w:t>低速潜水推流器</w:t>
            </w:r>
          </w:p>
        </w:tc>
        <w:tc>
          <w:tcPr>
            <w:tcW w:w="0" w:type="auto"/>
            <w:vAlign w:val="center"/>
          </w:tcPr>
          <w:p>
            <w:pPr>
              <w:widowControl/>
              <w:spacing w:line="320" w:lineRule="exact"/>
              <w:jc w:val="center"/>
              <w:rPr>
                <w:kern w:val="0"/>
                <w:sz w:val="21"/>
              </w:rPr>
            </w:pPr>
            <w:r>
              <w:rPr>
                <w:kern w:val="0"/>
                <w:sz w:val="21"/>
              </w:rPr>
              <w:t>φ1400，N=4.0kW</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w:t>
            </w:r>
          </w:p>
        </w:tc>
        <w:tc>
          <w:tcPr>
            <w:tcW w:w="0" w:type="auto"/>
            <w:vAlign w:val="center"/>
          </w:tcPr>
          <w:p>
            <w:pPr>
              <w:widowControl/>
              <w:spacing w:line="320" w:lineRule="exact"/>
              <w:jc w:val="center"/>
              <w:rPr>
                <w:kern w:val="0"/>
                <w:sz w:val="21"/>
              </w:rPr>
            </w:pPr>
            <w:r>
              <w:rPr>
                <w:kern w:val="0"/>
                <w:sz w:val="21"/>
              </w:rPr>
              <w:t>镶铜铸铁闸门</w:t>
            </w:r>
          </w:p>
        </w:tc>
        <w:tc>
          <w:tcPr>
            <w:tcW w:w="0" w:type="auto"/>
            <w:vAlign w:val="center"/>
          </w:tcPr>
          <w:p>
            <w:pPr>
              <w:widowControl/>
              <w:spacing w:line="320" w:lineRule="exact"/>
              <w:jc w:val="center"/>
              <w:rPr>
                <w:kern w:val="0"/>
                <w:sz w:val="21"/>
              </w:rPr>
            </w:pPr>
            <w:r>
              <w:rPr>
                <w:kern w:val="0"/>
                <w:sz w:val="21"/>
              </w:rPr>
              <w:t>SYZ600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5</w:t>
            </w:r>
          </w:p>
        </w:tc>
        <w:tc>
          <w:tcPr>
            <w:tcW w:w="0" w:type="auto"/>
            <w:vAlign w:val="center"/>
          </w:tcPr>
          <w:p>
            <w:pPr>
              <w:widowControl/>
              <w:spacing w:line="320" w:lineRule="exact"/>
              <w:jc w:val="center"/>
              <w:rPr>
                <w:kern w:val="0"/>
                <w:sz w:val="21"/>
              </w:rPr>
            </w:pPr>
            <w:r>
              <w:rPr>
                <w:kern w:val="0"/>
                <w:sz w:val="21"/>
              </w:rPr>
              <w:t>镶铜铸铁闸门</w:t>
            </w:r>
          </w:p>
        </w:tc>
        <w:tc>
          <w:tcPr>
            <w:tcW w:w="0" w:type="auto"/>
            <w:vAlign w:val="center"/>
          </w:tcPr>
          <w:p>
            <w:pPr>
              <w:widowControl/>
              <w:spacing w:line="320" w:lineRule="exact"/>
              <w:jc w:val="center"/>
              <w:rPr>
                <w:kern w:val="0"/>
                <w:sz w:val="21"/>
              </w:rPr>
            </w:pPr>
            <w:r>
              <w:rPr>
                <w:kern w:val="0"/>
                <w:sz w:val="21"/>
              </w:rPr>
              <w:t>SYZ400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7</w:t>
            </w:r>
          </w:p>
        </w:tc>
        <w:tc>
          <w:tcPr>
            <w:tcW w:w="0" w:type="auto"/>
            <w:vMerge w:val="continue"/>
            <w:vAlign w:val="center"/>
          </w:tcPr>
          <w:p>
            <w:pPr>
              <w:widowControl/>
              <w:adjustRightInd w:val="0"/>
              <w:spacing w:line="320" w:lineRule="exact"/>
              <w:jc w:val="center"/>
              <w:textAlignment w:val="baseline"/>
              <w:rPr>
                <w:rFonts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6</w:t>
            </w:r>
          </w:p>
        </w:tc>
        <w:tc>
          <w:tcPr>
            <w:tcW w:w="0" w:type="auto"/>
            <w:vAlign w:val="center"/>
          </w:tcPr>
          <w:p>
            <w:pPr>
              <w:widowControl/>
              <w:spacing w:line="320" w:lineRule="exact"/>
              <w:jc w:val="center"/>
              <w:rPr>
                <w:kern w:val="0"/>
                <w:sz w:val="21"/>
              </w:rPr>
            </w:pPr>
            <w:r>
              <w:rPr>
                <w:kern w:val="0"/>
                <w:sz w:val="21"/>
              </w:rPr>
              <w:t>手电两用启闭机</w:t>
            </w:r>
          </w:p>
        </w:tc>
        <w:tc>
          <w:tcPr>
            <w:tcW w:w="0" w:type="auto"/>
            <w:vAlign w:val="center"/>
          </w:tcPr>
          <w:p>
            <w:pPr>
              <w:widowControl/>
              <w:spacing w:line="320" w:lineRule="exact"/>
              <w:jc w:val="center"/>
              <w:rPr>
                <w:kern w:val="0"/>
                <w:sz w:val="21"/>
              </w:rPr>
            </w:pPr>
            <w:r>
              <w:rPr>
                <w:kern w:val="0"/>
                <w:sz w:val="21"/>
              </w:rPr>
              <w:t>QDA-20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7</w:t>
            </w:r>
          </w:p>
        </w:tc>
        <w:tc>
          <w:tcPr>
            <w:tcW w:w="0" w:type="auto"/>
            <w:vAlign w:val="center"/>
          </w:tcPr>
          <w:p>
            <w:pPr>
              <w:widowControl/>
              <w:spacing w:line="320" w:lineRule="exact"/>
              <w:jc w:val="center"/>
              <w:rPr>
                <w:kern w:val="0"/>
                <w:sz w:val="21"/>
              </w:rPr>
            </w:pPr>
            <w:r>
              <w:rPr>
                <w:kern w:val="0"/>
                <w:sz w:val="21"/>
              </w:rPr>
              <w:t>手电两用启闭机</w:t>
            </w:r>
          </w:p>
        </w:tc>
        <w:tc>
          <w:tcPr>
            <w:tcW w:w="0" w:type="auto"/>
            <w:vAlign w:val="center"/>
          </w:tcPr>
          <w:p>
            <w:pPr>
              <w:widowControl/>
              <w:spacing w:line="320" w:lineRule="exact"/>
              <w:jc w:val="center"/>
              <w:rPr>
                <w:kern w:val="0"/>
                <w:sz w:val="21"/>
              </w:rPr>
            </w:pPr>
            <w:r>
              <w:rPr>
                <w:kern w:val="0"/>
                <w:sz w:val="21"/>
              </w:rPr>
              <w:t>QDA-20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8</w:t>
            </w:r>
          </w:p>
        </w:tc>
        <w:tc>
          <w:tcPr>
            <w:tcW w:w="0" w:type="auto"/>
            <w:vAlign w:val="center"/>
          </w:tcPr>
          <w:p>
            <w:pPr>
              <w:widowControl/>
              <w:spacing w:line="320" w:lineRule="exact"/>
              <w:jc w:val="center"/>
              <w:rPr>
                <w:kern w:val="0"/>
                <w:sz w:val="21"/>
              </w:rPr>
            </w:pPr>
            <w:r>
              <w:rPr>
                <w:kern w:val="0"/>
                <w:sz w:val="21"/>
              </w:rPr>
              <w:t>手电两用启闭机</w:t>
            </w:r>
          </w:p>
        </w:tc>
        <w:tc>
          <w:tcPr>
            <w:tcW w:w="0" w:type="auto"/>
            <w:vAlign w:val="center"/>
          </w:tcPr>
          <w:p>
            <w:pPr>
              <w:widowControl/>
              <w:spacing w:line="320" w:lineRule="exact"/>
              <w:jc w:val="center"/>
              <w:rPr>
                <w:kern w:val="0"/>
                <w:sz w:val="21"/>
              </w:rPr>
            </w:pPr>
            <w:r>
              <w:rPr>
                <w:kern w:val="0"/>
                <w:sz w:val="21"/>
              </w:rPr>
              <w:t>QDA-20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9</w:t>
            </w:r>
          </w:p>
        </w:tc>
        <w:tc>
          <w:tcPr>
            <w:tcW w:w="0" w:type="auto"/>
            <w:vAlign w:val="center"/>
          </w:tcPr>
          <w:p>
            <w:pPr>
              <w:widowControl/>
              <w:spacing w:line="320" w:lineRule="exact"/>
              <w:jc w:val="center"/>
              <w:rPr>
                <w:kern w:val="0"/>
                <w:sz w:val="21"/>
              </w:rPr>
            </w:pPr>
            <w:r>
              <w:rPr>
                <w:kern w:val="0"/>
                <w:sz w:val="21"/>
              </w:rPr>
              <w:t>手电两用启闭机</w:t>
            </w:r>
          </w:p>
        </w:tc>
        <w:tc>
          <w:tcPr>
            <w:tcW w:w="0" w:type="auto"/>
            <w:vAlign w:val="center"/>
          </w:tcPr>
          <w:p>
            <w:pPr>
              <w:widowControl/>
              <w:spacing w:line="320" w:lineRule="exact"/>
              <w:jc w:val="center"/>
              <w:rPr>
                <w:kern w:val="0"/>
                <w:sz w:val="21"/>
              </w:rPr>
            </w:pPr>
            <w:r>
              <w:rPr>
                <w:kern w:val="0"/>
                <w:sz w:val="21"/>
              </w:rPr>
              <w:t>QDA-20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10</w:t>
            </w:r>
          </w:p>
        </w:tc>
        <w:tc>
          <w:tcPr>
            <w:tcW w:w="0" w:type="auto"/>
            <w:vAlign w:val="center"/>
          </w:tcPr>
          <w:p>
            <w:pPr>
              <w:widowControl/>
              <w:spacing w:line="320" w:lineRule="exact"/>
              <w:jc w:val="center"/>
              <w:rPr>
                <w:kern w:val="0"/>
                <w:sz w:val="21"/>
              </w:rPr>
            </w:pPr>
            <w:r>
              <w:rPr>
                <w:kern w:val="0"/>
                <w:sz w:val="21"/>
              </w:rPr>
              <w:t>PM型拍门</w:t>
            </w:r>
          </w:p>
        </w:tc>
        <w:tc>
          <w:tcPr>
            <w:tcW w:w="0" w:type="auto"/>
            <w:vAlign w:val="center"/>
          </w:tcPr>
          <w:p>
            <w:pPr>
              <w:widowControl/>
              <w:spacing w:line="320" w:lineRule="exact"/>
              <w:jc w:val="center"/>
              <w:rPr>
                <w:kern w:val="0"/>
                <w:sz w:val="21"/>
              </w:rPr>
            </w:pPr>
            <w:r>
              <w:rPr>
                <w:kern w:val="0"/>
                <w:sz w:val="21"/>
              </w:rPr>
              <w:t>PM-Y-600  DN600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11</w:t>
            </w:r>
          </w:p>
        </w:tc>
        <w:tc>
          <w:tcPr>
            <w:tcW w:w="0" w:type="auto"/>
            <w:vAlign w:val="center"/>
          </w:tcPr>
          <w:p>
            <w:pPr>
              <w:widowControl/>
              <w:spacing w:line="320" w:lineRule="exact"/>
              <w:jc w:val="center"/>
              <w:rPr>
                <w:kern w:val="0"/>
                <w:sz w:val="21"/>
              </w:rPr>
            </w:pPr>
            <w:r>
              <w:rPr>
                <w:kern w:val="0"/>
                <w:sz w:val="21"/>
              </w:rPr>
              <w:t>限位伸缩蝶阀</w:t>
            </w:r>
          </w:p>
        </w:tc>
        <w:tc>
          <w:tcPr>
            <w:tcW w:w="0" w:type="auto"/>
            <w:vAlign w:val="center"/>
          </w:tcPr>
          <w:p>
            <w:pPr>
              <w:widowControl/>
              <w:spacing w:line="320" w:lineRule="exact"/>
              <w:jc w:val="center"/>
              <w:rPr>
                <w:kern w:val="0"/>
                <w:sz w:val="21"/>
              </w:rPr>
            </w:pPr>
            <w:r>
              <w:rPr>
                <w:kern w:val="0"/>
                <w:sz w:val="21"/>
              </w:rPr>
              <w:t>DN500，SgD341X-1.0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12</w:t>
            </w:r>
          </w:p>
        </w:tc>
        <w:tc>
          <w:tcPr>
            <w:tcW w:w="0" w:type="auto"/>
            <w:vAlign w:val="center"/>
          </w:tcPr>
          <w:p>
            <w:pPr>
              <w:widowControl/>
              <w:spacing w:line="320" w:lineRule="exact"/>
              <w:jc w:val="center"/>
              <w:rPr>
                <w:kern w:val="0"/>
                <w:sz w:val="21"/>
              </w:rPr>
            </w:pPr>
            <w:r>
              <w:rPr>
                <w:kern w:val="0"/>
                <w:sz w:val="21"/>
              </w:rPr>
              <w:t>限位伸缩蝶阀</w:t>
            </w:r>
          </w:p>
        </w:tc>
        <w:tc>
          <w:tcPr>
            <w:tcW w:w="0" w:type="auto"/>
            <w:vAlign w:val="center"/>
          </w:tcPr>
          <w:p>
            <w:pPr>
              <w:widowControl/>
              <w:spacing w:line="320" w:lineRule="exact"/>
              <w:jc w:val="center"/>
              <w:rPr>
                <w:kern w:val="0"/>
                <w:sz w:val="21"/>
              </w:rPr>
            </w:pPr>
            <w:r>
              <w:rPr>
                <w:kern w:val="0"/>
                <w:sz w:val="21"/>
              </w:rPr>
              <w:t>DN400，SgD341X-1.0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13</w:t>
            </w:r>
          </w:p>
        </w:tc>
        <w:tc>
          <w:tcPr>
            <w:tcW w:w="0" w:type="auto"/>
            <w:vAlign w:val="center"/>
          </w:tcPr>
          <w:p>
            <w:pPr>
              <w:widowControl/>
              <w:spacing w:line="320" w:lineRule="exact"/>
              <w:jc w:val="center"/>
              <w:rPr>
                <w:kern w:val="0"/>
                <w:sz w:val="21"/>
              </w:rPr>
            </w:pPr>
            <w:r>
              <w:rPr>
                <w:kern w:val="0"/>
                <w:sz w:val="21"/>
              </w:rPr>
              <w:t>限位伸缩蝶阀</w:t>
            </w:r>
          </w:p>
        </w:tc>
        <w:tc>
          <w:tcPr>
            <w:tcW w:w="0" w:type="auto"/>
            <w:vAlign w:val="center"/>
          </w:tcPr>
          <w:p>
            <w:pPr>
              <w:widowControl/>
              <w:spacing w:line="320" w:lineRule="exact"/>
              <w:jc w:val="center"/>
              <w:rPr>
                <w:kern w:val="0"/>
                <w:sz w:val="21"/>
              </w:rPr>
            </w:pPr>
            <w:r>
              <w:rPr>
                <w:kern w:val="0"/>
                <w:sz w:val="21"/>
              </w:rPr>
              <w:t>DN300，SgD341X-1.0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14</w:t>
            </w:r>
          </w:p>
        </w:tc>
        <w:tc>
          <w:tcPr>
            <w:tcW w:w="0" w:type="auto"/>
            <w:vAlign w:val="center"/>
          </w:tcPr>
          <w:p>
            <w:pPr>
              <w:widowControl/>
              <w:spacing w:line="320" w:lineRule="exact"/>
              <w:jc w:val="center"/>
              <w:rPr>
                <w:kern w:val="0"/>
                <w:sz w:val="21"/>
              </w:rPr>
            </w:pPr>
            <w:r>
              <w:rPr>
                <w:kern w:val="0"/>
                <w:sz w:val="21"/>
              </w:rPr>
              <w:t>空气管蝶阀</w:t>
            </w:r>
          </w:p>
        </w:tc>
        <w:tc>
          <w:tcPr>
            <w:tcW w:w="0" w:type="auto"/>
            <w:vAlign w:val="center"/>
          </w:tcPr>
          <w:p>
            <w:pPr>
              <w:widowControl/>
              <w:spacing w:line="320" w:lineRule="exact"/>
              <w:jc w:val="center"/>
              <w:rPr>
                <w:kern w:val="0"/>
                <w:sz w:val="21"/>
              </w:rPr>
            </w:pPr>
            <w:r>
              <w:rPr>
                <w:kern w:val="0"/>
                <w:sz w:val="21"/>
              </w:rPr>
              <w:t>DN150，SgD341X-1.0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11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15</w:t>
            </w:r>
          </w:p>
        </w:tc>
        <w:tc>
          <w:tcPr>
            <w:tcW w:w="0" w:type="auto"/>
            <w:vAlign w:val="center"/>
          </w:tcPr>
          <w:p>
            <w:pPr>
              <w:widowControl/>
              <w:spacing w:line="320" w:lineRule="exact"/>
              <w:jc w:val="center"/>
              <w:rPr>
                <w:kern w:val="0"/>
                <w:sz w:val="21"/>
              </w:rPr>
            </w:pPr>
            <w:r>
              <w:rPr>
                <w:kern w:val="0"/>
                <w:sz w:val="21"/>
              </w:rPr>
              <w:t>排气阀</w:t>
            </w:r>
          </w:p>
        </w:tc>
        <w:tc>
          <w:tcPr>
            <w:tcW w:w="0" w:type="auto"/>
            <w:vAlign w:val="center"/>
          </w:tcPr>
          <w:p>
            <w:pPr>
              <w:widowControl/>
              <w:spacing w:line="320" w:lineRule="exact"/>
              <w:jc w:val="center"/>
              <w:rPr>
                <w:kern w:val="0"/>
                <w:sz w:val="21"/>
              </w:rPr>
            </w:pPr>
            <w:r>
              <w:rPr>
                <w:kern w:val="0"/>
                <w:sz w:val="21"/>
              </w:rPr>
              <w:t>DN20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12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16</w:t>
            </w:r>
          </w:p>
        </w:tc>
        <w:tc>
          <w:tcPr>
            <w:tcW w:w="0" w:type="auto"/>
            <w:vAlign w:val="center"/>
          </w:tcPr>
          <w:p>
            <w:pPr>
              <w:widowControl/>
              <w:spacing w:line="320" w:lineRule="exact"/>
              <w:jc w:val="center"/>
              <w:rPr>
                <w:kern w:val="0"/>
                <w:sz w:val="21"/>
              </w:rPr>
            </w:pPr>
            <w:r>
              <w:rPr>
                <w:kern w:val="0"/>
                <w:sz w:val="21"/>
              </w:rPr>
              <w:t>柔性接头</w:t>
            </w:r>
          </w:p>
        </w:tc>
        <w:tc>
          <w:tcPr>
            <w:tcW w:w="0" w:type="auto"/>
            <w:vAlign w:val="center"/>
          </w:tcPr>
          <w:p>
            <w:pPr>
              <w:widowControl/>
              <w:spacing w:line="320" w:lineRule="exact"/>
              <w:jc w:val="center"/>
              <w:rPr>
                <w:kern w:val="0"/>
                <w:sz w:val="21"/>
              </w:rPr>
            </w:pPr>
            <w:r>
              <w:rPr>
                <w:kern w:val="0"/>
                <w:sz w:val="21"/>
              </w:rPr>
              <w:t>DN300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10</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17</w:t>
            </w:r>
          </w:p>
        </w:tc>
        <w:tc>
          <w:tcPr>
            <w:tcW w:w="0" w:type="auto"/>
            <w:vAlign w:val="center"/>
          </w:tcPr>
          <w:p>
            <w:pPr>
              <w:widowControl/>
              <w:spacing w:line="320" w:lineRule="exact"/>
              <w:jc w:val="center"/>
              <w:rPr>
                <w:kern w:val="0"/>
                <w:sz w:val="21"/>
              </w:rPr>
            </w:pPr>
            <w:r>
              <w:rPr>
                <w:kern w:val="0"/>
                <w:sz w:val="21"/>
              </w:rPr>
              <w:t>曝气盘</w:t>
            </w:r>
          </w:p>
        </w:tc>
        <w:tc>
          <w:tcPr>
            <w:tcW w:w="0" w:type="auto"/>
            <w:vAlign w:val="center"/>
          </w:tcPr>
          <w:p>
            <w:pPr>
              <w:widowControl/>
              <w:spacing w:line="320" w:lineRule="exact"/>
              <w:jc w:val="center"/>
              <w:rPr>
                <w:kern w:val="0"/>
                <w:sz w:val="21"/>
              </w:rPr>
            </w:pPr>
            <w:r>
              <w:rPr>
                <w:kern w:val="0"/>
                <w:sz w:val="21"/>
              </w:rPr>
              <w:t>设计通气量3-5m3/h，效率≥20%</w:t>
            </w:r>
          </w:p>
        </w:tc>
        <w:tc>
          <w:tcPr>
            <w:tcW w:w="0" w:type="auto"/>
            <w:vAlign w:val="center"/>
          </w:tcPr>
          <w:p>
            <w:pPr>
              <w:widowControl/>
              <w:spacing w:line="320" w:lineRule="exact"/>
              <w:jc w:val="center"/>
              <w:rPr>
                <w:kern w:val="0"/>
                <w:sz w:val="21"/>
              </w:rPr>
            </w:pPr>
            <w:r>
              <w:rPr>
                <w:kern w:val="0"/>
                <w:sz w:val="21"/>
              </w:rPr>
              <w:t>套</w:t>
            </w:r>
          </w:p>
        </w:tc>
        <w:tc>
          <w:tcPr>
            <w:tcW w:w="0" w:type="auto"/>
            <w:vAlign w:val="center"/>
          </w:tcPr>
          <w:p>
            <w:pPr>
              <w:widowControl/>
              <w:spacing w:line="320" w:lineRule="exact"/>
              <w:jc w:val="center"/>
              <w:rPr>
                <w:kern w:val="0"/>
                <w:sz w:val="21"/>
              </w:rPr>
            </w:pPr>
            <w:r>
              <w:rPr>
                <w:kern w:val="0"/>
                <w:sz w:val="21"/>
              </w:rPr>
              <w:t>1280</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18</w:t>
            </w:r>
          </w:p>
        </w:tc>
        <w:tc>
          <w:tcPr>
            <w:tcW w:w="0" w:type="auto"/>
            <w:vAlign w:val="center"/>
          </w:tcPr>
          <w:p>
            <w:pPr>
              <w:widowControl/>
              <w:spacing w:line="320" w:lineRule="exact"/>
              <w:jc w:val="center"/>
              <w:rPr>
                <w:kern w:val="0"/>
                <w:sz w:val="21"/>
              </w:rPr>
            </w:pPr>
            <w:r>
              <w:rPr>
                <w:kern w:val="0"/>
                <w:sz w:val="21"/>
              </w:rPr>
              <w:t>溶解氧测定仪</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19</w:t>
            </w:r>
          </w:p>
        </w:tc>
        <w:tc>
          <w:tcPr>
            <w:tcW w:w="0" w:type="auto"/>
            <w:vAlign w:val="center"/>
          </w:tcPr>
          <w:p>
            <w:pPr>
              <w:widowControl/>
              <w:spacing w:line="320" w:lineRule="exact"/>
              <w:jc w:val="center"/>
              <w:rPr>
                <w:kern w:val="0"/>
                <w:sz w:val="21"/>
              </w:rPr>
            </w:pPr>
            <w:r>
              <w:rPr>
                <w:kern w:val="0"/>
                <w:sz w:val="21"/>
              </w:rPr>
              <w:t>污泥浓度计</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20</w:t>
            </w:r>
          </w:p>
        </w:tc>
        <w:tc>
          <w:tcPr>
            <w:tcW w:w="0" w:type="auto"/>
            <w:vAlign w:val="center"/>
          </w:tcPr>
          <w:p>
            <w:pPr>
              <w:widowControl/>
              <w:spacing w:line="320" w:lineRule="exact"/>
              <w:jc w:val="center"/>
              <w:rPr>
                <w:kern w:val="0"/>
                <w:sz w:val="21"/>
              </w:rPr>
            </w:pPr>
            <w:r>
              <w:rPr>
                <w:kern w:val="0"/>
                <w:sz w:val="21"/>
              </w:rPr>
              <w:t>氧化还原电位计(ORP)</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21</w:t>
            </w:r>
          </w:p>
        </w:tc>
        <w:tc>
          <w:tcPr>
            <w:tcW w:w="0" w:type="auto"/>
            <w:vAlign w:val="center"/>
          </w:tcPr>
          <w:p>
            <w:pPr>
              <w:widowControl/>
              <w:spacing w:line="320" w:lineRule="exact"/>
              <w:jc w:val="center"/>
              <w:rPr>
                <w:kern w:val="0"/>
                <w:sz w:val="21"/>
              </w:rPr>
            </w:pPr>
            <w:r>
              <w:rPr>
                <w:kern w:val="0"/>
                <w:sz w:val="21"/>
              </w:rPr>
              <w:t>非金属链条刮泥机</w:t>
            </w:r>
          </w:p>
        </w:tc>
        <w:tc>
          <w:tcPr>
            <w:tcW w:w="0" w:type="auto"/>
            <w:vAlign w:val="center"/>
          </w:tcPr>
          <w:p>
            <w:pPr>
              <w:widowControl/>
              <w:spacing w:line="320" w:lineRule="exact"/>
              <w:jc w:val="center"/>
              <w:rPr>
                <w:kern w:val="0"/>
                <w:sz w:val="21"/>
              </w:rPr>
            </w:pPr>
            <w:r>
              <w:rPr>
                <w:kern w:val="0"/>
                <w:sz w:val="21"/>
              </w:rPr>
              <w:t>L=29.70m，W=7.62m，H=4.2m，v=0.3m/min，N=0.37kW</w:t>
            </w:r>
          </w:p>
        </w:tc>
        <w:tc>
          <w:tcPr>
            <w:tcW w:w="0" w:type="auto"/>
            <w:vAlign w:val="center"/>
          </w:tcPr>
          <w:p>
            <w:pPr>
              <w:widowControl/>
              <w:spacing w:line="320" w:lineRule="exact"/>
              <w:jc w:val="center"/>
              <w:rPr>
                <w:kern w:val="0"/>
                <w:sz w:val="21"/>
              </w:rPr>
            </w:pPr>
            <w:r>
              <w:rPr>
                <w:kern w:val="0"/>
                <w:sz w:val="21"/>
              </w:rPr>
              <w:t>套</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22</w:t>
            </w:r>
          </w:p>
        </w:tc>
        <w:tc>
          <w:tcPr>
            <w:tcW w:w="0" w:type="auto"/>
            <w:vAlign w:val="center"/>
          </w:tcPr>
          <w:p>
            <w:pPr>
              <w:widowControl/>
              <w:spacing w:line="320" w:lineRule="exact"/>
              <w:jc w:val="center"/>
              <w:rPr>
                <w:kern w:val="0"/>
                <w:sz w:val="21"/>
              </w:rPr>
            </w:pPr>
            <w:r>
              <w:rPr>
                <w:kern w:val="0"/>
                <w:sz w:val="21"/>
              </w:rPr>
              <w:t>撇渣管(撇渣器)</w:t>
            </w:r>
          </w:p>
        </w:tc>
        <w:tc>
          <w:tcPr>
            <w:tcW w:w="0" w:type="auto"/>
            <w:vAlign w:val="center"/>
          </w:tcPr>
          <w:p>
            <w:pPr>
              <w:widowControl/>
              <w:spacing w:line="320" w:lineRule="exact"/>
              <w:jc w:val="center"/>
              <w:rPr>
                <w:kern w:val="0"/>
                <w:sz w:val="21"/>
              </w:rPr>
            </w:pPr>
            <w:r>
              <w:rPr>
                <w:kern w:val="0"/>
                <w:sz w:val="21"/>
              </w:rPr>
              <w:t>DN300，N=0.37kW</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23</w:t>
            </w:r>
          </w:p>
        </w:tc>
        <w:tc>
          <w:tcPr>
            <w:tcW w:w="0" w:type="auto"/>
            <w:vAlign w:val="center"/>
          </w:tcPr>
          <w:p>
            <w:pPr>
              <w:widowControl/>
              <w:spacing w:line="320" w:lineRule="exact"/>
              <w:jc w:val="center"/>
              <w:rPr>
                <w:kern w:val="0"/>
                <w:sz w:val="21"/>
              </w:rPr>
            </w:pPr>
            <w:r>
              <w:rPr>
                <w:kern w:val="0"/>
                <w:sz w:val="21"/>
              </w:rPr>
              <w:t>污泥调节堰门(手动)</w:t>
            </w:r>
          </w:p>
        </w:tc>
        <w:tc>
          <w:tcPr>
            <w:tcW w:w="0" w:type="auto"/>
            <w:vAlign w:val="center"/>
          </w:tcPr>
          <w:p>
            <w:pPr>
              <w:widowControl/>
              <w:spacing w:line="320" w:lineRule="exact"/>
              <w:jc w:val="center"/>
              <w:rPr>
                <w:kern w:val="0"/>
                <w:sz w:val="21"/>
              </w:rPr>
            </w:pPr>
            <w:r>
              <w:rPr>
                <w:kern w:val="0"/>
                <w:sz w:val="21"/>
              </w:rPr>
              <w:t>BXH=700×700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24</w:t>
            </w:r>
          </w:p>
        </w:tc>
        <w:tc>
          <w:tcPr>
            <w:tcW w:w="0" w:type="auto"/>
            <w:vAlign w:val="center"/>
          </w:tcPr>
          <w:p>
            <w:pPr>
              <w:widowControl/>
              <w:spacing w:line="320" w:lineRule="exact"/>
              <w:jc w:val="center"/>
              <w:rPr>
                <w:kern w:val="0"/>
                <w:sz w:val="21"/>
              </w:rPr>
            </w:pPr>
            <w:r>
              <w:rPr>
                <w:kern w:val="0"/>
                <w:sz w:val="21"/>
              </w:rPr>
              <w:t>污泥控制阀(手动)</w:t>
            </w:r>
          </w:p>
        </w:tc>
        <w:tc>
          <w:tcPr>
            <w:tcW w:w="0" w:type="auto"/>
            <w:vAlign w:val="center"/>
          </w:tcPr>
          <w:p>
            <w:pPr>
              <w:widowControl/>
              <w:spacing w:line="320" w:lineRule="exact"/>
              <w:jc w:val="center"/>
              <w:rPr>
                <w:kern w:val="0"/>
                <w:sz w:val="21"/>
              </w:rPr>
            </w:pPr>
            <w:r>
              <w:rPr>
                <w:kern w:val="0"/>
                <w:sz w:val="21"/>
              </w:rPr>
              <w:t>套筒阀，DN200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25</w:t>
            </w:r>
          </w:p>
        </w:tc>
        <w:tc>
          <w:tcPr>
            <w:tcW w:w="0" w:type="auto"/>
            <w:vAlign w:val="center"/>
          </w:tcPr>
          <w:p>
            <w:pPr>
              <w:widowControl/>
              <w:spacing w:line="320" w:lineRule="exact"/>
              <w:jc w:val="center"/>
              <w:rPr>
                <w:kern w:val="0"/>
                <w:sz w:val="21"/>
              </w:rPr>
            </w:pPr>
            <w:r>
              <w:rPr>
                <w:kern w:val="0"/>
                <w:sz w:val="21"/>
              </w:rPr>
              <w:t>排渣调节堰门(手动)</w:t>
            </w:r>
          </w:p>
        </w:tc>
        <w:tc>
          <w:tcPr>
            <w:tcW w:w="0" w:type="auto"/>
            <w:vAlign w:val="center"/>
          </w:tcPr>
          <w:p>
            <w:pPr>
              <w:widowControl/>
              <w:spacing w:line="320" w:lineRule="exact"/>
              <w:jc w:val="center"/>
              <w:rPr>
                <w:kern w:val="0"/>
                <w:sz w:val="21"/>
              </w:rPr>
            </w:pPr>
            <w:r>
              <w:rPr>
                <w:kern w:val="0"/>
                <w:sz w:val="21"/>
              </w:rPr>
              <w:t>BXH=320×400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26</w:t>
            </w:r>
          </w:p>
        </w:tc>
        <w:tc>
          <w:tcPr>
            <w:tcW w:w="0" w:type="auto"/>
            <w:vAlign w:val="center"/>
          </w:tcPr>
          <w:p>
            <w:pPr>
              <w:widowControl/>
              <w:spacing w:line="320" w:lineRule="exact"/>
              <w:jc w:val="center"/>
              <w:rPr>
                <w:kern w:val="0"/>
                <w:sz w:val="21"/>
              </w:rPr>
            </w:pPr>
            <w:r>
              <w:rPr>
                <w:kern w:val="0"/>
                <w:sz w:val="21"/>
              </w:rPr>
              <w:t>浮渣挡板</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套</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pacing w:line="320" w:lineRule="exact"/>
              <w:jc w:val="center"/>
              <w:rPr>
                <w:kern w:val="0"/>
                <w:sz w:val="21"/>
              </w:rPr>
            </w:pPr>
            <w:r>
              <w:rPr>
                <w:rFonts w:hint="eastAsia"/>
                <w:kern w:val="0"/>
                <w:sz w:val="21"/>
              </w:rPr>
              <w:t>27</w:t>
            </w:r>
          </w:p>
        </w:tc>
        <w:tc>
          <w:tcPr>
            <w:tcW w:w="0" w:type="auto"/>
            <w:vAlign w:val="center"/>
          </w:tcPr>
          <w:p>
            <w:pPr>
              <w:spacing w:line="320" w:lineRule="exact"/>
              <w:jc w:val="center"/>
              <w:rPr>
                <w:kern w:val="0"/>
                <w:sz w:val="21"/>
              </w:rPr>
            </w:pPr>
            <w:r>
              <w:rPr>
                <w:kern w:val="0"/>
                <w:sz w:val="21"/>
              </w:rPr>
              <w:t>挡水裙板</w:t>
            </w:r>
          </w:p>
        </w:tc>
        <w:tc>
          <w:tcPr>
            <w:tcW w:w="0" w:type="auto"/>
            <w:vAlign w:val="center"/>
          </w:tcPr>
          <w:p>
            <w:pPr>
              <w:spacing w:line="320" w:lineRule="exact"/>
              <w:jc w:val="center"/>
              <w:rPr>
                <w:kern w:val="0"/>
                <w:sz w:val="21"/>
              </w:rPr>
            </w:pPr>
          </w:p>
        </w:tc>
        <w:tc>
          <w:tcPr>
            <w:tcW w:w="0" w:type="auto"/>
            <w:vAlign w:val="center"/>
          </w:tcPr>
          <w:p>
            <w:pPr>
              <w:spacing w:line="320" w:lineRule="exact"/>
              <w:jc w:val="center"/>
              <w:rPr>
                <w:kern w:val="0"/>
                <w:sz w:val="21"/>
              </w:rPr>
            </w:pPr>
            <w:r>
              <w:rPr>
                <w:kern w:val="0"/>
                <w:sz w:val="21"/>
              </w:rPr>
              <w:t>套</w:t>
            </w:r>
          </w:p>
        </w:tc>
        <w:tc>
          <w:tcPr>
            <w:tcW w:w="0" w:type="auto"/>
            <w:vAlign w:val="center"/>
          </w:tcPr>
          <w:p>
            <w:pPr>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28</w:t>
            </w:r>
          </w:p>
        </w:tc>
        <w:tc>
          <w:tcPr>
            <w:tcW w:w="0" w:type="auto"/>
            <w:vAlign w:val="center"/>
          </w:tcPr>
          <w:p>
            <w:pPr>
              <w:widowControl/>
              <w:spacing w:line="320" w:lineRule="exact"/>
              <w:jc w:val="center"/>
              <w:rPr>
                <w:kern w:val="0"/>
                <w:sz w:val="21"/>
              </w:rPr>
            </w:pPr>
            <w:r>
              <w:rPr>
                <w:kern w:val="0"/>
                <w:sz w:val="21"/>
              </w:rPr>
              <w:t>折流挡板</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套</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29</w:t>
            </w:r>
          </w:p>
        </w:tc>
        <w:tc>
          <w:tcPr>
            <w:tcW w:w="0" w:type="auto"/>
            <w:vAlign w:val="center"/>
          </w:tcPr>
          <w:p>
            <w:pPr>
              <w:widowControl/>
              <w:spacing w:line="320" w:lineRule="exact"/>
              <w:jc w:val="center"/>
              <w:rPr>
                <w:kern w:val="0"/>
                <w:sz w:val="21"/>
              </w:rPr>
            </w:pPr>
            <w:r>
              <w:rPr>
                <w:kern w:val="0"/>
                <w:sz w:val="21"/>
              </w:rPr>
              <w:t>刮泥板</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套</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30</w:t>
            </w:r>
          </w:p>
        </w:tc>
        <w:tc>
          <w:tcPr>
            <w:tcW w:w="0" w:type="auto"/>
            <w:vAlign w:val="center"/>
          </w:tcPr>
          <w:p>
            <w:pPr>
              <w:widowControl/>
              <w:spacing w:line="320" w:lineRule="exact"/>
              <w:jc w:val="center"/>
              <w:rPr>
                <w:kern w:val="0"/>
                <w:sz w:val="21"/>
              </w:rPr>
            </w:pPr>
            <w:r>
              <w:rPr>
                <w:kern w:val="0"/>
                <w:sz w:val="21"/>
              </w:rPr>
              <w:t>液压排泥管</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套</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31</w:t>
            </w:r>
          </w:p>
        </w:tc>
        <w:tc>
          <w:tcPr>
            <w:tcW w:w="0" w:type="auto"/>
            <w:vAlign w:val="center"/>
          </w:tcPr>
          <w:p>
            <w:pPr>
              <w:widowControl/>
              <w:spacing w:line="320" w:lineRule="exact"/>
              <w:jc w:val="center"/>
              <w:rPr>
                <w:kern w:val="0"/>
                <w:sz w:val="21"/>
              </w:rPr>
            </w:pPr>
            <w:r>
              <w:rPr>
                <w:kern w:val="0"/>
                <w:sz w:val="21"/>
              </w:rPr>
              <w:t>刀闸阀</w:t>
            </w:r>
          </w:p>
        </w:tc>
        <w:tc>
          <w:tcPr>
            <w:tcW w:w="0" w:type="auto"/>
            <w:vAlign w:val="center"/>
          </w:tcPr>
          <w:p>
            <w:pPr>
              <w:widowControl/>
              <w:spacing w:line="320" w:lineRule="exact"/>
              <w:jc w:val="center"/>
              <w:rPr>
                <w:kern w:val="0"/>
                <w:sz w:val="21"/>
              </w:rPr>
            </w:pPr>
            <w:r>
              <w:rPr>
                <w:kern w:val="0"/>
                <w:sz w:val="21"/>
              </w:rPr>
              <w:t>DN300，PN10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32</w:t>
            </w:r>
          </w:p>
        </w:tc>
        <w:tc>
          <w:tcPr>
            <w:tcW w:w="0" w:type="auto"/>
            <w:vAlign w:val="center"/>
          </w:tcPr>
          <w:p>
            <w:pPr>
              <w:widowControl/>
              <w:spacing w:line="320" w:lineRule="exact"/>
              <w:jc w:val="center"/>
              <w:rPr>
                <w:kern w:val="0"/>
                <w:sz w:val="21"/>
              </w:rPr>
            </w:pPr>
            <w:r>
              <w:rPr>
                <w:kern w:val="0"/>
                <w:sz w:val="21"/>
              </w:rPr>
              <w:t>二级配水器</w:t>
            </w:r>
          </w:p>
        </w:tc>
        <w:tc>
          <w:tcPr>
            <w:tcW w:w="0" w:type="auto"/>
            <w:vAlign w:val="center"/>
          </w:tcPr>
          <w:p>
            <w:pPr>
              <w:widowControl/>
              <w:spacing w:line="320" w:lineRule="exact"/>
              <w:jc w:val="center"/>
              <w:rPr>
                <w:kern w:val="0"/>
                <w:sz w:val="21"/>
              </w:rPr>
            </w:pPr>
            <w:r>
              <w:rPr>
                <w:kern w:val="0"/>
                <w:sz w:val="21"/>
              </w:rPr>
              <w:t>DN1400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33</w:t>
            </w:r>
          </w:p>
        </w:tc>
        <w:tc>
          <w:tcPr>
            <w:tcW w:w="0" w:type="auto"/>
            <w:vAlign w:val="center"/>
          </w:tcPr>
          <w:p>
            <w:pPr>
              <w:widowControl/>
              <w:spacing w:line="320" w:lineRule="exact"/>
              <w:jc w:val="center"/>
              <w:rPr>
                <w:kern w:val="0"/>
                <w:sz w:val="21"/>
              </w:rPr>
            </w:pPr>
            <w:r>
              <w:rPr>
                <w:kern w:val="0"/>
                <w:sz w:val="21"/>
              </w:rPr>
              <w:t>三级配水器</w:t>
            </w:r>
          </w:p>
        </w:tc>
        <w:tc>
          <w:tcPr>
            <w:tcW w:w="0" w:type="auto"/>
            <w:vAlign w:val="center"/>
          </w:tcPr>
          <w:p>
            <w:pPr>
              <w:widowControl/>
              <w:spacing w:line="320" w:lineRule="exact"/>
              <w:jc w:val="center"/>
              <w:rPr>
                <w:kern w:val="0"/>
                <w:sz w:val="21"/>
              </w:rPr>
            </w:pPr>
            <w:r>
              <w:rPr>
                <w:kern w:val="0"/>
                <w:sz w:val="21"/>
              </w:rPr>
              <w:t>DN1600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8</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34</w:t>
            </w:r>
          </w:p>
        </w:tc>
        <w:tc>
          <w:tcPr>
            <w:tcW w:w="0" w:type="auto"/>
            <w:vAlign w:val="center"/>
          </w:tcPr>
          <w:p>
            <w:pPr>
              <w:widowControl/>
              <w:spacing w:line="320" w:lineRule="exact"/>
              <w:jc w:val="center"/>
              <w:rPr>
                <w:kern w:val="0"/>
                <w:sz w:val="21"/>
              </w:rPr>
            </w:pPr>
            <w:r>
              <w:rPr>
                <w:kern w:val="0"/>
                <w:sz w:val="21"/>
              </w:rPr>
              <w:t>管网伸缩蝶阀</w:t>
            </w:r>
          </w:p>
        </w:tc>
        <w:tc>
          <w:tcPr>
            <w:tcW w:w="0" w:type="auto"/>
            <w:vAlign w:val="center"/>
          </w:tcPr>
          <w:p>
            <w:pPr>
              <w:widowControl/>
              <w:spacing w:line="320" w:lineRule="exact"/>
              <w:jc w:val="center"/>
              <w:rPr>
                <w:kern w:val="0"/>
                <w:sz w:val="21"/>
              </w:rPr>
            </w:pPr>
            <w:r>
              <w:rPr>
                <w:kern w:val="0"/>
                <w:sz w:val="21"/>
              </w:rPr>
              <w:t>DN400，GSD341X-1.0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35</w:t>
            </w:r>
          </w:p>
        </w:tc>
        <w:tc>
          <w:tcPr>
            <w:tcW w:w="0" w:type="auto"/>
            <w:vAlign w:val="center"/>
          </w:tcPr>
          <w:p>
            <w:pPr>
              <w:widowControl/>
              <w:spacing w:line="320" w:lineRule="exact"/>
              <w:jc w:val="center"/>
              <w:rPr>
                <w:kern w:val="0"/>
                <w:sz w:val="21"/>
              </w:rPr>
            </w:pPr>
            <w:r>
              <w:rPr>
                <w:kern w:val="0"/>
                <w:sz w:val="21"/>
              </w:rPr>
              <w:t>刀形闸阀</w:t>
            </w:r>
          </w:p>
        </w:tc>
        <w:tc>
          <w:tcPr>
            <w:tcW w:w="0" w:type="auto"/>
            <w:vAlign w:val="center"/>
          </w:tcPr>
          <w:p>
            <w:pPr>
              <w:widowControl/>
              <w:spacing w:line="320" w:lineRule="exact"/>
              <w:jc w:val="center"/>
              <w:rPr>
                <w:kern w:val="0"/>
                <w:sz w:val="21"/>
              </w:rPr>
            </w:pPr>
            <w:r>
              <w:rPr>
                <w:kern w:val="0"/>
                <w:sz w:val="21"/>
              </w:rPr>
              <w:t>DN150，DZ73X-1.0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9</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36</w:t>
            </w:r>
          </w:p>
        </w:tc>
        <w:tc>
          <w:tcPr>
            <w:tcW w:w="0" w:type="auto"/>
            <w:vAlign w:val="center"/>
          </w:tcPr>
          <w:p>
            <w:pPr>
              <w:widowControl/>
              <w:spacing w:line="320" w:lineRule="exact"/>
              <w:jc w:val="center"/>
              <w:rPr>
                <w:kern w:val="0"/>
                <w:sz w:val="21"/>
              </w:rPr>
            </w:pPr>
            <w:r>
              <w:rPr>
                <w:kern w:val="0"/>
                <w:sz w:val="21"/>
              </w:rPr>
              <w:t>电动闸阀</w:t>
            </w:r>
          </w:p>
        </w:tc>
        <w:tc>
          <w:tcPr>
            <w:tcW w:w="0" w:type="auto"/>
            <w:vAlign w:val="center"/>
          </w:tcPr>
          <w:p>
            <w:pPr>
              <w:widowControl/>
              <w:spacing w:line="320" w:lineRule="exact"/>
              <w:jc w:val="center"/>
              <w:rPr>
                <w:kern w:val="0"/>
                <w:sz w:val="21"/>
              </w:rPr>
            </w:pPr>
            <w:r>
              <w:rPr>
                <w:kern w:val="0"/>
                <w:sz w:val="21"/>
              </w:rPr>
              <w:t>DN150，Z945X-1.0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8</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37</w:t>
            </w:r>
          </w:p>
        </w:tc>
        <w:tc>
          <w:tcPr>
            <w:tcW w:w="0" w:type="auto"/>
            <w:vAlign w:val="center"/>
          </w:tcPr>
          <w:p>
            <w:pPr>
              <w:widowControl/>
              <w:spacing w:line="320" w:lineRule="exact"/>
              <w:jc w:val="center"/>
              <w:rPr>
                <w:kern w:val="0"/>
                <w:sz w:val="21"/>
              </w:rPr>
            </w:pPr>
            <w:r>
              <w:rPr>
                <w:kern w:val="0"/>
                <w:sz w:val="21"/>
              </w:rPr>
              <w:t>潜水排污泵</w:t>
            </w:r>
          </w:p>
        </w:tc>
        <w:tc>
          <w:tcPr>
            <w:tcW w:w="0" w:type="auto"/>
            <w:vAlign w:val="center"/>
          </w:tcPr>
          <w:p>
            <w:pPr>
              <w:widowControl/>
              <w:spacing w:line="320" w:lineRule="exact"/>
              <w:jc w:val="center"/>
              <w:rPr>
                <w:kern w:val="0"/>
                <w:sz w:val="21"/>
              </w:rPr>
            </w:pPr>
            <w:r>
              <w:rPr>
                <w:kern w:val="0"/>
                <w:sz w:val="21"/>
              </w:rPr>
              <w:t>WQ100-13-7.5 Q=100m</w:t>
            </w:r>
            <w:r>
              <w:rPr>
                <w:kern w:val="0"/>
                <w:sz w:val="21"/>
                <w:vertAlign w:val="superscript"/>
              </w:rPr>
              <w:t>3</w:t>
            </w:r>
            <w:r>
              <w:rPr>
                <w:kern w:val="0"/>
                <w:sz w:val="21"/>
              </w:rPr>
              <w:t>/h H=13m N=7.5kW</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38</w:t>
            </w:r>
          </w:p>
        </w:tc>
        <w:tc>
          <w:tcPr>
            <w:tcW w:w="0" w:type="auto"/>
            <w:vAlign w:val="center"/>
          </w:tcPr>
          <w:p>
            <w:pPr>
              <w:widowControl/>
              <w:spacing w:line="320" w:lineRule="exact"/>
              <w:jc w:val="center"/>
              <w:rPr>
                <w:kern w:val="0"/>
                <w:sz w:val="21"/>
              </w:rPr>
            </w:pPr>
            <w:r>
              <w:rPr>
                <w:kern w:val="0"/>
                <w:sz w:val="21"/>
              </w:rPr>
              <w:t>止回阀</w:t>
            </w:r>
          </w:p>
        </w:tc>
        <w:tc>
          <w:tcPr>
            <w:tcW w:w="0" w:type="auto"/>
            <w:vAlign w:val="center"/>
          </w:tcPr>
          <w:p>
            <w:pPr>
              <w:widowControl/>
              <w:spacing w:line="320" w:lineRule="exact"/>
              <w:jc w:val="center"/>
              <w:rPr>
                <w:kern w:val="0"/>
                <w:sz w:val="21"/>
              </w:rPr>
            </w:pPr>
            <w:r>
              <w:rPr>
                <w:kern w:val="0"/>
                <w:sz w:val="21"/>
              </w:rPr>
              <w:t>DN150，HH49X-1.0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39</w:t>
            </w:r>
          </w:p>
        </w:tc>
        <w:tc>
          <w:tcPr>
            <w:tcW w:w="0" w:type="auto"/>
            <w:vAlign w:val="center"/>
          </w:tcPr>
          <w:p>
            <w:pPr>
              <w:widowControl/>
              <w:spacing w:line="320" w:lineRule="exact"/>
              <w:jc w:val="center"/>
              <w:rPr>
                <w:kern w:val="0"/>
                <w:sz w:val="21"/>
              </w:rPr>
            </w:pPr>
            <w:r>
              <w:rPr>
                <w:kern w:val="0"/>
                <w:sz w:val="21"/>
              </w:rPr>
              <w:t>伸缩接头</w:t>
            </w:r>
          </w:p>
        </w:tc>
        <w:tc>
          <w:tcPr>
            <w:tcW w:w="0" w:type="auto"/>
            <w:vAlign w:val="center"/>
          </w:tcPr>
          <w:p>
            <w:pPr>
              <w:widowControl/>
              <w:spacing w:line="320" w:lineRule="exact"/>
              <w:jc w:val="center"/>
              <w:rPr>
                <w:kern w:val="0"/>
                <w:sz w:val="21"/>
              </w:rPr>
            </w:pPr>
            <w:r>
              <w:rPr>
                <w:kern w:val="0"/>
                <w:sz w:val="21"/>
              </w:rPr>
              <w:t>DN150，PN10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40</w:t>
            </w:r>
          </w:p>
        </w:tc>
        <w:tc>
          <w:tcPr>
            <w:tcW w:w="0" w:type="auto"/>
            <w:vAlign w:val="center"/>
          </w:tcPr>
          <w:p>
            <w:pPr>
              <w:widowControl/>
              <w:spacing w:line="320" w:lineRule="exact"/>
              <w:jc w:val="center"/>
              <w:rPr>
                <w:kern w:val="0"/>
                <w:sz w:val="21"/>
              </w:rPr>
            </w:pPr>
            <w:r>
              <w:rPr>
                <w:kern w:val="0"/>
                <w:sz w:val="21"/>
              </w:rPr>
              <w:t>伸缩接头</w:t>
            </w:r>
          </w:p>
        </w:tc>
        <w:tc>
          <w:tcPr>
            <w:tcW w:w="0" w:type="auto"/>
            <w:vAlign w:val="center"/>
          </w:tcPr>
          <w:p>
            <w:pPr>
              <w:widowControl/>
              <w:spacing w:line="320" w:lineRule="exact"/>
              <w:jc w:val="center"/>
              <w:rPr>
                <w:kern w:val="0"/>
                <w:sz w:val="21"/>
              </w:rPr>
            </w:pPr>
            <w:r>
              <w:rPr>
                <w:kern w:val="0"/>
                <w:sz w:val="21"/>
              </w:rPr>
              <w:t>DN150，PN10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41</w:t>
            </w:r>
          </w:p>
        </w:tc>
        <w:tc>
          <w:tcPr>
            <w:tcW w:w="0" w:type="auto"/>
            <w:vAlign w:val="center"/>
          </w:tcPr>
          <w:p>
            <w:pPr>
              <w:widowControl/>
              <w:spacing w:line="320" w:lineRule="exact"/>
              <w:jc w:val="center"/>
              <w:rPr>
                <w:kern w:val="0"/>
                <w:sz w:val="21"/>
              </w:rPr>
            </w:pPr>
            <w:r>
              <w:rPr>
                <w:kern w:val="0"/>
                <w:sz w:val="21"/>
              </w:rPr>
              <w:t>刀型闸阀</w:t>
            </w:r>
          </w:p>
        </w:tc>
        <w:tc>
          <w:tcPr>
            <w:tcW w:w="0" w:type="auto"/>
            <w:vAlign w:val="center"/>
          </w:tcPr>
          <w:p>
            <w:pPr>
              <w:widowControl/>
              <w:spacing w:line="320" w:lineRule="exact"/>
              <w:jc w:val="center"/>
              <w:rPr>
                <w:kern w:val="0"/>
                <w:sz w:val="21"/>
              </w:rPr>
            </w:pPr>
            <w:r>
              <w:rPr>
                <w:kern w:val="0"/>
                <w:sz w:val="21"/>
              </w:rPr>
              <w:t>DN500，DZ73X-1.0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42</w:t>
            </w:r>
          </w:p>
        </w:tc>
        <w:tc>
          <w:tcPr>
            <w:tcW w:w="0" w:type="auto"/>
            <w:vAlign w:val="center"/>
          </w:tcPr>
          <w:p>
            <w:pPr>
              <w:widowControl/>
              <w:spacing w:line="320" w:lineRule="exact"/>
              <w:jc w:val="center"/>
              <w:rPr>
                <w:kern w:val="0"/>
                <w:sz w:val="21"/>
              </w:rPr>
            </w:pPr>
            <w:r>
              <w:rPr>
                <w:kern w:val="0"/>
                <w:sz w:val="21"/>
              </w:rPr>
              <w:t>立式排污泵(干式安装)</w:t>
            </w:r>
          </w:p>
        </w:tc>
        <w:tc>
          <w:tcPr>
            <w:tcW w:w="0" w:type="auto"/>
            <w:vAlign w:val="center"/>
          </w:tcPr>
          <w:p>
            <w:pPr>
              <w:widowControl/>
              <w:spacing w:line="320" w:lineRule="exact"/>
              <w:jc w:val="center"/>
              <w:rPr>
                <w:kern w:val="0"/>
                <w:sz w:val="21"/>
              </w:rPr>
            </w:pPr>
            <w:r>
              <w:rPr>
                <w:kern w:val="0"/>
                <w:sz w:val="21"/>
              </w:rPr>
              <w:t>Q=220m</w:t>
            </w:r>
            <w:r>
              <w:rPr>
                <w:kern w:val="0"/>
                <w:sz w:val="21"/>
                <w:vertAlign w:val="superscript"/>
              </w:rPr>
              <w:t>3</w:t>
            </w:r>
            <w:r>
              <w:rPr>
                <w:kern w:val="0"/>
                <w:sz w:val="21"/>
              </w:rPr>
              <w:t>/h H=10m N=11kW</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43</w:t>
            </w:r>
          </w:p>
        </w:tc>
        <w:tc>
          <w:tcPr>
            <w:tcW w:w="0" w:type="auto"/>
            <w:vAlign w:val="center"/>
          </w:tcPr>
          <w:p>
            <w:pPr>
              <w:widowControl/>
              <w:spacing w:line="320" w:lineRule="exact"/>
              <w:jc w:val="center"/>
              <w:rPr>
                <w:kern w:val="0"/>
                <w:sz w:val="21"/>
              </w:rPr>
            </w:pPr>
            <w:r>
              <w:rPr>
                <w:kern w:val="0"/>
                <w:sz w:val="21"/>
              </w:rPr>
              <w:t>涡轮传动伸缩碟阀</w:t>
            </w:r>
          </w:p>
        </w:tc>
        <w:tc>
          <w:tcPr>
            <w:tcW w:w="0" w:type="auto"/>
            <w:vAlign w:val="center"/>
          </w:tcPr>
          <w:p>
            <w:pPr>
              <w:widowControl/>
              <w:spacing w:line="320" w:lineRule="exact"/>
              <w:jc w:val="center"/>
              <w:rPr>
                <w:kern w:val="0"/>
                <w:sz w:val="21"/>
              </w:rPr>
            </w:pPr>
            <w:r>
              <w:rPr>
                <w:kern w:val="0"/>
                <w:sz w:val="21"/>
              </w:rPr>
              <w:t>DN200 SD341X-1.0</w:t>
            </w:r>
          </w:p>
        </w:tc>
        <w:tc>
          <w:tcPr>
            <w:tcW w:w="0" w:type="auto"/>
            <w:vAlign w:val="center"/>
          </w:tcPr>
          <w:p>
            <w:pPr>
              <w:widowControl/>
              <w:spacing w:line="320" w:lineRule="exact"/>
              <w:jc w:val="center"/>
              <w:rPr>
                <w:kern w:val="0"/>
                <w:sz w:val="21"/>
              </w:rPr>
            </w:pPr>
            <w:r>
              <w:rPr>
                <w:kern w:val="0"/>
                <w:sz w:val="21"/>
              </w:rPr>
              <w:t>个</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44</w:t>
            </w:r>
          </w:p>
        </w:tc>
        <w:tc>
          <w:tcPr>
            <w:tcW w:w="0" w:type="auto"/>
            <w:vAlign w:val="center"/>
          </w:tcPr>
          <w:p>
            <w:pPr>
              <w:widowControl/>
              <w:spacing w:line="320" w:lineRule="exact"/>
              <w:jc w:val="center"/>
              <w:rPr>
                <w:kern w:val="0"/>
                <w:sz w:val="21"/>
              </w:rPr>
            </w:pPr>
            <w:r>
              <w:rPr>
                <w:kern w:val="0"/>
                <w:sz w:val="21"/>
              </w:rPr>
              <w:t>氧化还原电位计(ORP)</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45</w:t>
            </w:r>
          </w:p>
        </w:tc>
        <w:tc>
          <w:tcPr>
            <w:tcW w:w="0" w:type="auto"/>
            <w:vAlign w:val="center"/>
          </w:tcPr>
          <w:p>
            <w:pPr>
              <w:widowControl/>
              <w:spacing w:line="320" w:lineRule="exact"/>
              <w:jc w:val="center"/>
              <w:rPr>
                <w:kern w:val="0"/>
                <w:sz w:val="21"/>
              </w:rPr>
            </w:pPr>
            <w:r>
              <w:rPr>
                <w:kern w:val="0"/>
                <w:sz w:val="21"/>
              </w:rPr>
              <w:t>污泥界面仪</w:t>
            </w:r>
          </w:p>
        </w:tc>
        <w:tc>
          <w:tcPr>
            <w:tcW w:w="0" w:type="auto"/>
            <w:vAlign w:val="center"/>
          </w:tcPr>
          <w:p>
            <w:pPr>
              <w:widowControl/>
              <w:spacing w:line="320" w:lineRule="exact"/>
              <w:jc w:val="center"/>
              <w:rPr>
                <w:kern w:val="0"/>
                <w:sz w:val="21"/>
              </w:rPr>
            </w:pP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46</w:t>
            </w:r>
          </w:p>
        </w:tc>
        <w:tc>
          <w:tcPr>
            <w:tcW w:w="0" w:type="auto"/>
            <w:vAlign w:val="center"/>
          </w:tcPr>
          <w:p>
            <w:pPr>
              <w:widowControl/>
              <w:spacing w:line="320" w:lineRule="exact"/>
              <w:jc w:val="center"/>
              <w:rPr>
                <w:kern w:val="0"/>
                <w:sz w:val="21"/>
              </w:rPr>
            </w:pPr>
            <w:r>
              <w:rPr>
                <w:kern w:val="0"/>
                <w:sz w:val="21"/>
              </w:rPr>
              <w:t>高速潜水搅拌机</w:t>
            </w:r>
          </w:p>
        </w:tc>
        <w:tc>
          <w:tcPr>
            <w:tcW w:w="0" w:type="auto"/>
            <w:vAlign w:val="center"/>
          </w:tcPr>
          <w:p>
            <w:pPr>
              <w:widowControl/>
              <w:spacing w:line="320" w:lineRule="exact"/>
              <w:jc w:val="center"/>
              <w:rPr>
                <w:kern w:val="0"/>
                <w:sz w:val="21"/>
              </w:rPr>
            </w:pPr>
            <w:r>
              <w:rPr>
                <w:kern w:val="0"/>
                <w:sz w:val="21"/>
              </w:rPr>
              <w:t>QJB260-1.5型，叶轮直径φ320, N=1.50kW</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2</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47</w:t>
            </w:r>
          </w:p>
        </w:tc>
        <w:tc>
          <w:tcPr>
            <w:tcW w:w="0" w:type="auto"/>
            <w:vAlign w:val="center"/>
          </w:tcPr>
          <w:p>
            <w:pPr>
              <w:widowControl/>
              <w:spacing w:line="320" w:lineRule="exact"/>
              <w:jc w:val="center"/>
              <w:rPr>
                <w:kern w:val="0"/>
                <w:sz w:val="21"/>
              </w:rPr>
            </w:pPr>
            <w:r>
              <w:rPr>
                <w:kern w:val="0"/>
                <w:sz w:val="21"/>
              </w:rPr>
              <w:t>风阀</w:t>
            </w:r>
          </w:p>
        </w:tc>
        <w:tc>
          <w:tcPr>
            <w:tcW w:w="0" w:type="auto"/>
            <w:vAlign w:val="center"/>
          </w:tcPr>
          <w:p>
            <w:pPr>
              <w:widowControl/>
              <w:spacing w:line="320" w:lineRule="exact"/>
              <w:jc w:val="center"/>
              <w:rPr>
                <w:kern w:val="0"/>
                <w:sz w:val="21"/>
              </w:rPr>
            </w:pPr>
            <w:r>
              <w:rPr>
                <w:kern w:val="0"/>
                <w:sz w:val="21"/>
              </w:rPr>
              <w:t>DN300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3</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spacing w:line="320" w:lineRule="exact"/>
              <w:jc w:val="center"/>
              <w:rPr>
                <w:kern w:val="0"/>
                <w:sz w:val="21"/>
              </w:rPr>
            </w:pPr>
            <w:r>
              <w:rPr>
                <w:rFonts w:hint="eastAsia"/>
                <w:kern w:val="0"/>
                <w:sz w:val="21"/>
              </w:rPr>
              <w:t>48</w:t>
            </w:r>
          </w:p>
        </w:tc>
        <w:tc>
          <w:tcPr>
            <w:tcW w:w="0" w:type="auto"/>
            <w:vAlign w:val="center"/>
          </w:tcPr>
          <w:p>
            <w:pPr>
              <w:widowControl/>
              <w:spacing w:line="320" w:lineRule="exact"/>
              <w:jc w:val="center"/>
              <w:rPr>
                <w:kern w:val="0"/>
                <w:sz w:val="21"/>
              </w:rPr>
            </w:pPr>
            <w:r>
              <w:rPr>
                <w:kern w:val="0"/>
                <w:sz w:val="21"/>
              </w:rPr>
              <w:t>风阀</w:t>
            </w:r>
          </w:p>
        </w:tc>
        <w:tc>
          <w:tcPr>
            <w:tcW w:w="0" w:type="auto"/>
            <w:vAlign w:val="center"/>
          </w:tcPr>
          <w:p>
            <w:pPr>
              <w:widowControl/>
              <w:spacing w:line="320" w:lineRule="exact"/>
              <w:jc w:val="center"/>
              <w:rPr>
                <w:kern w:val="0"/>
                <w:sz w:val="21"/>
              </w:rPr>
            </w:pPr>
            <w:r>
              <w:rPr>
                <w:kern w:val="0"/>
                <w:sz w:val="21"/>
              </w:rPr>
              <w:t>DN400</w:t>
            </w:r>
          </w:p>
        </w:tc>
        <w:tc>
          <w:tcPr>
            <w:tcW w:w="0" w:type="auto"/>
            <w:vAlign w:val="center"/>
          </w:tcPr>
          <w:p>
            <w:pPr>
              <w:widowControl/>
              <w:spacing w:line="320" w:lineRule="exact"/>
              <w:jc w:val="center"/>
              <w:rPr>
                <w:kern w:val="0"/>
                <w:sz w:val="21"/>
              </w:rPr>
            </w:pPr>
            <w:r>
              <w:rPr>
                <w:kern w:val="0"/>
                <w:sz w:val="21"/>
              </w:rPr>
              <w:t>台</w:t>
            </w:r>
          </w:p>
        </w:tc>
        <w:tc>
          <w:tcPr>
            <w:tcW w:w="0" w:type="auto"/>
            <w:vAlign w:val="center"/>
          </w:tcPr>
          <w:p>
            <w:pPr>
              <w:widowControl/>
              <w:spacing w:line="320" w:lineRule="exact"/>
              <w:jc w:val="center"/>
              <w:rPr>
                <w:kern w:val="0"/>
                <w:sz w:val="21"/>
              </w:rPr>
            </w:pPr>
            <w:r>
              <w:rPr>
                <w:kern w:val="0"/>
                <w:sz w:val="21"/>
              </w:rPr>
              <w:t>1</w:t>
            </w:r>
          </w:p>
        </w:tc>
        <w:tc>
          <w:tcPr>
            <w:tcW w:w="0" w:type="auto"/>
            <w:vMerge w:val="continue"/>
            <w:vAlign w:val="center"/>
          </w:tcPr>
          <w:p>
            <w:pPr>
              <w:autoSpaceDE w:val="0"/>
              <w:jc w:val="center"/>
              <w:rPr>
                <w:rFonts w:cs="Times New Roman"/>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adjustRightInd w:val="0"/>
              <w:spacing w:line="320" w:lineRule="exact"/>
              <w:jc w:val="center"/>
              <w:textAlignment w:val="baseline"/>
              <w:rPr>
                <w:rFonts w:cs="Times New Roman"/>
                <w:b/>
                <w:bCs/>
                <w:color w:val="000000" w:themeColor="text1"/>
                <w:kern w:val="0"/>
                <w:sz w:val="21"/>
              </w:rPr>
            </w:pPr>
            <w:r>
              <w:rPr>
                <w:rFonts w:hint="eastAsia" w:cs="Times New Roman"/>
                <w:b/>
                <w:bCs/>
                <w:color w:val="000000" w:themeColor="text1"/>
                <w:kern w:val="0"/>
                <w:sz w:val="21"/>
              </w:rPr>
              <w:t xml:space="preserve">4 </w:t>
            </w:r>
            <w:r>
              <w:rPr>
                <w:rFonts w:cs="Times New Roman"/>
                <w:b/>
                <w:bCs/>
                <w:color w:val="000000" w:themeColor="text1"/>
                <w:kern w:val="0"/>
                <w:sz w:val="21"/>
              </w:rPr>
              <w:t>高效沉淀池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手摇式螺杆启闭机</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QSY-4，启闭力=4kN</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restart"/>
            <w:vAlign w:val="center"/>
          </w:tcPr>
          <w:p>
            <w:pPr>
              <w:adjustRightInd w:val="0"/>
              <w:spacing w:line="320" w:lineRule="exact"/>
              <w:jc w:val="center"/>
              <w:textAlignment w:val="baseline"/>
              <w:rPr>
                <w:rFonts w:eastAsia="宋体"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调节堰门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TYG-1300×800，SS304不锈钢</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混合搅拌机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D=800mm，N=4.0kW，SS304不锈钢</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絮凝搅拌机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D=1500mm,N=7.5kW，SS304不锈钢</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中心传动刮泥机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D=12m,N=1.5kW,H=6.8m,线速度≈2m/min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涡轮传动伸缩蝶阀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DN200,SgD341X-1.0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电动闸阀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DN200,Z45H-1.0,PN=1.0MPa,N=0.75kW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剩余污泥泵</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WQ70-14-5.5,Q=70m3/h,H=13m,N=5.5kW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回流污泥泵</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WQ70-11-4.0,Q=70m3/h,H=10m,N=4.0kW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止回阀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HH49X-1.0,DN150,PN=1.0MPa</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伸缩接头</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VSSJA-2,DN150,PN=1.0MPa</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刀形闸阀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DN150,DZ73X-10,PN=1.0MPa</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液位计</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便携式SS测量仪</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adjustRightInd w:val="0"/>
              <w:spacing w:line="320" w:lineRule="exact"/>
              <w:jc w:val="center"/>
              <w:textAlignment w:val="baseline"/>
              <w:rPr>
                <w:rFonts w:cs="Times New Roman"/>
                <w:b/>
                <w:bCs/>
                <w:kern w:val="0"/>
                <w:sz w:val="21"/>
              </w:rPr>
            </w:pPr>
            <w:r>
              <w:rPr>
                <w:rFonts w:hint="eastAsia" w:cs="Times New Roman"/>
                <w:b/>
                <w:bCs/>
                <w:kern w:val="0"/>
                <w:sz w:val="21"/>
              </w:rPr>
              <w:t>5</w:t>
            </w:r>
            <w:r>
              <w:rPr>
                <w:rFonts w:cs="Times New Roman"/>
                <w:b/>
                <w:bCs/>
                <w:kern w:val="0"/>
                <w:sz w:val="21"/>
              </w:rPr>
              <w:t>滤布滤池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反洗泵</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Q=50m</w:t>
            </w:r>
            <w:r>
              <w:rPr>
                <w:rFonts w:cs="Times New Roman"/>
                <w:kern w:val="0"/>
                <w:sz w:val="21"/>
                <w:vertAlign w:val="superscript"/>
              </w:rPr>
              <w:t>2</w:t>
            </w:r>
            <w:r>
              <w:rPr>
                <w:rFonts w:cs="Times New Roman"/>
                <w:kern w:val="0"/>
                <w:sz w:val="21"/>
              </w:rPr>
              <w:t>/h,H=7m,N=2.2kW</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restart"/>
            <w:vAlign w:val="center"/>
          </w:tcPr>
          <w:p>
            <w:pPr>
              <w:adjustRightInd w:val="0"/>
              <w:spacing w:line="320" w:lineRule="exact"/>
              <w:jc w:val="center"/>
              <w:textAlignment w:val="baseline"/>
              <w:rPr>
                <w:rFonts w:eastAsia="宋体"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旋转驱动电机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i=632,NA=2.2RPm/min,N=0.75kW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电动球阀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DN80,N=0.04kW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16</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弹性接头</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DN80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20</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圆型铸铁镶铜闸门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SYZ-</w:t>
            </w:r>
            <w:r>
              <w:rPr>
                <w:rFonts w:ascii="Cambria Math" w:hAnsi="Cambria Math" w:eastAsia="MS Mincho" w:cs="Cambria Math"/>
                <w:kern w:val="0"/>
                <w:sz w:val="21"/>
              </w:rPr>
              <w:t>∅</w:t>
            </w:r>
            <w:r>
              <w:rPr>
                <w:rFonts w:cs="Times New Roman"/>
                <w:kern w:val="0"/>
                <w:sz w:val="21"/>
              </w:rPr>
              <w:t>700 法兰式</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可调出水堰板</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LXB=3500X400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滤布转盘及中心管</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单套滤盘数量12片，滤盘直径2.5m，单盘有效过滤面积8.8m2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止回阀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DN80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4</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控制箱</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进水堰板</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进水闸门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BXH=1000X800 双向受压 H=2430 向上开启</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手电两用启闭机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QDA-20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静压液位计</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超液位报警浮球开关</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电动单梁悬挂起重机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5t, Lk:5.5m, 功率：2X0.4kW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16</w:t>
            </w:r>
          </w:p>
        </w:tc>
        <w:tc>
          <w:tcPr>
            <w:tcW w:w="0" w:type="auto"/>
            <w:vAlign w:val="center"/>
          </w:tcPr>
          <w:p>
            <w:pPr>
              <w:widowControl/>
              <w:adjustRightInd w:val="0"/>
              <w:spacing w:line="320" w:lineRule="exact"/>
              <w:jc w:val="center"/>
              <w:textAlignment w:val="baseline"/>
              <w:rPr>
                <w:rFonts w:cs="Times New Roman"/>
                <w:kern w:val="0"/>
                <w:sz w:val="21"/>
              </w:rPr>
            </w:pPr>
            <w:r>
              <w:rPr>
                <w:rFonts w:cs="Times New Roman"/>
                <w:kern w:val="0"/>
                <w:sz w:val="21"/>
              </w:rPr>
              <w:t>反洗风机</w:t>
            </w:r>
          </w:p>
        </w:tc>
        <w:tc>
          <w:tcPr>
            <w:tcW w:w="0" w:type="auto"/>
            <w:vAlign w:val="center"/>
          </w:tcPr>
          <w:p>
            <w:pPr>
              <w:widowControl/>
              <w:adjustRightInd w:val="0"/>
              <w:spacing w:line="320" w:lineRule="exact"/>
              <w:jc w:val="center"/>
              <w:textAlignment w:val="baseline"/>
              <w:rPr>
                <w:rFonts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17</w:t>
            </w:r>
          </w:p>
        </w:tc>
        <w:tc>
          <w:tcPr>
            <w:tcW w:w="0" w:type="auto"/>
            <w:vAlign w:val="center"/>
          </w:tcPr>
          <w:p>
            <w:pPr>
              <w:widowControl/>
              <w:adjustRightInd w:val="0"/>
              <w:spacing w:line="320" w:lineRule="exact"/>
              <w:jc w:val="center"/>
              <w:textAlignment w:val="baseline"/>
              <w:rPr>
                <w:rFonts w:cs="Times New Roman"/>
                <w:kern w:val="0"/>
                <w:sz w:val="21"/>
              </w:rPr>
            </w:pPr>
            <w:r>
              <w:rPr>
                <w:rFonts w:cs="Times New Roman"/>
                <w:kern w:val="0"/>
                <w:sz w:val="21"/>
              </w:rPr>
              <w:t>潜污泵</w:t>
            </w:r>
          </w:p>
        </w:tc>
        <w:tc>
          <w:tcPr>
            <w:tcW w:w="0" w:type="auto"/>
            <w:vAlign w:val="center"/>
          </w:tcPr>
          <w:p>
            <w:pPr>
              <w:widowControl/>
              <w:adjustRightInd w:val="0"/>
              <w:spacing w:line="320" w:lineRule="exact"/>
              <w:jc w:val="center"/>
              <w:textAlignment w:val="baseline"/>
              <w:rPr>
                <w:rFonts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adjustRightInd w:val="0"/>
              <w:spacing w:line="320" w:lineRule="exact"/>
              <w:jc w:val="center"/>
              <w:textAlignment w:val="baseline"/>
              <w:rPr>
                <w:rFonts w:cs="Times New Roman"/>
                <w:b/>
                <w:bCs/>
                <w:kern w:val="0"/>
                <w:sz w:val="21"/>
              </w:rPr>
            </w:pPr>
            <w:r>
              <w:rPr>
                <w:rFonts w:hint="eastAsia" w:cs="Times New Roman"/>
                <w:b/>
                <w:bCs/>
                <w:kern w:val="0"/>
                <w:sz w:val="21"/>
              </w:rPr>
              <w:t>6</w:t>
            </w:r>
            <w:r>
              <w:rPr>
                <w:rFonts w:cs="Times New Roman"/>
                <w:b/>
                <w:bCs/>
                <w:kern w:val="0"/>
                <w:sz w:val="21"/>
              </w:rPr>
              <w:t xml:space="preserve"> 接触消毒池、巴氏计量槽及尾水泵站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潜 水 泵</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QW24-40-7.5(Q=24m</w:t>
            </w:r>
            <w:r>
              <w:rPr>
                <w:rFonts w:cs="Times New Roman"/>
                <w:kern w:val="0"/>
                <w:sz w:val="21"/>
                <w:vertAlign w:val="superscript"/>
              </w:rPr>
              <w:t>3</w:t>
            </w:r>
            <w:r>
              <w:rPr>
                <w:rFonts w:cs="Times New Roman"/>
                <w:kern w:val="0"/>
                <w:sz w:val="21"/>
              </w:rPr>
              <w:t>/h,H=40m)</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restart"/>
            <w:vAlign w:val="center"/>
          </w:tcPr>
          <w:p>
            <w:pPr>
              <w:adjustRightInd w:val="0"/>
              <w:spacing w:line="320" w:lineRule="exact"/>
              <w:jc w:val="center"/>
              <w:textAlignment w:val="baseline"/>
              <w:rPr>
                <w:rFonts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超声波水位计</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铸铁镶铜圆闸门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TY-1200X500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启闭机（手电两用）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QDA-4,启闭力40kN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铸铁镶铜圆闸门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YZ-900型</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启闭机（手电两用）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QDA-4,启闭力40kN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铸铁镶铜圆闸门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YZ-1200型</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启闭机（手电两用）</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QDA-4,启闭力40kN</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限位伸缩蝶阀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SgD41X-1.0  DN100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止回阀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H49X-1.0  DN100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气压罐</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φ800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潜水轴流泵</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Q=620.8m3/h,H=7.1m</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限位手动伸缩蝶阀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SgD341X-1.0  DN1200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restart"/>
            <w:vAlign w:val="center"/>
          </w:tcPr>
          <w:p>
            <w:pPr>
              <w:widowControl/>
              <w:adjustRightInd w:val="0"/>
              <w:spacing w:line="320" w:lineRule="exact"/>
              <w:jc w:val="center"/>
              <w:textAlignment w:val="baseline"/>
              <w:rPr>
                <w:rFonts w:eastAsia="宋体"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玻璃钢巴氏计量槽</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喉宽0.75m，渠宽1.6m，槽长3.095m</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排气阀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DN50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对夹闸阀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DN50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伸缩蝶阀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SD341X-1.0  DN300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b/>
                <w:bCs/>
                <w:kern w:val="0"/>
                <w:sz w:val="21"/>
              </w:rPr>
            </w:pPr>
          </w:p>
        </w:tc>
        <w:tc>
          <w:tcPr>
            <w:tcW w:w="0" w:type="auto"/>
            <w:gridSpan w:val="4"/>
            <w:vAlign w:val="center"/>
          </w:tcPr>
          <w:p>
            <w:pPr>
              <w:adjustRightInd w:val="0"/>
              <w:spacing w:line="320" w:lineRule="exact"/>
              <w:jc w:val="center"/>
              <w:textAlignment w:val="baseline"/>
              <w:rPr>
                <w:rFonts w:cs="Times New Roman"/>
                <w:b/>
                <w:bCs/>
                <w:kern w:val="0"/>
                <w:sz w:val="21"/>
              </w:rPr>
            </w:pPr>
          </w:p>
        </w:tc>
        <w:tc>
          <w:tcPr>
            <w:tcW w:w="0" w:type="auto"/>
            <w:vAlign w:val="center"/>
          </w:tcPr>
          <w:p>
            <w:pPr>
              <w:adjustRightInd w:val="0"/>
              <w:spacing w:line="320" w:lineRule="exact"/>
              <w:jc w:val="center"/>
              <w:textAlignment w:val="baseline"/>
              <w:rPr>
                <w:rFonts w:cs="Times New Roman"/>
                <w:b/>
                <w:bCs/>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圆形铸铁镶铜闸门</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SYZ600</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restart"/>
            <w:vAlign w:val="center"/>
          </w:tcPr>
          <w:p>
            <w:pPr>
              <w:adjustRightInd w:val="0"/>
              <w:spacing w:line="320" w:lineRule="exact"/>
              <w:jc w:val="center"/>
              <w:textAlignment w:val="baseline"/>
              <w:rPr>
                <w:rFonts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手轮式启闭机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QSY-2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潜水轴流泵</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Q=515~784m</w:t>
            </w:r>
            <w:r>
              <w:rPr>
                <w:rFonts w:cs="Times New Roman"/>
                <w:kern w:val="0"/>
                <w:sz w:val="21"/>
                <w:vertAlign w:val="superscript"/>
              </w:rPr>
              <w:t>3</w:t>
            </w:r>
            <w:r>
              <w:rPr>
                <w:rFonts w:cs="Times New Roman"/>
                <w:kern w:val="0"/>
                <w:sz w:val="21"/>
              </w:rPr>
              <w:t>/h,H=3.94~1.64m,N=9.0kW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超声波液位计</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0-7m</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闸阀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Z45T-10, DN150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潜水排污泵</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WQ50-10-3,Q=50m</w:t>
            </w:r>
            <w:r>
              <w:rPr>
                <w:rFonts w:cs="Times New Roman"/>
                <w:kern w:val="0"/>
                <w:sz w:val="21"/>
                <w:vertAlign w:val="superscript"/>
              </w:rPr>
              <w:t>3</w:t>
            </w:r>
            <w:r>
              <w:rPr>
                <w:rFonts w:cs="Times New Roman"/>
                <w:kern w:val="0"/>
                <w:sz w:val="21"/>
              </w:rPr>
              <w:t>/h,H=10m,N=3kW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止回阀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HH49X-1.0Q, DN150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8</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复合式快速排气阀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CARX-1.0型 DN50 PN=1.0MPa</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9</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电动葫芦</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MD</w:t>
            </w:r>
            <w:r>
              <w:rPr>
                <w:rFonts w:cs="Times New Roman"/>
                <w:kern w:val="0"/>
                <w:sz w:val="21"/>
                <w:vertAlign w:val="subscript"/>
              </w:rPr>
              <w:t>1</w:t>
            </w:r>
            <w:r>
              <w:rPr>
                <w:rFonts w:cs="Times New Roman"/>
                <w:kern w:val="0"/>
                <w:sz w:val="21"/>
              </w:rPr>
              <w:t>2-12D  2t  启高11.5m  N=3.8kW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有毒气体报警系统</w:t>
            </w:r>
          </w:p>
        </w:tc>
        <w:tc>
          <w:tcPr>
            <w:tcW w:w="0" w:type="auto"/>
            <w:vAlign w:val="center"/>
          </w:tcPr>
          <w:p>
            <w:pPr>
              <w:widowControl/>
              <w:adjustRightInd w:val="0"/>
              <w:spacing w:line="320" w:lineRule="exact"/>
              <w:jc w:val="center"/>
              <w:textAlignment w:val="baseline"/>
              <w:rPr>
                <w:rFonts w:eastAsia="宋体" w:cs="Times New Roman"/>
                <w:kern w:val="0"/>
                <w:sz w:val="21"/>
              </w:rPr>
            </w:pP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套</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11</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风阀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DN300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widowControl/>
              <w:adjustRightInd w:val="0"/>
              <w:spacing w:line="320" w:lineRule="exact"/>
              <w:jc w:val="center"/>
              <w:textAlignment w:val="baseline"/>
              <w:rPr>
                <w:rFonts w:cs="Times New Roman"/>
                <w:b/>
                <w:bCs/>
                <w:kern w:val="0"/>
                <w:sz w:val="21"/>
              </w:rPr>
            </w:pPr>
            <w:r>
              <w:rPr>
                <w:rFonts w:hint="eastAsia" w:cs="Times New Roman"/>
                <w:b/>
                <w:bCs/>
                <w:kern w:val="0"/>
                <w:sz w:val="21"/>
              </w:rPr>
              <w:t xml:space="preserve">7 </w:t>
            </w:r>
            <w:r>
              <w:rPr>
                <w:rFonts w:cs="Times New Roman"/>
                <w:b/>
                <w:bCs/>
                <w:kern w:val="0"/>
                <w:sz w:val="21"/>
              </w:rPr>
              <w:t>污泥深度脱水车间及加药间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b/>
                <w:bCs/>
                <w:kern w:val="0"/>
                <w:sz w:val="21"/>
              </w:rPr>
            </w:pPr>
            <w:r>
              <w:rPr>
                <w:rFonts w:hint="eastAsia" w:cs="Times New Roman"/>
                <w:b/>
                <w:bCs/>
                <w:kern w:val="0"/>
                <w:sz w:val="21"/>
              </w:rPr>
              <w:t>1</w:t>
            </w:r>
          </w:p>
        </w:tc>
        <w:tc>
          <w:tcPr>
            <w:tcW w:w="0" w:type="auto"/>
            <w:gridSpan w:val="2"/>
            <w:vAlign w:val="center"/>
          </w:tcPr>
          <w:p>
            <w:pPr>
              <w:widowControl/>
              <w:adjustRightInd w:val="0"/>
              <w:spacing w:line="320" w:lineRule="exact"/>
              <w:jc w:val="center"/>
              <w:textAlignment w:val="baseline"/>
              <w:rPr>
                <w:rFonts w:cs="Times New Roman"/>
                <w:b/>
                <w:bCs/>
                <w:kern w:val="0"/>
                <w:sz w:val="21"/>
              </w:rPr>
            </w:pPr>
            <w:r>
              <w:rPr>
                <w:rFonts w:cs="Times New Roman"/>
                <w:b/>
                <w:bCs/>
                <w:kern w:val="0"/>
                <w:sz w:val="21"/>
              </w:rPr>
              <w:t>污泥浓缩池</w:t>
            </w:r>
          </w:p>
        </w:tc>
        <w:tc>
          <w:tcPr>
            <w:tcW w:w="0" w:type="auto"/>
            <w:vAlign w:val="center"/>
          </w:tcPr>
          <w:p>
            <w:pPr>
              <w:widowControl/>
              <w:adjustRightInd w:val="0"/>
              <w:spacing w:line="320" w:lineRule="exact"/>
              <w:jc w:val="center"/>
              <w:textAlignment w:val="baseline"/>
              <w:rPr>
                <w:rFonts w:cs="Times New Roman"/>
                <w:b/>
                <w:bCs/>
                <w:kern w:val="0"/>
                <w:sz w:val="21"/>
              </w:rPr>
            </w:pPr>
          </w:p>
        </w:tc>
        <w:tc>
          <w:tcPr>
            <w:tcW w:w="0" w:type="auto"/>
            <w:vAlign w:val="center"/>
          </w:tcPr>
          <w:p>
            <w:pPr>
              <w:widowControl/>
              <w:adjustRightInd w:val="0"/>
              <w:spacing w:line="320" w:lineRule="exact"/>
              <w:jc w:val="center"/>
              <w:textAlignment w:val="baseline"/>
              <w:rPr>
                <w:rFonts w:cs="Times New Roman"/>
                <w:b/>
                <w:bCs/>
                <w:kern w:val="0"/>
                <w:sz w:val="21"/>
              </w:rPr>
            </w:pPr>
          </w:p>
        </w:tc>
        <w:tc>
          <w:tcPr>
            <w:tcW w:w="0" w:type="auto"/>
            <w:vMerge w:val="restart"/>
            <w:vAlign w:val="center"/>
          </w:tcPr>
          <w:p>
            <w:pPr>
              <w:widowControl/>
              <w:adjustRightInd w:val="0"/>
              <w:spacing w:line="320" w:lineRule="exact"/>
              <w:jc w:val="center"/>
              <w:textAlignment w:val="baseline"/>
              <w:rPr>
                <w:rFonts w:cs="Times New Roman"/>
                <w:b/>
                <w:bCs/>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9" w:hRule="atLeast"/>
        </w:trPr>
        <w:tc>
          <w:tcPr>
            <w:tcW w:w="0" w:type="auto"/>
            <w:vAlign w:val="center"/>
          </w:tcPr>
          <w:p>
            <w:pPr>
              <w:jc w:val="center"/>
              <w:rPr>
                <w:sz w:val="21"/>
              </w:rPr>
            </w:pPr>
            <w:r>
              <w:rPr>
                <w:rFonts w:hint="eastAsia"/>
                <w:sz w:val="21"/>
              </w:rPr>
              <w:t>2</w:t>
            </w:r>
          </w:p>
        </w:tc>
        <w:tc>
          <w:tcPr>
            <w:tcW w:w="0" w:type="auto"/>
            <w:vAlign w:val="center"/>
          </w:tcPr>
          <w:p>
            <w:pPr>
              <w:jc w:val="center"/>
              <w:rPr>
                <w:sz w:val="21"/>
              </w:rPr>
            </w:pPr>
            <w:r>
              <w:rPr>
                <w:sz w:val="21"/>
              </w:rPr>
              <w:t>污泥浓缩机</w:t>
            </w:r>
          </w:p>
        </w:tc>
        <w:tc>
          <w:tcPr>
            <w:tcW w:w="0" w:type="auto"/>
            <w:vAlign w:val="center"/>
          </w:tcPr>
          <w:p>
            <w:pPr>
              <w:jc w:val="center"/>
              <w:rPr>
                <w:sz w:val="21"/>
              </w:rPr>
            </w:pPr>
            <w:r>
              <w:rPr>
                <w:sz w:val="21"/>
              </w:rPr>
              <w:t>直径D=14m，外缘线速度：1~2m/min</w:t>
            </w:r>
          </w:p>
        </w:tc>
        <w:tc>
          <w:tcPr>
            <w:tcW w:w="0" w:type="auto"/>
            <w:vAlign w:val="center"/>
          </w:tcPr>
          <w:p>
            <w:pPr>
              <w:jc w:val="center"/>
              <w:rPr>
                <w:sz w:val="21"/>
              </w:rPr>
            </w:pPr>
            <w:r>
              <w:rPr>
                <w:sz w:val="21"/>
              </w:rPr>
              <w:t>台</w:t>
            </w:r>
          </w:p>
        </w:tc>
        <w:tc>
          <w:tcPr>
            <w:tcW w:w="0" w:type="auto"/>
            <w:vAlign w:val="center"/>
          </w:tcPr>
          <w:p>
            <w:pPr>
              <w:jc w:val="center"/>
              <w:rPr>
                <w:sz w:val="21"/>
              </w:rPr>
            </w:pPr>
            <w:r>
              <w:rPr>
                <w:sz w:val="21"/>
              </w:rPr>
              <w:t>1</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0" w:type="auto"/>
            <w:vAlign w:val="center"/>
          </w:tcPr>
          <w:p>
            <w:pPr>
              <w:jc w:val="center"/>
              <w:rPr>
                <w:sz w:val="21"/>
              </w:rPr>
            </w:pPr>
            <w:r>
              <w:rPr>
                <w:rFonts w:hint="eastAsia"/>
                <w:sz w:val="21"/>
              </w:rPr>
              <w:t>3</w:t>
            </w:r>
          </w:p>
        </w:tc>
        <w:tc>
          <w:tcPr>
            <w:tcW w:w="0" w:type="auto"/>
            <w:vAlign w:val="center"/>
          </w:tcPr>
          <w:p>
            <w:pPr>
              <w:jc w:val="center"/>
              <w:rPr>
                <w:sz w:val="21"/>
              </w:rPr>
            </w:pPr>
            <w:r>
              <w:rPr>
                <w:sz w:val="21"/>
              </w:rPr>
              <w:t>钢工作桥</w:t>
            </w:r>
          </w:p>
        </w:tc>
        <w:tc>
          <w:tcPr>
            <w:tcW w:w="0" w:type="auto"/>
            <w:vAlign w:val="center"/>
          </w:tcPr>
          <w:p>
            <w:pPr>
              <w:jc w:val="center"/>
              <w:rPr>
                <w:sz w:val="21"/>
              </w:rPr>
            </w:pPr>
          </w:p>
        </w:tc>
        <w:tc>
          <w:tcPr>
            <w:tcW w:w="0" w:type="auto"/>
            <w:vAlign w:val="center"/>
          </w:tcPr>
          <w:p>
            <w:pPr>
              <w:jc w:val="center"/>
              <w:rPr>
                <w:sz w:val="21"/>
              </w:rPr>
            </w:pPr>
            <w:r>
              <w:rPr>
                <w:sz w:val="21"/>
              </w:rPr>
              <w:t>套</w:t>
            </w:r>
          </w:p>
        </w:tc>
        <w:tc>
          <w:tcPr>
            <w:tcW w:w="0" w:type="auto"/>
            <w:vAlign w:val="center"/>
          </w:tcPr>
          <w:p>
            <w:pPr>
              <w:jc w:val="center"/>
              <w:rPr>
                <w:sz w:val="21"/>
              </w:rPr>
            </w:pPr>
            <w:r>
              <w:rPr>
                <w:sz w:val="21"/>
              </w:rPr>
              <w:t>1</w:t>
            </w:r>
          </w:p>
        </w:tc>
        <w:tc>
          <w:tcPr>
            <w:tcW w:w="0" w:type="auto"/>
            <w:vMerge w:val="continue"/>
            <w:vAlign w:val="center"/>
          </w:tcPr>
          <w:p>
            <w:pPr>
              <w:jc w:val="center"/>
              <w:rPr>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4</w:t>
            </w:r>
          </w:p>
        </w:tc>
        <w:tc>
          <w:tcPr>
            <w:tcW w:w="0" w:type="auto"/>
            <w:vAlign w:val="center"/>
          </w:tcPr>
          <w:p>
            <w:pPr>
              <w:jc w:val="center"/>
              <w:rPr>
                <w:sz w:val="21"/>
              </w:rPr>
            </w:pPr>
            <w:r>
              <w:rPr>
                <w:sz w:val="21"/>
              </w:rPr>
              <w:t>浮渣筛</w:t>
            </w:r>
          </w:p>
        </w:tc>
        <w:tc>
          <w:tcPr>
            <w:tcW w:w="0" w:type="auto"/>
            <w:vAlign w:val="center"/>
          </w:tcPr>
          <w:p>
            <w:pPr>
              <w:jc w:val="center"/>
              <w:rPr>
                <w:sz w:val="21"/>
              </w:rPr>
            </w:pP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5</w:t>
            </w:r>
          </w:p>
        </w:tc>
        <w:tc>
          <w:tcPr>
            <w:tcW w:w="0" w:type="auto"/>
            <w:vAlign w:val="center"/>
          </w:tcPr>
          <w:p>
            <w:pPr>
              <w:jc w:val="center"/>
              <w:rPr>
                <w:sz w:val="21"/>
              </w:rPr>
            </w:pPr>
            <w:r>
              <w:rPr>
                <w:sz w:val="21"/>
              </w:rPr>
              <w:t>浮渣斗（管）</w:t>
            </w:r>
          </w:p>
        </w:tc>
        <w:tc>
          <w:tcPr>
            <w:tcW w:w="0" w:type="auto"/>
            <w:vAlign w:val="center"/>
          </w:tcPr>
          <w:p>
            <w:pPr>
              <w:jc w:val="center"/>
              <w:rPr>
                <w:sz w:val="21"/>
              </w:rPr>
            </w:pP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6</w:t>
            </w:r>
          </w:p>
        </w:tc>
        <w:tc>
          <w:tcPr>
            <w:tcW w:w="0" w:type="auto"/>
            <w:vAlign w:val="center"/>
          </w:tcPr>
          <w:p>
            <w:pPr>
              <w:jc w:val="center"/>
              <w:rPr>
                <w:sz w:val="21"/>
              </w:rPr>
            </w:pPr>
            <w:r>
              <w:rPr>
                <w:sz w:val="21"/>
              </w:rPr>
              <w:t>手动刀闸阀</w:t>
            </w:r>
          </w:p>
        </w:tc>
        <w:tc>
          <w:tcPr>
            <w:tcW w:w="0" w:type="auto"/>
            <w:vAlign w:val="center"/>
          </w:tcPr>
          <w:p>
            <w:pPr>
              <w:jc w:val="center"/>
              <w:rPr>
                <w:sz w:val="21"/>
              </w:rPr>
            </w:pPr>
            <w:r>
              <w:rPr>
                <w:sz w:val="21"/>
              </w:rPr>
              <w:t>DN100 PZ73X-1.0</w:t>
            </w: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7</w:t>
            </w:r>
          </w:p>
        </w:tc>
        <w:tc>
          <w:tcPr>
            <w:tcW w:w="0" w:type="auto"/>
            <w:vAlign w:val="center"/>
          </w:tcPr>
          <w:p>
            <w:pPr>
              <w:jc w:val="center"/>
              <w:rPr>
                <w:sz w:val="21"/>
              </w:rPr>
            </w:pPr>
            <w:r>
              <w:rPr>
                <w:sz w:val="21"/>
              </w:rPr>
              <w:t>伸缩接头</w:t>
            </w:r>
          </w:p>
        </w:tc>
        <w:tc>
          <w:tcPr>
            <w:tcW w:w="0" w:type="auto"/>
            <w:vAlign w:val="center"/>
          </w:tcPr>
          <w:p>
            <w:pPr>
              <w:jc w:val="center"/>
              <w:rPr>
                <w:sz w:val="21"/>
              </w:rPr>
            </w:pPr>
            <w:r>
              <w:rPr>
                <w:sz w:val="21"/>
              </w:rPr>
              <w:t>DN200，PN10</w:t>
            </w: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3</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8</w:t>
            </w:r>
          </w:p>
        </w:tc>
        <w:tc>
          <w:tcPr>
            <w:tcW w:w="0" w:type="auto"/>
            <w:vAlign w:val="center"/>
          </w:tcPr>
          <w:p>
            <w:pPr>
              <w:jc w:val="center"/>
              <w:rPr>
                <w:sz w:val="21"/>
              </w:rPr>
            </w:pPr>
            <w:r>
              <w:rPr>
                <w:sz w:val="21"/>
              </w:rPr>
              <w:t>污泥浓度计</w:t>
            </w:r>
          </w:p>
        </w:tc>
        <w:tc>
          <w:tcPr>
            <w:tcW w:w="0" w:type="auto"/>
            <w:vAlign w:val="center"/>
          </w:tcPr>
          <w:p>
            <w:pPr>
              <w:jc w:val="center"/>
              <w:rPr>
                <w:sz w:val="21"/>
              </w:rPr>
            </w:pP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9</w:t>
            </w:r>
          </w:p>
        </w:tc>
        <w:tc>
          <w:tcPr>
            <w:tcW w:w="0" w:type="auto"/>
            <w:vAlign w:val="center"/>
          </w:tcPr>
          <w:p>
            <w:pPr>
              <w:jc w:val="center"/>
              <w:rPr>
                <w:sz w:val="21"/>
              </w:rPr>
            </w:pPr>
            <w:r>
              <w:rPr>
                <w:sz w:val="21"/>
              </w:rPr>
              <w:t>超声波液位计</w:t>
            </w:r>
          </w:p>
        </w:tc>
        <w:tc>
          <w:tcPr>
            <w:tcW w:w="0" w:type="auto"/>
            <w:vAlign w:val="center"/>
          </w:tcPr>
          <w:p>
            <w:pPr>
              <w:jc w:val="center"/>
              <w:rPr>
                <w:sz w:val="21"/>
              </w:rPr>
            </w:pP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10</w:t>
            </w:r>
          </w:p>
        </w:tc>
        <w:tc>
          <w:tcPr>
            <w:tcW w:w="0" w:type="auto"/>
            <w:vAlign w:val="center"/>
          </w:tcPr>
          <w:p>
            <w:pPr>
              <w:jc w:val="center"/>
              <w:rPr>
                <w:sz w:val="21"/>
              </w:rPr>
            </w:pPr>
            <w:r>
              <w:rPr>
                <w:sz w:val="21"/>
              </w:rPr>
              <w:t>手动刀闸阀</w:t>
            </w:r>
          </w:p>
        </w:tc>
        <w:tc>
          <w:tcPr>
            <w:tcW w:w="0" w:type="auto"/>
            <w:vAlign w:val="center"/>
          </w:tcPr>
          <w:p>
            <w:pPr>
              <w:jc w:val="center"/>
              <w:rPr>
                <w:sz w:val="21"/>
              </w:rPr>
            </w:pPr>
            <w:r>
              <w:rPr>
                <w:sz w:val="21"/>
              </w:rPr>
              <w:t>DN200 PZ73X-1.0</w:t>
            </w: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3</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11</w:t>
            </w:r>
          </w:p>
        </w:tc>
        <w:tc>
          <w:tcPr>
            <w:tcW w:w="0" w:type="auto"/>
            <w:vAlign w:val="center"/>
          </w:tcPr>
          <w:p>
            <w:pPr>
              <w:jc w:val="center"/>
              <w:rPr>
                <w:sz w:val="21"/>
              </w:rPr>
            </w:pPr>
            <w:r>
              <w:rPr>
                <w:sz w:val="21"/>
              </w:rPr>
              <w:t>伸缩接头</w:t>
            </w:r>
          </w:p>
        </w:tc>
        <w:tc>
          <w:tcPr>
            <w:tcW w:w="0" w:type="auto"/>
            <w:vAlign w:val="center"/>
          </w:tcPr>
          <w:p>
            <w:pPr>
              <w:jc w:val="center"/>
              <w:rPr>
                <w:sz w:val="21"/>
              </w:rPr>
            </w:pPr>
            <w:r>
              <w:rPr>
                <w:sz w:val="21"/>
              </w:rPr>
              <w:t>DN100，PN10</w:t>
            </w: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12</w:t>
            </w:r>
          </w:p>
        </w:tc>
        <w:tc>
          <w:tcPr>
            <w:tcW w:w="0" w:type="auto"/>
            <w:vAlign w:val="center"/>
          </w:tcPr>
          <w:p>
            <w:pPr>
              <w:jc w:val="center"/>
              <w:rPr>
                <w:sz w:val="21"/>
              </w:rPr>
            </w:pPr>
            <w:r>
              <w:rPr>
                <w:sz w:val="21"/>
              </w:rPr>
              <w:t>风阀</w:t>
            </w:r>
          </w:p>
        </w:tc>
        <w:tc>
          <w:tcPr>
            <w:tcW w:w="0" w:type="auto"/>
            <w:vAlign w:val="center"/>
          </w:tcPr>
          <w:p>
            <w:pPr>
              <w:jc w:val="center"/>
              <w:rPr>
                <w:sz w:val="21"/>
              </w:rPr>
            </w:pPr>
            <w:r>
              <w:rPr>
                <w:sz w:val="21"/>
              </w:rPr>
              <w:t>DN200</w:t>
            </w:r>
          </w:p>
        </w:tc>
        <w:tc>
          <w:tcPr>
            <w:tcW w:w="0" w:type="auto"/>
            <w:vAlign w:val="center"/>
          </w:tcPr>
          <w:p>
            <w:pPr>
              <w:jc w:val="center"/>
              <w:rPr>
                <w:sz w:val="21"/>
              </w:rPr>
            </w:pPr>
            <w:r>
              <w:rPr>
                <w:sz w:val="21"/>
              </w:rPr>
              <w:t>个</w:t>
            </w:r>
          </w:p>
        </w:tc>
        <w:tc>
          <w:tcPr>
            <w:tcW w:w="0" w:type="auto"/>
            <w:vAlign w:val="center"/>
          </w:tcPr>
          <w:p>
            <w:pPr>
              <w:jc w:val="center"/>
              <w:rPr>
                <w:sz w:val="21"/>
              </w:rPr>
            </w:pPr>
            <w:r>
              <w:rPr>
                <w:sz w:val="21"/>
              </w:rPr>
              <w:t>1</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b/>
                <w:kern w:val="0"/>
                <w:sz w:val="21"/>
              </w:rPr>
            </w:pPr>
          </w:p>
        </w:tc>
        <w:tc>
          <w:tcPr>
            <w:tcW w:w="0" w:type="auto"/>
            <w:gridSpan w:val="4"/>
            <w:vAlign w:val="center"/>
          </w:tcPr>
          <w:p>
            <w:pPr>
              <w:widowControl/>
              <w:adjustRightInd w:val="0"/>
              <w:spacing w:line="320" w:lineRule="exact"/>
              <w:jc w:val="center"/>
              <w:textAlignment w:val="baseline"/>
              <w:rPr>
                <w:rFonts w:cs="Times New Roman"/>
                <w:b/>
                <w:bCs/>
                <w:kern w:val="0"/>
                <w:sz w:val="21"/>
              </w:rPr>
            </w:pPr>
            <w:r>
              <w:rPr>
                <w:b/>
                <w:kern w:val="0"/>
                <w:sz w:val="21"/>
              </w:rPr>
              <w:t>污泥脱水系统</w:t>
            </w:r>
          </w:p>
        </w:tc>
        <w:tc>
          <w:tcPr>
            <w:tcW w:w="0" w:type="auto"/>
            <w:vMerge w:val="continue"/>
            <w:vAlign w:val="center"/>
          </w:tcPr>
          <w:p>
            <w:pPr>
              <w:widowControl/>
              <w:adjustRightInd w:val="0"/>
              <w:spacing w:line="320" w:lineRule="exact"/>
              <w:jc w:val="center"/>
              <w:textAlignment w:val="baseline"/>
              <w:rPr>
                <w:rFonts w:cs="Times New Roman"/>
                <w:b/>
                <w:bCs/>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w:t>
            </w:r>
          </w:p>
        </w:tc>
        <w:tc>
          <w:tcPr>
            <w:tcW w:w="0" w:type="auto"/>
            <w:vAlign w:val="center"/>
          </w:tcPr>
          <w:p>
            <w:pPr>
              <w:jc w:val="center"/>
              <w:rPr>
                <w:sz w:val="21"/>
              </w:rPr>
            </w:pPr>
            <w:r>
              <w:rPr>
                <w:sz w:val="21"/>
              </w:rPr>
              <w:t>静态混合器</w:t>
            </w:r>
          </w:p>
        </w:tc>
        <w:tc>
          <w:tcPr>
            <w:tcW w:w="0" w:type="auto"/>
            <w:vAlign w:val="center"/>
          </w:tcPr>
          <w:p>
            <w:pPr>
              <w:jc w:val="center"/>
              <w:rPr>
                <w:sz w:val="21"/>
              </w:rPr>
            </w:pPr>
            <w:r>
              <w:rPr>
                <w:sz w:val="21"/>
              </w:rPr>
              <w:t>DN=150</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只</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2</w:t>
            </w:r>
          </w:p>
        </w:tc>
        <w:tc>
          <w:tcPr>
            <w:tcW w:w="0" w:type="auto"/>
            <w:vAlign w:val="center"/>
          </w:tcPr>
          <w:p>
            <w:pPr>
              <w:jc w:val="center"/>
              <w:rPr>
                <w:sz w:val="21"/>
              </w:rPr>
            </w:pPr>
            <w:r>
              <w:rPr>
                <w:sz w:val="21"/>
              </w:rPr>
              <w:t>叠螺浓缩机</w:t>
            </w:r>
          </w:p>
        </w:tc>
        <w:tc>
          <w:tcPr>
            <w:tcW w:w="0" w:type="auto"/>
            <w:vAlign w:val="center"/>
          </w:tcPr>
          <w:p>
            <w:pPr>
              <w:jc w:val="center"/>
              <w:rPr>
                <w:sz w:val="21"/>
              </w:rPr>
            </w:pPr>
            <w:r>
              <w:rPr>
                <w:sz w:val="21"/>
              </w:rPr>
              <w:t>出泥量360-600kgDS/h，N=5.5kw,304不锈钢</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3</w:t>
            </w:r>
          </w:p>
        </w:tc>
        <w:tc>
          <w:tcPr>
            <w:tcW w:w="0" w:type="auto"/>
            <w:vAlign w:val="center"/>
          </w:tcPr>
          <w:p>
            <w:pPr>
              <w:jc w:val="center"/>
              <w:rPr>
                <w:sz w:val="21"/>
              </w:rPr>
            </w:pPr>
            <w:r>
              <w:rPr>
                <w:sz w:val="21"/>
              </w:rPr>
              <w:t>PAM泡药机</w:t>
            </w:r>
          </w:p>
        </w:tc>
        <w:tc>
          <w:tcPr>
            <w:tcW w:w="0" w:type="auto"/>
            <w:vAlign w:val="center"/>
          </w:tcPr>
          <w:p>
            <w:pPr>
              <w:jc w:val="center"/>
              <w:rPr>
                <w:sz w:val="21"/>
              </w:rPr>
            </w:pPr>
            <w:r>
              <w:rPr>
                <w:sz w:val="21"/>
              </w:rPr>
              <w:t>处理能力3kg PAM/h,304不锈钢 ,N=1.75kW</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4</w:t>
            </w:r>
          </w:p>
        </w:tc>
        <w:tc>
          <w:tcPr>
            <w:tcW w:w="0" w:type="auto"/>
            <w:vAlign w:val="center"/>
          </w:tcPr>
          <w:p>
            <w:pPr>
              <w:jc w:val="center"/>
              <w:rPr>
                <w:sz w:val="21"/>
              </w:rPr>
            </w:pPr>
            <w:r>
              <w:rPr>
                <w:sz w:val="21"/>
              </w:rPr>
              <w:t>PAM投加泵</w:t>
            </w:r>
          </w:p>
        </w:tc>
        <w:tc>
          <w:tcPr>
            <w:tcW w:w="0" w:type="auto"/>
            <w:vAlign w:val="center"/>
          </w:tcPr>
          <w:p>
            <w:pPr>
              <w:jc w:val="center"/>
              <w:rPr>
                <w:sz w:val="21"/>
              </w:rPr>
            </w:pPr>
            <w:r>
              <w:rPr>
                <w:sz w:val="21"/>
              </w:rPr>
              <w:t>Q=0.5-2.0m</w:t>
            </w:r>
            <w:r>
              <w:rPr>
                <w:sz w:val="21"/>
                <w:vertAlign w:val="superscript"/>
              </w:rPr>
              <w:t>3</w:t>
            </w:r>
            <w:r>
              <w:rPr>
                <w:sz w:val="21"/>
              </w:rPr>
              <w:t>/h，P=0.4MPa,N=1.5kw</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5</w:t>
            </w:r>
          </w:p>
        </w:tc>
        <w:tc>
          <w:tcPr>
            <w:tcW w:w="0" w:type="auto"/>
            <w:vAlign w:val="center"/>
          </w:tcPr>
          <w:p>
            <w:pPr>
              <w:jc w:val="center"/>
              <w:rPr>
                <w:sz w:val="21"/>
              </w:rPr>
            </w:pPr>
            <w:r>
              <w:rPr>
                <w:sz w:val="21"/>
              </w:rPr>
              <w:t>浓缩污泥储箱</w:t>
            </w:r>
          </w:p>
        </w:tc>
        <w:tc>
          <w:tcPr>
            <w:tcW w:w="0" w:type="auto"/>
            <w:vAlign w:val="center"/>
          </w:tcPr>
          <w:p>
            <w:pPr>
              <w:jc w:val="center"/>
              <w:rPr>
                <w:sz w:val="21"/>
              </w:rPr>
            </w:pPr>
            <w:r>
              <w:rPr>
                <w:sz w:val="21"/>
              </w:rPr>
              <w:br w:type="textWrapping"/>
            </w:r>
            <w:r>
              <w:rPr>
                <w:sz w:val="21"/>
              </w:rPr>
              <w:t>有效容积15m</w:t>
            </w:r>
            <w:r>
              <w:rPr>
                <w:sz w:val="21"/>
                <w:vertAlign w:val="superscript"/>
              </w:rPr>
              <w:t>3</w:t>
            </w:r>
            <w:r>
              <w:rPr>
                <w:sz w:val="21"/>
              </w:rPr>
              <w:t xml:space="preserve"> ，配一体式超声波液位计,碳钢防腐</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个</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6</w:t>
            </w:r>
          </w:p>
        </w:tc>
        <w:tc>
          <w:tcPr>
            <w:tcW w:w="0" w:type="auto"/>
            <w:vAlign w:val="center"/>
          </w:tcPr>
          <w:p>
            <w:pPr>
              <w:jc w:val="center"/>
              <w:rPr>
                <w:sz w:val="21"/>
              </w:rPr>
            </w:pPr>
            <w:r>
              <w:rPr>
                <w:sz w:val="21"/>
              </w:rPr>
              <w:t>改性罐</w:t>
            </w:r>
          </w:p>
        </w:tc>
        <w:tc>
          <w:tcPr>
            <w:tcW w:w="0" w:type="auto"/>
            <w:vAlign w:val="center"/>
          </w:tcPr>
          <w:p>
            <w:pPr>
              <w:jc w:val="center"/>
              <w:rPr>
                <w:sz w:val="21"/>
              </w:rPr>
            </w:pPr>
            <w:r>
              <w:rPr>
                <w:sz w:val="21"/>
              </w:rPr>
              <w:t>有效容积3m</w:t>
            </w:r>
            <w:r>
              <w:rPr>
                <w:sz w:val="21"/>
                <w:vertAlign w:val="superscript"/>
              </w:rPr>
              <w:t>3</w:t>
            </w:r>
            <w:r>
              <w:rPr>
                <w:sz w:val="21"/>
              </w:rPr>
              <w:t xml:space="preserve"> ，配37kw搅拌机和一体式超声波液位计,碳钢防腐</w:t>
            </w:r>
          </w:p>
        </w:tc>
        <w:tc>
          <w:tcPr>
            <w:tcW w:w="0" w:type="auto"/>
            <w:vAlign w:val="center"/>
          </w:tcPr>
          <w:p>
            <w:pPr>
              <w:jc w:val="center"/>
              <w:rPr>
                <w:sz w:val="21"/>
              </w:rPr>
            </w:pPr>
            <w:r>
              <w:rPr>
                <w:sz w:val="21"/>
              </w:rPr>
              <w:t>2</w:t>
            </w:r>
          </w:p>
        </w:tc>
        <w:tc>
          <w:tcPr>
            <w:tcW w:w="0" w:type="auto"/>
            <w:vAlign w:val="center"/>
          </w:tcPr>
          <w:p>
            <w:pPr>
              <w:autoSpaceDE w:val="0"/>
              <w:jc w:val="center"/>
              <w:rPr>
                <w:rFonts w:cs="Times New Roman"/>
                <w:sz w:val="21"/>
              </w:rPr>
            </w:pP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7</w:t>
            </w:r>
          </w:p>
        </w:tc>
        <w:tc>
          <w:tcPr>
            <w:tcW w:w="0" w:type="auto"/>
            <w:vAlign w:val="center"/>
          </w:tcPr>
          <w:p>
            <w:pPr>
              <w:jc w:val="center"/>
              <w:rPr>
                <w:sz w:val="21"/>
              </w:rPr>
            </w:pPr>
            <w:r>
              <w:rPr>
                <w:sz w:val="21"/>
              </w:rPr>
              <w:t>改性罐进料泵</w:t>
            </w:r>
          </w:p>
        </w:tc>
        <w:tc>
          <w:tcPr>
            <w:tcW w:w="0" w:type="auto"/>
            <w:vAlign w:val="center"/>
          </w:tcPr>
          <w:p>
            <w:pPr>
              <w:jc w:val="center"/>
              <w:rPr>
                <w:sz w:val="21"/>
              </w:rPr>
            </w:pPr>
            <w:r>
              <w:rPr>
                <w:sz w:val="21"/>
              </w:rPr>
              <w:t>Q=12-20m</w:t>
            </w:r>
            <w:r>
              <w:rPr>
                <w:sz w:val="21"/>
                <w:vertAlign w:val="superscript"/>
              </w:rPr>
              <w:t>3</w:t>
            </w:r>
            <w:r>
              <w:rPr>
                <w:sz w:val="21"/>
              </w:rPr>
              <w:t>/h，P=0.4MPa,N=7.5kw</w:t>
            </w:r>
          </w:p>
        </w:tc>
        <w:tc>
          <w:tcPr>
            <w:tcW w:w="0" w:type="auto"/>
            <w:vAlign w:val="center"/>
          </w:tcPr>
          <w:p>
            <w:pPr>
              <w:jc w:val="center"/>
              <w:rPr>
                <w:sz w:val="21"/>
              </w:rPr>
            </w:pPr>
            <w:r>
              <w:rPr>
                <w:sz w:val="21"/>
              </w:rPr>
              <w:t>2</w:t>
            </w:r>
          </w:p>
        </w:tc>
        <w:tc>
          <w:tcPr>
            <w:tcW w:w="0" w:type="auto"/>
            <w:vAlign w:val="center"/>
          </w:tcPr>
          <w:p>
            <w:pPr>
              <w:autoSpaceDE w:val="0"/>
              <w:jc w:val="center"/>
              <w:rPr>
                <w:rFonts w:cs="Times New Roman"/>
                <w:sz w:val="21"/>
              </w:rPr>
            </w:pP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8</w:t>
            </w:r>
          </w:p>
        </w:tc>
        <w:tc>
          <w:tcPr>
            <w:tcW w:w="0" w:type="auto"/>
            <w:vAlign w:val="center"/>
          </w:tcPr>
          <w:p>
            <w:pPr>
              <w:jc w:val="center"/>
              <w:rPr>
                <w:sz w:val="21"/>
              </w:rPr>
            </w:pPr>
            <w:r>
              <w:rPr>
                <w:sz w:val="21"/>
              </w:rPr>
              <w:t>改性污泥输送泵</w:t>
            </w:r>
          </w:p>
        </w:tc>
        <w:tc>
          <w:tcPr>
            <w:tcW w:w="0" w:type="auto"/>
            <w:vAlign w:val="center"/>
          </w:tcPr>
          <w:p>
            <w:pPr>
              <w:jc w:val="center"/>
              <w:rPr>
                <w:sz w:val="21"/>
              </w:rPr>
            </w:pPr>
            <w:r>
              <w:rPr>
                <w:sz w:val="21"/>
              </w:rPr>
              <w:t>Q=12-20m</w:t>
            </w:r>
            <w:r>
              <w:rPr>
                <w:sz w:val="21"/>
                <w:vertAlign w:val="superscript"/>
              </w:rPr>
              <w:t>3</w:t>
            </w:r>
            <w:r>
              <w:rPr>
                <w:sz w:val="21"/>
              </w:rPr>
              <w:t>/h，P=0.4MPa,N=7.5kw</w:t>
            </w:r>
          </w:p>
        </w:tc>
        <w:tc>
          <w:tcPr>
            <w:tcW w:w="0" w:type="auto"/>
            <w:vAlign w:val="center"/>
          </w:tcPr>
          <w:p>
            <w:pPr>
              <w:jc w:val="center"/>
              <w:rPr>
                <w:sz w:val="21"/>
              </w:rPr>
            </w:pPr>
            <w:r>
              <w:rPr>
                <w:sz w:val="21"/>
              </w:rPr>
              <w:t>2</w:t>
            </w:r>
          </w:p>
        </w:tc>
        <w:tc>
          <w:tcPr>
            <w:tcW w:w="0" w:type="auto"/>
            <w:vAlign w:val="center"/>
          </w:tcPr>
          <w:p>
            <w:pPr>
              <w:autoSpaceDE w:val="0"/>
              <w:jc w:val="center"/>
              <w:rPr>
                <w:rFonts w:cs="Times New Roman"/>
                <w:sz w:val="21"/>
              </w:rPr>
            </w:pP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9</w:t>
            </w:r>
          </w:p>
        </w:tc>
        <w:tc>
          <w:tcPr>
            <w:tcW w:w="0" w:type="auto"/>
            <w:vAlign w:val="center"/>
          </w:tcPr>
          <w:p>
            <w:pPr>
              <w:jc w:val="center"/>
              <w:rPr>
                <w:sz w:val="21"/>
              </w:rPr>
            </w:pPr>
            <w:r>
              <w:rPr>
                <w:sz w:val="21"/>
              </w:rPr>
              <w:t>粉剂储罐</w:t>
            </w:r>
          </w:p>
        </w:tc>
        <w:tc>
          <w:tcPr>
            <w:tcW w:w="0" w:type="auto"/>
            <w:vAlign w:val="center"/>
          </w:tcPr>
          <w:p>
            <w:pPr>
              <w:jc w:val="center"/>
              <w:rPr>
                <w:sz w:val="21"/>
              </w:rPr>
            </w:pPr>
            <w:r>
              <w:rPr>
                <w:sz w:val="21"/>
              </w:rPr>
              <w:t>V=30m</w:t>
            </w:r>
            <w:r>
              <w:rPr>
                <w:sz w:val="21"/>
                <w:vertAlign w:val="superscript"/>
              </w:rPr>
              <w:t>3</w:t>
            </w:r>
            <w:r>
              <w:rPr>
                <w:sz w:val="21"/>
              </w:rPr>
              <w:t xml:space="preserve"> ,配料位计、粉剂除尘器等</w:t>
            </w:r>
          </w:p>
        </w:tc>
        <w:tc>
          <w:tcPr>
            <w:tcW w:w="0" w:type="auto"/>
            <w:vAlign w:val="center"/>
          </w:tcPr>
          <w:p>
            <w:pPr>
              <w:jc w:val="center"/>
              <w:rPr>
                <w:sz w:val="21"/>
              </w:rPr>
            </w:pPr>
            <w:r>
              <w:rPr>
                <w:sz w:val="21"/>
              </w:rPr>
              <w:t>1</w:t>
            </w:r>
          </w:p>
        </w:tc>
        <w:tc>
          <w:tcPr>
            <w:tcW w:w="0" w:type="auto"/>
            <w:vAlign w:val="center"/>
          </w:tcPr>
          <w:p>
            <w:pPr>
              <w:autoSpaceDE w:val="0"/>
              <w:jc w:val="center"/>
              <w:rPr>
                <w:rFonts w:cs="Times New Roman"/>
                <w:sz w:val="21"/>
              </w:rPr>
            </w:pP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10</w:t>
            </w:r>
          </w:p>
        </w:tc>
        <w:tc>
          <w:tcPr>
            <w:tcW w:w="0" w:type="auto"/>
            <w:vAlign w:val="center"/>
          </w:tcPr>
          <w:p>
            <w:pPr>
              <w:jc w:val="center"/>
              <w:rPr>
                <w:sz w:val="21"/>
              </w:rPr>
            </w:pPr>
            <w:r>
              <w:rPr>
                <w:sz w:val="21"/>
              </w:rPr>
              <w:t>粉剂投加螺旋</w:t>
            </w:r>
          </w:p>
        </w:tc>
        <w:tc>
          <w:tcPr>
            <w:tcW w:w="0" w:type="auto"/>
            <w:vAlign w:val="center"/>
          </w:tcPr>
          <w:p>
            <w:pPr>
              <w:jc w:val="center"/>
              <w:rPr>
                <w:sz w:val="21"/>
              </w:rPr>
            </w:pPr>
            <w:r>
              <w:rPr>
                <w:sz w:val="21"/>
              </w:rPr>
              <w:t>Q=1-3m</w:t>
            </w:r>
            <w:r>
              <w:rPr>
                <w:sz w:val="21"/>
                <w:vertAlign w:val="superscript"/>
              </w:rPr>
              <w:t>3</w:t>
            </w:r>
            <w:r>
              <w:rPr>
                <w:sz w:val="21"/>
              </w:rPr>
              <w:t>/h,配套称重装置</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11</w:t>
            </w:r>
          </w:p>
        </w:tc>
        <w:tc>
          <w:tcPr>
            <w:tcW w:w="0" w:type="auto"/>
            <w:vAlign w:val="center"/>
          </w:tcPr>
          <w:p>
            <w:pPr>
              <w:jc w:val="center"/>
              <w:rPr>
                <w:sz w:val="21"/>
              </w:rPr>
            </w:pPr>
            <w:r>
              <w:rPr>
                <w:sz w:val="21"/>
              </w:rPr>
              <w:t>液态药剂储罐</w:t>
            </w:r>
          </w:p>
        </w:tc>
        <w:tc>
          <w:tcPr>
            <w:tcW w:w="0" w:type="auto"/>
            <w:vAlign w:val="center"/>
          </w:tcPr>
          <w:p>
            <w:pPr>
              <w:jc w:val="center"/>
              <w:rPr>
                <w:sz w:val="21"/>
              </w:rPr>
            </w:pPr>
            <w:r>
              <w:rPr>
                <w:sz w:val="21"/>
              </w:rPr>
              <w:t>V=15m</w:t>
            </w:r>
            <w:r>
              <w:rPr>
                <w:sz w:val="21"/>
                <w:vertAlign w:val="superscript"/>
              </w:rPr>
              <w:t>3</w:t>
            </w:r>
            <w:r>
              <w:rPr>
                <w:sz w:val="21"/>
              </w:rPr>
              <w:t xml:space="preserve"> ,PE材质</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只</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12</w:t>
            </w:r>
          </w:p>
        </w:tc>
        <w:tc>
          <w:tcPr>
            <w:tcW w:w="0" w:type="auto"/>
            <w:vAlign w:val="center"/>
          </w:tcPr>
          <w:p>
            <w:pPr>
              <w:jc w:val="center"/>
              <w:rPr>
                <w:sz w:val="21"/>
              </w:rPr>
            </w:pPr>
            <w:r>
              <w:rPr>
                <w:sz w:val="21"/>
              </w:rPr>
              <w:t>液体药剂输送泵</w:t>
            </w:r>
          </w:p>
        </w:tc>
        <w:tc>
          <w:tcPr>
            <w:tcW w:w="0" w:type="auto"/>
            <w:vAlign w:val="center"/>
          </w:tcPr>
          <w:p>
            <w:pPr>
              <w:jc w:val="center"/>
              <w:rPr>
                <w:sz w:val="21"/>
              </w:rPr>
            </w:pPr>
            <w:r>
              <w:rPr>
                <w:sz w:val="21"/>
              </w:rPr>
              <w:t>Q=25m</w:t>
            </w:r>
            <w:r>
              <w:rPr>
                <w:sz w:val="21"/>
                <w:vertAlign w:val="superscript"/>
              </w:rPr>
              <w:t>3</w:t>
            </w:r>
            <w:r>
              <w:rPr>
                <w:sz w:val="21"/>
              </w:rPr>
              <w:t>/h，H=32m，N=5.5KW</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13</w:t>
            </w:r>
          </w:p>
        </w:tc>
        <w:tc>
          <w:tcPr>
            <w:tcW w:w="0" w:type="auto"/>
            <w:vAlign w:val="center"/>
          </w:tcPr>
          <w:p>
            <w:pPr>
              <w:jc w:val="center"/>
              <w:rPr>
                <w:sz w:val="21"/>
              </w:rPr>
            </w:pPr>
            <w:r>
              <w:rPr>
                <w:sz w:val="21"/>
              </w:rPr>
              <w:t>机械隔膜计量泵</w:t>
            </w:r>
          </w:p>
        </w:tc>
        <w:tc>
          <w:tcPr>
            <w:tcW w:w="0" w:type="auto"/>
            <w:vAlign w:val="center"/>
          </w:tcPr>
          <w:p>
            <w:pPr>
              <w:jc w:val="center"/>
              <w:rPr>
                <w:sz w:val="21"/>
              </w:rPr>
            </w:pPr>
            <w:r>
              <w:rPr>
                <w:sz w:val="21"/>
              </w:rPr>
              <w:t>Q=1350L/h，H=20m,N=0.75kw</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14</w:t>
            </w:r>
          </w:p>
        </w:tc>
        <w:tc>
          <w:tcPr>
            <w:tcW w:w="0" w:type="auto"/>
            <w:vAlign w:val="center"/>
          </w:tcPr>
          <w:p>
            <w:pPr>
              <w:jc w:val="center"/>
              <w:rPr>
                <w:sz w:val="21"/>
              </w:rPr>
            </w:pPr>
            <w:r>
              <w:rPr>
                <w:sz w:val="21"/>
              </w:rPr>
              <w:t>搅拌器</w:t>
            </w:r>
          </w:p>
        </w:tc>
        <w:tc>
          <w:tcPr>
            <w:tcW w:w="0" w:type="auto"/>
            <w:vAlign w:val="center"/>
          </w:tcPr>
          <w:p>
            <w:pPr>
              <w:jc w:val="center"/>
              <w:rPr>
                <w:sz w:val="21"/>
              </w:rPr>
            </w:pPr>
            <w:r>
              <w:rPr>
                <w:sz w:val="21"/>
              </w:rPr>
              <w:t>5.5kw</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15</w:t>
            </w:r>
          </w:p>
        </w:tc>
        <w:tc>
          <w:tcPr>
            <w:tcW w:w="0" w:type="auto"/>
            <w:vAlign w:val="center"/>
          </w:tcPr>
          <w:p>
            <w:pPr>
              <w:jc w:val="center"/>
              <w:rPr>
                <w:sz w:val="21"/>
              </w:rPr>
            </w:pPr>
            <w:r>
              <w:rPr>
                <w:sz w:val="21"/>
              </w:rPr>
              <w:t>板框压滤机</w:t>
            </w:r>
          </w:p>
        </w:tc>
        <w:tc>
          <w:tcPr>
            <w:tcW w:w="0" w:type="auto"/>
            <w:vAlign w:val="center"/>
          </w:tcPr>
          <w:p>
            <w:pPr>
              <w:jc w:val="center"/>
              <w:rPr>
                <w:sz w:val="21"/>
              </w:rPr>
            </w:pPr>
            <w:r>
              <w:rPr>
                <w:sz w:val="21"/>
              </w:rPr>
              <w:t>处理能力10tDS/d，N=15kw</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16</w:t>
            </w:r>
          </w:p>
        </w:tc>
        <w:tc>
          <w:tcPr>
            <w:tcW w:w="0" w:type="auto"/>
            <w:vAlign w:val="center"/>
          </w:tcPr>
          <w:p>
            <w:pPr>
              <w:jc w:val="center"/>
              <w:rPr>
                <w:sz w:val="21"/>
              </w:rPr>
            </w:pPr>
            <w:r>
              <w:rPr>
                <w:sz w:val="21"/>
              </w:rPr>
              <w:t>压滤机进料泵</w:t>
            </w:r>
          </w:p>
        </w:tc>
        <w:tc>
          <w:tcPr>
            <w:tcW w:w="0" w:type="auto"/>
            <w:vAlign w:val="center"/>
          </w:tcPr>
          <w:p>
            <w:pPr>
              <w:jc w:val="center"/>
              <w:rPr>
                <w:sz w:val="21"/>
              </w:rPr>
            </w:pPr>
            <w:r>
              <w:rPr>
                <w:sz w:val="21"/>
              </w:rPr>
              <w:t>Q=35m</w:t>
            </w:r>
            <w:r>
              <w:rPr>
                <w:sz w:val="21"/>
                <w:vertAlign w:val="superscript"/>
              </w:rPr>
              <w:t>3</w:t>
            </w:r>
            <w:r>
              <w:rPr>
                <w:sz w:val="21"/>
              </w:rPr>
              <w:t>/h，P=0-12bar,N=18.5kw</w:t>
            </w:r>
          </w:p>
        </w:tc>
        <w:tc>
          <w:tcPr>
            <w:tcW w:w="0" w:type="auto"/>
            <w:vAlign w:val="center"/>
          </w:tcPr>
          <w:p>
            <w:pPr>
              <w:jc w:val="center"/>
              <w:rPr>
                <w:sz w:val="21"/>
              </w:rPr>
            </w:pPr>
            <w:r>
              <w:rPr>
                <w:sz w:val="21"/>
              </w:rPr>
              <w:t>3</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17</w:t>
            </w:r>
          </w:p>
        </w:tc>
        <w:tc>
          <w:tcPr>
            <w:tcW w:w="0" w:type="auto"/>
            <w:vAlign w:val="center"/>
          </w:tcPr>
          <w:p>
            <w:pPr>
              <w:jc w:val="center"/>
              <w:rPr>
                <w:sz w:val="21"/>
              </w:rPr>
            </w:pPr>
            <w:r>
              <w:rPr>
                <w:sz w:val="21"/>
              </w:rPr>
              <w:t>高压冲洗水枪</w:t>
            </w:r>
          </w:p>
        </w:tc>
        <w:tc>
          <w:tcPr>
            <w:tcW w:w="0" w:type="auto"/>
            <w:vAlign w:val="center"/>
          </w:tcPr>
          <w:p>
            <w:pPr>
              <w:jc w:val="center"/>
              <w:rPr>
                <w:sz w:val="21"/>
              </w:rPr>
            </w:pPr>
            <w:r>
              <w:rPr>
                <w:sz w:val="21"/>
              </w:rPr>
              <w:t>30L/min,P=6MPa,N=1.5kw</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只</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jc w:val="center"/>
              <w:rPr>
                <w:sz w:val="21"/>
              </w:rPr>
            </w:pPr>
            <w:r>
              <w:rPr>
                <w:rFonts w:hint="eastAsia"/>
                <w:sz w:val="21"/>
              </w:rPr>
              <w:t>18</w:t>
            </w:r>
          </w:p>
        </w:tc>
        <w:tc>
          <w:tcPr>
            <w:tcW w:w="0" w:type="auto"/>
            <w:vAlign w:val="center"/>
          </w:tcPr>
          <w:p>
            <w:pPr>
              <w:jc w:val="center"/>
              <w:rPr>
                <w:sz w:val="21"/>
              </w:rPr>
            </w:pPr>
            <w:r>
              <w:rPr>
                <w:sz w:val="21"/>
              </w:rPr>
              <w:t>泥饼输送系统一</w:t>
            </w:r>
          </w:p>
        </w:tc>
        <w:tc>
          <w:tcPr>
            <w:tcW w:w="0" w:type="auto"/>
            <w:vAlign w:val="center"/>
          </w:tcPr>
          <w:p>
            <w:pPr>
              <w:jc w:val="center"/>
              <w:rPr>
                <w:sz w:val="21"/>
              </w:rPr>
            </w:pPr>
            <w:r>
              <w:rPr>
                <w:sz w:val="21"/>
              </w:rPr>
              <w:t>水平,Q=8m</w:t>
            </w:r>
            <w:r>
              <w:rPr>
                <w:sz w:val="21"/>
                <w:vertAlign w:val="superscript"/>
              </w:rPr>
              <w:t>3</w:t>
            </w:r>
            <w:r>
              <w:rPr>
                <w:sz w:val="21"/>
              </w:rPr>
              <w:t>/h，L=10m,D=320,N=4.0kw</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19</w:t>
            </w:r>
          </w:p>
        </w:tc>
        <w:tc>
          <w:tcPr>
            <w:tcW w:w="0" w:type="auto"/>
            <w:vAlign w:val="center"/>
          </w:tcPr>
          <w:p>
            <w:pPr>
              <w:jc w:val="center"/>
              <w:rPr>
                <w:sz w:val="21"/>
              </w:rPr>
            </w:pPr>
            <w:r>
              <w:rPr>
                <w:sz w:val="21"/>
              </w:rPr>
              <w:t>泥饼输送系统二</w:t>
            </w:r>
          </w:p>
        </w:tc>
        <w:tc>
          <w:tcPr>
            <w:tcW w:w="0" w:type="auto"/>
            <w:vAlign w:val="center"/>
          </w:tcPr>
          <w:p>
            <w:pPr>
              <w:jc w:val="center"/>
              <w:rPr>
                <w:sz w:val="21"/>
              </w:rPr>
            </w:pPr>
            <w:r>
              <w:rPr>
                <w:sz w:val="21"/>
              </w:rPr>
              <w:t>水平，Q=16m</w:t>
            </w:r>
            <w:r>
              <w:rPr>
                <w:sz w:val="21"/>
                <w:vertAlign w:val="superscript"/>
              </w:rPr>
              <w:t>3</w:t>
            </w:r>
            <w:r>
              <w:rPr>
                <w:sz w:val="21"/>
              </w:rPr>
              <w:t>/h，D=420,L=7m,N=5.5kw</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20</w:t>
            </w:r>
          </w:p>
        </w:tc>
        <w:tc>
          <w:tcPr>
            <w:tcW w:w="0" w:type="auto"/>
            <w:vAlign w:val="center"/>
          </w:tcPr>
          <w:p>
            <w:pPr>
              <w:jc w:val="center"/>
              <w:rPr>
                <w:sz w:val="21"/>
              </w:rPr>
            </w:pPr>
            <w:r>
              <w:rPr>
                <w:sz w:val="21"/>
              </w:rPr>
              <w:t>泥饼输送系统三</w:t>
            </w:r>
          </w:p>
        </w:tc>
        <w:tc>
          <w:tcPr>
            <w:tcW w:w="0" w:type="auto"/>
            <w:vAlign w:val="center"/>
          </w:tcPr>
          <w:p>
            <w:pPr>
              <w:jc w:val="center"/>
              <w:rPr>
                <w:sz w:val="21"/>
              </w:rPr>
            </w:pPr>
            <w:r>
              <w:rPr>
                <w:sz w:val="21"/>
              </w:rPr>
              <w:t>13°，Q=16m</w:t>
            </w:r>
            <w:r>
              <w:rPr>
                <w:sz w:val="21"/>
                <w:vertAlign w:val="superscript"/>
              </w:rPr>
              <w:t>3</w:t>
            </w:r>
            <w:r>
              <w:rPr>
                <w:sz w:val="21"/>
              </w:rPr>
              <w:t>/h，D=420,L=4m,N=4.0kw</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21</w:t>
            </w:r>
          </w:p>
        </w:tc>
        <w:tc>
          <w:tcPr>
            <w:tcW w:w="0" w:type="auto"/>
            <w:vAlign w:val="center"/>
          </w:tcPr>
          <w:p>
            <w:pPr>
              <w:jc w:val="center"/>
              <w:rPr>
                <w:sz w:val="21"/>
              </w:rPr>
            </w:pPr>
            <w:r>
              <w:rPr>
                <w:sz w:val="21"/>
              </w:rPr>
              <w:t>电动单梁悬挂吊</w:t>
            </w:r>
          </w:p>
        </w:tc>
        <w:tc>
          <w:tcPr>
            <w:tcW w:w="0" w:type="auto"/>
            <w:vAlign w:val="center"/>
          </w:tcPr>
          <w:p>
            <w:pPr>
              <w:jc w:val="center"/>
              <w:rPr>
                <w:sz w:val="21"/>
              </w:rPr>
            </w:pPr>
            <w:r>
              <w:rPr>
                <w:sz w:val="21"/>
              </w:rPr>
              <w:t>起重5t，N=2×0.8KW，跨度8m</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22</w:t>
            </w:r>
          </w:p>
        </w:tc>
        <w:tc>
          <w:tcPr>
            <w:tcW w:w="0" w:type="auto"/>
            <w:vAlign w:val="center"/>
          </w:tcPr>
          <w:p>
            <w:pPr>
              <w:jc w:val="center"/>
              <w:rPr>
                <w:sz w:val="21"/>
              </w:rPr>
            </w:pPr>
            <w:r>
              <w:rPr>
                <w:sz w:val="21"/>
              </w:rPr>
              <w:t>电动葫芦</w:t>
            </w:r>
          </w:p>
        </w:tc>
        <w:tc>
          <w:tcPr>
            <w:tcW w:w="0" w:type="auto"/>
            <w:vAlign w:val="center"/>
          </w:tcPr>
          <w:p>
            <w:pPr>
              <w:jc w:val="center"/>
              <w:rPr>
                <w:sz w:val="21"/>
              </w:rPr>
            </w:pPr>
            <w:r>
              <w:rPr>
                <w:sz w:val="21"/>
              </w:rPr>
              <w:t>起重5t，N=4KW，起升高度12m</w:t>
            </w:r>
          </w:p>
          <w:p>
            <w:pPr>
              <w:jc w:val="center"/>
              <w:rPr>
                <w:sz w:val="21"/>
              </w:rPr>
            </w:pPr>
            <w:r>
              <w:rPr>
                <w:sz w:val="21"/>
              </w:rPr>
              <w:t>CD</w:t>
            </w:r>
            <w:r>
              <w:rPr>
                <w:sz w:val="21"/>
                <w:vertAlign w:val="subscript"/>
              </w:rPr>
              <w:t>1</w:t>
            </w:r>
            <w:r>
              <w:rPr>
                <w:sz w:val="21"/>
              </w:rPr>
              <w:t>型</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套</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23</w:t>
            </w:r>
          </w:p>
        </w:tc>
        <w:tc>
          <w:tcPr>
            <w:tcW w:w="0" w:type="auto"/>
            <w:vAlign w:val="center"/>
          </w:tcPr>
          <w:p>
            <w:pPr>
              <w:jc w:val="center"/>
              <w:rPr>
                <w:sz w:val="21"/>
              </w:rPr>
            </w:pPr>
            <w:r>
              <w:rPr>
                <w:sz w:val="21"/>
              </w:rPr>
              <w:t>手动球阀</w:t>
            </w:r>
          </w:p>
        </w:tc>
        <w:tc>
          <w:tcPr>
            <w:tcW w:w="0" w:type="auto"/>
            <w:vAlign w:val="center"/>
          </w:tcPr>
          <w:p>
            <w:pPr>
              <w:jc w:val="center"/>
              <w:rPr>
                <w:sz w:val="21"/>
              </w:rPr>
            </w:pPr>
            <w:r>
              <w:rPr>
                <w:sz w:val="21"/>
              </w:rPr>
              <w:t>DN40,PN=0.6MPa</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24</w:t>
            </w:r>
          </w:p>
        </w:tc>
        <w:tc>
          <w:tcPr>
            <w:tcW w:w="0" w:type="auto"/>
            <w:vAlign w:val="center"/>
          </w:tcPr>
          <w:p>
            <w:pPr>
              <w:jc w:val="center"/>
              <w:rPr>
                <w:sz w:val="21"/>
              </w:rPr>
            </w:pPr>
            <w:r>
              <w:rPr>
                <w:sz w:val="21"/>
              </w:rPr>
              <w:t>手动球阀</w:t>
            </w:r>
          </w:p>
        </w:tc>
        <w:tc>
          <w:tcPr>
            <w:tcW w:w="0" w:type="auto"/>
            <w:vAlign w:val="center"/>
          </w:tcPr>
          <w:p>
            <w:pPr>
              <w:jc w:val="center"/>
              <w:rPr>
                <w:sz w:val="21"/>
              </w:rPr>
            </w:pPr>
            <w:r>
              <w:rPr>
                <w:sz w:val="21"/>
              </w:rPr>
              <w:t>DN65,PN=1.0MPa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25</w:t>
            </w:r>
          </w:p>
        </w:tc>
        <w:tc>
          <w:tcPr>
            <w:tcW w:w="0" w:type="auto"/>
            <w:vAlign w:val="center"/>
          </w:tcPr>
          <w:p>
            <w:pPr>
              <w:jc w:val="center"/>
              <w:rPr>
                <w:sz w:val="21"/>
              </w:rPr>
            </w:pPr>
            <w:r>
              <w:rPr>
                <w:sz w:val="21"/>
              </w:rPr>
              <w:t>手动球阀</w:t>
            </w:r>
          </w:p>
        </w:tc>
        <w:tc>
          <w:tcPr>
            <w:tcW w:w="0" w:type="auto"/>
            <w:vAlign w:val="center"/>
          </w:tcPr>
          <w:p>
            <w:pPr>
              <w:jc w:val="center"/>
              <w:rPr>
                <w:sz w:val="21"/>
              </w:rPr>
            </w:pPr>
            <w:r>
              <w:rPr>
                <w:sz w:val="21"/>
              </w:rPr>
              <w:t>DN65,PN=0.6MPa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26</w:t>
            </w:r>
          </w:p>
        </w:tc>
        <w:tc>
          <w:tcPr>
            <w:tcW w:w="0" w:type="auto"/>
            <w:vAlign w:val="center"/>
          </w:tcPr>
          <w:p>
            <w:pPr>
              <w:jc w:val="center"/>
              <w:rPr>
                <w:sz w:val="21"/>
              </w:rPr>
            </w:pPr>
            <w:r>
              <w:rPr>
                <w:sz w:val="21"/>
              </w:rPr>
              <w:t>手动球阀</w:t>
            </w:r>
          </w:p>
        </w:tc>
        <w:tc>
          <w:tcPr>
            <w:tcW w:w="0" w:type="auto"/>
            <w:vAlign w:val="center"/>
          </w:tcPr>
          <w:p>
            <w:pPr>
              <w:jc w:val="center"/>
              <w:rPr>
                <w:sz w:val="21"/>
              </w:rPr>
            </w:pPr>
            <w:r>
              <w:rPr>
                <w:sz w:val="21"/>
              </w:rPr>
              <w:t>DN80,PN=0.6MPa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27</w:t>
            </w:r>
          </w:p>
        </w:tc>
        <w:tc>
          <w:tcPr>
            <w:tcW w:w="0" w:type="auto"/>
            <w:vAlign w:val="center"/>
          </w:tcPr>
          <w:p>
            <w:pPr>
              <w:jc w:val="center"/>
              <w:rPr>
                <w:sz w:val="21"/>
              </w:rPr>
            </w:pPr>
            <w:r>
              <w:rPr>
                <w:sz w:val="21"/>
              </w:rPr>
              <w:t>手动球阀</w:t>
            </w:r>
          </w:p>
        </w:tc>
        <w:tc>
          <w:tcPr>
            <w:tcW w:w="0" w:type="auto"/>
            <w:vAlign w:val="center"/>
          </w:tcPr>
          <w:p>
            <w:pPr>
              <w:jc w:val="center"/>
              <w:rPr>
                <w:sz w:val="21"/>
              </w:rPr>
            </w:pPr>
            <w:r>
              <w:rPr>
                <w:sz w:val="21"/>
              </w:rPr>
              <w:t>DN40,PN=1.0MPa</w:t>
            </w:r>
          </w:p>
        </w:tc>
        <w:tc>
          <w:tcPr>
            <w:tcW w:w="0" w:type="auto"/>
            <w:vAlign w:val="center"/>
          </w:tcPr>
          <w:p>
            <w:pPr>
              <w:jc w:val="center"/>
              <w:rPr>
                <w:sz w:val="21"/>
              </w:rPr>
            </w:pPr>
            <w:r>
              <w:rPr>
                <w:sz w:val="21"/>
              </w:rPr>
              <w:t>4</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28</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DN150,PN=1.6MPa</w:t>
            </w:r>
          </w:p>
        </w:tc>
        <w:tc>
          <w:tcPr>
            <w:tcW w:w="0" w:type="auto"/>
            <w:vAlign w:val="center"/>
          </w:tcPr>
          <w:p>
            <w:pPr>
              <w:jc w:val="center"/>
              <w:rPr>
                <w:sz w:val="21"/>
              </w:rPr>
            </w:pPr>
            <w:r>
              <w:rPr>
                <w:sz w:val="21"/>
              </w:rPr>
              <w:t>9</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29</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DN50,PN=0.6MPa</w:t>
            </w:r>
          </w:p>
        </w:tc>
        <w:tc>
          <w:tcPr>
            <w:tcW w:w="0" w:type="auto"/>
            <w:vAlign w:val="center"/>
          </w:tcPr>
          <w:p>
            <w:pPr>
              <w:jc w:val="center"/>
              <w:rPr>
                <w:sz w:val="21"/>
              </w:rPr>
            </w:pPr>
            <w:r>
              <w:rPr>
                <w:sz w:val="21"/>
              </w:rPr>
              <w:t>3</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30</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DN100,PN=1.6MPa</w:t>
            </w:r>
          </w:p>
        </w:tc>
        <w:tc>
          <w:tcPr>
            <w:tcW w:w="0" w:type="auto"/>
            <w:vAlign w:val="center"/>
          </w:tcPr>
          <w:p>
            <w:pPr>
              <w:jc w:val="center"/>
              <w:rPr>
                <w:sz w:val="21"/>
              </w:rPr>
            </w:pPr>
            <w:r>
              <w:rPr>
                <w:sz w:val="21"/>
              </w:rPr>
              <w:t>4</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31</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DN100,PN=0.6MPa</w:t>
            </w:r>
          </w:p>
        </w:tc>
        <w:tc>
          <w:tcPr>
            <w:tcW w:w="0" w:type="auto"/>
            <w:vAlign w:val="center"/>
          </w:tcPr>
          <w:p>
            <w:pPr>
              <w:jc w:val="center"/>
              <w:rPr>
                <w:sz w:val="21"/>
              </w:rPr>
            </w:pPr>
            <w:r>
              <w:rPr>
                <w:sz w:val="21"/>
              </w:rPr>
              <w:t>6</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32</w:t>
            </w:r>
          </w:p>
        </w:tc>
        <w:tc>
          <w:tcPr>
            <w:tcW w:w="0" w:type="auto"/>
            <w:vAlign w:val="center"/>
          </w:tcPr>
          <w:p>
            <w:pPr>
              <w:jc w:val="center"/>
              <w:rPr>
                <w:sz w:val="21"/>
              </w:rPr>
            </w:pPr>
            <w:r>
              <w:rPr>
                <w:sz w:val="21"/>
              </w:rPr>
              <w:t>止回阀</w:t>
            </w:r>
          </w:p>
        </w:tc>
        <w:tc>
          <w:tcPr>
            <w:tcW w:w="0" w:type="auto"/>
            <w:vAlign w:val="center"/>
          </w:tcPr>
          <w:p>
            <w:pPr>
              <w:jc w:val="center"/>
              <w:rPr>
                <w:sz w:val="21"/>
              </w:rPr>
            </w:pPr>
            <w:r>
              <w:rPr>
                <w:sz w:val="21"/>
              </w:rPr>
              <w:t>DN40,PN=1.0MPa</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33</w:t>
            </w:r>
          </w:p>
        </w:tc>
        <w:tc>
          <w:tcPr>
            <w:tcW w:w="0" w:type="auto"/>
            <w:vAlign w:val="center"/>
          </w:tcPr>
          <w:p>
            <w:pPr>
              <w:jc w:val="center"/>
              <w:rPr>
                <w:sz w:val="21"/>
              </w:rPr>
            </w:pPr>
            <w:r>
              <w:rPr>
                <w:sz w:val="21"/>
              </w:rPr>
              <w:t>止回阀</w:t>
            </w:r>
          </w:p>
        </w:tc>
        <w:tc>
          <w:tcPr>
            <w:tcW w:w="0" w:type="auto"/>
            <w:vAlign w:val="center"/>
          </w:tcPr>
          <w:p>
            <w:pPr>
              <w:jc w:val="center"/>
              <w:rPr>
                <w:sz w:val="21"/>
              </w:rPr>
            </w:pPr>
            <w:r>
              <w:rPr>
                <w:sz w:val="21"/>
              </w:rPr>
              <w:t>DN100,PN=1.6MPa</w:t>
            </w:r>
          </w:p>
        </w:tc>
        <w:tc>
          <w:tcPr>
            <w:tcW w:w="0" w:type="auto"/>
            <w:vAlign w:val="center"/>
          </w:tcPr>
          <w:p>
            <w:pPr>
              <w:jc w:val="center"/>
              <w:rPr>
                <w:sz w:val="21"/>
              </w:rPr>
            </w:pPr>
            <w:r>
              <w:rPr>
                <w:sz w:val="21"/>
              </w:rPr>
              <w:t>4</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34</w:t>
            </w:r>
          </w:p>
        </w:tc>
        <w:tc>
          <w:tcPr>
            <w:tcW w:w="0" w:type="auto"/>
            <w:vAlign w:val="center"/>
          </w:tcPr>
          <w:p>
            <w:pPr>
              <w:jc w:val="center"/>
              <w:rPr>
                <w:sz w:val="21"/>
              </w:rPr>
            </w:pPr>
            <w:r>
              <w:rPr>
                <w:sz w:val="21"/>
              </w:rPr>
              <w:t>止回阀</w:t>
            </w:r>
          </w:p>
        </w:tc>
        <w:tc>
          <w:tcPr>
            <w:tcW w:w="0" w:type="auto"/>
            <w:vAlign w:val="center"/>
          </w:tcPr>
          <w:p>
            <w:pPr>
              <w:jc w:val="center"/>
              <w:rPr>
                <w:sz w:val="21"/>
              </w:rPr>
            </w:pPr>
            <w:r>
              <w:rPr>
                <w:sz w:val="21"/>
              </w:rPr>
              <w:t>DN150,PN=1.6MPa</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35</w:t>
            </w:r>
          </w:p>
        </w:tc>
        <w:tc>
          <w:tcPr>
            <w:tcW w:w="0" w:type="auto"/>
            <w:vAlign w:val="center"/>
          </w:tcPr>
          <w:p>
            <w:pPr>
              <w:jc w:val="center"/>
              <w:rPr>
                <w:sz w:val="21"/>
              </w:rPr>
            </w:pPr>
            <w:r>
              <w:rPr>
                <w:sz w:val="21"/>
              </w:rPr>
              <w:t>止回阀</w:t>
            </w:r>
          </w:p>
        </w:tc>
        <w:tc>
          <w:tcPr>
            <w:tcW w:w="0" w:type="auto"/>
            <w:vAlign w:val="center"/>
          </w:tcPr>
          <w:p>
            <w:pPr>
              <w:jc w:val="center"/>
              <w:rPr>
                <w:sz w:val="21"/>
              </w:rPr>
            </w:pPr>
            <w:r>
              <w:rPr>
                <w:sz w:val="21"/>
              </w:rPr>
              <w:t>DN65,PN=1.0MPa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36</w:t>
            </w:r>
          </w:p>
        </w:tc>
        <w:tc>
          <w:tcPr>
            <w:tcW w:w="0" w:type="auto"/>
            <w:vAlign w:val="center"/>
          </w:tcPr>
          <w:p>
            <w:pPr>
              <w:jc w:val="center"/>
              <w:rPr>
                <w:sz w:val="21"/>
              </w:rPr>
            </w:pPr>
            <w:r>
              <w:rPr>
                <w:sz w:val="21"/>
              </w:rPr>
              <w:t>止回阀</w:t>
            </w:r>
          </w:p>
        </w:tc>
        <w:tc>
          <w:tcPr>
            <w:tcW w:w="0" w:type="auto"/>
            <w:vAlign w:val="center"/>
          </w:tcPr>
          <w:p>
            <w:pPr>
              <w:jc w:val="center"/>
              <w:rPr>
                <w:sz w:val="21"/>
              </w:rPr>
            </w:pPr>
            <w:r>
              <w:rPr>
                <w:sz w:val="21"/>
              </w:rPr>
              <w:t>DN40,PN=1.0MPa</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37</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DN100,PN=0.6MPa</w:t>
            </w:r>
          </w:p>
        </w:tc>
        <w:tc>
          <w:tcPr>
            <w:tcW w:w="0" w:type="auto"/>
            <w:vAlign w:val="center"/>
          </w:tcPr>
          <w:p>
            <w:pPr>
              <w:jc w:val="center"/>
              <w:rPr>
                <w:sz w:val="21"/>
              </w:rPr>
            </w:pPr>
            <w:r>
              <w:rPr>
                <w:sz w:val="21"/>
              </w:rPr>
              <w:t>3</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38</w:t>
            </w:r>
          </w:p>
        </w:tc>
        <w:tc>
          <w:tcPr>
            <w:tcW w:w="0" w:type="auto"/>
            <w:vAlign w:val="center"/>
          </w:tcPr>
          <w:p>
            <w:pPr>
              <w:jc w:val="center"/>
              <w:rPr>
                <w:sz w:val="21"/>
              </w:rPr>
            </w:pPr>
            <w:r>
              <w:rPr>
                <w:sz w:val="21"/>
              </w:rPr>
              <w:t>回用水储水罐</w:t>
            </w:r>
          </w:p>
        </w:tc>
        <w:tc>
          <w:tcPr>
            <w:tcW w:w="0" w:type="auto"/>
            <w:vAlign w:val="center"/>
          </w:tcPr>
          <w:p>
            <w:pPr>
              <w:ind w:firstLine="105" w:firstLineChars="50"/>
              <w:jc w:val="center"/>
              <w:rPr>
                <w:sz w:val="21"/>
                <w:vertAlign w:val="superscript"/>
              </w:rPr>
            </w:pPr>
            <w:r>
              <w:rPr>
                <w:sz w:val="21"/>
              </w:rPr>
              <w:t>5m</w:t>
            </w:r>
            <w:r>
              <w:rPr>
                <w:sz w:val="21"/>
                <w:vertAlign w:val="superscript"/>
              </w:rPr>
              <w:t>3</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个</w:t>
            </w:r>
          </w:p>
        </w:tc>
        <w:tc>
          <w:tcPr>
            <w:tcW w:w="0" w:type="auto"/>
            <w:vMerge w:val="continue"/>
            <w:vAlign w:val="center"/>
          </w:tcPr>
          <w:p>
            <w:pPr>
              <w:autoSpaceDE w:val="0"/>
              <w:jc w:val="center"/>
              <w:rPr>
                <w:rFonts w:cs="Times New Roman"/>
                <w:sz w:val="21"/>
              </w:rPr>
            </w:pPr>
          </w:p>
        </w:tc>
      </w:tr>
      <w:tr>
        <w:tblPrEx>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39</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DN50,PN=1.0MPa</w:t>
            </w:r>
          </w:p>
        </w:tc>
        <w:tc>
          <w:tcPr>
            <w:tcW w:w="0" w:type="auto"/>
            <w:vAlign w:val="center"/>
          </w:tcPr>
          <w:p>
            <w:pPr>
              <w:jc w:val="center"/>
              <w:rPr>
                <w:sz w:val="21"/>
              </w:rPr>
            </w:pPr>
            <w:r>
              <w:rPr>
                <w:sz w:val="21"/>
              </w:rPr>
              <w:t>2</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40</w:t>
            </w:r>
          </w:p>
        </w:tc>
        <w:tc>
          <w:tcPr>
            <w:tcW w:w="0" w:type="auto"/>
            <w:vAlign w:val="center"/>
          </w:tcPr>
          <w:p>
            <w:pPr>
              <w:jc w:val="center"/>
              <w:rPr>
                <w:sz w:val="21"/>
              </w:rPr>
            </w:pPr>
            <w:r>
              <w:rPr>
                <w:sz w:val="21"/>
              </w:rPr>
              <w:t>止回阀</w:t>
            </w:r>
          </w:p>
        </w:tc>
        <w:tc>
          <w:tcPr>
            <w:tcW w:w="0" w:type="auto"/>
            <w:vAlign w:val="center"/>
          </w:tcPr>
          <w:p>
            <w:pPr>
              <w:jc w:val="center"/>
              <w:rPr>
                <w:sz w:val="21"/>
              </w:rPr>
            </w:pPr>
            <w:r>
              <w:rPr>
                <w:sz w:val="21"/>
              </w:rPr>
              <w:t>DN50,PN=2.5MPa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41</w:t>
            </w:r>
          </w:p>
        </w:tc>
        <w:tc>
          <w:tcPr>
            <w:tcW w:w="0" w:type="auto"/>
            <w:vAlign w:val="center"/>
          </w:tcPr>
          <w:p>
            <w:pPr>
              <w:jc w:val="center"/>
              <w:rPr>
                <w:sz w:val="21"/>
              </w:rPr>
            </w:pPr>
            <w:r>
              <w:rPr>
                <w:sz w:val="21"/>
              </w:rPr>
              <w:t>闸阀</w:t>
            </w:r>
          </w:p>
        </w:tc>
        <w:tc>
          <w:tcPr>
            <w:tcW w:w="0" w:type="auto"/>
            <w:vAlign w:val="center"/>
          </w:tcPr>
          <w:p>
            <w:pPr>
              <w:jc w:val="center"/>
              <w:rPr>
                <w:sz w:val="21"/>
              </w:rPr>
            </w:pPr>
            <w:r>
              <w:rPr>
                <w:sz w:val="21"/>
              </w:rPr>
              <w:t>DN50,PN=2.5MPa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42</w:t>
            </w:r>
          </w:p>
        </w:tc>
        <w:tc>
          <w:tcPr>
            <w:tcW w:w="0" w:type="auto"/>
            <w:vAlign w:val="center"/>
          </w:tcPr>
          <w:p>
            <w:pPr>
              <w:jc w:val="center"/>
              <w:rPr>
                <w:sz w:val="21"/>
              </w:rPr>
            </w:pPr>
            <w:r>
              <w:rPr>
                <w:sz w:val="21"/>
              </w:rPr>
              <w:t>组合阀</w:t>
            </w:r>
          </w:p>
        </w:tc>
        <w:tc>
          <w:tcPr>
            <w:tcW w:w="0" w:type="auto"/>
            <w:vAlign w:val="center"/>
          </w:tcPr>
          <w:p>
            <w:pPr>
              <w:jc w:val="center"/>
              <w:rPr>
                <w:sz w:val="21"/>
              </w:rPr>
            </w:pPr>
            <w:r>
              <w:rPr>
                <w:sz w:val="21"/>
              </w:rPr>
              <w:t>DN65,PN=1MPa</w:t>
            </w:r>
          </w:p>
        </w:tc>
        <w:tc>
          <w:tcPr>
            <w:tcW w:w="0" w:type="auto"/>
            <w:vAlign w:val="center"/>
          </w:tcPr>
          <w:p>
            <w:pPr>
              <w:jc w:val="center"/>
              <w:rPr>
                <w:sz w:val="21"/>
              </w:rPr>
            </w:pPr>
            <w:r>
              <w:rPr>
                <w:sz w:val="21"/>
              </w:rPr>
              <w:t>1</w:t>
            </w:r>
          </w:p>
        </w:tc>
        <w:tc>
          <w:tcPr>
            <w:tcW w:w="0" w:type="auto"/>
            <w:vAlign w:val="center"/>
          </w:tcPr>
          <w:p>
            <w:pPr>
              <w:jc w:val="center"/>
              <w:rPr>
                <w:sz w:val="21"/>
              </w:rPr>
            </w:pPr>
            <w:r>
              <w:rPr>
                <w:sz w:val="21"/>
              </w:rPr>
              <w:t>个</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0" w:type="auto"/>
            <w:vAlign w:val="center"/>
          </w:tcPr>
          <w:p>
            <w:pPr>
              <w:jc w:val="center"/>
              <w:rPr>
                <w:sz w:val="21"/>
              </w:rPr>
            </w:pPr>
            <w:r>
              <w:rPr>
                <w:rFonts w:hint="eastAsia"/>
                <w:sz w:val="21"/>
              </w:rPr>
              <w:t>43</w:t>
            </w:r>
          </w:p>
        </w:tc>
        <w:tc>
          <w:tcPr>
            <w:tcW w:w="0" w:type="auto"/>
            <w:vAlign w:val="center"/>
          </w:tcPr>
          <w:p>
            <w:pPr>
              <w:jc w:val="center"/>
              <w:rPr>
                <w:sz w:val="21"/>
              </w:rPr>
            </w:pPr>
            <w:r>
              <w:rPr>
                <w:sz w:val="21"/>
              </w:rPr>
              <w:t>超声波液位计</w:t>
            </w:r>
          </w:p>
        </w:tc>
        <w:tc>
          <w:tcPr>
            <w:tcW w:w="0" w:type="auto"/>
            <w:vAlign w:val="center"/>
          </w:tcPr>
          <w:p>
            <w:pPr>
              <w:jc w:val="center"/>
              <w:rPr>
                <w:sz w:val="21"/>
              </w:rPr>
            </w:pPr>
          </w:p>
        </w:tc>
        <w:tc>
          <w:tcPr>
            <w:tcW w:w="0" w:type="auto"/>
            <w:vAlign w:val="center"/>
          </w:tcPr>
          <w:p>
            <w:pPr>
              <w:jc w:val="center"/>
              <w:rPr>
                <w:sz w:val="21"/>
              </w:rPr>
            </w:pPr>
            <w:r>
              <w:rPr>
                <w:sz w:val="21"/>
              </w:rPr>
              <w:t>4</w:t>
            </w:r>
          </w:p>
        </w:tc>
        <w:tc>
          <w:tcPr>
            <w:tcW w:w="0" w:type="auto"/>
            <w:vAlign w:val="center"/>
          </w:tcPr>
          <w:p>
            <w:pPr>
              <w:jc w:val="center"/>
              <w:rPr>
                <w:sz w:val="21"/>
              </w:rPr>
            </w:pPr>
            <w:r>
              <w:rPr>
                <w:sz w:val="21"/>
              </w:rPr>
              <w:t>台</w:t>
            </w:r>
          </w:p>
        </w:tc>
        <w:tc>
          <w:tcPr>
            <w:tcW w:w="0" w:type="auto"/>
            <w:vMerge w:val="continue"/>
            <w:vAlign w:val="center"/>
          </w:tcPr>
          <w:p>
            <w:pPr>
              <w:autoSpaceDE w:val="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adjustRightInd w:val="0"/>
              <w:jc w:val="center"/>
              <w:textAlignment w:val="baseline"/>
              <w:rPr>
                <w:rFonts w:cs="Times New Roman"/>
                <w:b/>
                <w:bCs/>
                <w:kern w:val="0"/>
                <w:sz w:val="21"/>
              </w:rPr>
            </w:pPr>
            <w:r>
              <w:rPr>
                <w:rFonts w:cs="Times New Roman"/>
                <w:b/>
                <w:bCs/>
                <w:kern w:val="0"/>
                <w:sz w:val="21"/>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w:t>
            </w:r>
          </w:p>
        </w:tc>
        <w:tc>
          <w:tcPr>
            <w:tcW w:w="0" w:type="auto"/>
            <w:vAlign w:val="center"/>
          </w:tcPr>
          <w:p>
            <w:pPr>
              <w:adjustRightInd w:val="0"/>
              <w:jc w:val="center"/>
              <w:textAlignment w:val="baseline"/>
              <w:rPr>
                <w:rFonts w:eastAsia="宋体" w:cs="Times New Roman"/>
                <w:sz w:val="21"/>
              </w:rPr>
            </w:pPr>
            <w:r>
              <w:rPr>
                <w:rFonts w:cs="Times New Roman"/>
                <w:sz w:val="21"/>
              </w:rPr>
              <w:t>电动单梁悬挂吊</w:t>
            </w:r>
          </w:p>
        </w:tc>
        <w:tc>
          <w:tcPr>
            <w:tcW w:w="0" w:type="auto"/>
            <w:vAlign w:val="center"/>
          </w:tcPr>
          <w:p>
            <w:pPr>
              <w:adjustRightInd w:val="0"/>
              <w:jc w:val="center"/>
              <w:textAlignment w:val="baseline"/>
              <w:rPr>
                <w:rFonts w:eastAsia="宋体" w:cs="Times New Roman"/>
                <w:sz w:val="21"/>
              </w:rPr>
            </w:pPr>
            <w:r>
              <w:rPr>
                <w:rFonts w:cs="Times New Roman"/>
                <w:sz w:val="21"/>
              </w:rPr>
              <w:t>起重2t，N=2×0.4KW 跨度3.7m</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Merge w:val="restart"/>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2</w:t>
            </w:r>
          </w:p>
        </w:tc>
        <w:tc>
          <w:tcPr>
            <w:tcW w:w="0" w:type="auto"/>
            <w:vAlign w:val="center"/>
          </w:tcPr>
          <w:p>
            <w:pPr>
              <w:adjustRightInd w:val="0"/>
              <w:jc w:val="center"/>
              <w:textAlignment w:val="baseline"/>
              <w:rPr>
                <w:rFonts w:eastAsia="宋体" w:cs="Times New Roman"/>
                <w:sz w:val="21"/>
              </w:rPr>
            </w:pPr>
            <w:r>
              <w:rPr>
                <w:rFonts w:cs="Times New Roman"/>
                <w:sz w:val="21"/>
              </w:rPr>
              <w:t>电动葫芦</w:t>
            </w:r>
          </w:p>
        </w:tc>
        <w:tc>
          <w:tcPr>
            <w:tcW w:w="0" w:type="auto"/>
            <w:vAlign w:val="center"/>
          </w:tcPr>
          <w:p>
            <w:pPr>
              <w:adjustRightInd w:val="0"/>
              <w:jc w:val="center"/>
              <w:textAlignment w:val="baseline"/>
              <w:rPr>
                <w:rFonts w:eastAsia="宋体" w:cs="Times New Roman"/>
                <w:sz w:val="21"/>
              </w:rPr>
            </w:pPr>
            <w:r>
              <w:rPr>
                <w:rFonts w:cs="Times New Roman"/>
                <w:sz w:val="21"/>
              </w:rPr>
              <w:t>CD1 型，起重2t，N=3KW 起升高度6m</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jc w:val="center"/>
              <w:textAlignment w:val="baseline"/>
              <w:rPr>
                <w:rFonts w:cs="Times New Roman"/>
                <w:sz w:val="21"/>
              </w:rPr>
            </w:pPr>
            <w:r>
              <w:rPr>
                <w:rFonts w:hint="eastAsia" w:cs="Times New Roman"/>
                <w:sz w:val="21"/>
              </w:rPr>
              <w:t>3</w:t>
            </w:r>
          </w:p>
        </w:tc>
        <w:tc>
          <w:tcPr>
            <w:tcW w:w="0" w:type="auto"/>
            <w:vAlign w:val="center"/>
          </w:tcPr>
          <w:p>
            <w:pPr>
              <w:widowControl/>
              <w:adjustRightInd w:val="0"/>
              <w:jc w:val="center"/>
              <w:textAlignment w:val="baseline"/>
              <w:rPr>
                <w:rFonts w:eastAsia="宋体" w:cs="Times New Roman"/>
                <w:kern w:val="0"/>
                <w:sz w:val="21"/>
              </w:rPr>
            </w:pPr>
            <w:r>
              <w:rPr>
                <w:rFonts w:cs="Times New Roman"/>
                <w:sz w:val="21"/>
              </w:rPr>
              <w:t>风阀</w:t>
            </w:r>
          </w:p>
        </w:tc>
        <w:tc>
          <w:tcPr>
            <w:tcW w:w="0" w:type="auto"/>
            <w:vAlign w:val="center"/>
          </w:tcPr>
          <w:p>
            <w:pPr>
              <w:adjustRightInd w:val="0"/>
              <w:jc w:val="center"/>
              <w:textAlignment w:val="baseline"/>
              <w:rPr>
                <w:rFonts w:eastAsia="宋体" w:cs="Times New Roman"/>
                <w:sz w:val="21"/>
              </w:rPr>
            </w:pPr>
            <w:r>
              <w:rPr>
                <w:rFonts w:cs="Times New Roman"/>
                <w:sz w:val="21"/>
              </w:rPr>
              <w:t>DN400</w:t>
            </w:r>
          </w:p>
        </w:tc>
        <w:tc>
          <w:tcPr>
            <w:tcW w:w="0" w:type="auto"/>
            <w:vAlign w:val="center"/>
          </w:tcPr>
          <w:p>
            <w:pPr>
              <w:adjustRightInd w:val="0"/>
              <w:jc w:val="center"/>
              <w:textAlignment w:val="baseline"/>
              <w:rPr>
                <w:rFonts w:eastAsia="宋体" w:cs="Times New Roman"/>
                <w:sz w:val="21"/>
              </w:rPr>
            </w:pPr>
            <w:r>
              <w:rPr>
                <w:rFonts w:cs="Times New Roman"/>
                <w:sz w:val="21"/>
              </w:rPr>
              <w:t>个</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adjustRightInd w:val="0"/>
              <w:jc w:val="center"/>
              <w:textAlignment w:val="baseline"/>
              <w:rPr>
                <w:rFonts w:cs="Times New Roman"/>
                <w:b/>
                <w:bCs/>
                <w:kern w:val="0"/>
                <w:sz w:val="21"/>
              </w:rPr>
            </w:pPr>
            <w:r>
              <w:rPr>
                <w:rFonts w:hint="eastAsia" w:cs="Times New Roman"/>
                <w:b/>
                <w:bCs/>
                <w:kern w:val="0"/>
                <w:sz w:val="21"/>
              </w:rPr>
              <w:t xml:space="preserve">8 </w:t>
            </w:r>
            <w:r>
              <w:rPr>
                <w:rFonts w:cs="Times New Roman"/>
                <w:b/>
                <w:bCs/>
                <w:kern w:val="0"/>
                <w:sz w:val="21"/>
              </w:rPr>
              <w:t xml:space="preserve"> 综合加药间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jc w:val="center"/>
              <w:textAlignment w:val="baseline"/>
              <w:rPr>
                <w:rFonts w:cs="Times New Roman"/>
                <w:sz w:val="21"/>
              </w:rPr>
            </w:pPr>
            <w:r>
              <w:rPr>
                <w:rFonts w:hint="eastAsia" w:cs="Times New Roman"/>
                <w:kern w:val="0"/>
                <w:sz w:val="21"/>
              </w:rPr>
              <w:t>二氧化氯</w:t>
            </w:r>
            <w:r>
              <w:rPr>
                <w:rFonts w:cs="Times New Roman"/>
                <w:kern w:val="0"/>
                <w:sz w:val="21"/>
              </w:rPr>
              <w:t>发生器</w:t>
            </w:r>
          </w:p>
        </w:tc>
        <w:tc>
          <w:tcPr>
            <w:tcW w:w="0" w:type="auto"/>
            <w:vAlign w:val="center"/>
          </w:tcPr>
          <w:p>
            <w:pPr>
              <w:adjustRightInd w:val="0"/>
              <w:jc w:val="center"/>
              <w:textAlignment w:val="baseline"/>
              <w:rPr>
                <w:rFonts w:cs="Times New Roman"/>
                <w:sz w:val="21"/>
              </w:rPr>
            </w:pPr>
            <w:r>
              <w:rPr>
                <w:rFonts w:cs="Times New Roman"/>
                <w:sz w:val="21"/>
              </w:rPr>
              <w:t>有效氯产量10kg/h,380V/5.0kW</w:t>
            </w:r>
          </w:p>
        </w:tc>
        <w:tc>
          <w:tcPr>
            <w:tcW w:w="0" w:type="auto"/>
            <w:vAlign w:val="center"/>
          </w:tcPr>
          <w:p>
            <w:pPr>
              <w:adjustRightInd w:val="0"/>
              <w:jc w:val="center"/>
              <w:textAlignment w:val="baseline"/>
              <w:rPr>
                <w:rFonts w:cs="Times New Roman"/>
                <w:sz w:val="21"/>
              </w:rPr>
            </w:pPr>
            <w:r>
              <w:rPr>
                <w:rFonts w:cs="Times New Roman"/>
                <w:sz w:val="21"/>
              </w:rPr>
              <w:t>台</w:t>
            </w:r>
          </w:p>
        </w:tc>
        <w:tc>
          <w:tcPr>
            <w:tcW w:w="0" w:type="auto"/>
            <w:vAlign w:val="center"/>
          </w:tcPr>
          <w:p>
            <w:pPr>
              <w:adjustRightInd w:val="0"/>
              <w:jc w:val="center"/>
              <w:textAlignment w:val="baseline"/>
              <w:rPr>
                <w:rFonts w:cs="Times New Roman"/>
                <w:sz w:val="21"/>
              </w:rPr>
            </w:pPr>
            <w:r>
              <w:rPr>
                <w:rFonts w:cs="Times New Roman"/>
                <w:sz w:val="21"/>
              </w:rPr>
              <w:t>2</w:t>
            </w:r>
          </w:p>
        </w:tc>
        <w:tc>
          <w:tcPr>
            <w:tcW w:w="0" w:type="auto"/>
            <w:vMerge w:val="restart"/>
            <w:vAlign w:val="center"/>
          </w:tcPr>
          <w:p>
            <w:pPr>
              <w:adjustRightInd w:val="0"/>
              <w:jc w:val="center"/>
              <w:textAlignment w:val="baseline"/>
              <w:rPr>
                <w:rFonts w:cs="Times New Roman"/>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eastAsia="宋体" w:cs="Times New Roman"/>
                <w:sz w:val="22"/>
                <w:szCs w:val="22"/>
              </w:rPr>
            </w:pPr>
            <w:r>
              <w:rPr>
                <w:rFonts w:hint="eastAsia" w:eastAsia="宋体" w:cs="Times New Roman"/>
                <w:sz w:val="22"/>
                <w:szCs w:val="22"/>
              </w:rPr>
              <w:t>2</w:t>
            </w:r>
          </w:p>
        </w:tc>
        <w:tc>
          <w:tcPr>
            <w:tcW w:w="0" w:type="auto"/>
            <w:vAlign w:val="center"/>
          </w:tcPr>
          <w:p>
            <w:pPr>
              <w:adjustRightInd w:val="0"/>
              <w:jc w:val="center"/>
              <w:textAlignment w:val="baseline"/>
              <w:rPr>
                <w:rFonts w:eastAsia="宋体" w:cs="Times New Roman"/>
                <w:sz w:val="21"/>
              </w:rPr>
            </w:pPr>
            <w:r>
              <w:rPr>
                <w:rFonts w:eastAsia="宋体" w:cs="Times New Roman"/>
                <w:sz w:val="21"/>
                <w:szCs w:val="21"/>
              </w:rPr>
              <w:t>二氧化氯发生器控制仪</w:t>
            </w:r>
          </w:p>
        </w:tc>
        <w:tc>
          <w:tcPr>
            <w:tcW w:w="0" w:type="auto"/>
            <w:vAlign w:val="center"/>
          </w:tcPr>
          <w:p>
            <w:pPr>
              <w:adjustRightInd w:val="0"/>
              <w:jc w:val="center"/>
              <w:textAlignment w:val="baseline"/>
              <w:rPr>
                <w:rFonts w:eastAsia="宋体" w:cs="Times New Roman"/>
                <w:sz w:val="21"/>
              </w:rPr>
            </w:pPr>
            <w:r>
              <w:rPr>
                <w:rFonts w:cs="Times New Roman"/>
                <w:sz w:val="21"/>
              </w:rPr>
              <w:t>置于发生器上</w:t>
            </w:r>
          </w:p>
        </w:tc>
        <w:tc>
          <w:tcPr>
            <w:tcW w:w="0" w:type="auto"/>
            <w:vAlign w:val="center"/>
          </w:tcPr>
          <w:p>
            <w:pPr>
              <w:adjustRightInd w:val="0"/>
              <w:jc w:val="center"/>
              <w:textAlignment w:val="baseline"/>
              <w:rPr>
                <w:rFonts w:eastAsia="宋体" w:cs="Times New Roman"/>
                <w:sz w:val="21"/>
              </w:rPr>
            </w:pPr>
            <w:r>
              <w:rPr>
                <w:rFonts w:cs="Times New Roman"/>
                <w:sz w:val="21"/>
              </w:rPr>
              <w:t>台</w:t>
            </w:r>
          </w:p>
        </w:tc>
        <w:tc>
          <w:tcPr>
            <w:tcW w:w="0" w:type="auto"/>
            <w:vAlign w:val="center"/>
          </w:tcPr>
          <w:p>
            <w:pPr>
              <w:adjustRightInd w:val="0"/>
              <w:jc w:val="center"/>
              <w:textAlignment w:val="baseline"/>
              <w:rPr>
                <w:rFonts w:eastAsia="宋体" w:cs="Times New Roman"/>
                <w:sz w:val="21"/>
              </w:rPr>
            </w:pPr>
            <w:r>
              <w:rPr>
                <w:rFonts w:cs="Times New Roman"/>
                <w:sz w:val="21"/>
              </w:rPr>
              <w:t>2</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3</w:t>
            </w:r>
          </w:p>
        </w:tc>
        <w:tc>
          <w:tcPr>
            <w:tcW w:w="0" w:type="auto"/>
            <w:vAlign w:val="center"/>
          </w:tcPr>
          <w:p>
            <w:pPr>
              <w:adjustRightInd w:val="0"/>
              <w:jc w:val="center"/>
              <w:textAlignment w:val="baseline"/>
              <w:rPr>
                <w:rFonts w:eastAsia="宋体" w:cs="Times New Roman"/>
                <w:sz w:val="21"/>
              </w:rPr>
            </w:pPr>
            <w:r>
              <w:rPr>
                <w:rFonts w:cs="Times New Roman"/>
                <w:sz w:val="21"/>
              </w:rPr>
              <w:t>电磁计量泵</w:t>
            </w:r>
          </w:p>
        </w:tc>
        <w:tc>
          <w:tcPr>
            <w:tcW w:w="0" w:type="auto"/>
            <w:vAlign w:val="center"/>
          </w:tcPr>
          <w:p>
            <w:pPr>
              <w:adjustRightInd w:val="0"/>
              <w:jc w:val="center"/>
              <w:textAlignment w:val="baseline"/>
              <w:rPr>
                <w:rFonts w:eastAsia="宋体" w:cs="Times New Roman"/>
                <w:sz w:val="21"/>
              </w:rPr>
            </w:pPr>
            <w:r>
              <w:rPr>
                <w:rFonts w:cs="Times New Roman"/>
                <w:sz w:val="21"/>
              </w:rPr>
              <w:t>Q=10L/h，H=10m</w:t>
            </w:r>
          </w:p>
        </w:tc>
        <w:tc>
          <w:tcPr>
            <w:tcW w:w="0" w:type="auto"/>
            <w:vAlign w:val="center"/>
          </w:tcPr>
          <w:p>
            <w:pPr>
              <w:adjustRightInd w:val="0"/>
              <w:jc w:val="center"/>
              <w:textAlignment w:val="baseline"/>
              <w:rPr>
                <w:rFonts w:eastAsia="宋体" w:cs="Times New Roman"/>
                <w:sz w:val="21"/>
              </w:rPr>
            </w:pPr>
            <w:r>
              <w:rPr>
                <w:rFonts w:cs="Times New Roman"/>
                <w:sz w:val="21"/>
              </w:rPr>
              <w:t>台</w:t>
            </w:r>
          </w:p>
        </w:tc>
        <w:tc>
          <w:tcPr>
            <w:tcW w:w="0" w:type="auto"/>
            <w:vAlign w:val="center"/>
          </w:tcPr>
          <w:p>
            <w:pPr>
              <w:adjustRightInd w:val="0"/>
              <w:jc w:val="center"/>
              <w:textAlignment w:val="baseline"/>
              <w:rPr>
                <w:rFonts w:eastAsia="宋体" w:cs="Times New Roman"/>
                <w:sz w:val="21"/>
              </w:rPr>
            </w:pPr>
            <w:r>
              <w:rPr>
                <w:rFonts w:cs="Times New Roman"/>
                <w:sz w:val="21"/>
              </w:rPr>
              <w:t>4</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4</w:t>
            </w:r>
          </w:p>
        </w:tc>
        <w:tc>
          <w:tcPr>
            <w:tcW w:w="0" w:type="auto"/>
            <w:vAlign w:val="center"/>
          </w:tcPr>
          <w:p>
            <w:pPr>
              <w:adjustRightInd w:val="0"/>
              <w:jc w:val="center"/>
              <w:textAlignment w:val="baseline"/>
              <w:rPr>
                <w:rFonts w:eastAsia="宋体" w:cs="Times New Roman"/>
                <w:sz w:val="21"/>
              </w:rPr>
            </w:pPr>
            <w:r>
              <w:rPr>
                <w:rFonts w:cs="Times New Roman"/>
                <w:sz w:val="21"/>
              </w:rPr>
              <w:t>背压阀</w:t>
            </w:r>
          </w:p>
        </w:tc>
        <w:tc>
          <w:tcPr>
            <w:tcW w:w="0" w:type="auto"/>
            <w:vAlign w:val="center"/>
          </w:tcPr>
          <w:p>
            <w:pPr>
              <w:adjustRightInd w:val="0"/>
              <w:jc w:val="center"/>
              <w:textAlignment w:val="baseline"/>
              <w:rPr>
                <w:rFonts w:eastAsia="宋体" w:cs="Times New Roman"/>
                <w:sz w:val="21"/>
              </w:rPr>
            </w:pPr>
            <w:r>
              <w:rPr>
                <w:rFonts w:cs="Times New Roman"/>
                <w:sz w:val="21"/>
              </w:rPr>
              <w:t>DN15</w:t>
            </w:r>
          </w:p>
        </w:tc>
        <w:tc>
          <w:tcPr>
            <w:tcW w:w="0" w:type="auto"/>
            <w:vAlign w:val="center"/>
          </w:tcPr>
          <w:p>
            <w:pPr>
              <w:adjustRightInd w:val="0"/>
              <w:jc w:val="center"/>
              <w:textAlignment w:val="baseline"/>
              <w:rPr>
                <w:rFonts w:eastAsia="宋体" w:cs="Times New Roman"/>
                <w:sz w:val="21"/>
              </w:rPr>
            </w:pPr>
            <w:r>
              <w:rPr>
                <w:rFonts w:cs="Times New Roman"/>
                <w:sz w:val="21"/>
              </w:rPr>
              <w:t>个</w:t>
            </w:r>
          </w:p>
        </w:tc>
        <w:tc>
          <w:tcPr>
            <w:tcW w:w="0" w:type="auto"/>
            <w:vAlign w:val="center"/>
          </w:tcPr>
          <w:p>
            <w:pPr>
              <w:adjustRightInd w:val="0"/>
              <w:jc w:val="center"/>
              <w:textAlignment w:val="baseline"/>
              <w:rPr>
                <w:rFonts w:eastAsia="宋体" w:cs="Times New Roman"/>
                <w:sz w:val="21"/>
              </w:rPr>
            </w:pPr>
            <w:r>
              <w:rPr>
                <w:rFonts w:cs="Times New Roman"/>
                <w:sz w:val="21"/>
              </w:rPr>
              <w:t>6</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5</w:t>
            </w:r>
          </w:p>
        </w:tc>
        <w:tc>
          <w:tcPr>
            <w:tcW w:w="0" w:type="auto"/>
            <w:vAlign w:val="center"/>
          </w:tcPr>
          <w:p>
            <w:pPr>
              <w:adjustRightInd w:val="0"/>
              <w:jc w:val="center"/>
              <w:textAlignment w:val="baseline"/>
              <w:rPr>
                <w:rFonts w:eastAsia="宋体" w:cs="Times New Roman"/>
                <w:sz w:val="21"/>
              </w:rPr>
            </w:pPr>
            <w:r>
              <w:rPr>
                <w:rFonts w:cs="Times New Roman"/>
                <w:sz w:val="21"/>
              </w:rPr>
              <w:t>水射器</w:t>
            </w:r>
          </w:p>
        </w:tc>
        <w:tc>
          <w:tcPr>
            <w:tcW w:w="0" w:type="auto"/>
            <w:vAlign w:val="center"/>
          </w:tcPr>
          <w:p>
            <w:pPr>
              <w:adjustRightInd w:val="0"/>
              <w:jc w:val="center"/>
              <w:textAlignment w:val="baseline"/>
              <w:rPr>
                <w:rFonts w:eastAsia="宋体" w:cs="Times New Roman"/>
                <w:sz w:val="21"/>
              </w:rPr>
            </w:pPr>
            <w:r>
              <w:rPr>
                <w:rFonts w:cs="Times New Roman"/>
                <w:sz w:val="21"/>
              </w:rPr>
              <w:t>DN15</w:t>
            </w:r>
          </w:p>
        </w:tc>
        <w:tc>
          <w:tcPr>
            <w:tcW w:w="0" w:type="auto"/>
            <w:vAlign w:val="center"/>
          </w:tcPr>
          <w:p>
            <w:pPr>
              <w:adjustRightInd w:val="0"/>
              <w:jc w:val="center"/>
              <w:textAlignment w:val="baseline"/>
              <w:rPr>
                <w:rFonts w:eastAsia="宋体" w:cs="Times New Roman"/>
                <w:sz w:val="21"/>
              </w:rPr>
            </w:pPr>
            <w:r>
              <w:rPr>
                <w:rFonts w:cs="Times New Roman"/>
                <w:sz w:val="21"/>
              </w:rPr>
              <w:t>个</w:t>
            </w:r>
          </w:p>
        </w:tc>
        <w:tc>
          <w:tcPr>
            <w:tcW w:w="0" w:type="auto"/>
            <w:vAlign w:val="center"/>
          </w:tcPr>
          <w:p>
            <w:pPr>
              <w:adjustRightInd w:val="0"/>
              <w:jc w:val="center"/>
              <w:textAlignment w:val="baseline"/>
              <w:rPr>
                <w:rFonts w:eastAsia="宋体" w:cs="Times New Roman"/>
                <w:sz w:val="21"/>
              </w:rPr>
            </w:pPr>
            <w:r>
              <w:rPr>
                <w:rFonts w:cs="Times New Roman"/>
                <w:sz w:val="21"/>
              </w:rPr>
              <w:t>6</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6</w:t>
            </w:r>
          </w:p>
        </w:tc>
        <w:tc>
          <w:tcPr>
            <w:tcW w:w="0" w:type="auto"/>
            <w:vAlign w:val="center"/>
          </w:tcPr>
          <w:p>
            <w:pPr>
              <w:adjustRightInd w:val="0"/>
              <w:jc w:val="center"/>
              <w:textAlignment w:val="baseline"/>
              <w:rPr>
                <w:rFonts w:eastAsia="宋体" w:cs="Times New Roman"/>
                <w:sz w:val="21"/>
              </w:rPr>
            </w:pPr>
            <w:r>
              <w:rPr>
                <w:rFonts w:cs="Times New Roman"/>
                <w:sz w:val="21"/>
              </w:rPr>
              <w:t>压力表</w:t>
            </w:r>
          </w:p>
        </w:tc>
        <w:tc>
          <w:tcPr>
            <w:tcW w:w="0" w:type="auto"/>
            <w:vAlign w:val="center"/>
          </w:tcPr>
          <w:p>
            <w:pPr>
              <w:adjustRightInd w:val="0"/>
              <w:jc w:val="center"/>
              <w:textAlignment w:val="baseline"/>
              <w:rPr>
                <w:rFonts w:eastAsia="宋体" w:cs="Times New Roman"/>
                <w:sz w:val="21"/>
              </w:rPr>
            </w:pPr>
            <w:r>
              <w:rPr>
                <w:rFonts w:cs="Times New Roman"/>
                <w:sz w:val="21"/>
              </w:rPr>
              <w:t>DN15,1.0MPa</w:t>
            </w:r>
          </w:p>
        </w:tc>
        <w:tc>
          <w:tcPr>
            <w:tcW w:w="0" w:type="auto"/>
            <w:vAlign w:val="center"/>
          </w:tcPr>
          <w:p>
            <w:pPr>
              <w:adjustRightInd w:val="0"/>
              <w:jc w:val="center"/>
              <w:textAlignment w:val="baseline"/>
              <w:rPr>
                <w:rFonts w:eastAsia="宋体" w:cs="Times New Roman"/>
                <w:sz w:val="21"/>
              </w:rPr>
            </w:pPr>
            <w:r>
              <w:rPr>
                <w:rFonts w:cs="Times New Roman"/>
                <w:sz w:val="21"/>
              </w:rPr>
              <w:t>个</w:t>
            </w:r>
          </w:p>
        </w:tc>
        <w:tc>
          <w:tcPr>
            <w:tcW w:w="0" w:type="auto"/>
            <w:vAlign w:val="center"/>
          </w:tcPr>
          <w:p>
            <w:pPr>
              <w:adjustRightInd w:val="0"/>
              <w:jc w:val="center"/>
              <w:textAlignment w:val="baseline"/>
              <w:rPr>
                <w:rFonts w:eastAsia="宋体" w:cs="Times New Roman"/>
                <w:sz w:val="21"/>
              </w:rPr>
            </w:pPr>
            <w:r>
              <w:rPr>
                <w:rFonts w:cs="Times New Roman"/>
                <w:sz w:val="21"/>
              </w:rPr>
              <w:t>3</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7</w:t>
            </w:r>
          </w:p>
        </w:tc>
        <w:tc>
          <w:tcPr>
            <w:tcW w:w="0" w:type="auto"/>
            <w:vAlign w:val="center"/>
          </w:tcPr>
          <w:p>
            <w:pPr>
              <w:adjustRightInd w:val="0"/>
              <w:jc w:val="center"/>
              <w:textAlignment w:val="baseline"/>
              <w:rPr>
                <w:rFonts w:eastAsia="宋体" w:cs="Times New Roman"/>
                <w:sz w:val="21"/>
              </w:rPr>
            </w:pPr>
            <w:r>
              <w:rPr>
                <w:rFonts w:cs="Times New Roman"/>
                <w:sz w:val="21"/>
              </w:rPr>
              <w:t>Y型过滤器</w:t>
            </w:r>
          </w:p>
        </w:tc>
        <w:tc>
          <w:tcPr>
            <w:tcW w:w="0" w:type="auto"/>
            <w:vAlign w:val="center"/>
          </w:tcPr>
          <w:p>
            <w:pPr>
              <w:adjustRightInd w:val="0"/>
              <w:jc w:val="center"/>
              <w:textAlignment w:val="baseline"/>
              <w:rPr>
                <w:rFonts w:eastAsia="宋体" w:cs="Times New Roman"/>
                <w:sz w:val="21"/>
              </w:rPr>
            </w:pPr>
            <w:r>
              <w:rPr>
                <w:rFonts w:cs="Times New Roman"/>
                <w:sz w:val="21"/>
              </w:rPr>
              <w:t>DN15</w:t>
            </w:r>
          </w:p>
        </w:tc>
        <w:tc>
          <w:tcPr>
            <w:tcW w:w="0" w:type="auto"/>
            <w:vAlign w:val="center"/>
          </w:tcPr>
          <w:p>
            <w:pPr>
              <w:adjustRightInd w:val="0"/>
              <w:jc w:val="center"/>
              <w:textAlignment w:val="baseline"/>
              <w:rPr>
                <w:rFonts w:eastAsia="宋体" w:cs="Times New Roman"/>
                <w:sz w:val="21"/>
              </w:rPr>
            </w:pPr>
            <w:r>
              <w:rPr>
                <w:rFonts w:cs="Times New Roman"/>
                <w:sz w:val="21"/>
              </w:rPr>
              <w:t>个</w:t>
            </w:r>
          </w:p>
        </w:tc>
        <w:tc>
          <w:tcPr>
            <w:tcW w:w="0" w:type="auto"/>
            <w:vAlign w:val="center"/>
          </w:tcPr>
          <w:p>
            <w:pPr>
              <w:adjustRightInd w:val="0"/>
              <w:jc w:val="center"/>
              <w:textAlignment w:val="baseline"/>
              <w:rPr>
                <w:rFonts w:eastAsia="宋体" w:cs="Times New Roman"/>
                <w:sz w:val="21"/>
              </w:rPr>
            </w:pPr>
            <w:r>
              <w:rPr>
                <w:rFonts w:cs="Times New Roman"/>
                <w:sz w:val="21"/>
              </w:rPr>
              <w:t>6</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8</w:t>
            </w:r>
          </w:p>
        </w:tc>
        <w:tc>
          <w:tcPr>
            <w:tcW w:w="0" w:type="auto"/>
            <w:vAlign w:val="center"/>
          </w:tcPr>
          <w:p>
            <w:pPr>
              <w:adjustRightInd w:val="0"/>
              <w:jc w:val="center"/>
              <w:textAlignment w:val="baseline"/>
              <w:rPr>
                <w:rFonts w:eastAsia="宋体" w:cs="Times New Roman"/>
                <w:sz w:val="21"/>
              </w:rPr>
            </w:pPr>
            <w:r>
              <w:rPr>
                <w:rFonts w:cs="Times New Roman"/>
                <w:sz w:val="21"/>
              </w:rPr>
              <w:t>盐酸储罐</w:t>
            </w:r>
          </w:p>
        </w:tc>
        <w:tc>
          <w:tcPr>
            <w:tcW w:w="0" w:type="auto"/>
            <w:vAlign w:val="center"/>
          </w:tcPr>
          <w:p>
            <w:pPr>
              <w:adjustRightInd w:val="0"/>
              <w:jc w:val="center"/>
              <w:textAlignment w:val="baseline"/>
              <w:rPr>
                <w:rFonts w:eastAsia="宋体" w:cs="Times New Roman"/>
                <w:sz w:val="21"/>
              </w:rPr>
            </w:pPr>
            <w:r>
              <w:rPr>
                <w:rFonts w:cs="Times New Roman"/>
                <w:sz w:val="21"/>
              </w:rPr>
              <w:t>10m</w:t>
            </w:r>
            <w:r>
              <w:rPr>
                <w:rFonts w:cs="Times New Roman"/>
                <w:sz w:val="21"/>
                <w:vertAlign w:val="superscript"/>
              </w:rPr>
              <w:t>3</w:t>
            </w:r>
            <w:r>
              <w:rPr>
                <w:rFonts w:cs="Times New Roman"/>
                <w:sz w:val="21"/>
              </w:rPr>
              <w:t>，PE材质,直径2000</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hint="eastAsia" w:cs="Times New Roman"/>
                <w:sz w:val="21"/>
              </w:rPr>
              <w:t>1</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9</w:t>
            </w:r>
          </w:p>
        </w:tc>
        <w:tc>
          <w:tcPr>
            <w:tcW w:w="0" w:type="auto"/>
            <w:vAlign w:val="center"/>
          </w:tcPr>
          <w:p>
            <w:pPr>
              <w:adjustRightInd w:val="0"/>
              <w:jc w:val="center"/>
              <w:textAlignment w:val="baseline"/>
              <w:rPr>
                <w:rFonts w:eastAsia="宋体" w:cs="Times New Roman"/>
                <w:sz w:val="21"/>
              </w:rPr>
            </w:pPr>
            <w:r>
              <w:rPr>
                <w:rFonts w:cs="Times New Roman"/>
                <w:sz w:val="21"/>
              </w:rPr>
              <w:t>氯酸钠储罐</w:t>
            </w:r>
          </w:p>
        </w:tc>
        <w:tc>
          <w:tcPr>
            <w:tcW w:w="0" w:type="auto"/>
            <w:vAlign w:val="center"/>
          </w:tcPr>
          <w:p>
            <w:pPr>
              <w:adjustRightInd w:val="0"/>
              <w:jc w:val="center"/>
              <w:textAlignment w:val="baseline"/>
              <w:rPr>
                <w:rFonts w:eastAsia="宋体" w:cs="Times New Roman"/>
                <w:sz w:val="21"/>
              </w:rPr>
            </w:pPr>
            <w:r>
              <w:rPr>
                <w:rFonts w:cs="Times New Roman"/>
                <w:sz w:val="21"/>
              </w:rPr>
              <w:t>2.5m</w:t>
            </w:r>
            <w:r>
              <w:rPr>
                <w:rFonts w:cs="Times New Roman"/>
                <w:sz w:val="21"/>
                <w:vertAlign w:val="superscript"/>
              </w:rPr>
              <w:t>3</w:t>
            </w:r>
            <w:r>
              <w:rPr>
                <w:rFonts w:cs="Times New Roman"/>
                <w:sz w:val="21"/>
              </w:rPr>
              <w:t>，PE材质</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10</w:t>
            </w:r>
          </w:p>
        </w:tc>
        <w:tc>
          <w:tcPr>
            <w:tcW w:w="0" w:type="auto"/>
            <w:vAlign w:val="center"/>
          </w:tcPr>
          <w:p>
            <w:pPr>
              <w:adjustRightInd w:val="0"/>
              <w:jc w:val="center"/>
              <w:textAlignment w:val="baseline"/>
              <w:rPr>
                <w:rFonts w:eastAsia="宋体" w:cs="Times New Roman"/>
                <w:sz w:val="21"/>
              </w:rPr>
            </w:pPr>
            <w:r>
              <w:rPr>
                <w:rFonts w:cs="Times New Roman"/>
                <w:sz w:val="21"/>
              </w:rPr>
              <w:t>卸酸泵</w:t>
            </w:r>
          </w:p>
        </w:tc>
        <w:tc>
          <w:tcPr>
            <w:tcW w:w="0" w:type="auto"/>
            <w:vAlign w:val="center"/>
          </w:tcPr>
          <w:p>
            <w:pPr>
              <w:adjustRightInd w:val="0"/>
              <w:jc w:val="center"/>
              <w:textAlignment w:val="baseline"/>
              <w:rPr>
                <w:rFonts w:eastAsia="宋体" w:cs="Times New Roman"/>
                <w:sz w:val="21"/>
              </w:rPr>
            </w:pPr>
            <w:r>
              <w:rPr>
                <w:rFonts w:cs="Times New Roman"/>
                <w:sz w:val="21"/>
              </w:rPr>
              <w:t>Q=10m</w:t>
            </w:r>
            <w:r>
              <w:rPr>
                <w:rFonts w:cs="Times New Roman"/>
                <w:sz w:val="21"/>
                <w:vertAlign w:val="superscript"/>
              </w:rPr>
              <w:t>3</w:t>
            </w:r>
            <w:r>
              <w:rPr>
                <w:rFonts w:cs="Times New Roman"/>
                <w:sz w:val="21"/>
              </w:rPr>
              <w:t>/h，H=7m，1.5kW</w:t>
            </w:r>
          </w:p>
        </w:tc>
        <w:tc>
          <w:tcPr>
            <w:tcW w:w="0" w:type="auto"/>
            <w:vAlign w:val="center"/>
          </w:tcPr>
          <w:p>
            <w:pPr>
              <w:adjustRightInd w:val="0"/>
              <w:jc w:val="center"/>
              <w:textAlignment w:val="baseline"/>
              <w:rPr>
                <w:rFonts w:eastAsia="宋体" w:cs="Times New Roman"/>
                <w:sz w:val="21"/>
              </w:rPr>
            </w:pPr>
            <w:r>
              <w:rPr>
                <w:rFonts w:cs="Times New Roman"/>
                <w:sz w:val="21"/>
              </w:rPr>
              <w:t>台</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11</w:t>
            </w:r>
          </w:p>
        </w:tc>
        <w:tc>
          <w:tcPr>
            <w:tcW w:w="0" w:type="auto"/>
            <w:vAlign w:val="center"/>
          </w:tcPr>
          <w:p>
            <w:pPr>
              <w:adjustRightInd w:val="0"/>
              <w:jc w:val="center"/>
              <w:textAlignment w:val="baseline"/>
              <w:rPr>
                <w:rFonts w:eastAsia="宋体" w:cs="Times New Roman"/>
                <w:sz w:val="21"/>
              </w:rPr>
            </w:pPr>
            <w:r>
              <w:rPr>
                <w:rFonts w:cs="Times New Roman"/>
                <w:sz w:val="21"/>
              </w:rPr>
              <w:t>化料器</w:t>
            </w:r>
          </w:p>
        </w:tc>
        <w:tc>
          <w:tcPr>
            <w:tcW w:w="0" w:type="auto"/>
            <w:vAlign w:val="center"/>
          </w:tcPr>
          <w:p>
            <w:pPr>
              <w:adjustRightInd w:val="0"/>
              <w:jc w:val="center"/>
              <w:textAlignment w:val="baseline"/>
              <w:rPr>
                <w:rFonts w:eastAsia="宋体" w:cs="Times New Roman"/>
                <w:sz w:val="21"/>
              </w:rPr>
            </w:pPr>
            <w:r>
              <w:rPr>
                <w:rFonts w:cs="Times New Roman"/>
                <w:sz w:val="21"/>
              </w:rPr>
              <w:t>化料量250kg/次，380V/1.5KW</w:t>
            </w:r>
          </w:p>
        </w:tc>
        <w:tc>
          <w:tcPr>
            <w:tcW w:w="0" w:type="auto"/>
            <w:vAlign w:val="center"/>
          </w:tcPr>
          <w:p>
            <w:pPr>
              <w:adjustRightInd w:val="0"/>
              <w:jc w:val="center"/>
              <w:textAlignment w:val="baseline"/>
              <w:rPr>
                <w:rFonts w:eastAsia="宋体" w:cs="Times New Roman"/>
                <w:sz w:val="21"/>
              </w:rPr>
            </w:pPr>
            <w:r>
              <w:rPr>
                <w:rFonts w:cs="Times New Roman"/>
                <w:sz w:val="21"/>
              </w:rPr>
              <w:t>台</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12</w:t>
            </w:r>
          </w:p>
        </w:tc>
        <w:tc>
          <w:tcPr>
            <w:tcW w:w="0" w:type="auto"/>
            <w:vAlign w:val="center"/>
          </w:tcPr>
          <w:p>
            <w:pPr>
              <w:adjustRightInd w:val="0"/>
              <w:jc w:val="center"/>
              <w:textAlignment w:val="baseline"/>
              <w:rPr>
                <w:rFonts w:eastAsia="宋体" w:cs="Times New Roman"/>
                <w:sz w:val="21"/>
              </w:rPr>
            </w:pPr>
            <w:r>
              <w:rPr>
                <w:rFonts w:cs="Times New Roman"/>
                <w:sz w:val="21"/>
              </w:rPr>
              <w:t>氯酸钠管道系统</w:t>
            </w:r>
          </w:p>
        </w:tc>
        <w:tc>
          <w:tcPr>
            <w:tcW w:w="0" w:type="auto"/>
            <w:vAlign w:val="center"/>
          </w:tcPr>
          <w:p>
            <w:pPr>
              <w:adjustRightInd w:val="0"/>
              <w:jc w:val="center"/>
              <w:textAlignment w:val="baseline"/>
              <w:rPr>
                <w:rFonts w:eastAsia="宋体" w:cs="Times New Roman"/>
                <w:sz w:val="21"/>
              </w:rPr>
            </w:pPr>
            <w:r>
              <w:rPr>
                <w:rFonts w:cs="Times New Roman"/>
                <w:sz w:val="21"/>
              </w:rPr>
              <w:t>UPVC材质</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13</w:t>
            </w:r>
          </w:p>
        </w:tc>
        <w:tc>
          <w:tcPr>
            <w:tcW w:w="0" w:type="auto"/>
            <w:vAlign w:val="center"/>
          </w:tcPr>
          <w:p>
            <w:pPr>
              <w:adjustRightInd w:val="0"/>
              <w:jc w:val="center"/>
              <w:textAlignment w:val="baseline"/>
              <w:rPr>
                <w:rFonts w:eastAsia="宋体" w:cs="Times New Roman"/>
                <w:sz w:val="21"/>
              </w:rPr>
            </w:pPr>
            <w:r>
              <w:rPr>
                <w:rFonts w:cs="Times New Roman"/>
                <w:sz w:val="21"/>
              </w:rPr>
              <w:t>轴流通风机</w:t>
            </w:r>
          </w:p>
        </w:tc>
        <w:tc>
          <w:tcPr>
            <w:tcW w:w="0" w:type="auto"/>
            <w:vAlign w:val="center"/>
          </w:tcPr>
          <w:p>
            <w:pPr>
              <w:adjustRightInd w:val="0"/>
              <w:jc w:val="center"/>
              <w:textAlignment w:val="baseline"/>
              <w:rPr>
                <w:rFonts w:eastAsia="宋体" w:cs="Times New Roman"/>
                <w:sz w:val="21"/>
              </w:rPr>
            </w:pPr>
            <w:r>
              <w:rPr>
                <w:rFonts w:cs="Times New Roman"/>
                <w:sz w:val="21"/>
              </w:rPr>
              <w:t>Q=2167m</w:t>
            </w:r>
            <w:r>
              <w:rPr>
                <w:rFonts w:cs="Times New Roman"/>
                <w:sz w:val="21"/>
                <w:vertAlign w:val="superscript"/>
              </w:rPr>
              <w:t>3</w:t>
            </w:r>
            <w:r>
              <w:rPr>
                <w:rFonts w:cs="Times New Roman"/>
                <w:sz w:val="21"/>
              </w:rPr>
              <w:t>/h，n=2900rpm，H=169Pa，单台N=0.18kW</w:t>
            </w:r>
          </w:p>
        </w:tc>
        <w:tc>
          <w:tcPr>
            <w:tcW w:w="0" w:type="auto"/>
            <w:vAlign w:val="center"/>
          </w:tcPr>
          <w:p>
            <w:pPr>
              <w:adjustRightInd w:val="0"/>
              <w:jc w:val="center"/>
              <w:textAlignment w:val="baseline"/>
              <w:rPr>
                <w:rFonts w:eastAsia="宋体" w:cs="Times New Roman"/>
                <w:sz w:val="21"/>
              </w:rPr>
            </w:pPr>
            <w:r>
              <w:rPr>
                <w:rFonts w:cs="Times New Roman"/>
                <w:sz w:val="21"/>
              </w:rPr>
              <w:t>台</w:t>
            </w:r>
          </w:p>
        </w:tc>
        <w:tc>
          <w:tcPr>
            <w:tcW w:w="0" w:type="auto"/>
            <w:vAlign w:val="center"/>
          </w:tcPr>
          <w:p>
            <w:pPr>
              <w:adjustRightInd w:val="0"/>
              <w:jc w:val="center"/>
              <w:textAlignment w:val="baseline"/>
              <w:rPr>
                <w:rFonts w:eastAsia="宋体" w:cs="Times New Roman"/>
                <w:sz w:val="21"/>
              </w:rPr>
            </w:pPr>
            <w:r>
              <w:rPr>
                <w:rFonts w:cs="Times New Roman"/>
                <w:sz w:val="21"/>
              </w:rPr>
              <w:t>4</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14</w:t>
            </w:r>
          </w:p>
        </w:tc>
        <w:tc>
          <w:tcPr>
            <w:tcW w:w="0" w:type="auto"/>
            <w:vAlign w:val="center"/>
          </w:tcPr>
          <w:p>
            <w:pPr>
              <w:adjustRightInd w:val="0"/>
              <w:jc w:val="center"/>
              <w:textAlignment w:val="baseline"/>
              <w:rPr>
                <w:rFonts w:eastAsia="宋体" w:cs="Times New Roman"/>
                <w:sz w:val="21"/>
              </w:rPr>
            </w:pPr>
            <w:r>
              <w:rPr>
                <w:rFonts w:cs="Times New Roman"/>
                <w:sz w:val="21"/>
              </w:rPr>
              <w:t>磷酸铵盐干粉灭火器</w:t>
            </w:r>
          </w:p>
        </w:tc>
        <w:tc>
          <w:tcPr>
            <w:tcW w:w="0" w:type="auto"/>
            <w:vAlign w:val="center"/>
          </w:tcPr>
          <w:p>
            <w:pPr>
              <w:adjustRightInd w:val="0"/>
              <w:jc w:val="center"/>
              <w:textAlignment w:val="baseline"/>
              <w:rPr>
                <w:rFonts w:eastAsia="宋体" w:cs="Times New Roman"/>
                <w:sz w:val="21"/>
              </w:rPr>
            </w:pPr>
            <w:r>
              <w:rPr>
                <w:rFonts w:cs="Times New Roman"/>
                <w:sz w:val="21"/>
              </w:rPr>
              <w:t>ML-3kg</w:t>
            </w:r>
          </w:p>
        </w:tc>
        <w:tc>
          <w:tcPr>
            <w:tcW w:w="0" w:type="auto"/>
            <w:vAlign w:val="center"/>
          </w:tcPr>
          <w:p>
            <w:pPr>
              <w:adjustRightInd w:val="0"/>
              <w:jc w:val="center"/>
              <w:textAlignment w:val="baseline"/>
              <w:rPr>
                <w:rFonts w:eastAsia="宋体" w:cs="Times New Roman"/>
                <w:sz w:val="21"/>
              </w:rPr>
            </w:pPr>
            <w:r>
              <w:rPr>
                <w:rFonts w:cs="Times New Roman"/>
                <w:sz w:val="21"/>
              </w:rPr>
              <w:t>具</w:t>
            </w:r>
          </w:p>
        </w:tc>
        <w:tc>
          <w:tcPr>
            <w:tcW w:w="0" w:type="auto"/>
            <w:vAlign w:val="center"/>
          </w:tcPr>
          <w:p>
            <w:pPr>
              <w:adjustRightInd w:val="0"/>
              <w:jc w:val="center"/>
              <w:textAlignment w:val="baseline"/>
              <w:rPr>
                <w:rFonts w:eastAsia="宋体" w:cs="Times New Roman"/>
                <w:sz w:val="21"/>
              </w:rPr>
            </w:pPr>
            <w:r>
              <w:rPr>
                <w:rFonts w:cs="Times New Roman"/>
                <w:sz w:val="21"/>
              </w:rPr>
              <w:t>6</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15</w:t>
            </w:r>
          </w:p>
        </w:tc>
        <w:tc>
          <w:tcPr>
            <w:tcW w:w="0" w:type="auto"/>
            <w:vAlign w:val="center"/>
          </w:tcPr>
          <w:p>
            <w:pPr>
              <w:adjustRightInd w:val="0"/>
              <w:jc w:val="center"/>
              <w:textAlignment w:val="baseline"/>
              <w:rPr>
                <w:rFonts w:eastAsia="宋体" w:cs="Times New Roman"/>
                <w:sz w:val="21"/>
              </w:rPr>
            </w:pPr>
            <w:r>
              <w:rPr>
                <w:rFonts w:cs="Times New Roman"/>
                <w:sz w:val="21"/>
              </w:rPr>
              <w:t>抢救设施及工具箱</w:t>
            </w:r>
          </w:p>
        </w:tc>
        <w:tc>
          <w:tcPr>
            <w:tcW w:w="0" w:type="auto"/>
            <w:vAlign w:val="center"/>
          </w:tcPr>
          <w:p>
            <w:pPr>
              <w:adjustRightInd w:val="0"/>
              <w:jc w:val="center"/>
              <w:textAlignment w:val="baseline"/>
              <w:rPr>
                <w:rFonts w:eastAsia="宋体" w:cs="Times New Roman"/>
                <w:sz w:val="21"/>
              </w:rPr>
            </w:pP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2</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16</w:t>
            </w:r>
          </w:p>
        </w:tc>
        <w:tc>
          <w:tcPr>
            <w:tcW w:w="0" w:type="auto"/>
            <w:vAlign w:val="center"/>
          </w:tcPr>
          <w:p>
            <w:pPr>
              <w:adjustRightInd w:val="0"/>
              <w:jc w:val="center"/>
              <w:textAlignment w:val="baseline"/>
              <w:rPr>
                <w:rFonts w:eastAsia="宋体" w:cs="Times New Roman"/>
                <w:sz w:val="21"/>
              </w:rPr>
            </w:pPr>
            <w:r>
              <w:rPr>
                <w:rFonts w:cs="Times New Roman"/>
                <w:sz w:val="21"/>
              </w:rPr>
              <w:t>过滤式防毒面具及呼吸器</w:t>
            </w:r>
          </w:p>
        </w:tc>
        <w:tc>
          <w:tcPr>
            <w:tcW w:w="0" w:type="auto"/>
            <w:vAlign w:val="center"/>
          </w:tcPr>
          <w:p>
            <w:pPr>
              <w:adjustRightInd w:val="0"/>
              <w:jc w:val="center"/>
              <w:textAlignment w:val="baseline"/>
              <w:rPr>
                <w:rFonts w:eastAsia="宋体" w:cs="Times New Roman"/>
                <w:sz w:val="21"/>
              </w:rPr>
            </w:pP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2</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17</w:t>
            </w:r>
          </w:p>
        </w:tc>
        <w:tc>
          <w:tcPr>
            <w:tcW w:w="0" w:type="auto"/>
            <w:vAlign w:val="center"/>
          </w:tcPr>
          <w:p>
            <w:pPr>
              <w:adjustRightInd w:val="0"/>
              <w:jc w:val="center"/>
              <w:textAlignment w:val="baseline"/>
              <w:rPr>
                <w:rFonts w:eastAsia="宋体" w:cs="Times New Roman"/>
                <w:sz w:val="21"/>
              </w:rPr>
            </w:pPr>
            <w:r>
              <w:rPr>
                <w:rFonts w:cs="Times New Roman"/>
                <w:sz w:val="21"/>
              </w:rPr>
              <w:t>防护服、防护手套及防护靴子</w:t>
            </w:r>
          </w:p>
        </w:tc>
        <w:tc>
          <w:tcPr>
            <w:tcW w:w="0" w:type="auto"/>
            <w:vAlign w:val="center"/>
          </w:tcPr>
          <w:p>
            <w:pPr>
              <w:adjustRightInd w:val="0"/>
              <w:jc w:val="center"/>
              <w:textAlignment w:val="baseline"/>
              <w:rPr>
                <w:rFonts w:eastAsia="宋体" w:cs="Times New Roman"/>
                <w:sz w:val="21"/>
              </w:rPr>
            </w:pPr>
            <w:r>
              <w:rPr>
                <w:rFonts w:cs="Times New Roman"/>
                <w:sz w:val="21"/>
              </w:rPr>
              <w:t>橡胶或乙烯类聚合物材料</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2</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18</w:t>
            </w:r>
          </w:p>
        </w:tc>
        <w:tc>
          <w:tcPr>
            <w:tcW w:w="0" w:type="auto"/>
            <w:vAlign w:val="center"/>
          </w:tcPr>
          <w:p>
            <w:pPr>
              <w:adjustRightInd w:val="0"/>
              <w:jc w:val="center"/>
              <w:textAlignment w:val="baseline"/>
              <w:rPr>
                <w:rFonts w:eastAsia="宋体" w:cs="Times New Roman"/>
                <w:sz w:val="21"/>
              </w:rPr>
            </w:pPr>
            <w:r>
              <w:rPr>
                <w:rFonts w:cs="Times New Roman"/>
                <w:sz w:val="21"/>
              </w:rPr>
              <w:t>快速冲洗龙头(配套紧急冲淋洗眼器)</w:t>
            </w:r>
          </w:p>
        </w:tc>
        <w:tc>
          <w:tcPr>
            <w:tcW w:w="0" w:type="auto"/>
            <w:vAlign w:val="center"/>
          </w:tcPr>
          <w:p>
            <w:pPr>
              <w:adjustRightInd w:val="0"/>
              <w:jc w:val="center"/>
              <w:textAlignment w:val="baseline"/>
              <w:rPr>
                <w:rFonts w:eastAsia="宋体" w:cs="Times New Roman"/>
                <w:sz w:val="21"/>
              </w:rPr>
            </w:pP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3</w:t>
            </w:r>
          </w:p>
        </w:tc>
        <w:tc>
          <w:tcPr>
            <w:tcW w:w="0" w:type="auto"/>
            <w:vMerge w:val="continue"/>
            <w:vAlign w:val="center"/>
          </w:tcPr>
          <w:p>
            <w:pPr>
              <w:adjustRightInd w:val="0"/>
              <w:jc w:val="center"/>
              <w:textAlignment w:val="baseline"/>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19</w:t>
            </w:r>
          </w:p>
        </w:tc>
        <w:tc>
          <w:tcPr>
            <w:tcW w:w="0" w:type="auto"/>
            <w:vAlign w:val="center"/>
          </w:tcPr>
          <w:p>
            <w:pPr>
              <w:adjustRightInd w:val="0"/>
              <w:jc w:val="center"/>
              <w:textAlignment w:val="baseline"/>
              <w:rPr>
                <w:rFonts w:eastAsia="宋体" w:cs="Times New Roman"/>
                <w:sz w:val="21"/>
              </w:rPr>
            </w:pPr>
            <w:r>
              <w:rPr>
                <w:rFonts w:cs="Times New Roman"/>
                <w:sz w:val="21"/>
              </w:rPr>
              <w:t>组合阀</w:t>
            </w:r>
          </w:p>
        </w:tc>
        <w:tc>
          <w:tcPr>
            <w:tcW w:w="0" w:type="auto"/>
            <w:vAlign w:val="center"/>
          </w:tcPr>
          <w:p>
            <w:pPr>
              <w:adjustRightInd w:val="0"/>
              <w:jc w:val="center"/>
              <w:textAlignment w:val="baseline"/>
              <w:rPr>
                <w:rFonts w:eastAsia="宋体" w:cs="Times New Roman"/>
                <w:sz w:val="21"/>
              </w:rPr>
            </w:pPr>
            <w:r>
              <w:rPr>
                <w:rFonts w:cs="Times New Roman"/>
                <w:sz w:val="21"/>
              </w:rPr>
              <w:t>DN50，室外安装,具备倒流防止功能</w:t>
            </w: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jc w:val="center"/>
              <w:textAlignment w:val="baseline"/>
              <w:rPr>
                <w:rFonts w:cs="Times New Roman"/>
                <w:sz w:val="21"/>
              </w:rPr>
            </w:pPr>
            <w:r>
              <w:rPr>
                <w:rFonts w:hint="eastAsia" w:cs="Times New Roman"/>
                <w:sz w:val="21"/>
              </w:rPr>
              <w:t>20</w:t>
            </w:r>
          </w:p>
        </w:tc>
        <w:tc>
          <w:tcPr>
            <w:tcW w:w="0" w:type="auto"/>
            <w:vAlign w:val="center"/>
          </w:tcPr>
          <w:p>
            <w:pPr>
              <w:adjustRightInd w:val="0"/>
              <w:jc w:val="center"/>
              <w:textAlignment w:val="baseline"/>
              <w:rPr>
                <w:rFonts w:eastAsia="宋体" w:cs="Times New Roman"/>
                <w:sz w:val="21"/>
              </w:rPr>
            </w:pPr>
            <w:r>
              <w:rPr>
                <w:rFonts w:cs="Times New Roman"/>
                <w:sz w:val="21"/>
              </w:rPr>
              <w:t>酸雾吸收装置</w:t>
            </w:r>
          </w:p>
        </w:tc>
        <w:tc>
          <w:tcPr>
            <w:tcW w:w="0" w:type="auto"/>
            <w:vAlign w:val="center"/>
          </w:tcPr>
          <w:p>
            <w:pPr>
              <w:adjustRightInd w:val="0"/>
              <w:jc w:val="center"/>
              <w:textAlignment w:val="baseline"/>
              <w:rPr>
                <w:rFonts w:eastAsia="宋体" w:cs="Times New Roman"/>
                <w:sz w:val="21"/>
              </w:rPr>
            </w:pPr>
          </w:p>
        </w:tc>
        <w:tc>
          <w:tcPr>
            <w:tcW w:w="0" w:type="auto"/>
            <w:vAlign w:val="center"/>
          </w:tcPr>
          <w:p>
            <w:pPr>
              <w:adjustRightInd w:val="0"/>
              <w:jc w:val="center"/>
              <w:textAlignment w:val="baseline"/>
              <w:rPr>
                <w:rFonts w:eastAsia="宋体" w:cs="Times New Roman"/>
                <w:sz w:val="21"/>
              </w:rPr>
            </w:pPr>
            <w:r>
              <w:rPr>
                <w:rFonts w:cs="Times New Roman"/>
                <w:sz w:val="21"/>
              </w:rPr>
              <w:t>套</w:t>
            </w:r>
          </w:p>
        </w:tc>
        <w:tc>
          <w:tcPr>
            <w:tcW w:w="0" w:type="auto"/>
            <w:vAlign w:val="center"/>
          </w:tcPr>
          <w:p>
            <w:pPr>
              <w:adjustRightInd w:val="0"/>
              <w:jc w:val="center"/>
              <w:textAlignment w:val="baseline"/>
              <w:rPr>
                <w:rFonts w:eastAsia="宋体" w:cs="Times New Roman"/>
                <w:sz w:val="21"/>
              </w:rPr>
            </w:pPr>
            <w:r>
              <w:rPr>
                <w:rFonts w:cs="Times New Roman"/>
                <w:sz w:val="21"/>
              </w:rPr>
              <w:t>1</w:t>
            </w:r>
          </w:p>
        </w:tc>
        <w:tc>
          <w:tcPr>
            <w:tcW w:w="0" w:type="auto"/>
            <w:vMerge w:val="continue"/>
            <w:vAlign w:val="center"/>
          </w:tcPr>
          <w:p>
            <w:pPr>
              <w:adjustRightInd w:val="0"/>
              <w:jc w:val="center"/>
              <w:textAlignment w:val="baseline"/>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gridSpan w:val="6"/>
            <w:vAlign w:val="center"/>
          </w:tcPr>
          <w:p>
            <w:pPr>
              <w:adjustRightInd w:val="0"/>
              <w:jc w:val="center"/>
              <w:textAlignment w:val="baseline"/>
              <w:rPr>
                <w:rFonts w:cs="Times New Roman"/>
                <w:b/>
                <w:bCs/>
                <w:kern w:val="0"/>
                <w:sz w:val="21"/>
              </w:rPr>
            </w:pPr>
            <w:r>
              <w:rPr>
                <w:rFonts w:hint="eastAsia" w:cs="Times New Roman"/>
                <w:b/>
                <w:bCs/>
                <w:kern w:val="0"/>
                <w:sz w:val="21"/>
              </w:rPr>
              <w:t xml:space="preserve">9 </w:t>
            </w:r>
            <w:r>
              <w:rPr>
                <w:rFonts w:cs="Times New Roman"/>
                <w:b/>
                <w:bCs/>
                <w:kern w:val="0"/>
                <w:sz w:val="21"/>
              </w:rPr>
              <w:t>鼓风机房、变配电间及机修间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adjustRightInd w:val="0"/>
              <w:spacing w:line="320" w:lineRule="exact"/>
              <w:jc w:val="center"/>
              <w:textAlignment w:val="baseline"/>
              <w:rPr>
                <w:rFonts w:cs="Times New Roman"/>
                <w:kern w:val="0"/>
                <w:sz w:val="21"/>
              </w:rPr>
            </w:pPr>
            <w:r>
              <w:rPr>
                <w:rFonts w:hint="eastAsia" w:cs="Times New Roman"/>
                <w:kern w:val="0"/>
                <w:sz w:val="21"/>
              </w:rPr>
              <w:t>1</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空气悬浮鼓风机</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WL75Q=40m /min  WH=68.6kPa N=75kW</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restart"/>
            <w:vAlign w:val="center"/>
          </w:tcPr>
          <w:p>
            <w:pPr>
              <w:adjustRightInd w:val="0"/>
              <w:spacing w:line="320" w:lineRule="exact"/>
              <w:jc w:val="center"/>
              <w:textAlignment w:val="baseline"/>
              <w:rPr>
                <w:rFonts w:cs="Times New Roman"/>
                <w:kern w:val="0"/>
                <w:sz w:val="21"/>
              </w:rPr>
            </w:pPr>
            <w:r>
              <w:rPr>
                <w:rFonts w:hint="eastAsia" w:eastAsia="宋体" w:cs="Times New Roman"/>
                <w:kern w:val="0"/>
                <w:sz w:val="21"/>
              </w:rPr>
              <w:t>设备已有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2</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电动葫芦</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起升高度6.0m   起重量1t</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3</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双偏心法兰式伸缩蝶阀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SgD341X-1.0  DN200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4</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轴流风机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T35-11-3.15 -25° N=0.06kW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6</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5</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轴流风机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T35-11-3.15 -20° N=0.25kW</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2</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6</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LX型电动单梁起重机</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跨度4.5m，起升高度6.0m，起重量1t</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台</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1</w:t>
            </w:r>
          </w:p>
        </w:tc>
        <w:tc>
          <w:tcPr>
            <w:tcW w:w="0" w:type="auto"/>
            <w:vMerge w:val="continue"/>
            <w:vAlign w:val="center"/>
          </w:tcPr>
          <w:p>
            <w:pPr>
              <w:widowControl/>
              <w:adjustRightInd w:val="0"/>
              <w:spacing w:line="320" w:lineRule="exact"/>
              <w:jc w:val="center"/>
              <w:textAlignment w:val="baseline"/>
              <w:rPr>
                <w:rFonts w:cs="Times New Roman"/>
                <w:kern w:val="0"/>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widowControl/>
              <w:adjustRightInd w:val="0"/>
              <w:spacing w:line="320" w:lineRule="exact"/>
              <w:jc w:val="center"/>
              <w:textAlignment w:val="baseline"/>
              <w:rPr>
                <w:rFonts w:cs="Times New Roman"/>
                <w:kern w:val="0"/>
                <w:sz w:val="21"/>
              </w:rPr>
            </w:pPr>
            <w:r>
              <w:rPr>
                <w:rFonts w:hint="eastAsia" w:cs="Times New Roman"/>
                <w:kern w:val="0"/>
                <w:sz w:val="21"/>
              </w:rPr>
              <w:t>7</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止回阀</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H76X-1.0  DN200</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个</w:t>
            </w:r>
          </w:p>
        </w:tc>
        <w:tc>
          <w:tcPr>
            <w:tcW w:w="0" w:type="auto"/>
            <w:vAlign w:val="center"/>
          </w:tcPr>
          <w:p>
            <w:pPr>
              <w:widowControl/>
              <w:adjustRightInd w:val="0"/>
              <w:spacing w:line="320" w:lineRule="exact"/>
              <w:jc w:val="center"/>
              <w:textAlignment w:val="baseline"/>
              <w:rPr>
                <w:rFonts w:eastAsia="宋体" w:cs="Times New Roman"/>
                <w:kern w:val="0"/>
                <w:sz w:val="21"/>
              </w:rPr>
            </w:pPr>
            <w:r>
              <w:rPr>
                <w:rFonts w:cs="Times New Roman"/>
                <w:kern w:val="0"/>
                <w:sz w:val="21"/>
              </w:rPr>
              <w:t>3</w:t>
            </w:r>
          </w:p>
        </w:tc>
        <w:tc>
          <w:tcPr>
            <w:tcW w:w="0" w:type="auto"/>
            <w:vMerge w:val="continue"/>
            <w:vAlign w:val="center"/>
          </w:tcPr>
          <w:p>
            <w:pPr>
              <w:widowControl/>
              <w:adjustRightInd w:val="0"/>
              <w:spacing w:line="320" w:lineRule="exact"/>
              <w:jc w:val="center"/>
              <w:textAlignment w:val="baseline"/>
              <w:rPr>
                <w:rFonts w:eastAsia="宋体" w:cs="Times New Roman"/>
                <w:kern w:val="0"/>
                <w:sz w:val="21"/>
              </w:rPr>
            </w:pPr>
          </w:p>
        </w:tc>
      </w:tr>
    </w:tbl>
    <w:p>
      <w:pPr>
        <w:pStyle w:val="129"/>
        <w:spacing w:line="360" w:lineRule="auto"/>
        <w:rPr>
          <w:rFonts w:ascii="宋体" w:hAnsi="宋体"/>
          <w:sz w:val="24"/>
          <w:szCs w:val="24"/>
        </w:rPr>
        <w:sectPr>
          <w:pgSz w:w="11906" w:h="16838"/>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pPr>
    </w:p>
    <w:p>
      <w:pPr>
        <w:pStyle w:val="14"/>
        <w:spacing w:line="240" w:lineRule="auto"/>
        <w:rPr>
          <w:color w:val="000000" w:themeColor="text1"/>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2.1</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7</w:t>
      </w:r>
      <w:r>
        <w:rPr>
          <w:color w:val="000000" w:themeColor="text1"/>
        </w:rPr>
        <w:fldChar w:fldCharType="end"/>
      </w:r>
      <w:r>
        <w:rPr>
          <w:rFonts w:hint="eastAsia"/>
          <w:color w:val="000000" w:themeColor="text1"/>
        </w:rPr>
        <w:t xml:space="preserve">  配套污水管网统计一览表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0"/>
        <w:gridCol w:w="2127"/>
        <w:gridCol w:w="1161"/>
        <w:gridCol w:w="651"/>
        <w:gridCol w:w="651"/>
        <w:gridCol w:w="2004"/>
        <w:gridCol w:w="19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650" w:type="dxa"/>
            <w:vAlign w:val="center"/>
          </w:tcPr>
          <w:p>
            <w:pPr>
              <w:widowControl/>
              <w:spacing w:line="320" w:lineRule="exact"/>
              <w:jc w:val="center"/>
              <w:rPr>
                <w:color w:val="000000" w:themeColor="text1"/>
                <w:kern w:val="0"/>
                <w:sz w:val="21"/>
              </w:rPr>
            </w:pPr>
            <w:r>
              <w:rPr>
                <w:color w:val="000000" w:themeColor="text1"/>
                <w:kern w:val="0"/>
                <w:sz w:val="21"/>
              </w:rPr>
              <w:t>编号</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名称</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规格</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单位</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数量</w:t>
            </w:r>
          </w:p>
        </w:tc>
        <w:tc>
          <w:tcPr>
            <w:tcW w:w="2004" w:type="dxa"/>
            <w:vAlign w:val="center"/>
          </w:tcPr>
          <w:p>
            <w:pPr>
              <w:widowControl/>
              <w:spacing w:line="320" w:lineRule="exact"/>
              <w:jc w:val="center"/>
              <w:rPr>
                <w:color w:val="000000" w:themeColor="text1"/>
                <w:kern w:val="0"/>
                <w:sz w:val="21"/>
              </w:rPr>
            </w:pPr>
            <w:r>
              <w:rPr>
                <w:color w:val="000000" w:themeColor="text1"/>
                <w:kern w:val="0"/>
                <w:sz w:val="21"/>
              </w:rPr>
              <w:t>备注</w:t>
            </w:r>
          </w:p>
        </w:tc>
        <w:tc>
          <w:tcPr>
            <w:tcW w:w="1998" w:type="dxa"/>
            <w:vAlign w:val="center"/>
          </w:tcPr>
          <w:p>
            <w:pPr>
              <w:widowControl/>
              <w:spacing w:line="320" w:lineRule="exact"/>
              <w:jc w:val="center"/>
              <w:rPr>
                <w:color w:val="000000" w:themeColor="text1"/>
                <w:kern w:val="0"/>
                <w:sz w:val="21"/>
              </w:rPr>
            </w:pPr>
            <w:r>
              <w:rPr>
                <w:rFonts w:hint="eastAsia"/>
                <w:color w:val="000000" w:themeColor="text1"/>
                <w:kern w:val="0"/>
                <w:sz w:val="21"/>
              </w:rPr>
              <w:t>建设情况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2200x2200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1</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widowControl/>
              <w:spacing w:line="320" w:lineRule="exact"/>
              <w:jc w:val="center"/>
              <w:rPr>
                <w:color w:val="000000" w:themeColor="text1"/>
                <w:kern w:val="0"/>
                <w:sz w:val="2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2</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1800x1100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4</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3</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1500x1100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7</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4</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B=1500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1</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5</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φ1500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6</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6</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φ1250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28</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7</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φ1250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2</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8</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污水检查井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φ1000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26</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9</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沉泥井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1650x1650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1</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10</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沉泥井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φ1500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2</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11</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沉泥井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φ1250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18</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12</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沉泥井</w:t>
            </w:r>
          </w:p>
        </w:tc>
        <w:tc>
          <w:tcPr>
            <w:tcW w:w="1161" w:type="dxa"/>
            <w:vAlign w:val="center"/>
          </w:tcPr>
          <w:p>
            <w:pPr>
              <w:widowControl/>
              <w:spacing w:line="320" w:lineRule="exact"/>
              <w:jc w:val="center"/>
              <w:rPr>
                <w:color w:val="000000" w:themeColor="text1"/>
                <w:kern w:val="0"/>
                <w:sz w:val="21"/>
              </w:rPr>
            </w:pPr>
            <w:r>
              <w:rPr>
                <w:color w:val="000000" w:themeColor="text1"/>
                <w:kern w:val="0"/>
                <w:sz w:val="21"/>
              </w:rPr>
              <w:t>φ1000</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座</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9</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13</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III级钢筋混凝土管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d1400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256</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带企口，顶管施工</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14</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III级钢筋混凝土管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d1200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686</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带企口，顶管施工</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15</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高密度聚乙烯(HDPE)缠绕结构壁管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DN1000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329</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SN8.0</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16</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高密度聚乙烯(HDPE)缠绕结构壁管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DN600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1096</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SN8.0</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17</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高密度聚乙烯(HDPE)缠绕结构壁管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DN500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432</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SN8.0</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18</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高密度聚乙烯(HDPE)缠绕结构壁管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DN400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209</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SN8.0</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19</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高密度聚乙烯(HDPE)</w:t>
            </w:r>
          </w:p>
          <w:p>
            <w:pPr>
              <w:widowControl/>
              <w:spacing w:line="320" w:lineRule="exact"/>
              <w:jc w:val="center"/>
              <w:rPr>
                <w:rFonts w:cs="Times New Roman"/>
                <w:color w:val="000000" w:themeColor="text1"/>
                <w:kern w:val="0"/>
                <w:sz w:val="21"/>
              </w:rPr>
            </w:pPr>
            <w:r>
              <w:rPr>
                <w:rFonts w:cs="Times New Roman"/>
                <w:color w:val="000000" w:themeColor="text1"/>
                <w:kern w:val="0"/>
                <w:sz w:val="21"/>
              </w:rPr>
              <w:t>缠绕结构壁管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DN315</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280</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SN8.0</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20</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高密度聚乙烯(HDPE)缠绕结构壁管</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DN800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米</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2278</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SN8.0</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21</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顶管工作井</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φ8000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座</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7</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B2、B4、B6、B8、</w:t>
            </w:r>
          </w:p>
          <w:p>
            <w:pPr>
              <w:widowControl/>
              <w:spacing w:line="320" w:lineRule="exact"/>
              <w:jc w:val="center"/>
              <w:rPr>
                <w:rFonts w:cs="Times New Roman"/>
                <w:color w:val="000000" w:themeColor="text1"/>
                <w:kern w:val="0"/>
                <w:sz w:val="21"/>
              </w:rPr>
            </w:pPr>
            <w:r>
              <w:rPr>
                <w:rFonts w:cs="Times New Roman"/>
                <w:color w:val="000000" w:themeColor="text1"/>
                <w:kern w:val="0"/>
                <w:sz w:val="21"/>
              </w:rPr>
              <w:t>B10、B12</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22</w:t>
            </w:r>
          </w:p>
        </w:tc>
        <w:tc>
          <w:tcPr>
            <w:tcW w:w="2127"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顶管接收井</w:t>
            </w:r>
          </w:p>
        </w:tc>
        <w:tc>
          <w:tcPr>
            <w:tcW w:w="116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φ4000</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座</w:t>
            </w:r>
          </w:p>
        </w:tc>
        <w:tc>
          <w:tcPr>
            <w:tcW w:w="651"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6</w:t>
            </w:r>
          </w:p>
        </w:tc>
        <w:tc>
          <w:tcPr>
            <w:tcW w:w="2004" w:type="dxa"/>
            <w:vAlign w:val="center"/>
          </w:tcPr>
          <w:p>
            <w:pPr>
              <w:widowControl/>
              <w:spacing w:line="320" w:lineRule="exact"/>
              <w:jc w:val="center"/>
              <w:rPr>
                <w:rFonts w:cs="Times New Roman"/>
                <w:color w:val="000000" w:themeColor="text1"/>
                <w:kern w:val="0"/>
                <w:sz w:val="21"/>
              </w:rPr>
            </w:pPr>
            <w:r>
              <w:rPr>
                <w:rFonts w:cs="Times New Roman"/>
                <w:color w:val="000000" w:themeColor="text1"/>
                <w:kern w:val="0"/>
                <w:sz w:val="21"/>
              </w:rPr>
              <w:t>B1、B3、B5、B7、</w:t>
            </w:r>
          </w:p>
          <w:p>
            <w:pPr>
              <w:widowControl/>
              <w:spacing w:line="320" w:lineRule="exact"/>
              <w:jc w:val="center"/>
              <w:rPr>
                <w:rFonts w:cs="Times New Roman"/>
                <w:color w:val="000000" w:themeColor="text1"/>
                <w:kern w:val="0"/>
                <w:sz w:val="21"/>
              </w:rPr>
            </w:pPr>
            <w:r>
              <w:rPr>
                <w:rFonts w:cs="Times New Roman"/>
                <w:color w:val="000000" w:themeColor="text1"/>
                <w:kern w:val="0"/>
                <w:sz w:val="21"/>
              </w:rPr>
              <w:t>B9、B11、B13</w:t>
            </w:r>
          </w:p>
        </w:tc>
        <w:tc>
          <w:tcPr>
            <w:tcW w:w="1998" w:type="dxa"/>
            <w:vAlign w:val="center"/>
          </w:tcPr>
          <w:p>
            <w:pPr>
              <w:jc w:val="center"/>
              <w:rPr>
                <w:color w:val="000000" w:themeColor="text1"/>
              </w:rPr>
            </w:pPr>
            <w:r>
              <w:rPr>
                <w:rFonts w:hint="eastAsia"/>
                <w:color w:val="000000" w:themeColor="text1"/>
                <w:kern w:val="0"/>
                <w:sz w:val="21"/>
              </w:rPr>
              <w:t>已有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0" w:type="dxa"/>
            <w:vAlign w:val="center"/>
          </w:tcPr>
          <w:p>
            <w:pPr>
              <w:widowControl/>
              <w:spacing w:line="320" w:lineRule="exact"/>
              <w:jc w:val="center"/>
              <w:rPr>
                <w:color w:val="000000" w:themeColor="text1"/>
                <w:kern w:val="0"/>
                <w:sz w:val="21"/>
              </w:rPr>
            </w:pPr>
            <w:r>
              <w:rPr>
                <w:color w:val="000000" w:themeColor="text1"/>
                <w:kern w:val="0"/>
                <w:sz w:val="21"/>
              </w:rPr>
              <w:t>23</w:t>
            </w:r>
          </w:p>
        </w:tc>
        <w:tc>
          <w:tcPr>
            <w:tcW w:w="2127" w:type="dxa"/>
            <w:vAlign w:val="center"/>
          </w:tcPr>
          <w:p>
            <w:pPr>
              <w:widowControl/>
              <w:spacing w:line="320" w:lineRule="exact"/>
              <w:jc w:val="center"/>
              <w:rPr>
                <w:color w:val="000000" w:themeColor="text1"/>
                <w:kern w:val="0"/>
                <w:sz w:val="21"/>
              </w:rPr>
            </w:pPr>
            <w:r>
              <w:rPr>
                <w:color w:val="000000" w:themeColor="text1"/>
                <w:kern w:val="0"/>
                <w:sz w:val="21"/>
              </w:rPr>
              <w:t>防坠网</w:t>
            </w:r>
          </w:p>
        </w:tc>
        <w:tc>
          <w:tcPr>
            <w:tcW w:w="1161" w:type="dxa"/>
            <w:vAlign w:val="center"/>
          </w:tcPr>
          <w:p>
            <w:pPr>
              <w:widowControl/>
              <w:spacing w:line="320" w:lineRule="exact"/>
              <w:jc w:val="center"/>
              <w:rPr>
                <w:color w:val="000000" w:themeColor="text1"/>
                <w:kern w:val="0"/>
                <w:sz w:val="21"/>
              </w:rPr>
            </w:pP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套</w:t>
            </w:r>
          </w:p>
        </w:tc>
        <w:tc>
          <w:tcPr>
            <w:tcW w:w="651" w:type="dxa"/>
            <w:vAlign w:val="center"/>
          </w:tcPr>
          <w:p>
            <w:pPr>
              <w:widowControl/>
              <w:spacing w:line="320" w:lineRule="exact"/>
              <w:jc w:val="center"/>
              <w:rPr>
                <w:color w:val="000000" w:themeColor="text1"/>
                <w:kern w:val="0"/>
                <w:sz w:val="21"/>
              </w:rPr>
            </w:pPr>
            <w:r>
              <w:rPr>
                <w:color w:val="000000" w:themeColor="text1"/>
                <w:kern w:val="0"/>
                <w:sz w:val="21"/>
              </w:rPr>
              <w:t>103</w:t>
            </w:r>
          </w:p>
        </w:tc>
        <w:tc>
          <w:tcPr>
            <w:tcW w:w="2004" w:type="dxa"/>
            <w:vAlign w:val="center"/>
          </w:tcPr>
          <w:p>
            <w:pPr>
              <w:widowControl/>
              <w:spacing w:line="320" w:lineRule="exact"/>
              <w:jc w:val="center"/>
              <w:rPr>
                <w:color w:val="000000" w:themeColor="text1"/>
                <w:kern w:val="0"/>
                <w:sz w:val="21"/>
              </w:rPr>
            </w:pPr>
          </w:p>
        </w:tc>
        <w:tc>
          <w:tcPr>
            <w:tcW w:w="1998" w:type="dxa"/>
            <w:vAlign w:val="center"/>
          </w:tcPr>
          <w:p>
            <w:pPr>
              <w:jc w:val="center"/>
              <w:rPr>
                <w:color w:val="000000" w:themeColor="text1"/>
              </w:rPr>
            </w:pPr>
            <w:r>
              <w:rPr>
                <w:rFonts w:hint="eastAsia"/>
                <w:color w:val="000000" w:themeColor="text1"/>
                <w:kern w:val="0"/>
                <w:sz w:val="21"/>
              </w:rPr>
              <w:t>已有</w:t>
            </w:r>
          </w:p>
        </w:tc>
      </w:tr>
    </w:tbl>
    <w:p>
      <w:pPr>
        <w:pStyle w:val="14"/>
        <w:jc w:val="both"/>
      </w:pPr>
    </w:p>
    <w:p>
      <w:pPr>
        <w:pStyle w:val="5"/>
      </w:pPr>
      <w:r>
        <w:rPr>
          <w:rFonts w:hint="eastAsia"/>
        </w:rPr>
        <w:t>本项目</w:t>
      </w:r>
      <w:r>
        <w:t>工程主要构筑物及设计参数</w:t>
      </w:r>
    </w:p>
    <w:p>
      <w:pPr>
        <w:pStyle w:val="61"/>
      </w:pPr>
      <w:r>
        <w:rPr>
          <w:rFonts w:hint="eastAsia"/>
        </w:rPr>
        <w:t>本项目主要单体设计规格</w:t>
      </w:r>
    </w:p>
    <w:p>
      <w:pPr>
        <w:pStyle w:val="131"/>
        <w:widowControl w:val="0"/>
        <w:adjustRightInd w:val="0"/>
        <w:snapToGrid w:val="0"/>
        <w:spacing w:line="360" w:lineRule="auto"/>
        <w:ind w:firstLine="480" w:firstLineChars="200"/>
        <w:rPr>
          <w:color w:val="000000" w:themeColor="text1"/>
        </w:rPr>
      </w:pPr>
      <w:r>
        <w:rPr>
          <w:color w:val="000000" w:themeColor="text1"/>
        </w:rPr>
        <w:t>各主要单体设计规模如下：</w:t>
      </w:r>
    </w:p>
    <w:p>
      <w:pPr>
        <w:pStyle w:val="131"/>
        <w:widowControl w:val="0"/>
        <w:adjustRightInd w:val="0"/>
        <w:snapToGrid w:val="0"/>
        <w:spacing w:line="360" w:lineRule="auto"/>
        <w:ind w:firstLine="480" w:firstLineChars="200"/>
        <w:rPr>
          <w:color w:val="000000" w:themeColor="text1"/>
        </w:rPr>
      </w:pPr>
      <w:r>
        <w:rPr>
          <w:color w:val="000000" w:themeColor="text1"/>
        </w:rPr>
        <w:t>（1）粗格栅及提升泵站6.0×10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/d，土建一次完成，设备按一阶段规模安装；</w:t>
      </w:r>
    </w:p>
    <w:p>
      <w:pPr>
        <w:pStyle w:val="131"/>
        <w:widowControl w:val="0"/>
        <w:adjustRightInd w:val="0"/>
        <w:snapToGrid w:val="0"/>
        <w:spacing w:line="360" w:lineRule="auto"/>
        <w:ind w:firstLine="480" w:firstLineChars="200"/>
        <w:rPr>
          <w:color w:val="000000" w:themeColor="text1"/>
        </w:rPr>
      </w:pPr>
      <w:r>
        <w:rPr>
          <w:color w:val="000000" w:themeColor="text1"/>
        </w:rPr>
        <w:t>（2）</w:t>
      </w:r>
      <w:r>
        <w:rPr>
          <w:rFonts w:cs="Times New Roman"/>
          <w:color w:val="000000" w:themeColor="text1"/>
          <w:szCs w:val="21"/>
        </w:rPr>
        <w:t>细格栅及</w:t>
      </w:r>
      <w:r>
        <w:rPr>
          <w:rFonts w:hint="eastAsia" w:cs="Times New Roman"/>
          <w:color w:val="000000" w:themeColor="text1"/>
          <w:szCs w:val="21"/>
        </w:rPr>
        <w:t>平</w:t>
      </w:r>
      <w:r>
        <w:rPr>
          <w:rFonts w:cs="Times New Roman"/>
          <w:color w:val="000000" w:themeColor="text1"/>
          <w:szCs w:val="21"/>
        </w:rPr>
        <w:t>流沉砂池</w:t>
      </w:r>
      <w:r>
        <w:rPr>
          <w:color w:val="000000" w:themeColor="text1"/>
        </w:rPr>
        <w:t>6.0×10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/d，土建一次完成，设备按一阶段规模安装；</w:t>
      </w:r>
    </w:p>
    <w:p>
      <w:pPr>
        <w:pStyle w:val="131"/>
        <w:widowControl w:val="0"/>
        <w:adjustRightInd w:val="0"/>
        <w:snapToGrid w:val="0"/>
        <w:spacing w:line="360" w:lineRule="auto"/>
        <w:ind w:firstLine="480" w:firstLineChars="200"/>
        <w:rPr>
          <w:color w:val="000000" w:themeColor="text1"/>
        </w:rPr>
      </w:pPr>
      <w:r>
        <w:rPr>
          <w:color w:val="000000" w:themeColor="text1"/>
        </w:rPr>
        <w:t>（3）组合池设计规模2.0×10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/d，主要包含：</w:t>
      </w:r>
    </w:p>
    <w:p>
      <w:pPr>
        <w:pStyle w:val="131"/>
        <w:widowControl w:val="0"/>
        <w:adjustRightInd w:val="0"/>
        <w:snapToGrid w:val="0"/>
        <w:spacing w:line="360" w:lineRule="auto"/>
        <w:ind w:firstLine="1080" w:firstLineChars="450"/>
        <w:rPr>
          <w:color w:val="000000" w:themeColor="text1"/>
        </w:rPr>
      </w:pPr>
      <w:r>
        <w:rPr>
          <w:rFonts w:hAnsi="宋体"/>
          <w:color w:val="000000" w:themeColor="text1"/>
        </w:rPr>
        <w:t>①</w:t>
      </w:r>
      <w:r>
        <w:rPr>
          <w:color w:val="000000" w:themeColor="text1"/>
        </w:rPr>
        <w:t>水解酸化池2.0×10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/d，分2组；</w:t>
      </w:r>
    </w:p>
    <w:p>
      <w:pPr>
        <w:pStyle w:val="131"/>
        <w:widowControl w:val="0"/>
        <w:adjustRightInd w:val="0"/>
        <w:snapToGrid w:val="0"/>
        <w:spacing w:line="360" w:lineRule="auto"/>
        <w:ind w:firstLine="1080" w:firstLineChars="450"/>
        <w:rPr>
          <w:color w:val="000000" w:themeColor="text1"/>
        </w:rPr>
      </w:pPr>
      <w:r>
        <w:rPr>
          <w:rFonts w:hAnsi="宋体"/>
          <w:color w:val="000000" w:themeColor="text1"/>
        </w:rPr>
        <w:t>②</w:t>
      </w:r>
      <w:r>
        <w:rPr>
          <w:color w:val="000000" w:themeColor="text1"/>
        </w:rPr>
        <w:t xml:space="preserve"> AAO生物池2.0×10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/d，设1组；</w:t>
      </w:r>
    </w:p>
    <w:p>
      <w:pPr>
        <w:pStyle w:val="131"/>
        <w:widowControl w:val="0"/>
        <w:adjustRightInd w:val="0"/>
        <w:snapToGrid w:val="0"/>
        <w:spacing w:line="360" w:lineRule="auto"/>
        <w:ind w:firstLine="1080" w:firstLineChars="450"/>
        <w:rPr>
          <w:color w:val="000000" w:themeColor="text1"/>
        </w:rPr>
      </w:pPr>
      <w:r>
        <w:rPr>
          <w:rFonts w:hAnsi="宋体"/>
          <w:color w:val="000000" w:themeColor="text1"/>
        </w:rPr>
        <w:t>③</w:t>
      </w:r>
      <w:r>
        <w:rPr>
          <w:color w:val="000000" w:themeColor="text1"/>
        </w:rPr>
        <w:t>矩形二沉池2.0×10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/d，分3组；</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（4）高效沉淀池2.0×10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/d，设1座；</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（5）滤布滤池2.0×10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/d，设1座；</w:t>
      </w:r>
    </w:p>
    <w:p>
      <w:pPr>
        <w:pStyle w:val="131"/>
        <w:widowControl w:val="0"/>
        <w:adjustRightInd w:val="0"/>
        <w:snapToGrid w:val="0"/>
        <w:spacing w:line="360" w:lineRule="auto"/>
        <w:ind w:firstLine="480" w:firstLineChars="200"/>
        <w:rPr>
          <w:color w:val="000000" w:themeColor="text1"/>
        </w:rPr>
      </w:pPr>
      <w:r>
        <w:rPr>
          <w:color w:val="000000" w:themeColor="text1"/>
        </w:rPr>
        <w:t>（6）接触消毒池、巴氏计量槽及尾水泵站6.0×10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/d，设备按近期规模安装；</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（7）污泥泵站2.0×10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/d，设1座；</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（8）污泥浓缩池3.0×10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/d，设1座；</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（9）污泥深度脱水车间及加药间按6.0×10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/d，设1座；</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（10）鼓风机房、变配电间及机修间土建按6.0×10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/d，设备按2.0×10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/d配套安装；</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（11）生物除臭设施按2.0×10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/d，设1座。</w:t>
      </w:r>
    </w:p>
    <w:p>
      <w:pPr>
        <w:pStyle w:val="131"/>
        <w:widowControl w:val="0"/>
        <w:adjustRightInd w:val="0"/>
        <w:snapToGrid w:val="0"/>
        <w:spacing w:line="360" w:lineRule="auto"/>
        <w:ind w:firstLine="480" w:firstLineChars="200"/>
        <w:textAlignment w:val="baseline"/>
        <w:rPr>
          <w:color w:val="000000" w:themeColor="text1"/>
        </w:rPr>
      </w:pPr>
      <w:r>
        <w:rPr>
          <w:color w:val="000000" w:themeColor="text1"/>
        </w:rPr>
        <w:t>（12）附属设施按6.0×10</w:t>
      </w:r>
      <w:r>
        <w:rPr>
          <w:color w:val="000000" w:themeColor="text1"/>
          <w:vertAlign w:val="superscript"/>
        </w:rPr>
        <w:t>4</w:t>
      </w:r>
      <w:r>
        <w:rPr>
          <w:color w:val="000000" w:themeColor="text1"/>
        </w:rPr>
        <w:t>m</w:t>
      </w:r>
      <w:r>
        <w:rPr>
          <w:color w:val="000000" w:themeColor="text1"/>
          <w:vertAlign w:val="superscript"/>
        </w:rPr>
        <w:t>3</w:t>
      </w:r>
      <w:r>
        <w:rPr>
          <w:color w:val="000000" w:themeColor="text1"/>
        </w:rPr>
        <w:t>/d规模配套。</w:t>
      </w:r>
    </w:p>
    <w:p>
      <w:pPr>
        <w:pStyle w:val="132"/>
        <w:adjustRightInd w:val="0"/>
        <w:snapToGrid w:val="0"/>
        <w:spacing w:line="360" w:lineRule="auto"/>
        <w:ind w:firstLine="480"/>
        <w:rPr>
          <w:color w:val="000000" w:themeColor="text1"/>
        </w:rPr>
      </w:pPr>
      <w:r>
        <w:rPr>
          <w:rFonts w:hAnsi="宋体"/>
          <w:color w:val="000000" w:themeColor="text1"/>
        </w:rPr>
        <w:t>各单体分述如下：</w:t>
      </w:r>
    </w:p>
    <w:p>
      <w:pPr>
        <w:pStyle w:val="132"/>
        <w:adjustRightInd w:val="0"/>
        <w:snapToGrid w:val="0"/>
        <w:spacing w:line="360" w:lineRule="auto"/>
        <w:ind w:firstLine="480"/>
      </w:pPr>
      <w:r>
        <w:t>1</w:t>
      </w:r>
      <w:r>
        <w:rPr>
          <w:rFonts w:ascii="宋体" w:hAnsi="宋体"/>
        </w:rPr>
        <w:t>）粗格栅间</w:t>
      </w:r>
    </w:p>
    <w:p>
      <w:pPr>
        <w:pStyle w:val="132"/>
        <w:adjustRightInd w:val="0"/>
        <w:snapToGrid w:val="0"/>
        <w:spacing w:line="360" w:lineRule="auto"/>
        <w:ind w:firstLine="480"/>
        <w:rPr>
          <w:rFonts w:ascii="宋体" w:hAnsi="宋体"/>
        </w:rPr>
      </w:pPr>
      <w:r>
        <w:rPr>
          <w:rFonts w:ascii="宋体" w:hAnsi="宋体"/>
        </w:rPr>
        <w:t>粗格栅和提升泵站按照远期总规模为</w:t>
      </w:r>
      <w:r>
        <w:t>6.0×10</w:t>
      </w:r>
      <w:r>
        <w:rPr>
          <w:vertAlign w:val="superscript"/>
        </w:rPr>
        <w:t>4</w:t>
      </w:r>
      <w:r>
        <w:t>m</w:t>
      </w:r>
      <w:r>
        <w:rPr>
          <w:vertAlign w:val="superscript"/>
        </w:rPr>
        <w:t>3</w:t>
      </w:r>
      <w:r>
        <w:t>/d</w:t>
      </w:r>
      <w:r>
        <w:rPr>
          <w:rFonts w:ascii="宋体" w:hAnsi="宋体"/>
        </w:rPr>
        <w:t>，总变化系数</w:t>
      </w:r>
      <w:r>
        <w:t>Kz=1.36</w:t>
      </w:r>
      <w:r>
        <w:rPr>
          <w:rFonts w:ascii="宋体" w:hAnsi="宋体"/>
        </w:rPr>
        <w:t>，粗格栅间安装有回转式粗格栅和皮带输送机。根据运行时间定时自动启停除污，并联动皮带输送机，完成栅渣的收集和输送。粗格栅及提升泵站设置一根</w:t>
      </w:r>
      <w:r>
        <w:t>DN400</w:t>
      </w:r>
      <w:r>
        <w:rPr>
          <w:rFonts w:ascii="宋体" w:hAnsi="宋体"/>
        </w:rPr>
        <w:t>除臭风管，臭气收集后送入除臭装置进行处理。粗格栅进水渠为钢筋混凝土结构，主要参数</w:t>
      </w:r>
      <w:r>
        <w:rPr>
          <w:rFonts w:hint="eastAsia" w:ascii="宋体" w:hAnsi="宋体"/>
        </w:rPr>
        <w:t>见</w:t>
      </w:r>
      <w:r>
        <w:rPr>
          <w:rFonts w:ascii="宋体" w:hAnsi="宋体"/>
        </w:rPr>
        <w:t>下表所示</w:t>
      </w:r>
      <w:r>
        <w:rPr>
          <w:rFonts w:hint="eastAsia" w:ascii="宋体" w:hAnsi="宋体"/>
        </w:rPr>
        <w:t>。</w:t>
      </w:r>
    </w:p>
    <w:p>
      <w:pPr>
        <w:pStyle w:val="14"/>
        <w:spacing w:line="240" w:lineRule="auto"/>
      </w:pPr>
      <w:r>
        <w:t>表</w:t>
      </w:r>
      <w:r>
        <w:fldChar w:fldCharType="begin"/>
      </w:r>
      <w:r>
        <w:instrText xml:space="preserve"> STYLEREF 2 \s </w:instrText>
      </w:r>
      <w:r>
        <w:fldChar w:fldCharType="separate"/>
      </w:r>
      <w:r>
        <w:t>2.1</w:t>
      </w:r>
      <w:r>
        <w:fldChar w:fldCharType="end"/>
      </w:r>
      <w:r>
        <w:noBreakHyphen/>
      </w:r>
      <w:r>
        <w:fldChar w:fldCharType="begin"/>
      </w:r>
      <w:r>
        <w:instrText xml:space="preserve"> SEQ 表 \* ARABIC \s 2 </w:instrText>
      </w:r>
      <w:r>
        <w:fldChar w:fldCharType="separate"/>
      </w:r>
      <w:r>
        <w:t>8</w:t>
      </w:r>
      <w:r>
        <w:fldChar w:fldCharType="end"/>
      </w:r>
      <w:r>
        <w:rPr>
          <w:rFonts w:hint="eastAsia"/>
        </w:rPr>
        <w:t xml:space="preserve">  粗格栅间主要参数一览表</w:t>
      </w:r>
    </w:p>
    <w:tbl>
      <w:tblPr>
        <w:tblStyle w:val="38"/>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5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土建规模：</w:t>
            </w:r>
          </w:p>
        </w:tc>
        <w:tc>
          <w:tcPr>
            <w:tcW w:w="5545" w:type="dxa"/>
            <w:vAlign w:val="center"/>
          </w:tcPr>
          <w:p>
            <w:pPr>
              <w:pStyle w:val="132"/>
              <w:spacing w:line="240" w:lineRule="auto"/>
              <w:ind w:firstLine="0" w:firstLineChars="0"/>
              <w:jc w:val="center"/>
              <w:rPr>
                <w:sz w:val="21"/>
                <w:szCs w:val="21"/>
              </w:rPr>
            </w:pPr>
            <w:r>
              <w:rPr>
                <w:sz w:val="21"/>
                <w:szCs w:val="21"/>
              </w:rPr>
              <w:t>6.0×10</w:t>
            </w:r>
            <w:r>
              <w:rPr>
                <w:sz w:val="21"/>
                <w:szCs w:val="21"/>
                <w:vertAlign w:val="superscript"/>
              </w:rPr>
              <w:t>4</w:t>
            </w:r>
            <w:r>
              <w:rPr>
                <w:sz w:val="21"/>
                <w:szCs w:val="21"/>
              </w:rPr>
              <w:t xml:space="preserve"> m</w:t>
            </w:r>
            <w:r>
              <w:rPr>
                <w:sz w:val="21"/>
                <w:szCs w:val="21"/>
                <w:vertAlign w:val="superscript"/>
              </w:rPr>
              <w:t>3</w:t>
            </w:r>
            <w:r>
              <w:rPr>
                <w:sz w:val="21"/>
                <w:szCs w:val="21"/>
              </w:rPr>
              <w:t>/d</w:t>
            </w:r>
            <w:r>
              <w:rPr>
                <w:rFonts w:hAnsi="宋体"/>
                <w:sz w:val="21"/>
                <w:szCs w:val="21"/>
              </w:rPr>
              <w:t>，</w:t>
            </w:r>
            <w:r>
              <w:rPr>
                <w:sz w:val="21"/>
                <w:szCs w:val="21"/>
              </w:rPr>
              <w:t>Kz=1.36</w:t>
            </w:r>
          </w:p>
          <w:p>
            <w:pPr>
              <w:pStyle w:val="132"/>
              <w:spacing w:line="240" w:lineRule="auto"/>
              <w:ind w:firstLine="0" w:firstLineChars="0"/>
              <w:jc w:val="center"/>
              <w:rPr>
                <w:sz w:val="21"/>
                <w:szCs w:val="21"/>
              </w:rPr>
            </w:pPr>
            <w:r>
              <w:rPr>
                <w:sz w:val="21"/>
                <w:szCs w:val="21"/>
              </w:rPr>
              <w:t>近期为部分合流制，雨季考虑截流倍数为1.0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数量：</w:t>
            </w:r>
          </w:p>
        </w:tc>
        <w:tc>
          <w:tcPr>
            <w:tcW w:w="5545" w:type="dxa"/>
            <w:vAlign w:val="center"/>
          </w:tcPr>
          <w:p>
            <w:pPr>
              <w:pStyle w:val="132"/>
              <w:spacing w:line="240" w:lineRule="auto"/>
              <w:ind w:firstLine="0" w:firstLineChars="0"/>
              <w:jc w:val="center"/>
              <w:rPr>
                <w:sz w:val="21"/>
                <w:szCs w:val="21"/>
              </w:rPr>
            </w:pPr>
            <w:r>
              <w:rPr>
                <w:sz w:val="21"/>
                <w:szCs w:val="21"/>
              </w:rPr>
              <w:t>1</w:t>
            </w:r>
            <w:r>
              <w:rPr>
                <w:rFonts w:hAnsi="宋体"/>
                <w:sz w:val="21"/>
                <w:szCs w:val="21"/>
              </w:rPr>
              <w:t>座，分</w:t>
            </w:r>
            <w:r>
              <w:rPr>
                <w:sz w:val="21"/>
                <w:szCs w:val="21"/>
              </w:rPr>
              <w:t>2</w:t>
            </w:r>
            <w:r>
              <w:rPr>
                <w:rFonts w:hAnsi="宋体"/>
                <w:sz w:val="21"/>
                <w:szCs w:val="21"/>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进水渠：</w:t>
            </w:r>
          </w:p>
        </w:tc>
        <w:tc>
          <w:tcPr>
            <w:tcW w:w="5545" w:type="dxa"/>
            <w:vAlign w:val="center"/>
          </w:tcPr>
          <w:p>
            <w:pPr>
              <w:pStyle w:val="132"/>
              <w:spacing w:line="240" w:lineRule="auto"/>
              <w:ind w:firstLine="0" w:firstLineChars="0"/>
              <w:jc w:val="center"/>
              <w:rPr>
                <w:sz w:val="21"/>
                <w:szCs w:val="21"/>
              </w:rPr>
            </w:pPr>
            <w:r>
              <w:rPr>
                <w:sz w:val="21"/>
                <w:szCs w:val="21"/>
              </w:rPr>
              <w:t>渠宽1.2m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栅条间隙：</w:t>
            </w:r>
          </w:p>
        </w:tc>
        <w:tc>
          <w:tcPr>
            <w:tcW w:w="5545" w:type="dxa"/>
            <w:vAlign w:val="center"/>
          </w:tcPr>
          <w:p>
            <w:pPr>
              <w:pStyle w:val="132"/>
              <w:spacing w:line="240" w:lineRule="auto"/>
              <w:ind w:firstLine="0" w:firstLineChars="0"/>
              <w:jc w:val="center"/>
              <w:rPr>
                <w:sz w:val="21"/>
                <w:szCs w:val="21"/>
              </w:rPr>
            </w:pPr>
            <w:r>
              <w:rPr>
                <w:sz w:val="21"/>
                <w:szCs w:val="21"/>
              </w:rPr>
              <w:t>10mm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格栅倾角：</w:t>
            </w:r>
          </w:p>
        </w:tc>
        <w:tc>
          <w:tcPr>
            <w:tcW w:w="5545" w:type="dxa"/>
            <w:vAlign w:val="center"/>
          </w:tcPr>
          <w:p>
            <w:pPr>
              <w:pStyle w:val="132"/>
              <w:spacing w:line="240" w:lineRule="auto"/>
              <w:ind w:firstLine="0" w:firstLineChars="0"/>
              <w:jc w:val="center"/>
              <w:rPr>
                <w:sz w:val="21"/>
                <w:szCs w:val="21"/>
              </w:rPr>
            </w:pPr>
            <w:r>
              <w:rPr>
                <w:sz w:val="21"/>
                <w:szCs w:val="21"/>
              </w:rPr>
              <w:t>75º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格栅净宽：</w:t>
            </w:r>
          </w:p>
        </w:tc>
        <w:tc>
          <w:tcPr>
            <w:tcW w:w="5545" w:type="dxa"/>
            <w:vAlign w:val="center"/>
          </w:tcPr>
          <w:p>
            <w:pPr>
              <w:pStyle w:val="132"/>
              <w:spacing w:line="240" w:lineRule="auto"/>
              <w:ind w:firstLine="0" w:firstLineChars="0"/>
              <w:jc w:val="center"/>
              <w:rPr>
                <w:sz w:val="21"/>
                <w:szCs w:val="21"/>
              </w:rPr>
            </w:pPr>
            <w:r>
              <w:rPr>
                <w:sz w:val="21"/>
                <w:szCs w:val="21"/>
              </w:rPr>
              <w:t>0.6m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格栅类型：</w:t>
            </w:r>
          </w:p>
        </w:tc>
        <w:tc>
          <w:tcPr>
            <w:tcW w:w="5545" w:type="dxa"/>
            <w:vAlign w:val="center"/>
          </w:tcPr>
          <w:p>
            <w:pPr>
              <w:pStyle w:val="132"/>
              <w:spacing w:line="240" w:lineRule="auto"/>
              <w:ind w:firstLine="0" w:firstLineChars="0"/>
              <w:jc w:val="center"/>
              <w:rPr>
                <w:sz w:val="21"/>
                <w:szCs w:val="21"/>
              </w:rPr>
            </w:pPr>
            <w:r>
              <w:rPr>
                <w:sz w:val="21"/>
                <w:szCs w:val="21"/>
              </w:rPr>
              <w:t>回转耙式粗格栅除污机，N=3.7kW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格栅数量：</w:t>
            </w:r>
          </w:p>
        </w:tc>
        <w:tc>
          <w:tcPr>
            <w:tcW w:w="5545" w:type="dxa"/>
            <w:vAlign w:val="center"/>
          </w:tcPr>
          <w:p>
            <w:pPr>
              <w:pStyle w:val="132"/>
              <w:spacing w:line="240" w:lineRule="auto"/>
              <w:ind w:firstLine="0" w:firstLineChars="0"/>
              <w:jc w:val="center"/>
              <w:rPr>
                <w:sz w:val="21"/>
                <w:szCs w:val="21"/>
              </w:rPr>
            </w:pPr>
            <w:r>
              <w:rPr>
                <w:sz w:val="21"/>
                <w:szCs w:val="21"/>
              </w:rPr>
              <w:t>2</w:t>
            </w:r>
            <w:r>
              <w:rPr>
                <w:rFonts w:hAnsi="宋体"/>
                <w:sz w:val="21"/>
                <w:szCs w:val="21"/>
              </w:rPr>
              <w:t>台，平时运行</w:t>
            </w:r>
            <w:r>
              <w:rPr>
                <w:sz w:val="21"/>
                <w:szCs w:val="21"/>
              </w:rPr>
              <w:t>1</w:t>
            </w:r>
            <w:r>
              <w:rPr>
                <w:rFonts w:hAnsi="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格栅材质：</w:t>
            </w:r>
          </w:p>
        </w:tc>
        <w:tc>
          <w:tcPr>
            <w:tcW w:w="5545" w:type="dxa"/>
            <w:vAlign w:val="center"/>
          </w:tcPr>
          <w:p>
            <w:pPr>
              <w:pStyle w:val="132"/>
              <w:spacing w:line="240" w:lineRule="auto"/>
              <w:ind w:firstLine="0" w:firstLineChars="0"/>
              <w:jc w:val="center"/>
              <w:rPr>
                <w:sz w:val="21"/>
                <w:szCs w:val="21"/>
              </w:rPr>
            </w:pPr>
            <w:r>
              <w:rPr>
                <w:sz w:val="21"/>
                <w:szCs w:val="21"/>
              </w:rPr>
              <w:t>机架不锈钢；耙齿尼龙66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配套设备：</w:t>
            </w:r>
          </w:p>
        </w:tc>
        <w:tc>
          <w:tcPr>
            <w:tcW w:w="5545" w:type="dxa"/>
            <w:vAlign w:val="center"/>
          </w:tcPr>
          <w:p>
            <w:pPr>
              <w:pStyle w:val="132"/>
              <w:spacing w:line="240" w:lineRule="auto"/>
              <w:ind w:firstLine="0" w:firstLineChars="0"/>
              <w:jc w:val="center"/>
              <w:rPr>
                <w:sz w:val="21"/>
                <w:szCs w:val="21"/>
              </w:rPr>
            </w:pPr>
            <w:r>
              <w:rPr>
                <w:sz w:val="21"/>
                <w:szCs w:val="21"/>
              </w:rPr>
              <w:t>SD500</w:t>
            </w:r>
            <w:r>
              <w:rPr>
                <w:rFonts w:hAnsi="宋体"/>
                <w:sz w:val="21"/>
                <w:szCs w:val="21"/>
              </w:rPr>
              <w:t>皮带输送机</w:t>
            </w:r>
            <w:r>
              <w:rPr>
                <w:sz w:val="21"/>
                <w:szCs w:val="21"/>
              </w:rPr>
              <w:t>1</w:t>
            </w:r>
            <w:r>
              <w:rPr>
                <w:rFonts w:hAnsi="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闸门：</w:t>
            </w:r>
          </w:p>
        </w:tc>
        <w:tc>
          <w:tcPr>
            <w:tcW w:w="5545" w:type="dxa"/>
            <w:vAlign w:val="center"/>
          </w:tcPr>
          <w:p>
            <w:pPr>
              <w:pStyle w:val="132"/>
              <w:spacing w:line="240" w:lineRule="auto"/>
              <w:ind w:firstLine="0" w:firstLineChars="0"/>
              <w:jc w:val="center"/>
              <w:rPr>
                <w:sz w:val="21"/>
                <w:szCs w:val="21"/>
              </w:rPr>
            </w:pPr>
            <w:r>
              <w:rPr>
                <w:sz w:val="21"/>
                <w:szCs w:val="21"/>
              </w:rPr>
              <w:t>4</w:t>
            </w:r>
            <w:r>
              <w:rPr>
                <w:rFonts w:hAnsi="宋体"/>
                <w:sz w:val="21"/>
                <w:szCs w:val="21"/>
              </w:rPr>
              <w:t>台，设在格栅前后，格栅检修用。</w:t>
            </w:r>
          </w:p>
        </w:tc>
      </w:tr>
    </w:tbl>
    <w:p>
      <w:pPr>
        <w:pStyle w:val="132"/>
        <w:spacing w:line="360" w:lineRule="auto"/>
        <w:ind w:firstLine="480"/>
      </w:pPr>
      <w:r>
        <w:t>2</w:t>
      </w:r>
      <w:r>
        <w:rPr>
          <w:rFonts w:ascii="宋体" w:hAnsi="宋体"/>
        </w:rPr>
        <w:t>）提升泵站</w:t>
      </w:r>
    </w:p>
    <w:p>
      <w:pPr>
        <w:pStyle w:val="132"/>
        <w:spacing w:line="360" w:lineRule="auto"/>
        <w:ind w:firstLine="480"/>
        <w:rPr>
          <w:rFonts w:ascii="宋体" w:hAnsi="宋体"/>
        </w:rPr>
      </w:pPr>
      <w:r>
        <w:rPr>
          <w:rFonts w:ascii="宋体" w:hAnsi="宋体"/>
        </w:rPr>
        <w:t>泵站集水池为钢筋混凝土结构，土建规模按远期规模</w:t>
      </w:r>
      <w:r>
        <w:t>6.0×10</w:t>
      </w:r>
      <w:r>
        <w:rPr>
          <w:vertAlign w:val="superscript"/>
        </w:rPr>
        <w:t>4</w:t>
      </w:r>
      <w:r>
        <w:t>m</w:t>
      </w:r>
      <w:r>
        <w:rPr>
          <w:vertAlign w:val="superscript"/>
        </w:rPr>
        <w:t>3</w:t>
      </w:r>
      <w:r>
        <w:t>/d</w:t>
      </w:r>
      <w:r>
        <w:rPr>
          <w:rFonts w:ascii="宋体" w:hAnsi="宋体"/>
        </w:rPr>
        <w:t>设计，设备安装按近期</w:t>
      </w:r>
      <w:r>
        <w:t>2.0×10</w:t>
      </w:r>
      <w:r>
        <w:rPr>
          <w:vertAlign w:val="superscript"/>
        </w:rPr>
        <w:t>4</w:t>
      </w:r>
      <w:r>
        <w:t>m</w:t>
      </w:r>
      <w:r>
        <w:rPr>
          <w:vertAlign w:val="superscript"/>
        </w:rPr>
        <w:t>3</w:t>
      </w:r>
      <w:r>
        <w:t>/d</w:t>
      </w:r>
      <w:r>
        <w:rPr>
          <w:rFonts w:ascii="宋体" w:hAnsi="宋体"/>
        </w:rPr>
        <w:t>考虑。近期采用可提升不堵塞的潜污泵</w:t>
      </w:r>
      <w:r>
        <w:t>3</w:t>
      </w:r>
      <w:r>
        <w:rPr>
          <w:rFonts w:ascii="宋体" w:hAnsi="宋体"/>
        </w:rPr>
        <w:t>台，并配备检修用电动葫芦等设备，采用</w:t>
      </w:r>
      <w:r>
        <w:t>PLC</w:t>
      </w:r>
      <w:r>
        <w:rPr>
          <w:rFonts w:ascii="宋体" w:hAnsi="宋体"/>
        </w:rPr>
        <w:t>自动、中控室计算机集中手动和就地手动控制方式。主要设计参数如下：</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9</w:t>
      </w:r>
      <w:r>
        <w:rPr>
          <w:rFonts w:hAnsi="宋体" w:cs="Times New Roman"/>
        </w:rPr>
        <w:fldChar w:fldCharType="end"/>
      </w:r>
      <w:r>
        <w:rPr>
          <w:rFonts w:hAnsi="宋体" w:cs="Times New Roman"/>
        </w:rPr>
        <w:t>提升泵站主要参数一览表</w:t>
      </w:r>
    </w:p>
    <w:tbl>
      <w:tblPr>
        <w:tblStyle w:val="3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7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pPr>
              <w:pStyle w:val="132"/>
              <w:spacing w:line="240" w:lineRule="auto"/>
              <w:ind w:firstLine="420"/>
              <w:jc w:val="center"/>
              <w:rPr>
                <w:sz w:val="21"/>
                <w:szCs w:val="21"/>
              </w:rPr>
            </w:pPr>
            <w:r>
              <w:rPr>
                <w:sz w:val="21"/>
                <w:szCs w:val="21"/>
              </w:rPr>
              <w:t>土建规模：</w:t>
            </w:r>
          </w:p>
        </w:tc>
        <w:tc>
          <w:tcPr>
            <w:tcW w:w="3857" w:type="pct"/>
            <w:vAlign w:val="center"/>
          </w:tcPr>
          <w:p>
            <w:pPr>
              <w:pStyle w:val="132"/>
              <w:spacing w:line="240" w:lineRule="auto"/>
              <w:ind w:firstLine="0" w:firstLineChars="0"/>
              <w:jc w:val="center"/>
              <w:rPr>
                <w:sz w:val="21"/>
                <w:szCs w:val="21"/>
              </w:rPr>
            </w:pPr>
            <w:r>
              <w:rPr>
                <w:sz w:val="21"/>
                <w:szCs w:val="21"/>
              </w:rPr>
              <w:t>6.0×10</w:t>
            </w:r>
            <w:r>
              <w:rPr>
                <w:sz w:val="21"/>
                <w:szCs w:val="21"/>
                <w:vertAlign w:val="superscript"/>
              </w:rPr>
              <w:t>4</w:t>
            </w:r>
            <w:r>
              <w:rPr>
                <w:sz w:val="21"/>
                <w:szCs w:val="21"/>
              </w:rPr>
              <w:t xml:space="preserve"> m</w:t>
            </w:r>
            <w:r>
              <w:rPr>
                <w:sz w:val="21"/>
                <w:szCs w:val="21"/>
                <w:vertAlign w:val="superscript"/>
              </w:rPr>
              <w:t>3</w:t>
            </w:r>
            <w:r>
              <w:rPr>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pPr>
              <w:pStyle w:val="132"/>
              <w:spacing w:line="240" w:lineRule="auto"/>
              <w:ind w:firstLine="420"/>
              <w:jc w:val="center"/>
              <w:rPr>
                <w:sz w:val="21"/>
                <w:szCs w:val="21"/>
              </w:rPr>
            </w:pPr>
            <w:r>
              <w:rPr>
                <w:sz w:val="21"/>
                <w:szCs w:val="21"/>
              </w:rPr>
              <w:t>设备配套：</w:t>
            </w:r>
          </w:p>
        </w:tc>
        <w:tc>
          <w:tcPr>
            <w:tcW w:w="3857" w:type="pct"/>
            <w:vAlign w:val="center"/>
          </w:tcPr>
          <w:p>
            <w:pPr>
              <w:pStyle w:val="132"/>
              <w:spacing w:line="240" w:lineRule="auto"/>
              <w:ind w:firstLine="0" w:firstLineChars="0"/>
              <w:jc w:val="center"/>
              <w:rPr>
                <w:sz w:val="21"/>
                <w:szCs w:val="21"/>
              </w:rPr>
            </w:pPr>
            <w:r>
              <w:rPr>
                <w:sz w:val="21"/>
                <w:szCs w:val="21"/>
              </w:rPr>
              <w:t>2.0×10</w:t>
            </w:r>
            <w:r>
              <w:rPr>
                <w:sz w:val="21"/>
                <w:szCs w:val="21"/>
                <w:vertAlign w:val="superscript"/>
              </w:rPr>
              <w:t>4</w:t>
            </w:r>
            <w:r>
              <w:rPr>
                <w:sz w:val="21"/>
                <w:szCs w:val="21"/>
              </w:rPr>
              <w:t xml:space="preserve"> m</w:t>
            </w:r>
            <w:r>
              <w:rPr>
                <w:sz w:val="21"/>
                <w:szCs w:val="21"/>
                <w:vertAlign w:val="superscript"/>
              </w:rPr>
              <w:t>3</w:t>
            </w:r>
            <w:r>
              <w:rPr>
                <w:sz w:val="21"/>
                <w:szCs w:val="21"/>
              </w:rPr>
              <w:t>/d</w:t>
            </w:r>
            <w:r>
              <w:rPr>
                <w:rFonts w:hAnsi="宋体"/>
                <w:sz w:val="21"/>
                <w:szCs w:val="21"/>
              </w:rPr>
              <w:t>，</w:t>
            </w:r>
            <w:r>
              <w:rPr>
                <w:sz w:val="21"/>
                <w:szCs w:val="21"/>
              </w:rPr>
              <w:t>Kz=1.49</w:t>
            </w:r>
          </w:p>
          <w:p>
            <w:pPr>
              <w:pStyle w:val="132"/>
              <w:spacing w:line="240" w:lineRule="auto"/>
              <w:ind w:firstLine="0" w:firstLineChars="0"/>
              <w:jc w:val="center"/>
              <w:rPr>
                <w:sz w:val="21"/>
                <w:szCs w:val="21"/>
              </w:rPr>
            </w:pPr>
            <w:r>
              <w:rPr>
                <w:sz w:val="21"/>
                <w:szCs w:val="21"/>
              </w:rPr>
              <w:t>近期为部分合流制，雨季考虑截流倍数为1.0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pPr>
              <w:pStyle w:val="132"/>
              <w:spacing w:line="240" w:lineRule="auto"/>
              <w:ind w:firstLine="420"/>
              <w:jc w:val="center"/>
              <w:rPr>
                <w:sz w:val="21"/>
                <w:szCs w:val="21"/>
              </w:rPr>
            </w:pPr>
            <w:r>
              <w:rPr>
                <w:sz w:val="21"/>
                <w:szCs w:val="21"/>
              </w:rPr>
              <w:t>主要设备：</w:t>
            </w:r>
          </w:p>
        </w:tc>
        <w:tc>
          <w:tcPr>
            <w:tcW w:w="3857" w:type="pct"/>
            <w:vAlign w:val="center"/>
          </w:tcPr>
          <w:p>
            <w:pPr>
              <w:pStyle w:val="132"/>
              <w:spacing w:line="240" w:lineRule="auto"/>
              <w:ind w:firstLine="0" w:firstLineChars="0"/>
              <w:jc w:val="left"/>
              <w:rPr>
                <w:sz w:val="21"/>
                <w:szCs w:val="21"/>
              </w:rPr>
            </w:pPr>
            <w:r>
              <w:rPr>
                <w:sz w:val="21"/>
                <w:szCs w:val="21"/>
              </w:rPr>
              <w:t>近期配套3</w:t>
            </w:r>
            <w:r>
              <w:rPr>
                <w:rFonts w:hAnsi="宋体"/>
                <w:sz w:val="21"/>
                <w:szCs w:val="21"/>
              </w:rPr>
              <w:t>台潜污泵，</w:t>
            </w:r>
            <w:r>
              <w:rPr>
                <w:sz w:val="21"/>
                <w:szCs w:val="21"/>
              </w:rPr>
              <w:t>1</w:t>
            </w:r>
            <w:r>
              <w:rPr>
                <w:rFonts w:hAnsi="宋体"/>
                <w:sz w:val="21"/>
                <w:szCs w:val="21"/>
              </w:rPr>
              <w:t>大</w:t>
            </w:r>
            <w:r>
              <w:rPr>
                <w:sz w:val="21"/>
                <w:szCs w:val="21"/>
              </w:rPr>
              <w:t>2</w:t>
            </w:r>
            <w:r>
              <w:rPr>
                <w:rFonts w:hAnsi="宋体"/>
                <w:sz w:val="21"/>
                <w:szCs w:val="21"/>
              </w:rPr>
              <w:t>小，</w:t>
            </w:r>
            <w:r>
              <w:rPr>
                <w:sz w:val="21"/>
                <w:szCs w:val="21"/>
              </w:rPr>
              <w:t>1</w:t>
            </w:r>
            <w:r>
              <w:rPr>
                <w:rFonts w:hAnsi="宋体"/>
                <w:sz w:val="21"/>
                <w:szCs w:val="21"/>
              </w:rPr>
              <w:t>台大泵备用</w:t>
            </w:r>
          </w:p>
          <w:p>
            <w:pPr>
              <w:pStyle w:val="132"/>
              <w:spacing w:line="240" w:lineRule="auto"/>
              <w:ind w:firstLine="0" w:firstLineChars="0"/>
              <w:jc w:val="left"/>
              <w:rPr>
                <w:sz w:val="21"/>
                <w:szCs w:val="21"/>
              </w:rPr>
            </w:pPr>
            <w:r>
              <w:rPr>
                <w:sz w:val="21"/>
                <w:szCs w:val="21"/>
              </w:rPr>
              <w:t>小泵型号：300QW900-15-55</w:t>
            </w:r>
          </w:p>
          <w:p>
            <w:pPr>
              <w:pStyle w:val="132"/>
              <w:spacing w:line="240" w:lineRule="auto"/>
              <w:ind w:firstLine="945" w:firstLineChars="450"/>
              <w:jc w:val="left"/>
              <w:rPr>
                <w:sz w:val="21"/>
                <w:szCs w:val="21"/>
              </w:rPr>
            </w:pPr>
            <w:r>
              <w:rPr>
                <w:sz w:val="21"/>
                <w:szCs w:val="21"/>
              </w:rPr>
              <w:t>(Q=800~1000m</w:t>
            </w:r>
            <w:r>
              <w:rPr>
                <w:sz w:val="21"/>
                <w:szCs w:val="21"/>
                <w:vertAlign w:val="superscript"/>
              </w:rPr>
              <w:t>3</w:t>
            </w:r>
            <w:r>
              <w:rPr>
                <w:sz w:val="21"/>
                <w:szCs w:val="21"/>
              </w:rPr>
              <w:t>/h</w:t>
            </w:r>
            <w:r>
              <w:rPr>
                <w:rFonts w:hAnsi="宋体"/>
                <w:sz w:val="21"/>
                <w:szCs w:val="21"/>
              </w:rPr>
              <w:t>，</w:t>
            </w:r>
            <w:r>
              <w:rPr>
                <w:sz w:val="21"/>
                <w:szCs w:val="21"/>
              </w:rPr>
              <w:t>H=13~17m</w:t>
            </w:r>
            <w:r>
              <w:rPr>
                <w:rFonts w:hAnsi="宋体"/>
                <w:sz w:val="21"/>
                <w:szCs w:val="21"/>
              </w:rPr>
              <w:t>，</w:t>
            </w:r>
            <w:r>
              <w:rPr>
                <w:sz w:val="21"/>
                <w:szCs w:val="21"/>
              </w:rPr>
              <w:t>N=55kW)</w:t>
            </w:r>
          </w:p>
          <w:p>
            <w:pPr>
              <w:pStyle w:val="132"/>
              <w:spacing w:line="240" w:lineRule="auto"/>
              <w:ind w:firstLine="0" w:firstLineChars="0"/>
              <w:jc w:val="left"/>
              <w:rPr>
                <w:sz w:val="21"/>
                <w:szCs w:val="21"/>
              </w:rPr>
            </w:pPr>
            <w:r>
              <w:rPr>
                <w:sz w:val="21"/>
                <w:szCs w:val="21"/>
              </w:rPr>
              <w:t>大泵型号：350QW1500-15-90</w:t>
            </w:r>
          </w:p>
          <w:p>
            <w:pPr>
              <w:pStyle w:val="132"/>
              <w:spacing w:line="240" w:lineRule="auto"/>
              <w:ind w:firstLine="945" w:firstLineChars="450"/>
              <w:jc w:val="left"/>
              <w:rPr>
                <w:sz w:val="21"/>
                <w:szCs w:val="21"/>
              </w:rPr>
            </w:pPr>
            <w:r>
              <w:rPr>
                <w:sz w:val="21"/>
                <w:szCs w:val="21"/>
              </w:rPr>
              <w:t>(Q=1400~1700m</w:t>
            </w:r>
            <w:r>
              <w:rPr>
                <w:sz w:val="21"/>
                <w:szCs w:val="21"/>
                <w:vertAlign w:val="superscript"/>
              </w:rPr>
              <w:t>3</w:t>
            </w:r>
            <w:r>
              <w:rPr>
                <w:sz w:val="21"/>
                <w:szCs w:val="21"/>
              </w:rPr>
              <w:t>//h</w:t>
            </w:r>
            <w:r>
              <w:rPr>
                <w:rFonts w:hAnsi="宋体"/>
                <w:sz w:val="21"/>
                <w:szCs w:val="21"/>
              </w:rPr>
              <w:t>，</w:t>
            </w:r>
            <w:r>
              <w:rPr>
                <w:sz w:val="21"/>
                <w:szCs w:val="21"/>
              </w:rPr>
              <w:t>H=13~17m</w:t>
            </w:r>
            <w:r>
              <w:rPr>
                <w:rFonts w:hAnsi="宋体"/>
                <w:sz w:val="21"/>
                <w:szCs w:val="21"/>
              </w:rPr>
              <w:t>，</w:t>
            </w:r>
            <w:r>
              <w:rPr>
                <w:sz w:val="21"/>
                <w:szCs w:val="21"/>
              </w:rPr>
              <w:t>N=90kW)</w:t>
            </w:r>
          </w:p>
          <w:p>
            <w:pPr>
              <w:pStyle w:val="132"/>
              <w:spacing w:line="240" w:lineRule="auto"/>
              <w:ind w:firstLine="0" w:firstLineChars="0"/>
              <w:jc w:val="left"/>
              <w:rPr>
                <w:sz w:val="21"/>
                <w:szCs w:val="21"/>
              </w:rPr>
            </w:pPr>
            <w:r>
              <w:rPr>
                <w:sz w:val="21"/>
                <w:szCs w:val="21"/>
              </w:rPr>
              <w:t>均采用变频，设计预留1</w:t>
            </w:r>
            <w:r>
              <w:rPr>
                <w:rFonts w:hAnsi="宋体"/>
                <w:sz w:val="21"/>
                <w:szCs w:val="21"/>
              </w:rPr>
              <w:t>个机位。远期换泵。</w:t>
            </w:r>
          </w:p>
        </w:tc>
      </w:tr>
    </w:tbl>
    <w:p>
      <w:pPr>
        <w:pStyle w:val="132"/>
        <w:adjustRightInd w:val="0"/>
        <w:snapToGrid w:val="0"/>
        <w:spacing w:line="360" w:lineRule="auto"/>
        <w:ind w:firstLine="480"/>
      </w:pPr>
      <w:r>
        <w:rPr>
          <w:rFonts w:ascii="宋体" w:hAnsi="宋体"/>
        </w:rPr>
        <w:t>①</w:t>
      </w:r>
      <w:r>
        <w:rPr>
          <w:rFonts w:hAnsi="宋体"/>
        </w:rPr>
        <w:t>细格栅</w:t>
      </w:r>
    </w:p>
    <w:p>
      <w:pPr>
        <w:pStyle w:val="132"/>
        <w:adjustRightInd w:val="0"/>
        <w:snapToGrid w:val="0"/>
        <w:spacing w:line="360" w:lineRule="auto"/>
        <w:ind w:firstLine="480"/>
      </w:pPr>
      <w:r>
        <w:t>细格栅设2条进水渠，为钢筋混凝土结构，选用孔板式细格栅除污机，配套无轴螺旋输送机。细格栅为全不锈钢，每台格栅前后均设手动插板闸门，以便检修。细格栅采用90º垂直安装，根据时间定时自动运转，并联动无轴螺旋输送机。设置一根DN400除臭风管，臭气收集后送入除臭装置进行处理。主要参数如下：</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10</w:t>
      </w:r>
      <w:r>
        <w:rPr>
          <w:rFonts w:hAnsi="宋体" w:cs="Times New Roman"/>
        </w:rPr>
        <w:fldChar w:fldCharType="end"/>
      </w:r>
      <w:r>
        <w:rPr>
          <w:rFonts w:cs="Times New Roman"/>
        </w:rPr>
        <w:t xml:space="preserve">  细格栅主要参数一览表</w:t>
      </w:r>
    </w:p>
    <w:tbl>
      <w:tblPr>
        <w:tblStyle w:val="3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22"/>
        <w:gridCol w:w="60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设计规模：</w:t>
            </w:r>
          </w:p>
        </w:tc>
        <w:tc>
          <w:tcPr>
            <w:tcW w:w="3256" w:type="pct"/>
            <w:vAlign w:val="center"/>
          </w:tcPr>
          <w:p>
            <w:pPr>
              <w:pStyle w:val="132"/>
              <w:spacing w:line="240" w:lineRule="auto"/>
              <w:ind w:firstLine="0" w:firstLineChars="0"/>
              <w:jc w:val="center"/>
              <w:rPr>
                <w:sz w:val="21"/>
                <w:szCs w:val="21"/>
              </w:rPr>
            </w:pPr>
            <w:r>
              <w:rPr>
                <w:sz w:val="21"/>
                <w:szCs w:val="21"/>
              </w:rPr>
              <w:t>6.0×10</w:t>
            </w:r>
            <w:r>
              <w:rPr>
                <w:sz w:val="21"/>
                <w:szCs w:val="21"/>
                <w:vertAlign w:val="superscript"/>
              </w:rPr>
              <w:t>4</w:t>
            </w:r>
            <w:r>
              <w:rPr>
                <w:sz w:val="21"/>
                <w:szCs w:val="21"/>
              </w:rPr>
              <w:t xml:space="preserve"> m</w:t>
            </w:r>
            <w:r>
              <w:rPr>
                <w:sz w:val="21"/>
                <w:szCs w:val="21"/>
                <w:vertAlign w:val="superscript"/>
              </w:rPr>
              <w:t>3</w:t>
            </w:r>
            <w:r>
              <w:rPr>
                <w:sz w:val="21"/>
                <w:szCs w:val="21"/>
              </w:rPr>
              <w:t>/d</w:t>
            </w:r>
            <w:r>
              <w:rPr>
                <w:rFonts w:ascii="宋体" w:hAnsi="宋体"/>
                <w:sz w:val="21"/>
                <w:szCs w:val="21"/>
              </w:rPr>
              <w:t>，</w:t>
            </w:r>
            <w:r>
              <w:rPr>
                <w:sz w:val="21"/>
                <w:szCs w:val="21"/>
              </w:rPr>
              <w:t>Kz=1.49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近期规模：</w:t>
            </w:r>
          </w:p>
        </w:tc>
        <w:tc>
          <w:tcPr>
            <w:tcW w:w="3256" w:type="pct"/>
            <w:vAlign w:val="center"/>
          </w:tcPr>
          <w:p>
            <w:pPr>
              <w:pStyle w:val="132"/>
              <w:spacing w:line="240" w:lineRule="auto"/>
              <w:ind w:firstLine="0" w:firstLineChars="0"/>
              <w:jc w:val="center"/>
              <w:rPr>
                <w:sz w:val="21"/>
                <w:szCs w:val="21"/>
              </w:rPr>
            </w:pPr>
            <w:r>
              <w:rPr>
                <w:sz w:val="21"/>
                <w:szCs w:val="21"/>
              </w:rPr>
              <w:t>2.0×10</w:t>
            </w:r>
            <w:r>
              <w:rPr>
                <w:sz w:val="21"/>
                <w:szCs w:val="21"/>
                <w:vertAlign w:val="superscript"/>
              </w:rPr>
              <w:t>4</w:t>
            </w:r>
            <w:r>
              <w:rPr>
                <w:sz w:val="21"/>
                <w:szCs w:val="21"/>
              </w:rPr>
              <w:t xml:space="preserve"> m</w:t>
            </w:r>
            <w:r>
              <w:rPr>
                <w:sz w:val="21"/>
                <w:szCs w:val="21"/>
                <w:vertAlign w:val="superscript"/>
              </w:rPr>
              <w:t>3</w:t>
            </w:r>
            <w:r>
              <w:rPr>
                <w:sz w:val="21"/>
                <w:szCs w:val="21"/>
              </w:rPr>
              <w:t>/d</w:t>
            </w:r>
            <w:r>
              <w:rPr>
                <w:rFonts w:ascii="宋体" w:hAnsi="宋体"/>
                <w:sz w:val="21"/>
                <w:szCs w:val="21"/>
              </w:rPr>
              <w:t>，</w:t>
            </w:r>
            <w:r>
              <w:rPr>
                <w:sz w:val="21"/>
                <w:szCs w:val="21"/>
              </w:rPr>
              <w:t>Kz=1.36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数量：</w:t>
            </w:r>
          </w:p>
        </w:tc>
        <w:tc>
          <w:tcPr>
            <w:tcW w:w="3256" w:type="pct"/>
            <w:vAlign w:val="center"/>
          </w:tcPr>
          <w:p>
            <w:pPr>
              <w:pStyle w:val="132"/>
              <w:spacing w:line="240" w:lineRule="auto"/>
              <w:ind w:firstLine="0" w:firstLineChars="0"/>
              <w:jc w:val="center"/>
              <w:rPr>
                <w:sz w:val="21"/>
                <w:szCs w:val="21"/>
              </w:rPr>
            </w:pPr>
            <w:r>
              <w:rPr>
                <w:sz w:val="21"/>
                <w:szCs w:val="21"/>
              </w:rPr>
              <w:t>1</w:t>
            </w:r>
            <w:r>
              <w:rPr>
                <w:rFonts w:ascii="宋体" w:hAnsi="宋体"/>
                <w:sz w:val="21"/>
                <w:szCs w:val="21"/>
              </w:rPr>
              <w:t>座，分</w:t>
            </w:r>
            <w:r>
              <w:rPr>
                <w:sz w:val="21"/>
                <w:szCs w:val="21"/>
              </w:rPr>
              <w:t>2</w:t>
            </w:r>
            <w:r>
              <w:rPr>
                <w:rFonts w:ascii="宋体" w:hAnsi="宋体"/>
                <w:sz w:val="21"/>
                <w:szCs w:val="21"/>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栅条间隙：</w:t>
            </w:r>
          </w:p>
        </w:tc>
        <w:tc>
          <w:tcPr>
            <w:tcW w:w="3256" w:type="pct"/>
            <w:vAlign w:val="center"/>
          </w:tcPr>
          <w:p>
            <w:pPr>
              <w:pStyle w:val="132"/>
              <w:spacing w:line="240" w:lineRule="auto"/>
              <w:ind w:firstLine="0" w:firstLineChars="0"/>
              <w:jc w:val="center"/>
              <w:rPr>
                <w:sz w:val="21"/>
                <w:szCs w:val="21"/>
              </w:rPr>
            </w:pPr>
            <w:r>
              <w:rPr>
                <w:sz w:val="21"/>
                <w:szCs w:val="21"/>
              </w:rPr>
              <w:t>3mm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进水渠数：</w:t>
            </w:r>
          </w:p>
        </w:tc>
        <w:tc>
          <w:tcPr>
            <w:tcW w:w="3256" w:type="pct"/>
            <w:vAlign w:val="center"/>
          </w:tcPr>
          <w:p>
            <w:pPr>
              <w:pStyle w:val="132"/>
              <w:spacing w:line="240" w:lineRule="auto"/>
              <w:ind w:firstLine="0" w:firstLineChars="0"/>
              <w:jc w:val="center"/>
              <w:rPr>
                <w:sz w:val="21"/>
                <w:szCs w:val="21"/>
              </w:rPr>
            </w:pPr>
            <w:r>
              <w:rPr>
                <w:sz w:val="21"/>
                <w:szCs w:val="21"/>
              </w:rPr>
              <w:t>2</w:t>
            </w:r>
            <w:r>
              <w:rPr>
                <w:rFonts w:ascii="宋体" w:hAnsi="宋体"/>
                <w:sz w:val="21"/>
                <w:szCs w:val="21"/>
              </w:rPr>
              <w:t>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渠宽：</w:t>
            </w:r>
          </w:p>
        </w:tc>
        <w:tc>
          <w:tcPr>
            <w:tcW w:w="3256" w:type="pct"/>
            <w:vAlign w:val="center"/>
          </w:tcPr>
          <w:p>
            <w:pPr>
              <w:pStyle w:val="132"/>
              <w:spacing w:line="240" w:lineRule="auto"/>
              <w:ind w:firstLine="0" w:firstLineChars="0"/>
              <w:jc w:val="center"/>
              <w:rPr>
                <w:sz w:val="21"/>
                <w:szCs w:val="21"/>
              </w:rPr>
            </w:pPr>
            <w:r>
              <w:rPr>
                <w:sz w:val="21"/>
                <w:szCs w:val="21"/>
              </w:rPr>
              <w:t>1.6m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渠深：</w:t>
            </w:r>
          </w:p>
        </w:tc>
        <w:tc>
          <w:tcPr>
            <w:tcW w:w="3256" w:type="pct"/>
            <w:vAlign w:val="center"/>
          </w:tcPr>
          <w:p>
            <w:pPr>
              <w:pStyle w:val="132"/>
              <w:spacing w:line="240" w:lineRule="auto"/>
              <w:ind w:firstLine="0" w:firstLineChars="0"/>
              <w:jc w:val="center"/>
              <w:rPr>
                <w:sz w:val="21"/>
                <w:szCs w:val="21"/>
              </w:rPr>
            </w:pPr>
            <w:r>
              <w:rPr>
                <w:sz w:val="21"/>
                <w:szCs w:val="21"/>
              </w:rP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栅前水深：</w:t>
            </w:r>
          </w:p>
        </w:tc>
        <w:tc>
          <w:tcPr>
            <w:tcW w:w="3256" w:type="pct"/>
            <w:vAlign w:val="center"/>
          </w:tcPr>
          <w:p>
            <w:pPr>
              <w:pStyle w:val="132"/>
              <w:spacing w:line="240" w:lineRule="auto"/>
              <w:ind w:firstLine="0" w:firstLineChars="0"/>
              <w:jc w:val="center"/>
              <w:rPr>
                <w:sz w:val="21"/>
                <w:szCs w:val="21"/>
              </w:rPr>
            </w:pPr>
            <w:r>
              <w:rPr>
                <w:sz w:val="21"/>
                <w:szCs w:val="21"/>
              </w:rPr>
              <w:t>1.5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格栅倾角：</w:t>
            </w:r>
          </w:p>
        </w:tc>
        <w:tc>
          <w:tcPr>
            <w:tcW w:w="3256" w:type="pct"/>
            <w:vAlign w:val="center"/>
          </w:tcPr>
          <w:p>
            <w:pPr>
              <w:pStyle w:val="132"/>
              <w:spacing w:line="240" w:lineRule="auto"/>
              <w:ind w:firstLine="0" w:firstLineChars="0"/>
              <w:jc w:val="center"/>
              <w:rPr>
                <w:sz w:val="21"/>
                <w:szCs w:val="21"/>
              </w:rPr>
            </w:pPr>
            <w:r>
              <w:rPr>
                <w:sz w:val="21"/>
                <w:szCs w:val="21"/>
              </w:rPr>
              <w:t>90º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设备类型：</w:t>
            </w:r>
          </w:p>
        </w:tc>
        <w:tc>
          <w:tcPr>
            <w:tcW w:w="3256" w:type="pct"/>
            <w:vAlign w:val="center"/>
          </w:tcPr>
          <w:p>
            <w:pPr>
              <w:pStyle w:val="132"/>
              <w:spacing w:line="240" w:lineRule="auto"/>
              <w:ind w:firstLine="0" w:firstLineChars="0"/>
              <w:jc w:val="center"/>
              <w:rPr>
                <w:sz w:val="21"/>
                <w:szCs w:val="21"/>
              </w:rPr>
            </w:pPr>
            <w:r>
              <w:rPr>
                <w:sz w:val="21"/>
                <w:szCs w:val="21"/>
              </w:rPr>
              <w:t>KB</w:t>
            </w:r>
            <w:r>
              <w:rPr>
                <w:rFonts w:ascii="宋体" w:hAnsi="宋体"/>
                <w:sz w:val="21"/>
                <w:szCs w:val="21"/>
              </w:rPr>
              <w:t>型孔板式细格栅除污机，</w:t>
            </w:r>
            <w:r>
              <w:rPr>
                <w:sz w:val="21"/>
                <w:szCs w:val="21"/>
              </w:rPr>
              <w:t>N=1.1kW</w:t>
            </w:r>
            <w:r>
              <w:rPr>
                <w:rFonts w:ascii="宋体" w:hAnsi="宋体"/>
                <w:sz w:val="21"/>
                <w:szCs w:val="21"/>
              </w:rPr>
              <w:t>，</w:t>
            </w:r>
            <w:r>
              <w:rPr>
                <w:sz w:val="21"/>
                <w:szCs w:val="21"/>
              </w:rPr>
              <w:t>2</w:t>
            </w:r>
            <w:r>
              <w:rPr>
                <w:rFonts w:ascii="宋体" w:hAnsi="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pct"/>
            <w:vAlign w:val="center"/>
          </w:tcPr>
          <w:p>
            <w:pPr>
              <w:pStyle w:val="132"/>
              <w:spacing w:line="240" w:lineRule="auto"/>
              <w:ind w:firstLine="420"/>
              <w:jc w:val="center"/>
              <w:rPr>
                <w:sz w:val="21"/>
                <w:szCs w:val="21"/>
              </w:rPr>
            </w:pPr>
            <w:r>
              <w:rPr>
                <w:sz w:val="21"/>
                <w:szCs w:val="21"/>
              </w:rPr>
              <w:t>配套设备：</w:t>
            </w:r>
          </w:p>
        </w:tc>
        <w:tc>
          <w:tcPr>
            <w:tcW w:w="3256" w:type="pct"/>
            <w:vAlign w:val="center"/>
          </w:tcPr>
          <w:p>
            <w:pPr>
              <w:pStyle w:val="132"/>
              <w:spacing w:line="240" w:lineRule="auto"/>
              <w:ind w:firstLine="0" w:firstLineChars="0"/>
              <w:jc w:val="center"/>
              <w:rPr>
                <w:sz w:val="21"/>
                <w:szCs w:val="21"/>
              </w:rPr>
            </w:pPr>
            <w:r>
              <w:rPr>
                <w:sz w:val="21"/>
                <w:szCs w:val="21"/>
              </w:rPr>
              <w:t>LYJ355</w:t>
            </w:r>
            <w:r>
              <w:rPr>
                <w:rFonts w:ascii="宋体" w:hAnsi="宋体"/>
                <w:sz w:val="21"/>
                <w:szCs w:val="21"/>
              </w:rPr>
              <w:t>，</w:t>
            </w:r>
            <w:r>
              <w:rPr>
                <w:sz w:val="21"/>
                <w:szCs w:val="21"/>
              </w:rPr>
              <w:t>N=2.2kW</w:t>
            </w:r>
            <w:r>
              <w:rPr>
                <w:rFonts w:ascii="宋体" w:hAnsi="宋体"/>
                <w:sz w:val="21"/>
                <w:szCs w:val="21"/>
              </w:rPr>
              <w:t>，</w:t>
            </w:r>
            <w:r>
              <w:rPr>
                <w:sz w:val="21"/>
                <w:szCs w:val="21"/>
              </w:rPr>
              <w:t>304</w:t>
            </w:r>
            <w:r>
              <w:rPr>
                <w:rFonts w:ascii="宋体" w:hAnsi="宋体"/>
                <w:sz w:val="21"/>
                <w:szCs w:val="21"/>
              </w:rPr>
              <w:t>不锈钢材质，</w:t>
            </w:r>
            <w:r>
              <w:rPr>
                <w:sz w:val="21"/>
                <w:szCs w:val="21"/>
              </w:rPr>
              <w:t>1</w:t>
            </w:r>
            <w:r>
              <w:rPr>
                <w:rFonts w:ascii="宋体" w:hAnsi="宋体"/>
                <w:sz w:val="21"/>
                <w:szCs w:val="21"/>
              </w:rPr>
              <w:t>台</w:t>
            </w:r>
          </w:p>
        </w:tc>
      </w:tr>
    </w:tbl>
    <w:p>
      <w:pPr>
        <w:pStyle w:val="132"/>
        <w:adjustRightInd w:val="0"/>
        <w:snapToGrid w:val="0"/>
        <w:spacing w:line="360" w:lineRule="auto"/>
        <w:ind w:firstLine="480"/>
      </w:pPr>
      <w:r>
        <w:rPr>
          <w:rFonts w:ascii="宋体" w:hAnsi="宋体"/>
        </w:rPr>
        <w:t>②平流式水力旋流沉砂</w:t>
      </w:r>
    </w:p>
    <w:p>
      <w:pPr>
        <w:pStyle w:val="132"/>
        <w:adjustRightInd w:val="0"/>
        <w:snapToGrid w:val="0"/>
        <w:spacing w:line="360" w:lineRule="auto"/>
        <w:ind w:firstLine="480"/>
        <w:rPr>
          <w:rFonts w:ascii="宋体" w:hAnsi="宋体"/>
        </w:rPr>
      </w:pPr>
      <w:r>
        <w:rPr>
          <w:rFonts w:ascii="宋体" w:hAnsi="宋体"/>
        </w:rPr>
        <w:t>平流式沉砂具有沉砂效果稳定、沉砂质量较高、砂有机物低于</w:t>
      </w:r>
      <w:r>
        <w:t>10%</w:t>
      </w:r>
      <w:r>
        <w:rPr>
          <w:rFonts w:ascii="宋体" w:hAnsi="宋体"/>
        </w:rPr>
        <w:t>且具有去除浮渣功能等优点。在设计中考虑超越能力以便检修。沉砂池配套双槽桥式吸砂机，提砂泵、排砂系统，吸砂机每间隔</w:t>
      </w:r>
      <w:r>
        <w:t>1</w:t>
      </w:r>
      <w:r>
        <w:rPr>
          <w:rFonts w:ascii="宋体" w:hAnsi="宋体"/>
        </w:rPr>
        <w:t>～</w:t>
      </w:r>
      <w:r>
        <w:t>2</w:t>
      </w:r>
      <w:r>
        <w:rPr>
          <w:rFonts w:ascii="宋体" w:hAnsi="宋体"/>
        </w:rPr>
        <w:t>小时往返运行一次，砂水分离器与排砂系统联动控制，排砂系统与砂水分离器同时启动。分离出的砂外运，水回流至沉砂池前。每组沉砂池进出水渠上设有堰门以便控制沉砂池运行。</w:t>
      </w:r>
    </w:p>
    <w:p>
      <w:pPr>
        <w:pStyle w:val="132"/>
        <w:adjustRightInd w:val="0"/>
        <w:snapToGrid w:val="0"/>
        <w:spacing w:line="360" w:lineRule="auto"/>
        <w:ind w:firstLine="480"/>
        <w:rPr>
          <w:rFonts w:ascii="宋体" w:hAnsi="宋体"/>
        </w:rPr>
      </w:pPr>
      <w:r>
        <w:rPr>
          <w:rFonts w:hint="eastAsia" w:ascii="宋体" w:hAnsi="宋体"/>
        </w:rPr>
        <w:t>在细格栅后，</w:t>
      </w:r>
      <w:r>
        <w:rPr>
          <w:rFonts w:hint="eastAsia" w:ascii="宋体" w:hAnsi="宋体"/>
          <w:lang w:eastAsia="zh-CN"/>
        </w:rPr>
        <w:t>平流式沉砂池</w:t>
      </w:r>
      <w:r>
        <w:rPr>
          <w:rFonts w:ascii="宋体" w:hAnsi="宋体"/>
        </w:rPr>
        <w:t>前</w:t>
      </w:r>
      <w:r>
        <w:rPr>
          <w:rFonts w:hint="eastAsia" w:ascii="宋体" w:hAnsi="宋体"/>
        </w:rPr>
        <w:t>，</w:t>
      </w:r>
      <w:r>
        <w:rPr>
          <w:rFonts w:ascii="宋体" w:hAnsi="宋体"/>
        </w:rPr>
        <w:t>设有</w:t>
      </w:r>
      <w:r>
        <w:t>PH</w:t>
      </w:r>
      <w:r>
        <w:rPr>
          <w:rFonts w:hAnsi="宋体"/>
        </w:rPr>
        <w:t>、</w:t>
      </w:r>
      <w:r>
        <w:t>COD</w:t>
      </w:r>
      <w:r>
        <w:rPr>
          <w:rFonts w:hint="eastAsia"/>
        </w:rPr>
        <w:t>、</w:t>
      </w:r>
      <w:r>
        <w:t>氨氮的在线监测仪表</w:t>
      </w:r>
      <w:r>
        <w:rPr>
          <w:rFonts w:hint="eastAsia"/>
        </w:rPr>
        <w:t>。</w:t>
      </w:r>
    </w:p>
    <w:p>
      <w:pPr>
        <w:pStyle w:val="132"/>
        <w:adjustRightInd w:val="0"/>
        <w:snapToGrid w:val="0"/>
        <w:spacing w:line="360" w:lineRule="auto"/>
        <w:ind w:firstLine="480"/>
      </w:pPr>
      <w:r>
        <w:t>平流式水力旋流沉砂池后设有超越排放闸门及DN1200超越排放管，当污水处理厂检修时，污水经格栅井、沉砂池处理后可通过该超越排放管将污水超越排放至华容河。</w:t>
      </w:r>
    </w:p>
    <w:p>
      <w:pPr>
        <w:pStyle w:val="132"/>
        <w:adjustRightInd w:val="0"/>
        <w:snapToGrid w:val="0"/>
        <w:spacing w:line="360" w:lineRule="auto"/>
        <w:ind w:firstLine="480"/>
      </w:pPr>
      <w:r>
        <w:t>平流式水力旋流沉砂池池按6.0×10</w:t>
      </w:r>
      <w:r>
        <w:rPr>
          <w:vertAlign w:val="superscript"/>
        </w:rPr>
        <w:t>4</w:t>
      </w:r>
      <w:r>
        <w:t>m</w:t>
      </w:r>
      <w:r>
        <w:rPr>
          <w:vertAlign w:val="superscript"/>
        </w:rPr>
        <w:t>3</w:t>
      </w:r>
      <w:r>
        <w:t xml:space="preserve">/d设计，沉砂池设计两组，近期工程低负荷运行一个，另外一个备用。 </w:t>
      </w:r>
    </w:p>
    <w:p>
      <w:pPr>
        <w:pStyle w:val="132"/>
        <w:adjustRightInd w:val="0"/>
        <w:snapToGrid w:val="0"/>
        <w:spacing w:line="360" w:lineRule="auto"/>
        <w:ind w:firstLine="480"/>
      </w:pPr>
      <w:r>
        <w:rPr>
          <w:rFonts w:hAnsi="宋体"/>
        </w:rPr>
        <w:t>主要设计参数如下</w:t>
      </w:r>
      <w:r>
        <w:t>:</w:t>
      </w:r>
    </w:p>
    <w:p>
      <w:pPr>
        <w:pStyle w:val="14"/>
        <w:spacing w:line="240" w:lineRule="auto"/>
      </w:pPr>
      <w:r>
        <w:rPr>
          <w:rFonts w:hint="eastAsia"/>
        </w:rPr>
        <w:t>表</w:t>
      </w:r>
      <w:r>
        <w:fldChar w:fldCharType="begin"/>
      </w:r>
      <w:r>
        <w:instrText xml:space="preserve"> STYLEREF 2 \s </w:instrText>
      </w:r>
      <w:r>
        <w:fldChar w:fldCharType="separate"/>
      </w:r>
      <w:r>
        <w:t>2.1</w:t>
      </w:r>
      <w:r>
        <w:fldChar w:fldCharType="end"/>
      </w:r>
      <w:r>
        <w:noBreakHyphen/>
      </w:r>
      <w:r>
        <w:fldChar w:fldCharType="begin"/>
      </w:r>
      <w:r>
        <w:rPr>
          <w:rFonts w:hint="eastAsia"/>
        </w:rPr>
        <w:instrText xml:space="preserve">SEQ 表 \* ARABIC \s 2</w:instrText>
      </w:r>
      <w:r>
        <w:fldChar w:fldCharType="separate"/>
      </w:r>
      <w:r>
        <w:rPr>
          <w:rFonts w:hint="eastAsia"/>
        </w:rPr>
        <w:t>11</w:t>
      </w:r>
      <w:r>
        <w:fldChar w:fldCharType="end"/>
      </w:r>
      <w:r>
        <w:rPr>
          <w:rFonts w:hint="eastAsia"/>
        </w:rPr>
        <w:t xml:space="preserve"> </w:t>
      </w:r>
      <w:r>
        <w:rPr>
          <w:rFonts w:ascii="宋体" w:hAnsi="宋体"/>
        </w:rPr>
        <w:t>平流式水力旋流沉砂主要参数一览表</w:t>
      </w:r>
    </w:p>
    <w:tbl>
      <w:tblPr>
        <w:tblStyle w:val="38"/>
        <w:tblW w:w="853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设计规模：</w:t>
            </w:r>
          </w:p>
        </w:tc>
        <w:tc>
          <w:tcPr>
            <w:tcW w:w="5733" w:type="dxa"/>
            <w:vAlign w:val="center"/>
          </w:tcPr>
          <w:p>
            <w:pPr>
              <w:pStyle w:val="132"/>
              <w:spacing w:line="240" w:lineRule="auto"/>
              <w:ind w:firstLine="0" w:firstLineChars="0"/>
              <w:jc w:val="center"/>
              <w:rPr>
                <w:sz w:val="21"/>
                <w:szCs w:val="21"/>
              </w:rPr>
            </w:pPr>
            <w:r>
              <w:rPr>
                <w:sz w:val="21"/>
                <w:szCs w:val="21"/>
              </w:rPr>
              <w:t>2.0×10</w:t>
            </w:r>
            <w:r>
              <w:rPr>
                <w:sz w:val="21"/>
                <w:szCs w:val="21"/>
                <w:vertAlign w:val="superscript"/>
              </w:rPr>
              <w:t>4</w:t>
            </w:r>
            <w:r>
              <w:rPr>
                <w:sz w:val="21"/>
                <w:szCs w:val="21"/>
              </w:rPr>
              <w:t xml:space="preserve"> m</w:t>
            </w:r>
            <w:r>
              <w:rPr>
                <w:sz w:val="21"/>
                <w:szCs w:val="21"/>
                <w:vertAlign w:val="superscript"/>
              </w:rPr>
              <w:t>3</w:t>
            </w:r>
            <w:r>
              <w:rPr>
                <w:sz w:val="21"/>
                <w:szCs w:val="21"/>
              </w:rPr>
              <w:t>/d</w:t>
            </w:r>
            <w:r>
              <w:rPr>
                <w:rFonts w:hAnsi="宋体"/>
                <w:sz w:val="21"/>
                <w:szCs w:val="21"/>
              </w:rPr>
              <w:t>，</w:t>
            </w:r>
            <w:r>
              <w:rPr>
                <w:sz w:val="21"/>
                <w:szCs w:val="21"/>
              </w:rPr>
              <w:t>Kz=1.49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平均流量：</w:t>
            </w:r>
          </w:p>
        </w:tc>
        <w:tc>
          <w:tcPr>
            <w:tcW w:w="5733" w:type="dxa"/>
            <w:vAlign w:val="center"/>
          </w:tcPr>
          <w:p>
            <w:pPr>
              <w:pStyle w:val="132"/>
              <w:spacing w:line="240" w:lineRule="auto"/>
              <w:ind w:firstLine="0" w:firstLineChars="0"/>
              <w:jc w:val="center"/>
              <w:rPr>
                <w:sz w:val="21"/>
                <w:szCs w:val="21"/>
              </w:rPr>
            </w:pPr>
            <w:r>
              <w:rPr>
                <w:sz w:val="21"/>
                <w:szCs w:val="21"/>
              </w:rPr>
              <w:t>833m</w:t>
            </w:r>
            <w:r>
              <w:rPr>
                <w:sz w:val="21"/>
                <w:szCs w:val="21"/>
                <w:vertAlign w:val="superscript"/>
              </w:rPr>
              <w:t>3</w:t>
            </w:r>
            <w:r>
              <w:rPr>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最大设计秒流量：</w:t>
            </w:r>
          </w:p>
        </w:tc>
        <w:tc>
          <w:tcPr>
            <w:tcW w:w="5733" w:type="dxa"/>
            <w:vAlign w:val="center"/>
          </w:tcPr>
          <w:p>
            <w:pPr>
              <w:pStyle w:val="132"/>
              <w:spacing w:line="240" w:lineRule="auto"/>
              <w:ind w:firstLine="0" w:firstLineChars="0"/>
              <w:jc w:val="center"/>
              <w:rPr>
                <w:sz w:val="21"/>
                <w:szCs w:val="21"/>
              </w:rPr>
            </w:pPr>
            <w:r>
              <w:rPr>
                <w:sz w:val="21"/>
                <w:szCs w:val="21"/>
              </w:rPr>
              <w:t>463L/s</w:t>
            </w:r>
            <w:r>
              <w:rPr>
                <w:rFonts w:hAnsi="宋体"/>
                <w:sz w:val="21"/>
                <w:szCs w:val="21"/>
              </w:rPr>
              <w:t>（</w:t>
            </w:r>
            <w:r>
              <w:rPr>
                <w:sz w:val="21"/>
                <w:szCs w:val="21"/>
              </w:rPr>
              <w:t>1667m</w:t>
            </w:r>
            <w:r>
              <w:rPr>
                <w:sz w:val="21"/>
                <w:szCs w:val="21"/>
                <w:vertAlign w:val="superscript"/>
              </w:rPr>
              <w:t>3</w:t>
            </w:r>
            <w:r>
              <w:rPr>
                <w:sz w:val="21"/>
                <w:szCs w:val="21"/>
              </w:rPr>
              <w:t>/h</w:t>
            </w:r>
            <w:r>
              <w:rPr>
                <w:rFonts w:hAnsi="宋体"/>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沉砂池直径:</w:t>
            </w:r>
          </w:p>
        </w:tc>
        <w:tc>
          <w:tcPr>
            <w:tcW w:w="5733" w:type="dxa"/>
            <w:vAlign w:val="center"/>
          </w:tcPr>
          <w:p>
            <w:pPr>
              <w:pStyle w:val="134"/>
              <w:spacing w:before="36"/>
              <w:ind w:firstLine="0" w:firstLineChars="0"/>
              <w:jc w:val="center"/>
              <w:rPr>
                <w:sz w:val="21"/>
                <w:szCs w:val="21"/>
              </w:rPr>
            </w:pPr>
            <w:r>
              <w:rPr>
                <w:sz w:val="21"/>
                <w:szCs w:val="21"/>
              </w:rPr>
              <w:t>2430mm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水力表面负荷：</w:t>
            </w:r>
          </w:p>
        </w:tc>
        <w:tc>
          <w:tcPr>
            <w:tcW w:w="5733" w:type="dxa"/>
            <w:vAlign w:val="center"/>
          </w:tcPr>
          <w:p>
            <w:pPr>
              <w:pStyle w:val="132"/>
              <w:spacing w:line="240" w:lineRule="auto"/>
              <w:ind w:firstLine="0" w:firstLineChars="0"/>
              <w:jc w:val="center"/>
              <w:rPr>
                <w:sz w:val="21"/>
                <w:szCs w:val="21"/>
              </w:rPr>
            </w:pPr>
            <w:r>
              <w:rPr>
                <w:sz w:val="21"/>
                <w:szCs w:val="21"/>
              </w:rPr>
              <w:t>141m</w:t>
            </w:r>
            <w:r>
              <w:rPr>
                <w:sz w:val="21"/>
                <w:szCs w:val="21"/>
                <w:vertAlign w:val="superscript"/>
              </w:rPr>
              <w:t>3</w:t>
            </w:r>
            <w:r>
              <w:rPr>
                <w:sz w:val="21"/>
                <w:szCs w:val="21"/>
              </w:rPr>
              <w:t>/ m</w:t>
            </w:r>
            <w:r>
              <w:rPr>
                <w:sz w:val="21"/>
                <w:szCs w:val="21"/>
                <w:vertAlign w:val="superscript"/>
              </w:rPr>
              <w:t>2</w:t>
            </w:r>
            <w:r>
              <w:rPr>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水力停留时间：</w:t>
            </w:r>
          </w:p>
        </w:tc>
        <w:tc>
          <w:tcPr>
            <w:tcW w:w="5733" w:type="dxa"/>
            <w:vAlign w:val="center"/>
          </w:tcPr>
          <w:p>
            <w:pPr>
              <w:pStyle w:val="134"/>
              <w:spacing w:before="36"/>
              <w:ind w:firstLine="0" w:firstLineChars="0"/>
              <w:jc w:val="center"/>
              <w:rPr>
                <w:sz w:val="21"/>
                <w:szCs w:val="21"/>
              </w:rPr>
            </w:pPr>
            <w:r>
              <w:rPr>
                <w:sz w:val="21"/>
                <w:szCs w:val="21"/>
              </w:rPr>
              <w:t>39s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集砂斗直径:</w:t>
            </w:r>
          </w:p>
        </w:tc>
        <w:tc>
          <w:tcPr>
            <w:tcW w:w="5733" w:type="dxa"/>
            <w:vAlign w:val="center"/>
          </w:tcPr>
          <w:p>
            <w:pPr>
              <w:pStyle w:val="132"/>
              <w:spacing w:line="240" w:lineRule="auto"/>
              <w:ind w:firstLine="0" w:firstLineChars="0"/>
              <w:jc w:val="center"/>
              <w:rPr>
                <w:sz w:val="21"/>
                <w:szCs w:val="21"/>
              </w:rPr>
            </w:pPr>
            <w:r>
              <w:rPr>
                <w:sz w:val="21"/>
                <w:szCs w:val="21"/>
              </w:rPr>
              <w:t>1.20m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进水渠宽:</w:t>
            </w:r>
          </w:p>
        </w:tc>
        <w:tc>
          <w:tcPr>
            <w:tcW w:w="5733" w:type="dxa"/>
            <w:vAlign w:val="center"/>
          </w:tcPr>
          <w:p>
            <w:pPr>
              <w:pStyle w:val="132"/>
              <w:spacing w:line="240" w:lineRule="auto"/>
              <w:ind w:firstLine="0" w:firstLineChars="0"/>
              <w:jc w:val="center"/>
              <w:rPr>
                <w:sz w:val="21"/>
                <w:szCs w:val="21"/>
              </w:rPr>
            </w:pPr>
            <w:r>
              <w:rPr>
                <w:sz w:val="21"/>
                <w:szCs w:val="21"/>
              </w:rPr>
              <w:t>0.45m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出水渠宽:</w:t>
            </w:r>
          </w:p>
        </w:tc>
        <w:tc>
          <w:tcPr>
            <w:tcW w:w="5733" w:type="dxa"/>
            <w:vAlign w:val="center"/>
          </w:tcPr>
          <w:p>
            <w:pPr>
              <w:pStyle w:val="132"/>
              <w:spacing w:line="240" w:lineRule="auto"/>
              <w:ind w:firstLine="0" w:firstLineChars="0"/>
              <w:jc w:val="center"/>
              <w:rPr>
                <w:sz w:val="21"/>
                <w:szCs w:val="21"/>
              </w:rPr>
            </w:pPr>
            <w:r>
              <w:rPr>
                <w:sz w:val="21"/>
                <w:szCs w:val="21"/>
              </w:rPr>
              <w:t>0.90m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132"/>
              <w:spacing w:line="240" w:lineRule="auto"/>
              <w:ind w:firstLine="420"/>
              <w:jc w:val="center"/>
              <w:rPr>
                <w:sz w:val="21"/>
                <w:szCs w:val="21"/>
              </w:rPr>
            </w:pPr>
            <w:r>
              <w:rPr>
                <w:sz w:val="21"/>
                <w:szCs w:val="21"/>
              </w:rPr>
              <w:t>配套设备：</w:t>
            </w:r>
          </w:p>
        </w:tc>
        <w:tc>
          <w:tcPr>
            <w:tcW w:w="5733" w:type="dxa"/>
            <w:vAlign w:val="center"/>
          </w:tcPr>
          <w:p>
            <w:pPr>
              <w:pStyle w:val="134"/>
              <w:spacing w:beforeLines="0" w:after="0" w:afterAutospacing="0"/>
              <w:ind w:firstLine="0" w:firstLineChars="0"/>
              <w:jc w:val="center"/>
              <w:rPr>
                <w:sz w:val="21"/>
                <w:szCs w:val="21"/>
              </w:rPr>
            </w:pPr>
            <w:r>
              <w:rPr>
                <w:sz w:val="21"/>
                <w:szCs w:val="21"/>
              </w:rPr>
              <w:t>旋流除砂机2</w:t>
            </w:r>
            <w:r>
              <w:rPr>
                <w:rFonts w:hAnsi="宋体"/>
                <w:sz w:val="21"/>
                <w:szCs w:val="21"/>
              </w:rPr>
              <w:t>台，</w:t>
            </w:r>
            <w:r>
              <w:rPr>
                <w:sz w:val="21"/>
                <w:szCs w:val="21"/>
              </w:rPr>
              <w:t>N=1.10kW/</w:t>
            </w:r>
            <w:r>
              <w:rPr>
                <w:rFonts w:hAnsi="宋体"/>
                <w:sz w:val="21"/>
                <w:szCs w:val="21"/>
              </w:rPr>
              <w:t>台</w:t>
            </w:r>
          </w:p>
          <w:p>
            <w:pPr>
              <w:pStyle w:val="134"/>
              <w:spacing w:beforeLines="0" w:after="0" w:afterAutospacing="0"/>
              <w:ind w:firstLine="0" w:firstLineChars="0"/>
              <w:jc w:val="center"/>
              <w:rPr>
                <w:sz w:val="21"/>
                <w:szCs w:val="21"/>
              </w:rPr>
            </w:pPr>
            <w:r>
              <w:rPr>
                <w:sz w:val="21"/>
                <w:szCs w:val="21"/>
              </w:rPr>
              <w:t>SF-260</w:t>
            </w:r>
            <w:r>
              <w:rPr>
                <w:rFonts w:hAnsi="宋体"/>
                <w:sz w:val="21"/>
                <w:szCs w:val="21"/>
              </w:rPr>
              <w:t>砂水分离器</w:t>
            </w:r>
            <w:r>
              <w:rPr>
                <w:sz w:val="21"/>
                <w:szCs w:val="21"/>
              </w:rPr>
              <w:t>1</w:t>
            </w:r>
            <w:r>
              <w:rPr>
                <w:rFonts w:hAnsi="宋体"/>
                <w:sz w:val="21"/>
                <w:szCs w:val="21"/>
              </w:rPr>
              <w:t>台</w:t>
            </w:r>
            <w:r>
              <w:rPr>
                <w:sz w:val="21"/>
                <w:szCs w:val="21"/>
              </w:rPr>
              <w:t>, N=0.37kW/</w:t>
            </w:r>
            <w:r>
              <w:rPr>
                <w:rFonts w:hAnsi="宋体"/>
                <w:sz w:val="21"/>
                <w:szCs w:val="21"/>
              </w:rPr>
              <w:t>台</w:t>
            </w:r>
          </w:p>
          <w:p>
            <w:pPr>
              <w:pStyle w:val="134"/>
              <w:spacing w:beforeLines="0" w:after="0" w:afterAutospacing="0"/>
              <w:ind w:firstLine="0" w:firstLineChars="0"/>
              <w:jc w:val="center"/>
              <w:rPr>
                <w:sz w:val="21"/>
                <w:szCs w:val="21"/>
              </w:rPr>
            </w:pPr>
            <w:r>
              <w:rPr>
                <w:kern w:val="0"/>
                <w:sz w:val="21"/>
                <w:szCs w:val="21"/>
              </w:rPr>
              <w:t>配套罗茨风机（Qs=1.53m</w:t>
            </w:r>
            <w:r>
              <w:rPr>
                <w:kern w:val="0"/>
                <w:sz w:val="21"/>
                <w:szCs w:val="21"/>
                <w:vertAlign w:val="superscript"/>
              </w:rPr>
              <w:t>3</w:t>
            </w:r>
            <w:r>
              <w:rPr>
                <w:kern w:val="0"/>
                <w:sz w:val="21"/>
                <w:szCs w:val="21"/>
              </w:rPr>
              <w:t>/min,H=49.0KPa,N=3.0kW</w:t>
            </w:r>
            <w:r>
              <w:rPr>
                <w:rFonts w:hAnsi="宋体"/>
                <w:kern w:val="0"/>
                <w:sz w:val="21"/>
                <w:szCs w:val="21"/>
              </w:rPr>
              <w:t>）</w:t>
            </w:r>
          </w:p>
        </w:tc>
      </w:tr>
    </w:tbl>
    <w:p>
      <w:pPr>
        <w:pStyle w:val="132"/>
        <w:adjustRightInd w:val="0"/>
        <w:snapToGrid w:val="0"/>
        <w:spacing w:line="360" w:lineRule="auto"/>
        <w:ind w:firstLine="480"/>
        <w:rPr>
          <w:rFonts w:ascii="宋体" w:hAnsi="宋体"/>
        </w:rPr>
      </w:pPr>
      <w:r>
        <w:rPr>
          <w:rFonts w:ascii="宋体" w:hAnsi="宋体"/>
        </w:rPr>
        <w:t>沉砂池上方采用轻质材料加盖，下部设收集风管至除臭装置。</w:t>
      </w:r>
    </w:p>
    <w:p>
      <w:pPr>
        <w:pStyle w:val="132"/>
        <w:adjustRightInd w:val="0"/>
        <w:snapToGrid w:val="0"/>
        <w:spacing w:line="360" w:lineRule="auto"/>
        <w:ind w:firstLine="480"/>
      </w:pPr>
      <w:r>
        <w:rPr>
          <w:rFonts w:hAnsi="宋体"/>
        </w:rPr>
        <w:t>（</w:t>
      </w:r>
      <w:r>
        <w:t>3</w:t>
      </w:r>
      <w:r>
        <w:rPr>
          <w:rFonts w:hAnsi="宋体"/>
        </w:rPr>
        <w:t>）组合池</w:t>
      </w:r>
    </w:p>
    <w:p>
      <w:pPr>
        <w:pStyle w:val="132"/>
        <w:adjustRightInd w:val="0"/>
        <w:snapToGrid w:val="0"/>
        <w:spacing w:line="360" w:lineRule="auto"/>
        <w:ind w:firstLine="480"/>
      </w:pPr>
      <w:r>
        <w:t>考虑场地有限及需避让高压线，为节省用地，本设计采用组合工艺。将水解酸化池、AAO生化池、矩形二沉池进行组合。</w:t>
      </w:r>
    </w:p>
    <w:p>
      <w:pPr>
        <w:pStyle w:val="132"/>
        <w:adjustRightInd w:val="0"/>
        <w:snapToGrid w:val="0"/>
        <w:spacing w:line="360" w:lineRule="auto"/>
        <w:ind w:firstLine="480"/>
      </w:pPr>
      <w:r>
        <w:rPr>
          <w:rFonts w:hAnsi="宋体"/>
        </w:rPr>
        <w:t>①</w:t>
      </w:r>
      <w:r>
        <w:t>水解酸化池</w:t>
      </w:r>
    </w:p>
    <w:p>
      <w:pPr>
        <w:pStyle w:val="132"/>
        <w:adjustRightInd w:val="0"/>
        <w:snapToGrid w:val="0"/>
        <w:spacing w:line="360" w:lineRule="auto"/>
        <w:ind w:firstLine="480"/>
      </w:pPr>
      <w:r>
        <w:rPr>
          <w:rFonts w:hAnsi="宋体"/>
        </w:rPr>
        <w:t>水解酸化池采用钢筋混凝土结构，主要用于水解难降解有机污染物，提高污水的可生化性。设水解酸化池</w:t>
      </w:r>
      <w:r>
        <w:t>1</w:t>
      </w:r>
      <w:r>
        <w:rPr>
          <w:rFonts w:hAnsi="宋体"/>
        </w:rPr>
        <w:t>座。水解酸化池为升流式污泥床形式，采用三级一孔一管式配水器，钢筋混凝土出水槽，硬聚氯乙稀堰板。</w:t>
      </w:r>
    </w:p>
    <w:p>
      <w:pPr>
        <w:adjustRightInd w:val="0"/>
        <w:snapToGrid w:val="0"/>
        <w:spacing w:line="360" w:lineRule="auto"/>
        <w:rPr>
          <w:rFonts w:cs="Times New Roman"/>
        </w:rPr>
      </w:pPr>
      <w:r>
        <w:rPr>
          <w:rFonts w:hAnsi="宋体" w:cs="Times New Roman"/>
        </w:rPr>
        <w:t>为应对水解池进水水质波动及增加配水管流速，本设计在水解池出水端增加回流泵，按</w:t>
      </w:r>
      <w:r>
        <w:rPr>
          <w:rFonts w:cs="Times New Roman"/>
        </w:rPr>
        <w:t>50%</w:t>
      </w:r>
      <w:r>
        <w:rPr>
          <w:rFonts w:hAnsi="宋体" w:cs="Times New Roman"/>
        </w:rPr>
        <w:t>回流比将污水回流至二级配水器。</w:t>
      </w:r>
    </w:p>
    <w:p>
      <w:pPr>
        <w:pStyle w:val="132"/>
        <w:adjustRightInd w:val="0"/>
        <w:snapToGrid w:val="0"/>
        <w:spacing w:line="360" w:lineRule="auto"/>
        <w:ind w:firstLine="480"/>
        <w:rPr>
          <w:rFonts w:hAnsi="宋体"/>
        </w:rPr>
      </w:pPr>
      <w:r>
        <w:rPr>
          <w:rFonts w:hAnsi="宋体"/>
        </w:rPr>
        <w:t>水解酸化池的设计参数如下：</w:t>
      </w:r>
    </w:p>
    <w:p>
      <w:pPr>
        <w:pStyle w:val="132"/>
        <w:adjustRightInd w:val="0"/>
        <w:snapToGrid w:val="0"/>
        <w:spacing w:line="360" w:lineRule="auto"/>
        <w:ind w:firstLine="480"/>
      </w:pP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12</w:t>
      </w:r>
      <w:r>
        <w:rPr>
          <w:rFonts w:hAnsi="宋体" w:cs="Times New Roman"/>
        </w:rPr>
        <w:fldChar w:fldCharType="end"/>
      </w:r>
      <w:r>
        <w:rPr>
          <w:rFonts w:cs="Times New Roman"/>
        </w:rPr>
        <w:t xml:space="preserve">  水解酸化池主要参数一览表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5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设计规模：</w:t>
            </w:r>
          </w:p>
        </w:tc>
        <w:tc>
          <w:tcPr>
            <w:tcW w:w="5281" w:type="dxa"/>
            <w:vAlign w:val="center"/>
          </w:tcPr>
          <w:p>
            <w:pPr>
              <w:pStyle w:val="132"/>
              <w:spacing w:line="240" w:lineRule="auto"/>
              <w:ind w:firstLine="0" w:firstLineChars="0"/>
              <w:jc w:val="center"/>
              <w:rPr>
                <w:sz w:val="21"/>
                <w:szCs w:val="21"/>
              </w:rPr>
            </w:pPr>
            <w:r>
              <w:rPr>
                <w:sz w:val="21"/>
                <w:szCs w:val="21"/>
              </w:rPr>
              <w:t>2.0×10</w:t>
            </w:r>
            <w:r>
              <w:rPr>
                <w:sz w:val="21"/>
                <w:szCs w:val="21"/>
                <w:vertAlign w:val="superscript"/>
              </w:rPr>
              <w:t>4</w:t>
            </w:r>
            <w:r>
              <w:rPr>
                <w:sz w:val="21"/>
                <w:szCs w:val="21"/>
              </w:rPr>
              <w:t xml:space="preserve"> m</w:t>
            </w:r>
            <w:r>
              <w:rPr>
                <w:sz w:val="21"/>
                <w:szCs w:val="21"/>
                <w:vertAlign w:val="superscript"/>
              </w:rPr>
              <w:t>3</w:t>
            </w:r>
            <w:r>
              <w:rPr>
                <w:sz w:val="21"/>
                <w:szCs w:val="21"/>
              </w:rPr>
              <w:t>/d</w:t>
            </w:r>
            <w:r>
              <w:rPr>
                <w:rFonts w:hAnsi="宋体"/>
                <w:sz w:val="21"/>
                <w:szCs w:val="21"/>
              </w:rPr>
              <w:t>，</w:t>
            </w:r>
            <w:r>
              <w:rPr>
                <w:sz w:val="21"/>
                <w:szCs w:val="21"/>
              </w:rPr>
              <w:t>Kz=1.49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数量：</w:t>
            </w:r>
          </w:p>
        </w:tc>
        <w:tc>
          <w:tcPr>
            <w:tcW w:w="5281" w:type="dxa"/>
            <w:vAlign w:val="center"/>
          </w:tcPr>
          <w:p>
            <w:pPr>
              <w:pStyle w:val="132"/>
              <w:spacing w:line="240" w:lineRule="auto"/>
              <w:ind w:firstLine="0" w:firstLineChars="0"/>
              <w:jc w:val="center"/>
              <w:rPr>
                <w:sz w:val="21"/>
                <w:szCs w:val="21"/>
              </w:rPr>
            </w:pPr>
            <w:r>
              <w:rPr>
                <w:sz w:val="21"/>
                <w:szCs w:val="21"/>
              </w:rPr>
              <w:t>1</w:t>
            </w:r>
            <w:r>
              <w:rPr>
                <w:rFonts w:hAnsi="宋体"/>
                <w:sz w:val="21"/>
                <w:szCs w:val="21"/>
              </w:rPr>
              <w:t>座，分</w:t>
            </w:r>
            <w:r>
              <w:rPr>
                <w:sz w:val="21"/>
                <w:szCs w:val="21"/>
              </w:rPr>
              <w:t>2</w:t>
            </w:r>
            <w:r>
              <w:rPr>
                <w:rFonts w:hAnsi="宋体"/>
                <w:sz w:val="21"/>
                <w:szCs w:val="21"/>
              </w:rPr>
              <w:t>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有效容积：</w:t>
            </w:r>
          </w:p>
        </w:tc>
        <w:tc>
          <w:tcPr>
            <w:tcW w:w="5281" w:type="dxa"/>
            <w:vAlign w:val="center"/>
          </w:tcPr>
          <w:p>
            <w:pPr>
              <w:pStyle w:val="132"/>
              <w:spacing w:line="240" w:lineRule="auto"/>
              <w:ind w:firstLine="0" w:firstLineChars="0"/>
              <w:jc w:val="center"/>
              <w:rPr>
                <w:sz w:val="21"/>
                <w:szCs w:val="21"/>
              </w:rPr>
            </w:pPr>
            <w:r>
              <w:rPr>
                <w:sz w:val="21"/>
                <w:szCs w:val="21"/>
              </w:rPr>
              <w:t>2158m</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水力停留时间：</w:t>
            </w:r>
          </w:p>
        </w:tc>
        <w:tc>
          <w:tcPr>
            <w:tcW w:w="5281" w:type="dxa"/>
            <w:vAlign w:val="center"/>
          </w:tcPr>
          <w:p>
            <w:pPr>
              <w:pStyle w:val="132"/>
              <w:spacing w:line="240" w:lineRule="auto"/>
              <w:ind w:firstLine="0" w:firstLineChars="0"/>
              <w:jc w:val="center"/>
              <w:rPr>
                <w:sz w:val="21"/>
                <w:szCs w:val="21"/>
              </w:rPr>
            </w:pPr>
            <w:r>
              <w:rPr>
                <w:sz w:val="21"/>
                <w:szCs w:val="21"/>
              </w:rPr>
              <w:t>5.18h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上升流速：</w:t>
            </w:r>
          </w:p>
        </w:tc>
        <w:tc>
          <w:tcPr>
            <w:tcW w:w="5281" w:type="dxa"/>
            <w:vAlign w:val="center"/>
          </w:tcPr>
          <w:p>
            <w:pPr>
              <w:pStyle w:val="132"/>
              <w:spacing w:line="240" w:lineRule="auto"/>
              <w:ind w:firstLine="0" w:firstLineChars="0"/>
              <w:jc w:val="center"/>
              <w:rPr>
                <w:sz w:val="21"/>
                <w:szCs w:val="21"/>
              </w:rPr>
            </w:pPr>
            <w:r>
              <w:rPr>
                <w:sz w:val="21"/>
                <w:szCs w:val="21"/>
              </w:rPr>
              <w:t>1.24m/h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回流比：</w:t>
            </w:r>
          </w:p>
        </w:tc>
        <w:tc>
          <w:tcPr>
            <w:tcW w:w="5281" w:type="dxa"/>
            <w:vAlign w:val="center"/>
          </w:tcPr>
          <w:p>
            <w:pPr>
              <w:pStyle w:val="132"/>
              <w:spacing w:line="240" w:lineRule="auto"/>
              <w:ind w:firstLine="0" w:firstLineChars="0"/>
              <w:jc w:val="center"/>
              <w:rPr>
                <w:sz w:val="21"/>
                <w:szCs w:val="21"/>
              </w:rPr>
            </w:pPr>
            <w:r>
              <w:rPr>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420"/>
              <w:jc w:val="center"/>
              <w:rPr>
                <w:sz w:val="21"/>
                <w:szCs w:val="21"/>
              </w:rPr>
            </w:pPr>
            <w:r>
              <w:rPr>
                <w:rFonts w:hAnsi="宋体"/>
                <w:sz w:val="21"/>
                <w:szCs w:val="21"/>
              </w:rPr>
              <w:t>主要设备：</w:t>
            </w:r>
          </w:p>
        </w:tc>
        <w:tc>
          <w:tcPr>
            <w:tcW w:w="5281" w:type="dxa"/>
            <w:vAlign w:val="center"/>
          </w:tcPr>
          <w:p>
            <w:pPr>
              <w:pStyle w:val="132"/>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840" w:firstLineChars="400"/>
              <w:jc w:val="center"/>
              <w:rPr>
                <w:sz w:val="21"/>
                <w:szCs w:val="21"/>
              </w:rPr>
            </w:pPr>
            <w:r>
              <w:rPr>
                <w:rFonts w:hAnsi="宋体"/>
                <w:sz w:val="21"/>
                <w:szCs w:val="21"/>
              </w:rPr>
              <w:t>回流泵（立式排污泵）：</w:t>
            </w:r>
          </w:p>
        </w:tc>
        <w:tc>
          <w:tcPr>
            <w:tcW w:w="5281" w:type="dxa"/>
            <w:vAlign w:val="center"/>
          </w:tcPr>
          <w:p>
            <w:pPr>
              <w:pStyle w:val="132"/>
              <w:spacing w:line="240" w:lineRule="auto"/>
              <w:ind w:firstLine="0" w:firstLineChars="0"/>
              <w:jc w:val="center"/>
              <w:rPr>
                <w:sz w:val="21"/>
                <w:szCs w:val="21"/>
              </w:rPr>
            </w:pPr>
            <w:r>
              <w:rPr>
                <w:sz w:val="21"/>
                <w:szCs w:val="21"/>
              </w:rPr>
              <w:t>(</w:t>
            </w:r>
            <w:r>
              <w:rPr>
                <w:rFonts w:hAnsi="宋体"/>
                <w:sz w:val="21"/>
                <w:szCs w:val="21"/>
              </w:rPr>
              <w:t>干式安装</w:t>
            </w:r>
            <w:r>
              <w:rPr>
                <w:sz w:val="21"/>
                <w:szCs w:val="21"/>
              </w:rPr>
              <w:t>) Q=220m</w:t>
            </w:r>
            <w:r>
              <w:rPr>
                <w:sz w:val="21"/>
                <w:szCs w:val="21"/>
                <w:vertAlign w:val="superscript"/>
              </w:rPr>
              <w:t>3</w:t>
            </w:r>
            <w:r>
              <w:rPr>
                <w:sz w:val="21"/>
                <w:szCs w:val="21"/>
              </w:rPr>
              <w:t>/h H=10m N=11kW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795" w:firstLineChars="379"/>
              <w:jc w:val="center"/>
              <w:rPr>
                <w:sz w:val="21"/>
                <w:szCs w:val="21"/>
              </w:rPr>
            </w:pPr>
            <w:r>
              <w:rPr>
                <w:rFonts w:hAnsi="宋体"/>
                <w:sz w:val="21"/>
                <w:szCs w:val="21"/>
              </w:rPr>
              <w:t>不锈钢二级配水器：</w:t>
            </w:r>
          </w:p>
        </w:tc>
        <w:tc>
          <w:tcPr>
            <w:tcW w:w="5281" w:type="dxa"/>
            <w:vAlign w:val="center"/>
          </w:tcPr>
          <w:p>
            <w:pPr>
              <w:pStyle w:val="132"/>
              <w:spacing w:line="240" w:lineRule="auto"/>
              <w:ind w:firstLine="0" w:firstLineChars="0"/>
              <w:jc w:val="center"/>
              <w:rPr>
                <w:sz w:val="21"/>
                <w:szCs w:val="21"/>
              </w:rPr>
            </w:pPr>
            <w:r>
              <w:rPr>
                <w:sz w:val="21"/>
                <w:szCs w:val="21"/>
              </w:rPr>
              <w:t>DN1400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1" w:type="dxa"/>
            <w:vAlign w:val="center"/>
          </w:tcPr>
          <w:p>
            <w:pPr>
              <w:pStyle w:val="132"/>
              <w:spacing w:line="240" w:lineRule="auto"/>
              <w:ind w:firstLine="795" w:firstLineChars="379"/>
              <w:jc w:val="center"/>
              <w:rPr>
                <w:sz w:val="21"/>
                <w:szCs w:val="21"/>
              </w:rPr>
            </w:pPr>
            <w:r>
              <w:rPr>
                <w:rFonts w:hAnsi="宋体"/>
                <w:sz w:val="21"/>
                <w:szCs w:val="21"/>
              </w:rPr>
              <w:t>不锈钢三级配水器：</w:t>
            </w:r>
          </w:p>
        </w:tc>
        <w:tc>
          <w:tcPr>
            <w:tcW w:w="5281" w:type="dxa"/>
            <w:vAlign w:val="center"/>
          </w:tcPr>
          <w:p>
            <w:pPr>
              <w:pStyle w:val="132"/>
              <w:spacing w:line="240" w:lineRule="auto"/>
              <w:ind w:firstLine="0" w:firstLineChars="0"/>
              <w:jc w:val="center"/>
              <w:rPr>
                <w:sz w:val="21"/>
                <w:szCs w:val="21"/>
              </w:rPr>
            </w:pPr>
            <w:r>
              <w:rPr>
                <w:sz w:val="21"/>
                <w:szCs w:val="21"/>
              </w:rPr>
              <w:t>DN1600</w:t>
            </w:r>
          </w:p>
        </w:tc>
      </w:tr>
    </w:tbl>
    <w:p>
      <w:pPr>
        <w:pStyle w:val="132"/>
        <w:adjustRightInd w:val="0"/>
        <w:snapToGrid w:val="0"/>
        <w:spacing w:line="360" w:lineRule="auto"/>
        <w:ind w:firstLine="480"/>
        <w:jc w:val="left"/>
        <w:rPr>
          <w:rFonts w:hAnsi="宋体"/>
        </w:rPr>
      </w:pPr>
      <w:r>
        <w:rPr>
          <w:rFonts w:hint="eastAsia" w:hAnsi="宋体"/>
        </w:rPr>
        <w:t>②</w:t>
      </w:r>
      <w:r>
        <w:rPr>
          <w:rFonts w:hAnsi="宋体"/>
        </w:rPr>
        <w:t>AAO生化池</w:t>
      </w:r>
    </w:p>
    <w:p>
      <w:pPr>
        <w:pStyle w:val="132"/>
        <w:adjustRightInd w:val="0"/>
        <w:snapToGrid w:val="0"/>
        <w:spacing w:line="360" w:lineRule="auto"/>
        <w:ind w:firstLine="480"/>
      </w:pPr>
      <w:r>
        <w:t>水解酸化池出水进入AAO生化池，AAO生物池设置1座，处理能力为日平均流量，规模为2.0×104m</w:t>
      </w:r>
      <w:r>
        <w:rPr>
          <w:vertAlign w:val="superscript"/>
        </w:rPr>
        <w:t>3</w:t>
      </w:r>
      <w:r>
        <w:t>/d。</w:t>
      </w:r>
    </w:p>
    <w:p>
      <w:pPr>
        <w:pStyle w:val="132"/>
        <w:adjustRightInd w:val="0"/>
        <w:snapToGrid w:val="0"/>
        <w:spacing w:line="360" w:lineRule="auto"/>
        <w:ind w:firstLine="480"/>
      </w:pPr>
      <w:r>
        <w:t>主要设计参数如下：</w:t>
      </w:r>
    </w:p>
    <w:p>
      <w:pPr>
        <w:pStyle w:val="14"/>
        <w:spacing w:line="240" w:lineRule="auto"/>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2.1</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13</w:t>
      </w:r>
      <w:r>
        <w:rPr>
          <w:rFonts w:cs="Times New Roman"/>
        </w:rPr>
        <w:fldChar w:fldCharType="end"/>
      </w:r>
      <w:r>
        <w:rPr>
          <w:rFonts w:cs="Times New Roman"/>
        </w:rPr>
        <w:t xml:space="preserve">  AAO生化池主要参数一览表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cs="Times New Roman"/>
                <w:b w:val="0"/>
                <w:sz w:val="21"/>
                <w:szCs w:val="21"/>
              </w:rPr>
              <w:t>设计流量：</w:t>
            </w:r>
          </w:p>
        </w:tc>
        <w:tc>
          <w:tcPr>
            <w:tcW w:w="4621" w:type="dxa"/>
            <w:vAlign w:val="center"/>
          </w:tcPr>
          <w:p>
            <w:pPr>
              <w:pStyle w:val="14"/>
              <w:spacing w:line="240" w:lineRule="auto"/>
              <w:rPr>
                <w:rFonts w:cs="Times New Roman"/>
                <w:b w:val="0"/>
                <w:sz w:val="21"/>
                <w:szCs w:val="21"/>
              </w:rPr>
            </w:pPr>
            <w:r>
              <w:rPr>
                <w:rFonts w:cs="Times New Roman"/>
                <w:b w:val="0"/>
                <w:sz w:val="21"/>
                <w:szCs w:val="21"/>
              </w:rPr>
              <w:t>Q＝2.0×104m</w:t>
            </w:r>
            <w:r>
              <w:rPr>
                <w:rFonts w:cs="Times New Roman"/>
                <w:b w:val="0"/>
                <w:sz w:val="21"/>
                <w:szCs w:val="21"/>
                <w:vertAlign w:val="superscript"/>
              </w:rPr>
              <w:t>3</w:t>
            </w:r>
            <w:r>
              <w:rPr>
                <w:rFonts w:cs="Times New Roman"/>
                <w:b w:val="0"/>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cs="Times New Roman"/>
                <w:b w:val="0"/>
                <w:sz w:val="21"/>
                <w:szCs w:val="21"/>
              </w:rPr>
              <w:t>污泥负荷：</w:t>
            </w:r>
          </w:p>
        </w:tc>
        <w:tc>
          <w:tcPr>
            <w:tcW w:w="4621" w:type="dxa"/>
            <w:vAlign w:val="center"/>
          </w:tcPr>
          <w:p>
            <w:pPr>
              <w:pStyle w:val="14"/>
              <w:spacing w:line="240" w:lineRule="auto"/>
              <w:rPr>
                <w:rFonts w:cs="Times New Roman"/>
                <w:b w:val="0"/>
                <w:sz w:val="21"/>
                <w:szCs w:val="21"/>
              </w:rPr>
            </w:pPr>
            <w:r>
              <w:rPr>
                <w:rFonts w:cs="Times New Roman"/>
                <w:b w:val="0"/>
                <w:sz w:val="21"/>
                <w:szCs w:val="21"/>
              </w:rPr>
              <w:t>Fw＝0.006kgBOD</w:t>
            </w:r>
            <w:r>
              <w:rPr>
                <w:rFonts w:cs="Times New Roman"/>
                <w:b w:val="0"/>
                <w:sz w:val="21"/>
                <w:szCs w:val="21"/>
                <w:vertAlign w:val="subscript"/>
              </w:rPr>
              <w:t>5</w:t>
            </w:r>
            <w:r>
              <w:rPr>
                <w:rFonts w:cs="Times New Roman"/>
                <w:b w:val="0"/>
                <w:sz w:val="21"/>
                <w:szCs w:val="21"/>
              </w:rPr>
              <w:t>/kgMLVSS·d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cs="Times New Roman"/>
                <w:b w:val="0"/>
                <w:sz w:val="21"/>
                <w:szCs w:val="21"/>
              </w:rPr>
              <w:t>悬浮固体浓度：</w:t>
            </w:r>
          </w:p>
        </w:tc>
        <w:tc>
          <w:tcPr>
            <w:tcW w:w="4621" w:type="dxa"/>
            <w:vAlign w:val="center"/>
          </w:tcPr>
          <w:p>
            <w:pPr>
              <w:pStyle w:val="14"/>
              <w:spacing w:line="240" w:lineRule="auto"/>
              <w:rPr>
                <w:rFonts w:cs="Times New Roman"/>
                <w:b w:val="0"/>
                <w:sz w:val="21"/>
                <w:szCs w:val="21"/>
              </w:rPr>
            </w:pPr>
            <w:r>
              <w:rPr>
                <w:rFonts w:cs="Times New Roman"/>
                <w:b w:val="0"/>
                <w:sz w:val="21"/>
                <w:szCs w:val="21"/>
              </w:rPr>
              <w:t>MLSS＝4000mg/l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cs="Times New Roman"/>
                <w:b w:val="0"/>
                <w:sz w:val="21"/>
                <w:szCs w:val="21"/>
              </w:rPr>
              <w:t>总水力停留时间：</w:t>
            </w:r>
          </w:p>
        </w:tc>
        <w:tc>
          <w:tcPr>
            <w:tcW w:w="4621" w:type="dxa"/>
            <w:vAlign w:val="center"/>
          </w:tcPr>
          <w:p>
            <w:pPr>
              <w:pStyle w:val="14"/>
              <w:spacing w:line="240" w:lineRule="auto"/>
              <w:rPr>
                <w:rFonts w:cs="Times New Roman"/>
                <w:b w:val="0"/>
                <w:sz w:val="21"/>
                <w:szCs w:val="21"/>
              </w:rPr>
            </w:pPr>
            <w:r>
              <w:rPr>
                <w:rFonts w:cs="Times New Roman"/>
                <w:b w:val="0"/>
                <w:sz w:val="21"/>
                <w:szCs w:val="21"/>
              </w:rPr>
              <w:t>t＝14.96hr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预缺氧池停留时间</w:t>
            </w:r>
            <w:r>
              <w:rPr>
                <w:rFonts w:cs="Times New Roman"/>
                <w:b w:val="0"/>
                <w:sz w:val="21"/>
                <w:szCs w:val="21"/>
              </w:rPr>
              <w:tab/>
            </w:r>
            <w:r>
              <w:rPr>
                <w:rFonts w:hAnsi="宋体" w:cs="Times New Roman"/>
                <w:b w:val="0"/>
                <w:sz w:val="21"/>
                <w:szCs w:val="21"/>
              </w:rPr>
              <w:t>：</w:t>
            </w:r>
          </w:p>
        </w:tc>
        <w:tc>
          <w:tcPr>
            <w:tcW w:w="4621" w:type="dxa"/>
            <w:vAlign w:val="center"/>
          </w:tcPr>
          <w:p>
            <w:pPr>
              <w:pStyle w:val="132"/>
              <w:adjustRightInd w:val="0"/>
              <w:snapToGrid w:val="0"/>
              <w:spacing w:line="240" w:lineRule="auto"/>
              <w:ind w:firstLine="420"/>
              <w:jc w:val="center"/>
              <w:rPr>
                <w:sz w:val="21"/>
                <w:szCs w:val="21"/>
              </w:rPr>
            </w:pPr>
            <w:r>
              <w:rPr>
                <w:sz w:val="21"/>
                <w:szCs w:val="21"/>
              </w:rPr>
              <w:t>t</w:t>
            </w:r>
            <w:r>
              <w:rPr>
                <w:rFonts w:hAnsi="宋体"/>
                <w:sz w:val="21"/>
                <w:szCs w:val="21"/>
              </w:rPr>
              <w:t>＝</w:t>
            </w:r>
            <w:r>
              <w:rPr>
                <w:sz w:val="21"/>
                <w:szCs w:val="21"/>
              </w:rPr>
              <w:t>0.52hr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厌氧池停留时间：</w:t>
            </w:r>
          </w:p>
        </w:tc>
        <w:tc>
          <w:tcPr>
            <w:tcW w:w="4621" w:type="dxa"/>
            <w:vAlign w:val="center"/>
          </w:tcPr>
          <w:p>
            <w:pPr>
              <w:pStyle w:val="14"/>
              <w:spacing w:line="240" w:lineRule="auto"/>
              <w:rPr>
                <w:rFonts w:cs="Times New Roman"/>
                <w:b w:val="0"/>
                <w:sz w:val="21"/>
                <w:szCs w:val="21"/>
              </w:rPr>
            </w:pPr>
            <w:r>
              <w:rPr>
                <w:rFonts w:cs="Times New Roman"/>
                <w:b w:val="0"/>
                <w:sz w:val="21"/>
                <w:szCs w:val="21"/>
              </w:rPr>
              <w:t>t</w:t>
            </w:r>
            <w:r>
              <w:rPr>
                <w:rFonts w:hAnsi="宋体" w:cs="Times New Roman"/>
                <w:b w:val="0"/>
                <w:sz w:val="21"/>
                <w:szCs w:val="21"/>
              </w:rPr>
              <w:t>＝</w:t>
            </w:r>
            <w:r>
              <w:rPr>
                <w:rFonts w:cs="Times New Roman"/>
                <w:b w:val="0"/>
                <w:sz w:val="21"/>
                <w:szCs w:val="21"/>
              </w:rPr>
              <w:t>1.56hr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缺氧池停留时间：</w:t>
            </w:r>
          </w:p>
        </w:tc>
        <w:tc>
          <w:tcPr>
            <w:tcW w:w="4621" w:type="dxa"/>
            <w:vAlign w:val="center"/>
          </w:tcPr>
          <w:p>
            <w:pPr>
              <w:pStyle w:val="14"/>
              <w:spacing w:line="240" w:lineRule="auto"/>
              <w:rPr>
                <w:rFonts w:cs="Times New Roman"/>
                <w:b w:val="0"/>
                <w:sz w:val="21"/>
                <w:szCs w:val="21"/>
              </w:rPr>
            </w:pPr>
            <w:r>
              <w:rPr>
                <w:rFonts w:cs="Times New Roman"/>
                <w:b w:val="0"/>
                <w:sz w:val="21"/>
                <w:szCs w:val="21"/>
              </w:rPr>
              <w:t>t</w:t>
            </w:r>
            <w:r>
              <w:rPr>
                <w:rFonts w:hAnsi="宋体" w:cs="Times New Roman"/>
                <w:b w:val="0"/>
                <w:sz w:val="21"/>
                <w:szCs w:val="21"/>
              </w:rPr>
              <w:t>＝</w:t>
            </w:r>
            <w:r>
              <w:rPr>
                <w:rFonts w:cs="Times New Roman"/>
                <w:b w:val="0"/>
                <w:sz w:val="21"/>
                <w:szCs w:val="21"/>
              </w:rPr>
              <w:t>4.38hr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好氧池停留时间：</w:t>
            </w:r>
          </w:p>
        </w:tc>
        <w:tc>
          <w:tcPr>
            <w:tcW w:w="4621" w:type="dxa"/>
            <w:vAlign w:val="center"/>
          </w:tcPr>
          <w:p>
            <w:pPr>
              <w:pStyle w:val="14"/>
              <w:spacing w:line="240" w:lineRule="auto"/>
              <w:rPr>
                <w:rFonts w:cs="Times New Roman"/>
                <w:b w:val="0"/>
                <w:sz w:val="21"/>
                <w:szCs w:val="21"/>
              </w:rPr>
            </w:pPr>
            <w:r>
              <w:rPr>
                <w:rFonts w:cs="Times New Roman"/>
                <w:b w:val="0"/>
                <w:sz w:val="21"/>
                <w:szCs w:val="21"/>
              </w:rPr>
              <w:t>t</w:t>
            </w:r>
            <w:r>
              <w:rPr>
                <w:rFonts w:hAnsi="宋体" w:cs="Times New Roman"/>
                <w:b w:val="0"/>
                <w:sz w:val="21"/>
                <w:szCs w:val="21"/>
              </w:rPr>
              <w:t>＝</w:t>
            </w:r>
            <w:r>
              <w:rPr>
                <w:rFonts w:cs="Times New Roman"/>
                <w:b w:val="0"/>
                <w:sz w:val="21"/>
                <w:szCs w:val="21"/>
              </w:rPr>
              <w:t>8.41hr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有效容积：</w:t>
            </w:r>
          </w:p>
        </w:tc>
        <w:tc>
          <w:tcPr>
            <w:tcW w:w="4621" w:type="dxa"/>
            <w:vAlign w:val="center"/>
          </w:tcPr>
          <w:p>
            <w:pPr>
              <w:pStyle w:val="14"/>
              <w:spacing w:line="240" w:lineRule="auto"/>
              <w:rPr>
                <w:rFonts w:cs="Times New Roman"/>
                <w:b w:val="0"/>
                <w:sz w:val="21"/>
                <w:szCs w:val="21"/>
              </w:rPr>
            </w:pPr>
            <w:r>
              <w:rPr>
                <w:rFonts w:cs="Times New Roman"/>
                <w:b w:val="0"/>
                <w:sz w:val="21"/>
                <w:szCs w:val="21"/>
              </w:rPr>
              <w:t>V</w:t>
            </w:r>
            <w:r>
              <w:rPr>
                <w:rFonts w:hAnsi="宋体" w:cs="Times New Roman"/>
                <w:b w:val="0"/>
                <w:sz w:val="21"/>
                <w:szCs w:val="21"/>
              </w:rPr>
              <w:t>＝</w:t>
            </w:r>
            <w:r>
              <w:rPr>
                <w:rFonts w:cs="Times New Roman"/>
                <w:b w:val="0"/>
                <w:sz w:val="21"/>
                <w:szCs w:val="21"/>
              </w:rPr>
              <w:t>12615.5m</w:t>
            </w:r>
            <w:r>
              <w:rPr>
                <w:rFonts w:cs="Times New Roman"/>
                <w:b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剩余污泥量：</w:t>
            </w:r>
          </w:p>
        </w:tc>
        <w:tc>
          <w:tcPr>
            <w:tcW w:w="4621" w:type="dxa"/>
            <w:vAlign w:val="center"/>
          </w:tcPr>
          <w:p>
            <w:pPr>
              <w:pStyle w:val="14"/>
              <w:spacing w:line="240" w:lineRule="auto"/>
              <w:rPr>
                <w:rFonts w:cs="Times New Roman"/>
                <w:b w:val="0"/>
                <w:sz w:val="21"/>
                <w:szCs w:val="21"/>
              </w:rPr>
            </w:pPr>
            <w:r>
              <w:rPr>
                <w:rFonts w:cs="Times New Roman"/>
                <w:b w:val="0"/>
                <w:sz w:val="21"/>
                <w:szCs w:val="21"/>
              </w:rPr>
              <w:t>2132kg/d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内回流比</w:t>
            </w:r>
            <w:r>
              <w:rPr>
                <w:rFonts w:cs="Times New Roman"/>
                <w:b w:val="0"/>
                <w:sz w:val="21"/>
                <w:szCs w:val="21"/>
              </w:rPr>
              <w:t>R</w:t>
            </w:r>
            <w:r>
              <w:rPr>
                <w:rFonts w:hAnsi="宋体" w:cs="Times New Roman"/>
                <w:b w:val="0"/>
                <w:sz w:val="21"/>
                <w:szCs w:val="21"/>
              </w:rPr>
              <w:t>：</w:t>
            </w:r>
          </w:p>
        </w:tc>
        <w:tc>
          <w:tcPr>
            <w:tcW w:w="4621" w:type="dxa"/>
            <w:vAlign w:val="center"/>
          </w:tcPr>
          <w:p>
            <w:pPr>
              <w:pStyle w:val="14"/>
              <w:spacing w:line="240" w:lineRule="auto"/>
              <w:rPr>
                <w:rFonts w:cs="Times New Roman"/>
                <w:b w:val="0"/>
                <w:sz w:val="21"/>
                <w:szCs w:val="21"/>
              </w:rPr>
            </w:pPr>
            <w:r>
              <w:rPr>
                <w:rFonts w:cs="Times New Roman"/>
                <w:b w:val="0"/>
                <w:sz w:val="21"/>
                <w:szCs w:val="21"/>
              </w:rPr>
              <w:t>100~200%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sz w:val="21"/>
                <w:szCs w:val="21"/>
              </w:rPr>
            </w:pPr>
            <w:r>
              <w:rPr>
                <w:rFonts w:hAnsi="宋体" w:cs="Times New Roman"/>
                <w:b w:val="0"/>
                <w:sz w:val="21"/>
                <w:szCs w:val="21"/>
              </w:rPr>
              <w:t>外回流比</w:t>
            </w:r>
            <w:r>
              <w:rPr>
                <w:rFonts w:cs="Times New Roman"/>
                <w:b w:val="0"/>
                <w:sz w:val="21"/>
                <w:szCs w:val="21"/>
              </w:rPr>
              <w:t>r</w:t>
            </w:r>
            <w:r>
              <w:rPr>
                <w:rFonts w:hAnsi="宋体" w:cs="Times New Roman"/>
                <w:b w:val="0"/>
                <w:sz w:val="21"/>
                <w:szCs w:val="21"/>
              </w:rPr>
              <w:t>：</w:t>
            </w:r>
          </w:p>
        </w:tc>
        <w:tc>
          <w:tcPr>
            <w:tcW w:w="4621" w:type="dxa"/>
            <w:vAlign w:val="center"/>
          </w:tcPr>
          <w:p>
            <w:pPr>
              <w:pStyle w:val="14"/>
              <w:spacing w:line="240" w:lineRule="auto"/>
              <w:rPr>
                <w:rFonts w:cs="Times New Roman"/>
                <w:b w:val="0"/>
                <w:sz w:val="21"/>
                <w:szCs w:val="21"/>
              </w:rPr>
            </w:pPr>
            <w:r>
              <w:rPr>
                <w:rFonts w:cs="Times New Roman"/>
                <w:b w:val="0"/>
                <w:sz w:val="21"/>
                <w:szCs w:val="21"/>
              </w:rPr>
              <w:t>50~100%</w:t>
            </w:r>
          </w:p>
        </w:tc>
      </w:tr>
    </w:tbl>
    <w:p>
      <w:pPr>
        <w:pStyle w:val="132"/>
        <w:spacing w:line="360" w:lineRule="auto"/>
        <w:ind w:firstLine="480"/>
        <w:rPr>
          <w:bCs/>
        </w:rPr>
      </w:pPr>
      <w:r>
        <w:rPr>
          <w:rFonts w:ascii="宋体" w:hAnsi="宋体"/>
          <w:bCs/>
        </w:rPr>
        <w:t>③二沉池</w:t>
      </w:r>
    </w:p>
    <w:p>
      <w:pPr>
        <w:pStyle w:val="132"/>
        <w:spacing w:line="360" w:lineRule="auto"/>
        <w:ind w:firstLine="480"/>
        <w:rPr>
          <w:rFonts w:ascii="宋体" w:hAnsi="宋体"/>
        </w:rPr>
      </w:pPr>
      <w:r>
        <w:rPr>
          <w:rFonts w:ascii="宋体" w:hAnsi="宋体"/>
        </w:rPr>
        <w:t>本设计采用周边进水、周边出水矩形沉淀池，出水采用双面三角形齿形堰的集水槽；采用非金属链条刮泥机、液压排泥管及污泥控制阀进行排泥，同时配套电动撇渣器。</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14</w:t>
      </w:r>
      <w:r>
        <w:rPr>
          <w:rFonts w:hAnsi="宋体" w:cs="Times New Roman"/>
        </w:rPr>
        <w:fldChar w:fldCharType="end"/>
      </w:r>
      <w:r>
        <w:rPr>
          <w:rFonts w:cs="Times New Roman"/>
        </w:rPr>
        <w:t xml:space="preserve">  二沉池主要参数一览表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9"/>
        <w:gridCol w:w="6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设计规模：</w:t>
            </w:r>
          </w:p>
        </w:tc>
        <w:tc>
          <w:tcPr>
            <w:tcW w:w="6013" w:type="dxa"/>
            <w:vAlign w:val="center"/>
          </w:tcPr>
          <w:p>
            <w:pPr>
              <w:pStyle w:val="132"/>
              <w:spacing w:line="240" w:lineRule="auto"/>
              <w:ind w:firstLine="0" w:firstLineChars="0"/>
              <w:jc w:val="center"/>
              <w:rPr>
                <w:sz w:val="21"/>
                <w:szCs w:val="21"/>
              </w:rPr>
            </w:pPr>
            <w:r>
              <w:rPr>
                <w:sz w:val="21"/>
                <w:szCs w:val="21"/>
              </w:rPr>
              <w:t>2.0×10</w:t>
            </w:r>
            <w:r>
              <w:rPr>
                <w:sz w:val="21"/>
                <w:szCs w:val="21"/>
                <w:vertAlign w:val="superscript"/>
              </w:rPr>
              <w:t>4</w:t>
            </w:r>
            <w:r>
              <w:rPr>
                <w:sz w:val="21"/>
                <w:szCs w:val="21"/>
              </w:rPr>
              <w:t>m</w:t>
            </w:r>
            <w:r>
              <w:rPr>
                <w:sz w:val="21"/>
                <w:szCs w:val="21"/>
                <w:vertAlign w:val="superscript"/>
              </w:rPr>
              <w:t>3</w:t>
            </w:r>
            <w:r>
              <w:rPr>
                <w:sz w:val="21"/>
                <w:szCs w:val="21"/>
              </w:rPr>
              <w:t>/d</w:t>
            </w:r>
            <w:r>
              <w:rPr>
                <w:rFonts w:ascii="宋体" w:hAnsi="宋体"/>
                <w:sz w:val="21"/>
                <w:szCs w:val="21"/>
              </w:rPr>
              <w:t>，</w:t>
            </w:r>
            <w:r>
              <w:rPr>
                <w:sz w:val="21"/>
                <w:szCs w:val="21"/>
              </w:rPr>
              <w:t>Kz=1.49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数量：</w:t>
            </w:r>
          </w:p>
        </w:tc>
        <w:tc>
          <w:tcPr>
            <w:tcW w:w="6013" w:type="dxa"/>
            <w:vAlign w:val="center"/>
          </w:tcPr>
          <w:p>
            <w:pPr>
              <w:pStyle w:val="132"/>
              <w:spacing w:line="240" w:lineRule="auto"/>
              <w:ind w:firstLine="0" w:firstLineChars="0"/>
              <w:jc w:val="center"/>
              <w:rPr>
                <w:sz w:val="21"/>
                <w:szCs w:val="21"/>
              </w:rPr>
            </w:pPr>
            <w:r>
              <w:rPr>
                <w:sz w:val="21"/>
                <w:szCs w:val="21"/>
              </w:rPr>
              <w:t>1</w:t>
            </w:r>
            <w:r>
              <w:rPr>
                <w:rFonts w:ascii="宋体" w:hAnsi="宋体"/>
                <w:sz w:val="21"/>
                <w:szCs w:val="21"/>
              </w:rPr>
              <w:t>组，分</w:t>
            </w:r>
            <w:r>
              <w:rPr>
                <w:sz w:val="21"/>
                <w:szCs w:val="21"/>
              </w:rPr>
              <w:t>3</w:t>
            </w:r>
            <w:r>
              <w:rPr>
                <w:rFonts w:ascii="宋体" w:hAnsi="宋体"/>
                <w:sz w:val="21"/>
                <w:szCs w:val="21"/>
              </w:rPr>
              <w:t>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尺寸：</w:t>
            </w:r>
          </w:p>
        </w:tc>
        <w:tc>
          <w:tcPr>
            <w:tcW w:w="6013" w:type="dxa"/>
            <w:vAlign w:val="center"/>
          </w:tcPr>
          <w:p>
            <w:pPr>
              <w:pStyle w:val="132"/>
              <w:spacing w:line="240" w:lineRule="auto"/>
              <w:ind w:firstLine="0" w:firstLineChars="0"/>
              <w:jc w:val="center"/>
              <w:rPr>
                <w:sz w:val="21"/>
                <w:szCs w:val="21"/>
              </w:rPr>
            </w:pPr>
            <w:r>
              <w:rPr>
                <w:sz w:val="21"/>
                <w:szCs w:val="21"/>
              </w:rPr>
              <w:t>35.1×30.8m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设计表面负荷：</w:t>
            </w:r>
          </w:p>
        </w:tc>
        <w:tc>
          <w:tcPr>
            <w:tcW w:w="6013" w:type="dxa"/>
            <w:vAlign w:val="center"/>
          </w:tcPr>
          <w:p>
            <w:pPr>
              <w:pStyle w:val="132"/>
              <w:spacing w:line="240" w:lineRule="auto"/>
              <w:ind w:firstLine="0" w:firstLineChars="0"/>
              <w:jc w:val="center"/>
              <w:rPr>
                <w:sz w:val="21"/>
                <w:szCs w:val="21"/>
              </w:rPr>
            </w:pPr>
            <w:r>
              <w:rPr>
                <w:sz w:val="21"/>
                <w:szCs w:val="21"/>
              </w:rPr>
              <w:t>平均流量时q=0.935m</w:t>
            </w:r>
            <w:r>
              <w:rPr>
                <w:sz w:val="21"/>
                <w:szCs w:val="21"/>
                <w:vertAlign w:val="superscript"/>
              </w:rPr>
              <w:t>3</w:t>
            </w:r>
            <w:r>
              <w:rPr>
                <w:sz w:val="21"/>
                <w:szCs w:val="21"/>
              </w:rPr>
              <w:t>/</w:t>
            </w:r>
            <w:r>
              <w:rPr>
                <w:rFonts w:ascii="宋体" w:hAnsi="宋体"/>
                <w:sz w:val="21"/>
                <w:szCs w:val="21"/>
              </w:rPr>
              <w:t>（</w:t>
            </w:r>
            <w:r>
              <w:rPr>
                <w:sz w:val="21"/>
                <w:szCs w:val="21"/>
              </w:rPr>
              <w:t>m</w:t>
            </w:r>
            <w:r>
              <w:rPr>
                <w:sz w:val="21"/>
                <w:szCs w:val="21"/>
                <w:vertAlign w:val="superscript"/>
              </w:rPr>
              <w:t>2</w:t>
            </w:r>
            <w:r>
              <w:rPr>
                <w:sz w:val="21"/>
                <w:szCs w:val="21"/>
              </w:rPr>
              <w:t>·h</w:t>
            </w:r>
            <w:r>
              <w:rPr>
                <w:rFonts w:ascii="宋体" w:hAnsi="宋体"/>
                <w:sz w:val="21"/>
                <w:szCs w:val="21"/>
              </w:rPr>
              <w:t>）；</w:t>
            </w:r>
          </w:p>
          <w:p>
            <w:pPr>
              <w:pStyle w:val="132"/>
              <w:spacing w:line="240" w:lineRule="auto"/>
              <w:ind w:firstLine="0" w:firstLineChars="0"/>
              <w:jc w:val="center"/>
              <w:rPr>
                <w:sz w:val="21"/>
                <w:szCs w:val="21"/>
              </w:rPr>
            </w:pPr>
            <w:r>
              <w:rPr>
                <w:sz w:val="21"/>
                <w:szCs w:val="21"/>
              </w:rPr>
              <w:t>最大流量时q=1.393m</w:t>
            </w:r>
            <w:r>
              <w:rPr>
                <w:sz w:val="21"/>
                <w:szCs w:val="21"/>
                <w:vertAlign w:val="superscript"/>
              </w:rPr>
              <w:t>3</w:t>
            </w:r>
            <w:r>
              <w:rPr>
                <w:sz w:val="21"/>
                <w:szCs w:val="21"/>
              </w:rPr>
              <w:t>/</w:t>
            </w:r>
            <w:r>
              <w:rPr>
                <w:rFonts w:ascii="宋体" w:hAnsi="宋体"/>
                <w:sz w:val="21"/>
                <w:szCs w:val="21"/>
              </w:rPr>
              <w:t>（</w:t>
            </w:r>
            <w:r>
              <w:rPr>
                <w:sz w:val="21"/>
                <w:szCs w:val="21"/>
              </w:rPr>
              <w:t>m</w:t>
            </w:r>
            <w:r>
              <w:rPr>
                <w:sz w:val="21"/>
                <w:szCs w:val="21"/>
                <w:vertAlign w:val="superscript"/>
              </w:rPr>
              <w:t>2</w:t>
            </w:r>
            <w:r>
              <w:rPr>
                <w:sz w:val="21"/>
                <w:szCs w:val="21"/>
              </w:rPr>
              <w:t>·h</w:t>
            </w:r>
            <w:r>
              <w:rPr>
                <w:rFonts w:ascii="宋体" w:hAnsi="宋体"/>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池深：</w:t>
            </w:r>
          </w:p>
        </w:tc>
        <w:tc>
          <w:tcPr>
            <w:tcW w:w="6013" w:type="dxa"/>
            <w:vAlign w:val="center"/>
          </w:tcPr>
          <w:p>
            <w:pPr>
              <w:pStyle w:val="132"/>
              <w:spacing w:line="240" w:lineRule="auto"/>
              <w:ind w:firstLine="0" w:firstLineChars="0"/>
              <w:jc w:val="center"/>
              <w:rPr>
                <w:sz w:val="21"/>
                <w:szCs w:val="21"/>
              </w:rPr>
            </w:pPr>
            <w:r>
              <w:rPr>
                <w:sz w:val="21"/>
                <w:szCs w:val="21"/>
              </w:rPr>
              <w:t>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有效水深</w:t>
            </w:r>
          </w:p>
        </w:tc>
        <w:tc>
          <w:tcPr>
            <w:tcW w:w="6013" w:type="dxa"/>
            <w:vAlign w:val="center"/>
          </w:tcPr>
          <w:p>
            <w:pPr>
              <w:pStyle w:val="132"/>
              <w:spacing w:line="240" w:lineRule="auto"/>
              <w:ind w:firstLine="0" w:firstLineChars="0"/>
              <w:jc w:val="center"/>
              <w:rPr>
                <w:sz w:val="21"/>
                <w:szCs w:val="21"/>
              </w:rPr>
            </w:pPr>
            <w:r>
              <w:rPr>
                <w:sz w:val="21"/>
                <w:szCs w:val="21"/>
              </w:rPr>
              <w:t>4.20m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设备：</w:t>
            </w:r>
          </w:p>
        </w:tc>
        <w:tc>
          <w:tcPr>
            <w:tcW w:w="6013" w:type="dxa"/>
            <w:vAlign w:val="center"/>
          </w:tcPr>
          <w:p>
            <w:pPr>
              <w:pStyle w:val="132"/>
              <w:spacing w:line="240" w:lineRule="auto"/>
              <w:ind w:firstLine="0" w:firstLineChars="0"/>
              <w:jc w:val="center"/>
              <w:rPr>
                <w:sz w:val="21"/>
                <w:szCs w:val="21"/>
              </w:rPr>
            </w:pPr>
            <w:r>
              <w:rPr>
                <w:sz w:val="21"/>
                <w:szCs w:val="21"/>
              </w:rPr>
              <w:t>非金属链条刮泥机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29" w:type="dxa"/>
            <w:vAlign w:val="center"/>
          </w:tcPr>
          <w:p>
            <w:pPr>
              <w:pStyle w:val="132"/>
              <w:spacing w:line="240" w:lineRule="auto"/>
              <w:ind w:firstLine="420"/>
              <w:jc w:val="center"/>
              <w:rPr>
                <w:sz w:val="21"/>
                <w:szCs w:val="21"/>
              </w:rPr>
            </w:pPr>
            <w:r>
              <w:rPr>
                <w:sz w:val="21"/>
                <w:szCs w:val="21"/>
              </w:rPr>
              <w:t>功率：</w:t>
            </w:r>
          </w:p>
        </w:tc>
        <w:tc>
          <w:tcPr>
            <w:tcW w:w="6013" w:type="dxa"/>
            <w:vAlign w:val="center"/>
          </w:tcPr>
          <w:p>
            <w:pPr>
              <w:pStyle w:val="132"/>
              <w:spacing w:line="240" w:lineRule="auto"/>
              <w:ind w:firstLine="0" w:firstLineChars="0"/>
              <w:jc w:val="center"/>
              <w:rPr>
                <w:sz w:val="21"/>
                <w:szCs w:val="21"/>
              </w:rPr>
            </w:pPr>
            <w:r>
              <w:rPr>
                <w:sz w:val="21"/>
                <w:szCs w:val="21"/>
              </w:rPr>
              <w:t>0.37kW</w:t>
            </w:r>
          </w:p>
        </w:tc>
      </w:tr>
    </w:tbl>
    <w:p>
      <w:pPr>
        <w:spacing w:line="360" w:lineRule="auto"/>
        <w:ind w:firstLine="480" w:firstLineChars="200"/>
      </w:pPr>
      <w:r>
        <w:rPr>
          <w:rFonts w:hint="eastAsia"/>
        </w:rPr>
        <w:t>（3）高效沉淀池</w:t>
      </w:r>
    </w:p>
    <w:p>
      <w:pPr>
        <w:pStyle w:val="132"/>
        <w:spacing w:line="360" w:lineRule="auto"/>
        <w:ind w:firstLine="480"/>
      </w:pPr>
      <w:r>
        <w:rPr>
          <w:rFonts w:ascii="宋体" w:hAnsi="宋体"/>
        </w:rPr>
        <w:t>高效沉淀池集机械混合池、机械絮凝池和斜管沉淀池于一体。胶体颗粒在混合池内实现瞬间脱稳和凝聚；絮凝池内创造一定水力条件，以最短的时间使所有胶体颗粒在这一过程完成絮凝过程，达到最佳的絮凝效果；在重力作用下，将反应后的大矾花从水中分离。</w:t>
      </w:r>
    </w:p>
    <w:p>
      <w:pPr>
        <w:pStyle w:val="132"/>
        <w:spacing w:line="360" w:lineRule="auto"/>
        <w:ind w:firstLine="480"/>
        <w:rPr>
          <w:rFonts w:ascii="宋体" w:hAnsi="宋体"/>
        </w:rPr>
      </w:pPr>
      <w:r>
        <w:rPr>
          <w:rFonts w:ascii="宋体" w:hAnsi="宋体"/>
        </w:rPr>
        <w:t>主要设计参数如下：</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15</w:t>
      </w:r>
      <w:r>
        <w:rPr>
          <w:rFonts w:hAnsi="宋体" w:cs="Times New Roman"/>
        </w:rPr>
        <w:fldChar w:fldCharType="end"/>
      </w:r>
      <w:r>
        <w:rPr>
          <w:rFonts w:cs="Times New Roman"/>
        </w:rPr>
        <w:t xml:space="preserve">  高效沉淀池主要参数一览表</w:t>
      </w:r>
    </w:p>
    <w:tbl>
      <w:tblPr>
        <w:tblStyle w:val="38"/>
        <w:tblW w:w="9082" w:type="dxa"/>
        <w:jc w:val="righ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090"/>
        <w:gridCol w:w="5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设计土建规模：</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按近期2.0×10</w:t>
            </w:r>
            <w:r>
              <w:rPr>
                <w:sz w:val="21"/>
                <w:szCs w:val="21"/>
                <w:vertAlign w:val="superscript"/>
              </w:rPr>
              <w:t>4</w:t>
            </w:r>
            <w:r>
              <w:rPr>
                <w:sz w:val="21"/>
                <w:szCs w:val="21"/>
              </w:rPr>
              <w:t>m</w:t>
            </w:r>
            <w:r>
              <w:rPr>
                <w:sz w:val="21"/>
                <w:szCs w:val="21"/>
                <w:vertAlign w:val="superscript"/>
              </w:rPr>
              <w:t>3</w:t>
            </w:r>
            <w:r>
              <w:rPr>
                <w:sz w:val="21"/>
                <w:szCs w:val="21"/>
              </w:rPr>
              <w:t>/d</w:t>
            </w:r>
            <w:r>
              <w:rPr>
                <w:rFonts w:hAnsi="宋体"/>
                <w:sz w:val="21"/>
                <w:szCs w:val="21"/>
              </w:rPr>
              <w:t>规模设计，</w:t>
            </w:r>
            <w:r>
              <w:rPr>
                <w:sz w:val="21"/>
                <w:szCs w:val="21"/>
              </w:rPr>
              <w:t>K</w:t>
            </w:r>
            <w:r>
              <w:rPr>
                <w:sz w:val="21"/>
                <w:szCs w:val="21"/>
                <w:vertAlign w:val="subscript"/>
              </w:rPr>
              <w:t>Z</w:t>
            </w:r>
            <w:r>
              <w:rPr>
                <w:sz w:val="21"/>
                <w:szCs w:val="21"/>
              </w:rPr>
              <w:t>=1.49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设计参数：</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混合时间T=1.60min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4"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絮凝时间T=12.13min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4"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沉淀池液面负荷6.51m</w:t>
            </w:r>
            <w:r>
              <w:rPr>
                <w:sz w:val="21"/>
                <w:szCs w:val="21"/>
                <w:vertAlign w:val="superscript"/>
              </w:rPr>
              <w:t>3</w:t>
            </w:r>
            <w:r>
              <w:rPr>
                <w:sz w:val="21"/>
                <w:szCs w:val="21"/>
              </w:rPr>
              <w:t>/(m</w:t>
            </w:r>
            <w:r>
              <w:rPr>
                <w:sz w:val="21"/>
                <w:szCs w:val="21"/>
                <w:vertAlign w:val="superscript"/>
              </w:rPr>
              <w:t>2</w:t>
            </w:r>
            <w:r>
              <w:rPr>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数量：</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1</w:t>
            </w:r>
            <w:r>
              <w:rPr>
                <w:rFonts w:hAnsi="宋体"/>
                <w:sz w:val="21"/>
                <w:szCs w:val="21"/>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1"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单格尺寸：</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L×B×H=24.5m×18.4m×6.8m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5"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主要设备：</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混合搅拌机：</w:t>
            </w:r>
          </w:p>
        </w:tc>
        <w:tc>
          <w:tcPr>
            <w:tcW w:w="5992" w:type="dxa"/>
            <w:vAlign w:val="center"/>
          </w:tcPr>
          <w:p>
            <w:pPr>
              <w:pStyle w:val="132"/>
              <w:adjustRightInd w:val="0"/>
              <w:snapToGrid w:val="0"/>
              <w:spacing w:line="240" w:lineRule="auto"/>
              <w:ind w:left="105" w:hanging="105" w:hangingChars="50"/>
              <w:jc w:val="center"/>
              <w:textAlignment w:val="center"/>
              <w:rPr>
                <w:sz w:val="21"/>
                <w:szCs w:val="21"/>
              </w:rPr>
            </w:pPr>
            <w:r>
              <w:rPr>
                <w:sz w:val="21"/>
                <w:szCs w:val="21"/>
              </w:rPr>
              <w:t>桨叶式搅拌机2</w:t>
            </w:r>
            <w:r>
              <w:rPr>
                <w:rFonts w:hAnsi="宋体"/>
                <w:sz w:val="21"/>
                <w:szCs w:val="21"/>
              </w:rPr>
              <w:t>台</w:t>
            </w:r>
            <w:r>
              <w:rPr>
                <w:sz w:val="21"/>
                <w:szCs w:val="21"/>
              </w:rPr>
              <w:t xml:space="preserve">  N=4.0kW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絮凝搅拌机：</w:t>
            </w:r>
          </w:p>
        </w:tc>
        <w:tc>
          <w:tcPr>
            <w:tcW w:w="5992" w:type="dxa"/>
            <w:vAlign w:val="center"/>
          </w:tcPr>
          <w:p>
            <w:pPr>
              <w:pStyle w:val="132"/>
              <w:adjustRightInd w:val="0"/>
              <w:snapToGrid w:val="0"/>
              <w:spacing w:line="240" w:lineRule="auto"/>
              <w:ind w:left="105" w:hanging="105" w:hangingChars="50"/>
              <w:jc w:val="center"/>
              <w:textAlignment w:val="center"/>
              <w:rPr>
                <w:sz w:val="21"/>
                <w:szCs w:val="21"/>
              </w:rPr>
            </w:pPr>
            <w:r>
              <w:rPr>
                <w:sz w:val="21"/>
                <w:szCs w:val="21"/>
              </w:rPr>
              <w:t>桨叶式搅拌机 2</w:t>
            </w:r>
            <w:r>
              <w:rPr>
                <w:rFonts w:hAnsi="宋体"/>
                <w:sz w:val="21"/>
                <w:szCs w:val="21"/>
              </w:rPr>
              <w:t>台</w:t>
            </w:r>
            <w:r>
              <w:rPr>
                <w:sz w:val="21"/>
                <w:szCs w:val="21"/>
              </w:rPr>
              <w:t xml:space="preserve">  N=7.5kW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中心传动刮泥机：</w:t>
            </w:r>
          </w:p>
        </w:tc>
        <w:tc>
          <w:tcPr>
            <w:tcW w:w="5992" w:type="dxa"/>
            <w:vAlign w:val="center"/>
          </w:tcPr>
          <w:p>
            <w:pPr>
              <w:pStyle w:val="132"/>
              <w:adjustRightInd w:val="0"/>
              <w:snapToGrid w:val="0"/>
              <w:spacing w:line="240" w:lineRule="auto"/>
              <w:ind w:left="105" w:hanging="105" w:hangingChars="50"/>
              <w:jc w:val="center"/>
              <w:textAlignment w:val="center"/>
              <w:rPr>
                <w:sz w:val="21"/>
                <w:szCs w:val="21"/>
              </w:rPr>
            </w:pPr>
            <w:r>
              <w:rPr>
                <w:sz w:val="21"/>
                <w:szCs w:val="21"/>
              </w:rPr>
              <w:t>2</w:t>
            </w:r>
            <w:r>
              <w:rPr>
                <w:rFonts w:hAnsi="宋体"/>
                <w:sz w:val="21"/>
                <w:szCs w:val="21"/>
              </w:rPr>
              <w:t>台</w:t>
            </w:r>
            <w:r>
              <w:rPr>
                <w:sz w:val="21"/>
                <w:szCs w:val="21"/>
              </w:rPr>
              <w:t xml:space="preserve">D=12.0m  N=1.5kW H=6.35m  </w:t>
            </w:r>
            <w:r>
              <w:rPr>
                <w:rFonts w:hAnsi="宋体"/>
                <w:sz w:val="21"/>
                <w:szCs w:val="21"/>
              </w:rPr>
              <w:t>线速度</w:t>
            </w:r>
            <w:r>
              <w:rPr>
                <w:sz w:val="21"/>
                <w:szCs w:val="21"/>
              </w:rPr>
              <w:t>≈2m/min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1"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回流污泥螺杆泵：</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Q=70m</w:t>
            </w:r>
            <w:r>
              <w:rPr>
                <w:sz w:val="21"/>
                <w:szCs w:val="21"/>
                <w:vertAlign w:val="superscript"/>
              </w:rPr>
              <w:t>3</w:t>
            </w:r>
            <w:r>
              <w:rPr>
                <w:sz w:val="21"/>
                <w:szCs w:val="21"/>
              </w:rPr>
              <w:t>/h</w:t>
            </w:r>
            <w:r>
              <w:rPr>
                <w:rFonts w:hAnsi="宋体"/>
                <w:sz w:val="21"/>
                <w:szCs w:val="21"/>
              </w:rPr>
              <w:t>，</w:t>
            </w:r>
            <w:r>
              <w:rPr>
                <w:sz w:val="21"/>
                <w:szCs w:val="21"/>
              </w:rPr>
              <w:t>H=10m</w:t>
            </w:r>
            <w:r>
              <w:rPr>
                <w:rFonts w:hAnsi="宋体"/>
                <w:sz w:val="21"/>
                <w:szCs w:val="21"/>
              </w:rPr>
              <w:t>，</w:t>
            </w:r>
            <w:r>
              <w:rPr>
                <w:sz w:val="21"/>
                <w:szCs w:val="21"/>
              </w:rPr>
              <w:t>N=4.0kW</w:t>
            </w:r>
            <w:r>
              <w:rPr>
                <w:rFonts w:hAnsi="宋体"/>
                <w:sz w:val="21"/>
                <w:szCs w:val="21"/>
              </w:rPr>
              <w:t>，</w:t>
            </w:r>
            <w:r>
              <w:rPr>
                <w:sz w:val="21"/>
                <w:szCs w:val="21"/>
              </w:rPr>
              <w:t>3</w:t>
            </w:r>
            <w:r>
              <w:rPr>
                <w:rFonts w:hAnsi="宋体"/>
                <w:sz w:val="21"/>
                <w:szCs w:val="21"/>
              </w:rPr>
              <w:t>台，</w:t>
            </w:r>
            <w:r>
              <w:rPr>
                <w:sz w:val="21"/>
                <w:szCs w:val="21"/>
              </w:rPr>
              <w:t>2</w:t>
            </w:r>
            <w:r>
              <w:rPr>
                <w:rFonts w:hAnsi="宋体"/>
                <w:sz w:val="21"/>
                <w:szCs w:val="21"/>
              </w:rPr>
              <w:t>用</w:t>
            </w:r>
            <w:r>
              <w:rPr>
                <w:sz w:val="21"/>
                <w:szCs w:val="21"/>
              </w:rPr>
              <w:t>1</w:t>
            </w:r>
            <w:r>
              <w:rPr>
                <w:rFonts w:hAnsi="宋体"/>
                <w:sz w:val="21"/>
                <w:szCs w:val="21"/>
              </w:rPr>
              <w:t>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3"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剩余污泥泵：</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Q=70m</w:t>
            </w:r>
            <w:r>
              <w:rPr>
                <w:sz w:val="21"/>
                <w:szCs w:val="21"/>
                <w:vertAlign w:val="superscript"/>
              </w:rPr>
              <w:t>3</w:t>
            </w:r>
            <w:r>
              <w:rPr>
                <w:sz w:val="21"/>
                <w:szCs w:val="21"/>
              </w:rPr>
              <w:t>/h</w:t>
            </w:r>
            <w:r>
              <w:rPr>
                <w:rFonts w:hAnsi="宋体"/>
                <w:sz w:val="21"/>
                <w:szCs w:val="21"/>
              </w:rPr>
              <w:t>，</w:t>
            </w:r>
            <w:r>
              <w:rPr>
                <w:sz w:val="21"/>
                <w:szCs w:val="21"/>
              </w:rPr>
              <w:t>H=13m</w:t>
            </w:r>
            <w:r>
              <w:rPr>
                <w:rFonts w:hAnsi="宋体"/>
                <w:sz w:val="21"/>
                <w:szCs w:val="21"/>
              </w:rPr>
              <w:t>，</w:t>
            </w:r>
            <w:r>
              <w:rPr>
                <w:sz w:val="21"/>
                <w:szCs w:val="21"/>
              </w:rPr>
              <w:t>N=5.5kW</w:t>
            </w:r>
            <w:r>
              <w:rPr>
                <w:rFonts w:hAnsi="宋体"/>
                <w:sz w:val="21"/>
                <w:szCs w:val="21"/>
              </w:rPr>
              <w:t>，</w:t>
            </w:r>
            <w:r>
              <w:rPr>
                <w:sz w:val="21"/>
                <w:szCs w:val="21"/>
              </w:rPr>
              <w:t>2</w:t>
            </w:r>
            <w:r>
              <w:rPr>
                <w:rFonts w:hAnsi="宋体"/>
                <w:sz w:val="21"/>
                <w:szCs w:val="21"/>
              </w:rPr>
              <w:t>台，</w:t>
            </w:r>
            <w:r>
              <w:rPr>
                <w:sz w:val="21"/>
                <w:szCs w:val="21"/>
              </w:rPr>
              <w:t>2</w:t>
            </w:r>
            <w:r>
              <w:rPr>
                <w:rFonts w:hAnsi="宋体"/>
                <w:sz w:val="21"/>
                <w:szCs w:val="21"/>
              </w:rPr>
              <w:t>用</w:t>
            </w:r>
            <w:r>
              <w:rPr>
                <w:sz w:val="21"/>
                <w:szCs w:val="21"/>
              </w:rPr>
              <w:t>1</w:t>
            </w:r>
            <w:r>
              <w:rPr>
                <w:rFonts w:hAnsi="宋体"/>
                <w:sz w:val="21"/>
                <w:szCs w:val="21"/>
              </w:rPr>
              <w:t>备</w:t>
            </w:r>
          </w:p>
        </w:tc>
      </w:tr>
    </w:tbl>
    <w:p>
      <w:pPr>
        <w:adjustRightInd w:val="0"/>
        <w:snapToGrid w:val="0"/>
        <w:spacing w:line="360" w:lineRule="auto"/>
        <w:ind w:firstLine="480" w:firstLineChars="200"/>
      </w:pPr>
      <w:r>
        <w:rPr>
          <w:rFonts w:hint="eastAsia"/>
        </w:rPr>
        <w:t>（3）滤布滤池</w:t>
      </w:r>
    </w:p>
    <w:p>
      <w:pPr>
        <w:pStyle w:val="132"/>
        <w:adjustRightInd w:val="0"/>
        <w:snapToGrid w:val="0"/>
        <w:spacing w:line="360" w:lineRule="auto"/>
        <w:ind w:firstLine="480"/>
      </w:pPr>
      <w:r>
        <w:rPr>
          <w:rFonts w:ascii="宋体" w:hAnsi="宋体"/>
        </w:rPr>
        <w:t>本工程设计滤布滤池用于去除污水中</w:t>
      </w:r>
      <w:r>
        <w:t>SS</w:t>
      </w:r>
      <w:r>
        <w:rPr>
          <w:rFonts w:ascii="宋体" w:hAnsi="宋体"/>
        </w:rPr>
        <w:t>，在去除高效沉淀池出水中</w:t>
      </w:r>
      <w:r>
        <w:t>SS</w:t>
      </w:r>
      <w:r>
        <w:rPr>
          <w:rFonts w:ascii="宋体" w:hAnsi="宋体"/>
        </w:rPr>
        <w:t>的同时去除以</w:t>
      </w:r>
      <w:r>
        <w:t>SS</w:t>
      </w:r>
      <w:r>
        <w:rPr>
          <w:rFonts w:ascii="宋体" w:hAnsi="宋体"/>
        </w:rPr>
        <w:t>形式存在的</w:t>
      </w:r>
      <w:r>
        <w:t>CODcr</w:t>
      </w:r>
      <w:r>
        <w:rPr>
          <w:rFonts w:ascii="宋体" w:hAnsi="宋体"/>
        </w:rPr>
        <w:t>、</w:t>
      </w:r>
      <w:r>
        <w:t>BOD</w:t>
      </w:r>
      <w:r>
        <w:rPr>
          <w:vertAlign w:val="subscript"/>
        </w:rPr>
        <w:t>5</w:t>
      </w:r>
      <w:r>
        <w:rPr>
          <w:rFonts w:ascii="宋体" w:hAnsi="宋体"/>
        </w:rPr>
        <w:t>及</w:t>
      </w:r>
      <w:r>
        <w:t>TP</w:t>
      </w:r>
      <w:r>
        <w:rPr>
          <w:rFonts w:ascii="宋体" w:hAnsi="宋体"/>
        </w:rPr>
        <w:t>，是保证出水能够稳定达一级</w:t>
      </w:r>
      <w:r>
        <w:t>A</w:t>
      </w:r>
      <w:r>
        <w:rPr>
          <w:rFonts w:ascii="宋体" w:hAnsi="宋体"/>
        </w:rPr>
        <w:t>标标准的关键工段。</w:t>
      </w:r>
    </w:p>
    <w:p>
      <w:pPr>
        <w:pStyle w:val="132"/>
        <w:adjustRightInd w:val="0"/>
        <w:snapToGrid w:val="0"/>
        <w:spacing w:line="360" w:lineRule="auto"/>
        <w:ind w:firstLine="480"/>
      </w:pPr>
      <w:r>
        <w:rPr>
          <w:rFonts w:ascii="宋体" w:hAnsi="宋体"/>
        </w:rPr>
        <w:t>本设计滤布滤池采用纤维转盘过滤器，设计滤速：</w:t>
      </w:r>
      <w:r>
        <w:t>5.92~8.58m/h</w:t>
      </w:r>
      <w:r>
        <w:rPr>
          <w:rFonts w:ascii="宋体" w:hAnsi="宋体"/>
        </w:rPr>
        <w:t>，池内过滤系统主要由滤盘、底部均流出水管、反冲洗系统、排泥系统、液压推动装置、进出水堰板、液位控制系统、中央控制系统、配电等部分组成。滤布滤池采用地埋式钢筋混凝土结构。</w:t>
      </w:r>
    </w:p>
    <w:p>
      <w:pPr>
        <w:pStyle w:val="132"/>
        <w:adjustRightInd w:val="0"/>
        <w:snapToGrid w:val="0"/>
        <w:spacing w:line="360" w:lineRule="auto"/>
        <w:ind w:firstLine="480"/>
        <w:rPr>
          <w:rFonts w:ascii="宋体" w:hAnsi="宋体"/>
        </w:rPr>
      </w:pPr>
      <w:r>
        <w:rPr>
          <w:rFonts w:ascii="宋体" w:hAnsi="宋体"/>
        </w:rPr>
        <w:t>主要设计参数如下：</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16</w:t>
      </w:r>
      <w:r>
        <w:rPr>
          <w:rFonts w:hAnsi="宋体" w:cs="Times New Roman"/>
        </w:rPr>
        <w:fldChar w:fldCharType="end"/>
      </w:r>
      <w:r>
        <w:rPr>
          <w:rFonts w:cs="Times New Roman"/>
        </w:rPr>
        <w:t xml:space="preserve">  滤布滤池主要参数一览</w:t>
      </w:r>
    </w:p>
    <w:tbl>
      <w:tblPr>
        <w:tblStyle w:val="38"/>
        <w:tblW w:w="9082" w:type="dxa"/>
        <w:jc w:val="righ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090"/>
        <w:gridCol w:w="5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设计规模：</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按2.0×10</w:t>
            </w:r>
            <w:r>
              <w:rPr>
                <w:sz w:val="21"/>
                <w:szCs w:val="21"/>
                <w:vertAlign w:val="superscript"/>
              </w:rPr>
              <w:t>4</w:t>
            </w:r>
            <w:r>
              <w:rPr>
                <w:sz w:val="21"/>
                <w:szCs w:val="21"/>
              </w:rPr>
              <w:t>m</w:t>
            </w:r>
            <w:r>
              <w:rPr>
                <w:sz w:val="21"/>
                <w:szCs w:val="21"/>
                <w:vertAlign w:val="superscript"/>
              </w:rPr>
              <w:t>3</w:t>
            </w:r>
            <w:r>
              <w:rPr>
                <w:sz w:val="21"/>
                <w:szCs w:val="21"/>
              </w:rPr>
              <w:t>/d规模设计，K</w:t>
            </w:r>
            <w:r>
              <w:rPr>
                <w:sz w:val="21"/>
                <w:szCs w:val="21"/>
                <w:vertAlign w:val="subscript"/>
              </w:rPr>
              <w:t>Z</w:t>
            </w:r>
            <w:r>
              <w:rPr>
                <w:sz w:val="21"/>
                <w:szCs w:val="21"/>
              </w:rPr>
              <w:t>=1.49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3"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数量：</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1座，分2格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1" w:hRule="atLeast"/>
          <w:jc w:val="right"/>
        </w:trPr>
        <w:tc>
          <w:tcPr>
            <w:tcW w:w="3090" w:type="dxa"/>
            <w:vAlign w:val="center"/>
          </w:tcPr>
          <w:p>
            <w:pPr>
              <w:pStyle w:val="132"/>
              <w:adjustRightInd w:val="0"/>
              <w:snapToGrid w:val="0"/>
              <w:spacing w:line="240" w:lineRule="auto"/>
              <w:ind w:firstLine="420"/>
              <w:jc w:val="center"/>
              <w:textAlignment w:val="center"/>
              <w:rPr>
                <w:sz w:val="21"/>
                <w:szCs w:val="21"/>
              </w:rPr>
            </w:pPr>
            <w:r>
              <w:rPr>
                <w:sz w:val="21"/>
                <w:szCs w:val="21"/>
              </w:rPr>
              <w:t>设计设备：</w:t>
            </w:r>
          </w:p>
        </w:tc>
        <w:tc>
          <w:tcPr>
            <w:tcW w:w="5992" w:type="dxa"/>
            <w:vAlign w:val="center"/>
          </w:tcPr>
          <w:p>
            <w:pPr>
              <w:pStyle w:val="132"/>
              <w:adjustRightInd w:val="0"/>
              <w:snapToGrid w:val="0"/>
              <w:spacing w:line="240" w:lineRule="auto"/>
              <w:ind w:firstLine="0" w:firstLineChars="0"/>
              <w:jc w:val="center"/>
              <w:textAlignment w:val="center"/>
              <w:rPr>
                <w:sz w:val="21"/>
                <w:szCs w:val="21"/>
              </w:rPr>
            </w:pPr>
            <w:r>
              <w:rPr>
                <w:sz w:val="21"/>
                <w:szCs w:val="21"/>
              </w:rPr>
              <w:t>转盘过滤机，2套</w:t>
            </w:r>
          </w:p>
        </w:tc>
      </w:tr>
    </w:tbl>
    <w:p>
      <w:pPr>
        <w:adjustRightInd w:val="0"/>
        <w:snapToGrid w:val="0"/>
        <w:spacing w:line="360" w:lineRule="auto"/>
        <w:ind w:firstLine="480" w:firstLineChars="200"/>
      </w:pPr>
      <w:r>
        <w:rPr>
          <w:rFonts w:hint="eastAsia"/>
        </w:rPr>
        <w:t>（4）接触消毒池、巴氏计量槽及尾水泵站</w:t>
      </w:r>
    </w:p>
    <w:p>
      <w:pPr>
        <w:pStyle w:val="132"/>
        <w:adjustRightInd w:val="0"/>
        <w:snapToGrid w:val="0"/>
        <w:spacing w:line="360" w:lineRule="auto"/>
        <w:ind w:firstLine="480"/>
      </w:pPr>
      <w:r>
        <w:rPr>
          <w:rFonts w:ascii="宋体" w:hAnsi="宋体"/>
        </w:rPr>
        <w:t>污水经过上述构筑物处理后，虽然水质得到了改善，细菌数量也大幅减少，但由于水中还含有大量的细菌、病毒、寄生虫卵和有毒有害物质，因此，污水在排放水体前，应进行消毒处理。</w:t>
      </w:r>
    </w:p>
    <w:p>
      <w:pPr>
        <w:pStyle w:val="132"/>
        <w:adjustRightInd w:val="0"/>
        <w:snapToGrid w:val="0"/>
        <w:spacing w:line="360" w:lineRule="auto"/>
        <w:ind w:firstLine="480"/>
      </w:pPr>
      <w:r>
        <w:rPr>
          <w:rFonts w:ascii="宋体" w:hAnsi="宋体"/>
        </w:rPr>
        <w:t>本设计尾水排放水体为华容河，</w:t>
      </w:r>
      <w:r>
        <w:rPr>
          <w:rFonts w:ascii="宋体" w:hAnsi="宋体"/>
          <w:kern w:val="0"/>
        </w:rPr>
        <w:t>华容</w:t>
      </w:r>
      <w:r>
        <w:rPr>
          <w:kern w:val="0"/>
        </w:rPr>
        <w:t>20</w:t>
      </w:r>
      <w:r>
        <w:rPr>
          <w:rFonts w:ascii="宋体" w:hAnsi="宋体"/>
          <w:kern w:val="0"/>
        </w:rPr>
        <w:t>年一遇洪水位为</w:t>
      </w:r>
      <w:r>
        <w:rPr>
          <w:kern w:val="0"/>
        </w:rPr>
        <w:t>34.08m</w:t>
      </w:r>
      <w:r>
        <w:rPr>
          <w:rFonts w:ascii="宋体" w:hAnsi="宋体"/>
          <w:kern w:val="0"/>
        </w:rPr>
        <w:t>，常水位为</w:t>
      </w:r>
      <w:r>
        <w:rPr>
          <w:kern w:val="0"/>
        </w:rPr>
        <w:t>29.40m</w:t>
      </w:r>
      <w:r>
        <w:rPr>
          <w:rFonts w:ascii="宋体" w:hAnsi="宋体"/>
          <w:kern w:val="0"/>
        </w:rPr>
        <w:t>。为避免出水提升，节约能耗，尾水排放按满足华容河常水位进行反算设计；当华容河水位超过常水位时，设置一座尾水泵站提升外排；当事故时沉砂池末端出水超越排放，满足华容河</w:t>
      </w:r>
      <w:r>
        <w:rPr>
          <w:kern w:val="0"/>
        </w:rPr>
        <w:t>20</w:t>
      </w:r>
      <w:r>
        <w:rPr>
          <w:rFonts w:ascii="宋体" w:hAnsi="宋体"/>
          <w:kern w:val="0"/>
        </w:rPr>
        <w:t>年一遇洪水位以下能够自排。</w:t>
      </w:r>
    </w:p>
    <w:p>
      <w:pPr>
        <w:pStyle w:val="132"/>
        <w:adjustRightInd w:val="0"/>
        <w:snapToGrid w:val="0"/>
        <w:spacing w:line="360" w:lineRule="auto"/>
        <w:ind w:firstLine="480"/>
      </w:pPr>
      <w:r>
        <w:rPr>
          <w:rFonts w:ascii="宋体" w:hAnsi="宋体"/>
        </w:rPr>
        <w:t>同时考虑到对尾水排放计量，设置一座巴氏计量槽；考虑厂区自用水，设置一套尾水回用系统。</w:t>
      </w:r>
    </w:p>
    <w:p>
      <w:pPr>
        <w:pStyle w:val="132"/>
        <w:adjustRightInd w:val="0"/>
        <w:snapToGrid w:val="0"/>
        <w:spacing w:line="360" w:lineRule="auto"/>
        <w:ind w:firstLine="480"/>
      </w:pPr>
      <w:r>
        <w:rPr>
          <w:rFonts w:ascii="宋体" w:hAnsi="宋体"/>
        </w:rPr>
        <w:t>综上所述，本设计设接触消毒池、巴氏计量槽及尾水泵站</w:t>
      </w:r>
      <w:r>
        <w:t>1</w:t>
      </w:r>
      <w:r>
        <w:rPr>
          <w:rFonts w:ascii="宋体" w:hAnsi="宋体"/>
        </w:rPr>
        <w:t>座，包含接触消毒池、巴氏计量槽、尾水泵站、回用水系统四部分。各部分设计参数如下：</w:t>
      </w:r>
    </w:p>
    <w:p>
      <w:pPr>
        <w:pStyle w:val="132"/>
        <w:adjustRightInd w:val="0"/>
        <w:snapToGrid w:val="0"/>
        <w:spacing w:line="360" w:lineRule="auto"/>
        <w:ind w:firstLine="480"/>
      </w:pPr>
      <w:r>
        <w:rPr>
          <w:rFonts w:ascii="宋体" w:hAnsi="宋体"/>
        </w:rPr>
        <w:t>①接触消毒池</w:t>
      </w:r>
    </w:p>
    <w:p>
      <w:pPr>
        <w:pStyle w:val="132"/>
        <w:adjustRightInd w:val="0"/>
        <w:snapToGrid w:val="0"/>
        <w:spacing w:line="360" w:lineRule="auto"/>
        <w:ind w:firstLine="480"/>
      </w:pPr>
      <w:r>
        <w:rPr>
          <w:rFonts w:ascii="宋体" w:hAnsi="宋体"/>
        </w:rPr>
        <w:t>接触消毒池分</w:t>
      </w:r>
      <w:r>
        <w:t>2</w:t>
      </w:r>
      <w:r>
        <w:rPr>
          <w:rFonts w:ascii="宋体" w:hAnsi="宋体"/>
        </w:rPr>
        <w:t>格，单格规模为</w:t>
      </w:r>
      <w:r>
        <w:t>3.0×10</w:t>
      </w:r>
      <w:r>
        <w:rPr>
          <w:vertAlign w:val="superscript"/>
        </w:rPr>
        <w:t>4</w:t>
      </w:r>
      <w:r>
        <w:t>m</w:t>
      </w:r>
      <w:r>
        <w:rPr>
          <w:vertAlign w:val="superscript"/>
        </w:rPr>
        <w:t>3</w:t>
      </w:r>
      <w:r>
        <w:t>/d,</w:t>
      </w:r>
      <w:r>
        <w:rPr>
          <w:rFonts w:ascii="宋体" w:hAnsi="宋体"/>
        </w:rPr>
        <w:t>容积为</w:t>
      </w:r>
      <w:r>
        <w:t>1736m ,</w:t>
      </w:r>
      <w:r>
        <w:rPr>
          <w:rFonts w:ascii="宋体" w:hAnsi="宋体"/>
        </w:rPr>
        <w:t>有效停留时间</w:t>
      </w:r>
      <w:r>
        <w:t>31.3min</w:t>
      </w:r>
      <w:r>
        <w:rPr>
          <w:rFonts w:ascii="宋体" w:hAnsi="宋体"/>
        </w:rPr>
        <w:t>。</w:t>
      </w:r>
    </w:p>
    <w:p>
      <w:pPr>
        <w:pStyle w:val="132"/>
        <w:adjustRightInd w:val="0"/>
        <w:snapToGrid w:val="0"/>
        <w:spacing w:line="360" w:lineRule="auto"/>
        <w:ind w:firstLine="480"/>
      </w:pPr>
      <w:r>
        <w:rPr>
          <w:rFonts w:ascii="宋体" w:hAnsi="宋体"/>
        </w:rPr>
        <w:t>②巴氏计量槽</w:t>
      </w:r>
    </w:p>
    <w:p>
      <w:pPr>
        <w:pStyle w:val="132"/>
        <w:adjustRightInd w:val="0"/>
        <w:snapToGrid w:val="0"/>
        <w:spacing w:line="360" w:lineRule="auto"/>
        <w:ind w:firstLine="480"/>
      </w:pPr>
      <w:r>
        <w:rPr>
          <w:rFonts w:ascii="宋体" w:hAnsi="宋体"/>
        </w:rPr>
        <w:t>巴氏计量槽设</w:t>
      </w:r>
      <w:r>
        <w:t>1</w:t>
      </w:r>
      <w:r>
        <w:rPr>
          <w:rFonts w:ascii="宋体" w:hAnsi="宋体"/>
        </w:rPr>
        <w:t>座，设计规模为</w:t>
      </w:r>
      <w:r>
        <w:t>6.0×10</w:t>
      </w:r>
      <w:r>
        <w:rPr>
          <w:vertAlign w:val="superscript"/>
        </w:rPr>
        <w:t>4</w:t>
      </w:r>
      <w:r>
        <w:t>m</w:t>
      </w:r>
      <w:r>
        <w:rPr>
          <w:vertAlign w:val="superscript"/>
        </w:rPr>
        <w:t>3</w:t>
      </w:r>
      <w:r>
        <w:t>/d,</w:t>
      </w:r>
      <w:r>
        <w:rPr>
          <w:rFonts w:ascii="宋体" w:hAnsi="宋体"/>
        </w:rPr>
        <w:t>选用标准巴歇尔计量槽</w:t>
      </w:r>
      <w:r>
        <w:t>1</w:t>
      </w:r>
      <w:r>
        <w:rPr>
          <w:rFonts w:ascii="宋体" w:hAnsi="宋体"/>
        </w:rPr>
        <w:t>套；</w:t>
      </w:r>
    </w:p>
    <w:p>
      <w:pPr>
        <w:pStyle w:val="132"/>
        <w:adjustRightInd w:val="0"/>
        <w:snapToGrid w:val="0"/>
        <w:spacing w:line="360" w:lineRule="auto"/>
        <w:ind w:firstLine="480"/>
      </w:pPr>
      <w:r>
        <w:rPr>
          <w:rFonts w:ascii="宋体" w:hAnsi="宋体"/>
        </w:rPr>
        <w:t>③尾水泵站</w:t>
      </w:r>
    </w:p>
    <w:p>
      <w:pPr>
        <w:pStyle w:val="132"/>
        <w:adjustRightInd w:val="0"/>
        <w:snapToGrid w:val="0"/>
        <w:spacing w:line="360" w:lineRule="auto"/>
        <w:ind w:firstLine="480"/>
      </w:pPr>
      <w:r>
        <w:rPr>
          <w:rFonts w:ascii="宋体" w:hAnsi="宋体"/>
        </w:rPr>
        <w:t>尾水泵站设一座，设计规模为</w:t>
      </w:r>
      <w:r>
        <w:t>6.0×10</w:t>
      </w:r>
      <w:r>
        <w:rPr>
          <w:vertAlign w:val="superscript"/>
        </w:rPr>
        <w:t>4</w:t>
      </w:r>
      <w:r>
        <w:t>m</w:t>
      </w:r>
      <w:r>
        <w:rPr>
          <w:vertAlign w:val="superscript"/>
        </w:rPr>
        <w:t>3</w:t>
      </w:r>
      <w:r>
        <w:t>/d,</w:t>
      </w:r>
      <w:r>
        <w:rPr>
          <w:rFonts w:ascii="宋体" w:hAnsi="宋体"/>
        </w:rPr>
        <w:t>尾水泵站选用</w:t>
      </w:r>
      <w:r>
        <w:t>4</w:t>
      </w:r>
      <w:r>
        <w:rPr>
          <w:rFonts w:ascii="宋体" w:hAnsi="宋体"/>
        </w:rPr>
        <w:t>台潜水轴流泵，近期</w:t>
      </w:r>
      <w:r>
        <w:t>2</w:t>
      </w:r>
      <w:r>
        <w:rPr>
          <w:rFonts w:ascii="宋体" w:hAnsi="宋体"/>
        </w:rPr>
        <w:t>用</w:t>
      </w:r>
      <w:r>
        <w:t>1</w:t>
      </w:r>
      <w:r>
        <w:rPr>
          <w:rFonts w:ascii="宋体" w:hAnsi="宋体"/>
        </w:rPr>
        <w:t>备，预留</w:t>
      </w:r>
      <w:r>
        <w:t>1</w:t>
      </w:r>
      <w:r>
        <w:rPr>
          <w:rFonts w:ascii="宋体" w:hAnsi="宋体"/>
        </w:rPr>
        <w:t>个机位。</w:t>
      </w:r>
    </w:p>
    <w:p>
      <w:pPr>
        <w:pStyle w:val="132"/>
        <w:adjustRightInd w:val="0"/>
        <w:snapToGrid w:val="0"/>
        <w:spacing w:line="360" w:lineRule="auto"/>
        <w:ind w:firstLine="480"/>
      </w:pPr>
      <w:r>
        <w:rPr>
          <w:rFonts w:ascii="宋体" w:hAnsi="宋体"/>
        </w:rPr>
        <w:t>④回用水系统</w:t>
      </w:r>
    </w:p>
    <w:p>
      <w:pPr>
        <w:adjustRightInd w:val="0"/>
        <w:snapToGrid w:val="0"/>
        <w:spacing w:line="360" w:lineRule="auto"/>
        <w:ind w:firstLine="480" w:firstLineChars="200"/>
      </w:pPr>
      <w:r>
        <w:rPr>
          <w:rFonts w:ascii="宋体" w:hAnsi="宋体"/>
        </w:rPr>
        <w:t>设置两台潜水泵</w:t>
      </w:r>
      <w:r>
        <w:t>QW24-40-7.5(Q=24m</w:t>
      </w:r>
      <w:r>
        <w:rPr>
          <w:vertAlign w:val="superscript"/>
        </w:rPr>
        <w:t>3</w:t>
      </w:r>
      <w:r>
        <w:t>/h,H=40m)</w:t>
      </w:r>
      <w:r>
        <w:rPr>
          <w:rFonts w:ascii="宋体" w:hAnsi="宋体"/>
        </w:rPr>
        <w:t>，对厂区绿化浇洒、加氯间提供用水。</w:t>
      </w:r>
    </w:p>
    <w:p>
      <w:pPr>
        <w:adjustRightInd w:val="0"/>
        <w:snapToGrid w:val="0"/>
        <w:spacing w:line="360" w:lineRule="auto"/>
        <w:ind w:firstLine="480" w:firstLineChars="200"/>
      </w:pPr>
      <w:r>
        <w:rPr>
          <w:rFonts w:hint="eastAsia"/>
        </w:rPr>
        <w:t>（5）污泥泵站</w:t>
      </w:r>
    </w:p>
    <w:p>
      <w:pPr>
        <w:pStyle w:val="132"/>
        <w:adjustRightInd w:val="0"/>
        <w:snapToGrid w:val="0"/>
        <w:spacing w:line="360" w:lineRule="auto"/>
        <w:ind w:firstLine="480"/>
      </w:pPr>
      <w:r>
        <w:rPr>
          <w:rFonts w:ascii="宋体" w:hAnsi="宋体"/>
        </w:rPr>
        <w:t>污泥泵站包含回流污泥提升和剩余污泥提升两部分功能。地下部分为钢筋混凝土结构，地上部分为砖混结构。</w:t>
      </w:r>
    </w:p>
    <w:p>
      <w:pPr>
        <w:pStyle w:val="132"/>
        <w:adjustRightInd w:val="0"/>
        <w:snapToGrid w:val="0"/>
        <w:spacing w:line="360" w:lineRule="auto"/>
        <w:ind w:firstLine="480"/>
        <w:rPr>
          <w:rFonts w:ascii="宋体" w:hAnsi="宋体"/>
        </w:rPr>
      </w:pPr>
      <w:r>
        <w:rPr>
          <w:rFonts w:ascii="宋体" w:hAnsi="宋体"/>
        </w:rPr>
        <w:t>二沉池活性污泥被泵提升至</w:t>
      </w:r>
      <w:r>
        <w:t>AAO</w:t>
      </w:r>
      <w:r>
        <w:rPr>
          <w:rFonts w:ascii="宋体" w:hAnsi="宋体"/>
        </w:rPr>
        <w:t>反应池前的预缺氧池，以提高脱氮除磷效果防止污泥膨胀和维持</w:t>
      </w:r>
      <w:r>
        <w:t>AAO</w:t>
      </w:r>
      <w:r>
        <w:rPr>
          <w:rFonts w:ascii="宋体" w:hAnsi="宋体"/>
        </w:rPr>
        <w:t>反应池内污泥浓度，剩余污泥用泵送至浓缩池，进脱水机房浓缩脱水后外运。</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17</w:t>
      </w:r>
      <w:r>
        <w:rPr>
          <w:rFonts w:hAnsi="宋体" w:cs="Times New Roman"/>
        </w:rPr>
        <w:fldChar w:fldCharType="end"/>
      </w:r>
      <w:r>
        <w:rPr>
          <w:rFonts w:cs="Times New Roman"/>
        </w:rPr>
        <w:t xml:space="preserve">  污泥泵站主要参数一览表</w:t>
      </w:r>
    </w:p>
    <w:tbl>
      <w:tblPr>
        <w:tblStyle w:val="38"/>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5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设计规模：</w:t>
            </w:r>
          </w:p>
        </w:tc>
        <w:tc>
          <w:tcPr>
            <w:tcW w:w="5545" w:type="dxa"/>
            <w:vAlign w:val="center"/>
          </w:tcPr>
          <w:p>
            <w:pPr>
              <w:pStyle w:val="132"/>
              <w:spacing w:line="240" w:lineRule="auto"/>
              <w:ind w:firstLine="0" w:firstLineChars="0"/>
              <w:jc w:val="center"/>
              <w:rPr>
                <w:sz w:val="21"/>
                <w:szCs w:val="21"/>
              </w:rPr>
            </w:pPr>
            <w:r>
              <w:rPr>
                <w:sz w:val="21"/>
                <w:szCs w:val="21"/>
              </w:rPr>
              <w:t>2.0×10</w:t>
            </w:r>
            <w:r>
              <w:rPr>
                <w:sz w:val="21"/>
                <w:szCs w:val="21"/>
                <w:vertAlign w:val="superscript"/>
              </w:rPr>
              <w:t>4</w:t>
            </w:r>
            <w:r>
              <w:rPr>
                <w:sz w:val="21"/>
                <w:szCs w:val="21"/>
              </w:rPr>
              <w:t xml:space="preserve"> m</w:t>
            </w:r>
            <w:r>
              <w:rPr>
                <w:sz w:val="21"/>
                <w:szCs w:val="21"/>
                <w:vertAlign w:val="superscript"/>
              </w:rPr>
              <w:t>3</w:t>
            </w:r>
            <w:r>
              <w:rPr>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构筑物：</w:t>
            </w:r>
          </w:p>
        </w:tc>
        <w:tc>
          <w:tcPr>
            <w:tcW w:w="5545" w:type="dxa"/>
            <w:vAlign w:val="center"/>
          </w:tcPr>
          <w:p>
            <w:pPr>
              <w:pStyle w:val="132"/>
              <w:spacing w:line="240" w:lineRule="auto"/>
              <w:ind w:firstLine="0" w:firstLineChars="0"/>
              <w:jc w:val="center"/>
              <w:rPr>
                <w:sz w:val="21"/>
                <w:szCs w:val="21"/>
              </w:rPr>
            </w:pPr>
            <w:r>
              <w:rPr>
                <w:sz w:val="21"/>
                <w:szCs w:val="21"/>
              </w:rPr>
              <w:t>钢筋混凝土池，1</w:t>
            </w:r>
            <w:r>
              <w:rPr>
                <w:rFonts w:ascii="宋体" w:hAnsi="宋体"/>
                <w:sz w:val="21"/>
                <w:szCs w:val="21"/>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总尺寸：</w:t>
            </w:r>
          </w:p>
        </w:tc>
        <w:tc>
          <w:tcPr>
            <w:tcW w:w="5545" w:type="dxa"/>
            <w:vAlign w:val="center"/>
          </w:tcPr>
          <w:p>
            <w:pPr>
              <w:pStyle w:val="132"/>
              <w:spacing w:line="240" w:lineRule="auto"/>
              <w:ind w:firstLine="0" w:firstLineChars="0"/>
              <w:jc w:val="center"/>
              <w:rPr>
                <w:sz w:val="21"/>
                <w:szCs w:val="21"/>
              </w:rPr>
            </w:pPr>
            <w:r>
              <w:rPr>
                <w:sz w:val="21"/>
                <w:szCs w:val="21"/>
              </w:rPr>
              <w:t>L×B×H</w:t>
            </w:r>
            <w:r>
              <w:rPr>
                <w:rFonts w:ascii="宋体" w:hAnsi="宋体"/>
                <w:sz w:val="21"/>
                <w:szCs w:val="21"/>
              </w:rPr>
              <w:t>＝</w:t>
            </w:r>
            <w:r>
              <w:rPr>
                <w:sz w:val="21"/>
                <w:szCs w:val="21"/>
              </w:rPr>
              <w:t>9.30m×6.4m×7.35m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设计参数：</w:t>
            </w:r>
          </w:p>
        </w:tc>
        <w:tc>
          <w:tcPr>
            <w:tcW w:w="5545" w:type="dxa"/>
            <w:vAlign w:val="center"/>
          </w:tcPr>
          <w:p>
            <w:pPr>
              <w:pStyle w:val="132"/>
              <w:spacing w:line="240" w:lineRule="auto"/>
              <w:ind w:firstLine="0" w:firstLineChars="0"/>
              <w:jc w:val="center"/>
              <w:rPr>
                <w:sz w:val="21"/>
                <w:szCs w:val="21"/>
              </w:rPr>
            </w:pPr>
            <w:r>
              <w:rPr>
                <w:sz w:val="21"/>
                <w:szCs w:val="21"/>
              </w:rPr>
              <w:t>污泥回流比r</w:t>
            </w:r>
            <w:r>
              <w:rPr>
                <w:rFonts w:ascii="宋体" w:hAnsi="宋体"/>
                <w:sz w:val="21"/>
                <w:szCs w:val="21"/>
              </w:rPr>
              <w:t>：</w:t>
            </w:r>
            <w:r>
              <w:rPr>
                <w:sz w:val="21"/>
                <w:szCs w:val="21"/>
              </w:rPr>
              <w:t>50~100%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设备：</w:t>
            </w:r>
          </w:p>
        </w:tc>
        <w:tc>
          <w:tcPr>
            <w:tcW w:w="5545" w:type="dxa"/>
            <w:vAlign w:val="center"/>
          </w:tcPr>
          <w:p>
            <w:pPr>
              <w:pStyle w:val="132"/>
              <w:spacing w:line="240" w:lineRule="auto"/>
              <w:ind w:firstLine="0" w:firstLineChars="0"/>
              <w:jc w:val="center"/>
              <w:rPr>
                <w:sz w:val="21"/>
                <w:szCs w:val="21"/>
              </w:rPr>
            </w:pPr>
            <w:r>
              <w:rPr>
                <w:sz w:val="21"/>
                <w:szCs w:val="21"/>
              </w:rPr>
              <w:t>污泥回流泵采用轴流泵（Q=515~784m</w:t>
            </w:r>
            <w:r>
              <w:rPr>
                <w:sz w:val="21"/>
                <w:szCs w:val="21"/>
                <w:vertAlign w:val="superscript"/>
              </w:rPr>
              <w:t>3</w:t>
            </w:r>
            <w:r>
              <w:rPr>
                <w:sz w:val="21"/>
                <w:szCs w:val="21"/>
              </w:rPr>
              <w:t>//h</w:t>
            </w:r>
            <w:r>
              <w:rPr>
                <w:rFonts w:ascii="宋体" w:hAnsi="宋体"/>
                <w:sz w:val="21"/>
                <w:szCs w:val="21"/>
              </w:rPr>
              <w:t>，</w:t>
            </w:r>
            <w:r>
              <w:rPr>
                <w:sz w:val="21"/>
                <w:szCs w:val="21"/>
              </w:rPr>
              <w:t>H=3.94</w:t>
            </w:r>
            <w:r>
              <w:rPr>
                <w:rFonts w:ascii="宋体" w:hAnsi="宋体"/>
                <w:sz w:val="21"/>
                <w:szCs w:val="21"/>
              </w:rPr>
              <w:t>～</w:t>
            </w:r>
            <w:r>
              <w:rPr>
                <w:sz w:val="21"/>
                <w:szCs w:val="21"/>
              </w:rPr>
              <w:t>1.64m</w:t>
            </w:r>
            <w:r>
              <w:rPr>
                <w:rFonts w:ascii="宋体" w:hAnsi="宋体"/>
                <w:sz w:val="21"/>
                <w:szCs w:val="21"/>
              </w:rPr>
              <w:t>，</w:t>
            </w:r>
            <w:r>
              <w:rPr>
                <w:sz w:val="21"/>
                <w:szCs w:val="21"/>
              </w:rPr>
              <w:t>N=9.0kW</w:t>
            </w:r>
            <w:r>
              <w:rPr>
                <w:rFonts w:ascii="宋体" w:hAnsi="宋体"/>
                <w:sz w:val="21"/>
                <w:szCs w:val="21"/>
              </w:rPr>
              <w:t>），</w:t>
            </w:r>
            <w:r>
              <w:rPr>
                <w:sz w:val="21"/>
                <w:szCs w:val="21"/>
              </w:rPr>
              <w:t>2</w:t>
            </w:r>
            <w:r>
              <w:rPr>
                <w:rFonts w:ascii="宋体" w:hAnsi="宋体"/>
                <w:sz w:val="21"/>
                <w:szCs w:val="21"/>
              </w:rPr>
              <w:t>用</w:t>
            </w:r>
            <w:r>
              <w:rPr>
                <w:sz w:val="21"/>
                <w:szCs w:val="21"/>
              </w:rPr>
              <w:t>1</w:t>
            </w:r>
            <w:r>
              <w:rPr>
                <w:rFonts w:ascii="宋体" w:hAnsi="宋体"/>
                <w:sz w:val="21"/>
                <w:szCs w:val="21"/>
              </w:rPr>
              <w:t>备；</w:t>
            </w:r>
          </w:p>
          <w:p>
            <w:pPr>
              <w:pStyle w:val="132"/>
              <w:spacing w:line="240" w:lineRule="auto"/>
              <w:ind w:firstLine="0" w:firstLineChars="0"/>
              <w:jc w:val="center"/>
              <w:rPr>
                <w:sz w:val="21"/>
                <w:szCs w:val="21"/>
              </w:rPr>
            </w:pPr>
            <w:r>
              <w:rPr>
                <w:sz w:val="21"/>
                <w:szCs w:val="21"/>
              </w:rPr>
              <w:t>剩余污泥泵站选用WQ50-10-3.0</w:t>
            </w:r>
            <w:r>
              <w:rPr>
                <w:rFonts w:ascii="宋体" w:hAnsi="宋体"/>
                <w:sz w:val="21"/>
                <w:szCs w:val="21"/>
              </w:rPr>
              <w:t>型潜水排污泵，（潜水排污泵</w:t>
            </w:r>
            <w:r>
              <w:rPr>
                <w:sz w:val="21"/>
                <w:szCs w:val="21"/>
              </w:rPr>
              <w:t>(Q=50m</w:t>
            </w:r>
            <w:r>
              <w:rPr>
                <w:sz w:val="21"/>
                <w:szCs w:val="21"/>
                <w:vertAlign w:val="superscript"/>
              </w:rPr>
              <w:t>3</w:t>
            </w:r>
            <w:r>
              <w:rPr>
                <w:sz w:val="21"/>
                <w:szCs w:val="21"/>
              </w:rPr>
              <w:t>//h,H=10m,N=3.0kW)</w:t>
            </w:r>
            <w:r>
              <w:rPr>
                <w:rFonts w:ascii="宋体" w:hAnsi="宋体"/>
                <w:sz w:val="21"/>
                <w:szCs w:val="21"/>
              </w:rPr>
              <w:t>），</w:t>
            </w:r>
          </w:p>
          <w:p>
            <w:pPr>
              <w:pStyle w:val="132"/>
              <w:spacing w:line="240" w:lineRule="auto"/>
              <w:ind w:firstLine="0" w:firstLineChars="0"/>
              <w:jc w:val="center"/>
              <w:rPr>
                <w:sz w:val="21"/>
                <w:szCs w:val="21"/>
              </w:rPr>
            </w:pPr>
            <w:r>
              <w:rPr>
                <w:sz w:val="21"/>
                <w:szCs w:val="21"/>
              </w:rPr>
              <w:t>1</w:t>
            </w:r>
            <w:r>
              <w:rPr>
                <w:rFonts w:ascii="宋体" w:hAnsi="宋体"/>
                <w:sz w:val="21"/>
                <w:szCs w:val="21"/>
              </w:rPr>
              <w:t>用</w:t>
            </w:r>
            <w:r>
              <w:rPr>
                <w:sz w:val="21"/>
                <w:szCs w:val="21"/>
              </w:rPr>
              <w:t>1</w:t>
            </w:r>
            <w:r>
              <w:rPr>
                <w:rFonts w:ascii="宋体" w:hAnsi="宋体"/>
                <w:sz w:val="21"/>
                <w:szCs w:val="21"/>
              </w:rPr>
              <w:t>备</w:t>
            </w:r>
          </w:p>
        </w:tc>
      </w:tr>
    </w:tbl>
    <w:p>
      <w:pPr>
        <w:spacing w:line="360" w:lineRule="auto"/>
        <w:ind w:firstLine="480" w:firstLineChars="200"/>
      </w:pPr>
      <w:r>
        <w:rPr>
          <w:rFonts w:hint="eastAsia"/>
        </w:rPr>
        <w:t>（6）污泥浓缩池</w:t>
      </w:r>
    </w:p>
    <w:p>
      <w:pPr>
        <w:pStyle w:val="132"/>
        <w:spacing w:line="360" w:lineRule="auto"/>
        <w:ind w:firstLine="480"/>
      </w:pPr>
      <w:r>
        <w:rPr>
          <w:rFonts w:ascii="宋体" w:hAnsi="宋体"/>
        </w:rPr>
        <w:t>采用中间进水、周边出水浓缩池。近期设</w:t>
      </w:r>
      <w:r>
        <w:t>1</w:t>
      </w:r>
      <w:r>
        <w:rPr>
          <w:rFonts w:ascii="宋体" w:hAnsi="宋体"/>
        </w:rPr>
        <w:t>座，远期增加</w:t>
      </w:r>
      <w:r>
        <w:t>1</w:t>
      </w:r>
      <w:r>
        <w:rPr>
          <w:rFonts w:ascii="宋体" w:hAnsi="宋体"/>
        </w:rPr>
        <w:t>座。</w:t>
      </w:r>
    </w:p>
    <w:p>
      <w:pPr>
        <w:pStyle w:val="132"/>
        <w:spacing w:line="360" w:lineRule="auto"/>
        <w:ind w:firstLine="480"/>
        <w:rPr>
          <w:rFonts w:ascii="宋体" w:hAnsi="宋体"/>
        </w:rPr>
      </w:pPr>
      <w:r>
        <w:rPr>
          <w:rFonts w:ascii="宋体" w:hAnsi="宋体"/>
        </w:rPr>
        <w:t>污泥浓缩池的主要设计参数如下：</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18</w:t>
      </w:r>
      <w:r>
        <w:rPr>
          <w:rFonts w:hAnsi="宋体" w:cs="Times New Roman"/>
        </w:rPr>
        <w:fldChar w:fldCharType="end"/>
      </w:r>
      <w:r>
        <w:rPr>
          <w:rFonts w:cs="Times New Roman"/>
        </w:rPr>
        <w:t xml:space="preserve">  污泥浓缩池主要参数一览表</w:t>
      </w:r>
    </w:p>
    <w:tbl>
      <w:tblPr>
        <w:tblStyle w:val="38"/>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5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设计规模：</w:t>
            </w:r>
          </w:p>
        </w:tc>
        <w:tc>
          <w:tcPr>
            <w:tcW w:w="5545" w:type="dxa"/>
            <w:vAlign w:val="center"/>
          </w:tcPr>
          <w:p>
            <w:pPr>
              <w:pStyle w:val="132"/>
              <w:spacing w:line="240" w:lineRule="auto"/>
              <w:ind w:firstLine="0" w:firstLineChars="0"/>
              <w:jc w:val="center"/>
              <w:rPr>
                <w:sz w:val="21"/>
                <w:szCs w:val="21"/>
              </w:rPr>
            </w:pPr>
            <w:r>
              <w:rPr>
                <w:sz w:val="21"/>
                <w:szCs w:val="21"/>
              </w:rPr>
              <w:t>3.0×10</w:t>
            </w:r>
            <w:r>
              <w:rPr>
                <w:sz w:val="21"/>
                <w:szCs w:val="21"/>
                <w:vertAlign w:val="superscript"/>
              </w:rPr>
              <w:t>4</w:t>
            </w:r>
            <w:r>
              <w:rPr>
                <w:sz w:val="21"/>
                <w:szCs w:val="21"/>
              </w:rPr>
              <w:t xml:space="preserve"> m</w:t>
            </w:r>
            <w:r>
              <w:rPr>
                <w:sz w:val="21"/>
                <w:szCs w:val="21"/>
                <w:vertAlign w:val="superscript"/>
              </w:rPr>
              <w:t>3</w:t>
            </w:r>
            <w:r>
              <w:rPr>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构筑物：</w:t>
            </w:r>
          </w:p>
        </w:tc>
        <w:tc>
          <w:tcPr>
            <w:tcW w:w="5545" w:type="dxa"/>
            <w:vAlign w:val="center"/>
          </w:tcPr>
          <w:p>
            <w:pPr>
              <w:pStyle w:val="132"/>
              <w:spacing w:line="240" w:lineRule="auto"/>
              <w:ind w:firstLine="0" w:firstLineChars="0"/>
              <w:jc w:val="center"/>
              <w:rPr>
                <w:sz w:val="21"/>
                <w:szCs w:val="21"/>
              </w:rPr>
            </w:pPr>
            <w:r>
              <w:rPr>
                <w:sz w:val="21"/>
                <w:szCs w:val="21"/>
              </w:rPr>
              <w:t>钢筋混凝土结构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数量：</w:t>
            </w:r>
          </w:p>
        </w:tc>
        <w:tc>
          <w:tcPr>
            <w:tcW w:w="5545" w:type="dxa"/>
            <w:vAlign w:val="center"/>
          </w:tcPr>
          <w:p>
            <w:pPr>
              <w:pStyle w:val="132"/>
              <w:spacing w:line="240" w:lineRule="auto"/>
              <w:ind w:firstLine="0" w:firstLineChars="0"/>
              <w:jc w:val="center"/>
              <w:rPr>
                <w:sz w:val="21"/>
                <w:szCs w:val="21"/>
              </w:rPr>
            </w:pPr>
            <w:r>
              <w:rPr>
                <w:sz w:val="21"/>
                <w:szCs w:val="21"/>
              </w:rPr>
              <w:t>1</w:t>
            </w:r>
            <w:r>
              <w:rPr>
                <w:rFonts w:ascii="宋体" w:hAnsi="宋体"/>
                <w:sz w:val="21"/>
                <w:szCs w:val="21"/>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平面尺寸：</w:t>
            </w:r>
          </w:p>
        </w:tc>
        <w:tc>
          <w:tcPr>
            <w:tcW w:w="5545" w:type="dxa"/>
            <w:vAlign w:val="center"/>
          </w:tcPr>
          <w:p>
            <w:pPr>
              <w:pStyle w:val="132"/>
              <w:spacing w:line="240" w:lineRule="auto"/>
              <w:ind w:firstLine="0" w:firstLineChars="0"/>
              <w:jc w:val="center"/>
              <w:rPr>
                <w:sz w:val="21"/>
                <w:szCs w:val="21"/>
              </w:rPr>
            </w:pPr>
            <w:r>
              <w:rPr>
                <w:sz w:val="21"/>
                <w:szCs w:val="21"/>
              </w:rPr>
              <w:t>D=14m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有效水深：</w:t>
            </w:r>
          </w:p>
        </w:tc>
        <w:tc>
          <w:tcPr>
            <w:tcW w:w="5545" w:type="dxa"/>
            <w:vAlign w:val="center"/>
          </w:tcPr>
          <w:p>
            <w:pPr>
              <w:pStyle w:val="132"/>
              <w:spacing w:line="240" w:lineRule="auto"/>
              <w:ind w:firstLine="0" w:firstLineChars="0"/>
              <w:jc w:val="center"/>
              <w:rPr>
                <w:sz w:val="21"/>
                <w:szCs w:val="21"/>
              </w:rPr>
            </w:pPr>
            <w:r>
              <w:rPr>
                <w:sz w:val="21"/>
                <w:szCs w:val="21"/>
              </w:rPr>
              <w:t>4.2m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固体负荷：</w:t>
            </w:r>
          </w:p>
        </w:tc>
        <w:tc>
          <w:tcPr>
            <w:tcW w:w="5545" w:type="dxa"/>
            <w:vAlign w:val="center"/>
          </w:tcPr>
          <w:p>
            <w:pPr>
              <w:pStyle w:val="132"/>
              <w:spacing w:line="240" w:lineRule="auto"/>
              <w:ind w:firstLine="0" w:firstLineChars="0"/>
              <w:jc w:val="center"/>
              <w:rPr>
                <w:sz w:val="21"/>
                <w:szCs w:val="21"/>
              </w:rPr>
            </w:pPr>
            <w:r>
              <w:rPr>
                <w:sz w:val="21"/>
                <w:szCs w:val="21"/>
              </w:rPr>
              <w:t>44.17kg/</w:t>
            </w:r>
            <w:r>
              <w:rPr>
                <w:rFonts w:ascii="宋体" w:hAnsi="宋体"/>
                <w:sz w:val="21"/>
                <w:szCs w:val="21"/>
              </w:rPr>
              <w:t>（</w:t>
            </w:r>
            <w:r>
              <w:rPr>
                <w:sz w:val="21"/>
                <w:szCs w:val="21"/>
              </w:rPr>
              <w:t>m</w:t>
            </w:r>
            <w:r>
              <w:rPr>
                <w:sz w:val="21"/>
                <w:szCs w:val="21"/>
                <w:vertAlign w:val="superscript"/>
              </w:rPr>
              <w:t>2</w:t>
            </w:r>
            <w:r>
              <w:rPr>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停留时间：</w:t>
            </w:r>
          </w:p>
        </w:tc>
        <w:tc>
          <w:tcPr>
            <w:tcW w:w="5545" w:type="dxa"/>
            <w:vAlign w:val="center"/>
          </w:tcPr>
          <w:p>
            <w:pPr>
              <w:pStyle w:val="132"/>
              <w:spacing w:line="240" w:lineRule="auto"/>
              <w:ind w:firstLine="0" w:firstLineChars="0"/>
              <w:jc w:val="center"/>
              <w:rPr>
                <w:sz w:val="21"/>
                <w:szCs w:val="21"/>
              </w:rPr>
            </w:pPr>
            <w:r>
              <w:rPr>
                <w:sz w:val="21"/>
                <w:szCs w:val="21"/>
              </w:rPr>
              <w:t>24.42h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主要设备：</w:t>
            </w:r>
          </w:p>
        </w:tc>
        <w:tc>
          <w:tcPr>
            <w:tcW w:w="5545" w:type="dxa"/>
            <w:vAlign w:val="center"/>
          </w:tcPr>
          <w:p>
            <w:pPr>
              <w:pStyle w:val="132"/>
              <w:spacing w:line="240" w:lineRule="auto"/>
              <w:ind w:firstLine="0" w:firstLineChars="0"/>
              <w:jc w:val="center"/>
              <w:rPr>
                <w:sz w:val="21"/>
                <w:szCs w:val="21"/>
              </w:rPr>
            </w:pPr>
            <w:r>
              <w:rPr>
                <w:sz w:val="21"/>
                <w:szCs w:val="21"/>
              </w:rPr>
              <w:t>污泥浓缩机1</w:t>
            </w:r>
            <w:r>
              <w:rPr>
                <w:rFonts w:ascii="宋体" w:hAnsi="宋体"/>
                <w:sz w:val="21"/>
                <w:szCs w:val="21"/>
              </w:rPr>
              <w:t>台，</w:t>
            </w:r>
            <w:r>
              <w:rPr>
                <w:sz w:val="21"/>
                <w:szCs w:val="21"/>
              </w:rPr>
              <w:t>N=2.0kW</w:t>
            </w:r>
          </w:p>
        </w:tc>
      </w:tr>
    </w:tbl>
    <w:p>
      <w:pPr>
        <w:adjustRightInd w:val="0"/>
        <w:snapToGrid w:val="0"/>
        <w:spacing w:line="360" w:lineRule="auto"/>
        <w:ind w:firstLine="480" w:firstLineChars="200"/>
      </w:pPr>
      <w:r>
        <w:rPr>
          <w:rFonts w:hint="eastAsia"/>
        </w:rPr>
        <w:t>（7）污泥深度脱水车间及加药间</w:t>
      </w:r>
    </w:p>
    <w:p>
      <w:pPr>
        <w:pStyle w:val="132"/>
        <w:adjustRightInd w:val="0"/>
        <w:snapToGrid w:val="0"/>
        <w:spacing w:line="360" w:lineRule="auto"/>
        <w:ind w:firstLine="480"/>
      </w:pPr>
      <w:r>
        <w:rPr>
          <w:rFonts w:ascii="宋体" w:hAnsi="宋体"/>
        </w:rPr>
        <w:t>污泥脱水间与加药间合建，主要包括污泥脱水间和加药间。污泥脱水间设置一根</w:t>
      </w:r>
      <w:r>
        <w:t>DN500</w:t>
      </w:r>
      <w:r>
        <w:rPr>
          <w:rFonts w:ascii="宋体" w:hAnsi="宋体"/>
        </w:rPr>
        <w:t>除臭风管收集臭气并输送到脱水机房北侧的除臭设施进行处理。</w:t>
      </w:r>
    </w:p>
    <w:p>
      <w:pPr>
        <w:pStyle w:val="132"/>
        <w:adjustRightInd w:val="0"/>
        <w:snapToGrid w:val="0"/>
        <w:spacing w:line="360" w:lineRule="auto"/>
        <w:ind w:firstLine="480"/>
        <w:rPr>
          <w:rFonts w:ascii="宋体" w:hAnsi="宋体"/>
        </w:rPr>
      </w:pPr>
      <w:r>
        <w:rPr>
          <w:rFonts w:ascii="宋体" w:hAnsi="宋体"/>
        </w:rPr>
        <w:t>①污泥脱水间</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2.1</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19</w:t>
      </w:r>
      <w:r>
        <w:rPr>
          <w:rFonts w:hAnsi="宋体" w:cs="Times New Roman"/>
        </w:rPr>
        <w:fldChar w:fldCharType="end"/>
      </w:r>
      <w:r>
        <w:rPr>
          <w:rFonts w:cs="Times New Roman"/>
        </w:rPr>
        <w:t xml:space="preserve">  污泥脱水间主要参数一览表</w:t>
      </w:r>
    </w:p>
    <w:tbl>
      <w:tblPr>
        <w:tblStyle w:val="38"/>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5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设计规模：</w:t>
            </w:r>
          </w:p>
        </w:tc>
        <w:tc>
          <w:tcPr>
            <w:tcW w:w="5545" w:type="dxa"/>
            <w:vAlign w:val="center"/>
          </w:tcPr>
          <w:p>
            <w:pPr>
              <w:pStyle w:val="132"/>
              <w:spacing w:line="240" w:lineRule="auto"/>
              <w:ind w:firstLine="0" w:firstLineChars="0"/>
              <w:jc w:val="center"/>
              <w:rPr>
                <w:sz w:val="21"/>
                <w:szCs w:val="21"/>
              </w:rPr>
            </w:pPr>
            <w:r>
              <w:rPr>
                <w:sz w:val="21"/>
                <w:szCs w:val="21"/>
              </w:rPr>
              <w:t>6.0×10</w:t>
            </w:r>
            <w:r>
              <w:rPr>
                <w:sz w:val="21"/>
                <w:szCs w:val="21"/>
                <w:vertAlign w:val="superscript"/>
              </w:rPr>
              <w:t>4</w:t>
            </w:r>
            <w:r>
              <w:rPr>
                <w:sz w:val="21"/>
                <w:szCs w:val="21"/>
              </w:rPr>
              <w:t>m</w:t>
            </w:r>
            <w:r>
              <w:rPr>
                <w:sz w:val="21"/>
                <w:szCs w:val="21"/>
                <w:vertAlign w:val="superscript"/>
              </w:rPr>
              <w:t>3</w:t>
            </w:r>
            <w:r>
              <w:rPr>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构筑物：</w:t>
            </w:r>
          </w:p>
        </w:tc>
        <w:tc>
          <w:tcPr>
            <w:tcW w:w="5545" w:type="dxa"/>
            <w:vAlign w:val="center"/>
          </w:tcPr>
          <w:p>
            <w:pPr>
              <w:pStyle w:val="132"/>
              <w:spacing w:line="240" w:lineRule="auto"/>
              <w:ind w:firstLine="0" w:firstLineChars="0"/>
              <w:jc w:val="center"/>
              <w:rPr>
                <w:sz w:val="21"/>
                <w:szCs w:val="21"/>
              </w:rPr>
            </w:pPr>
            <w:r>
              <w:rPr>
                <w:sz w:val="21"/>
                <w:szCs w:val="21"/>
              </w:rPr>
              <w:t>地面式砖混结构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平面尺寸：</w:t>
            </w:r>
          </w:p>
        </w:tc>
        <w:tc>
          <w:tcPr>
            <w:tcW w:w="5545" w:type="dxa"/>
            <w:vAlign w:val="center"/>
          </w:tcPr>
          <w:p>
            <w:pPr>
              <w:pStyle w:val="132"/>
              <w:spacing w:line="240" w:lineRule="auto"/>
              <w:ind w:firstLine="0" w:firstLineChars="0"/>
              <w:jc w:val="center"/>
              <w:rPr>
                <w:sz w:val="21"/>
                <w:szCs w:val="21"/>
              </w:rPr>
            </w:pPr>
            <w:r>
              <w:rPr>
                <w:sz w:val="21"/>
                <w:szCs w:val="21"/>
              </w:rPr>
              <w:t>L×B=48.6m×15.0m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设备：</w:t>
            </w:r>
          </w:p>
        </w:tc>
        <w:tc>
          <w:tcPr>
            <w:tcW w:w="5545" w:type="dxa"/>
            <w:vAlign w:val="center"/>
          </w:tcPr>
          <w:p>
            <w:pPr>
              <w:pStyle w:val="132"/>
              <w:spacing w:line="240" w:lineRule="auto"/>
              <w:ind w:firstLine="0" w:firstLineChars="0"/>
              <w:jc w:val="center"/>
              <w:rPr>
                <w:sz w:val="21"/>
                <w:szCs w:val="21"/>
              </w:rPr>
            </w:pPr>
            <w:r>
              <w:rPr>
                <w:sz w:val="21"/>
                <w:szCs w:val="21"/>
              </w:rPr>
              <w:t>高性能板框压滤机，1台，处理能力10tDS/d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工作周期与时间：</w:t>
            </w:r>
          </w:p>
        </w:tc>
        <w:tc>
          <w:tcPr>
            <w:tcW w:w="5545" w:type="dxa"/>
            <w:vAlign w:val="center"/>
          </w:tcPr>
          <w:p>
            <w:pPr>
              <w:pStyle w:val="132"/>
              <w:spacing w:line="240" w:lineRule="auto"/>
              <w:ind w:firstLine="0" w:firstLineChars="0"/>
              <w:jc w:val="center"/>
              <w:rPr>
                <w:sz w:val="21"/>
                <w:szCs w:val="21"/>
              </w:rPr>
            </w:pPr>
            <w:r>
              <w:rPr>
                <w:sz w:val="21"/>
                <w:szCs w:val="21"/>
              </w:rPr>
              <w:t>近期每天工作9.5小时，运行1台；</w:t>
            </w:r>
          </w:p>
          <w:p>
            <w:pPr>
              <w:pStyle w:val="132"/>
              <w:spacing w:line="240" w:lineRule="auto"/>
              <w:ind w:firstLine="0" w:firstLineChars="0"/>
              <w:jc w:val="center"/>
              <w:rPr>
                <w:sz w:val="21"/>
                <w:szCs w:val="21"/>
              </w:rPr>
            </w:pPr>
            <w:r>
              <w:rPr>
                <w:sz w:val="21"/>
                <w:szCs w:val="21"/>
              </w:rPr>
              <w:t>远期每天工作运行14.3小时，2台同时运行；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污泥含水率：</w:t>
            </w:r>
          </w:p>
        </w:tc>
        <w:tc>
          <w:tcPr>
            <w:tcW w:w="5545" w:type="dxa"/>
            <w:vAlign w:val="center"/>
          </w:tcPr>
          <w:p>
            <w:pPr>
              <w:pStyle w:val="132"/>
              <w:spacing w:line="240" w:lineRule="auto"/>
              <w:ind w:firstLine="0" w:firstLineChars="0"/>
              <w:jc w:val="center"/>
              <w:rPr>
                <w:sz w:val="21"/>
                <w:szCs w:val="21"/>
              </w:rPr>
            </w:pPr>
            <w:r>
              <w:rPr>
                <w:sz w:val="21"/>
                <w:szCs w:val="21"/>
              </w:rPr>
              <w:t>≤</w:t>
            </w:r>
            <w:r>
              <w:rPr>
                <w:rFonts w:hint="eastAsia"/>
                <w:sz w:val="21"/>
                <w:szCs w:val="21"/>
              </w:rPr>
              <w:t>60</w:t>
            </w: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pStyle w:val="132"/>
              <w:spacing w:line="240" w:lineRule="auto"/>
              <w:ind w:firstLine="420"/>
              <w:jc w:val="center"/>
              <w:rPr>
                <w:sz w:val="21"/>
                <w:szCs w:val="21"/>
              </w:rPr>
            </w:pPr>
            <w:r>
              <w:rPr>
                <w:sz w:val="21"/>
                <w:szCs w:val="21"/>
              </w:rPr>
              <w:t>配套设备：</w:t>
            </w:r>
          </w:p>
        </w:tc>
        <w:tc>
          <w:tcPr>
            <w:tcW w:w="5545" w:type="dxa"/>
            <w:vAlign w:val="center"/>
          </w:tcPr>
          <w:p>
            <w:pPr>
              <w:pStyle w:val="132"/>
              <w:spacing w:line="240" w:lineRule="auto"/>
              <w:ind w:firstLine="0" w:firstLineChars="0"/>
              <w:jc w:val="center"/>
              <w:rPr>
                <w:sz w:val="21"/>
                <w:szCs w:val="21"/>
              </w:rPr>
            </w:pPr>
            <w:r>
              <w:rPr>
                <w:sz w:val="21"/>
                <w:szCs w:val="21"/>
              </w:rPr>
              <w:t>叠螺浓缩机、污泥成套装置、污泥调理药剂制备系统和投药系统、改性罐、无轴螺旋输送机等。</w:t>
            </w:r>
          </w:p>
        </w:tc>
      </w:tr>
    </w:tbl>
    <w:p>
      <w:pPr>
        <w:pStyle w:val="132"/>
        <w:adjustRightInd w:val="0"/>
        <w:snapToGrid w:val="0"/>
        <w:spacing w:line="360" w:lineRule="auto"/>
        <w:ind w:firstLine="480"/>
      </w:pPr>
      <w:r>
        <w:rPr>
          <w:rFonts w:ascii="宋体" w:hAnsi="宋体"/>
        </w:rPr>
        <w:t>②加药间</w:t>
      </w:r>
    </w:p>
    <w:p>
      <w:pPr>
        <w:pStyle w:val="132"/>
        <w:adjustRightInd w:val="0"/>
        <w:snapToGrid w:val="0"/>
        <w:spacing w:line="360" w:lineRule="auto"/>
        <w:ind w:firstLine="480"/>
      </w:pPr>
      <w:r>
        <w:rPr>
          <w:rFonts w:ascii="宋体" w:hAnsi="宋体"/>
        </w:rPr>
        <w:t>加药间与污泥脱水间合建。包括污泥处理加药系统和除磷加药系统两部分。</w:t>
      </w:r>
    </w:p>
    <w:p>
      <w:pPr>
        <w:pStyle w:val="132"/>
        <w:adjustRightInd w:val="0"/>
        <w:snapToGrid w:val="0"/>
        <w:spacing w:line="360" w:lineRule="auto"/>
        <w:ind w:firstLine="480"/>
      </w:pPr>
      <w:r>
        <w:rPr>
          <w:rFonts w:ascii="宋体" w:hAnsi="宋体"/>
        </w:rPr>
        <w:t>污泥处理加药部分主要进行</w:t>
      </w:r>
      <w:r>
        <w:t>PAM</w:t>
      </w:r>
      <w:r>
        <w:rPr>
          <w:rFonts w:ascii="宋体" w:hAnsi="宋体"/>
        </w:rPr>
        <w:t>及的投加，包括溶药搅拌装置、药液输送泵等投加系统。</w:t>
      </w:r>
    </w:p>
    <w:p>
      <w:pPr>
        <w:pStyle w:val="132"/>
        <w:adjustRightInd w:val="0"/>
        <w:snapToGrid w:val="0"/>
        <w:spacing w:line="360" w:lineRule="auto"/>
        <w:ind w:firstLine="480"/>
      </w:pPr>
      <w:r>
        <w:rPr>
          <w:rFonts w:ascii="宋体" w:hAnsi="宋体"/>
        </w:rPr>
        <w:t>当进水中磷的含量较低时（</w:t>
      </w:r>
      <w:r>
        <w:t>TP</w:t>
      </w:r>
      <w:r>
        <w:rPr>
          <w:rFonts w:ascii="宋体" w:hAnsi="宋体"/>
        </w:rPr>
        <w:t>＜</w:t>
      </w:r>
      <w:r>
        <w:t>2.0mg/L</w:t>
      </w:r>
      <w:r>
        <w:rPr>
          <w:rFonts w:ascii="宋体" w:hAnsi="宋体"/>
        </w:rPr>
        <w:t>），生物处理的除磷效率基本能满足污水处理厂的除磷要求，但当进厂污水的磷浓度较高，而进水中的</w:t>
      </w:r>
      <w:r>
        <w:t>BOD</w:t>
      </w:r>
      <w:r>
        <w:rPr>
          <w:vertAlign w:val="subscript"/>
        </w:rPr>
        <w:t>5</w:t>
      </w:r>
      <w:r>
        <w:rPr>
          <w:rFonts w:ascii="宋体" w:hAnsi="宋体"/>
        </w:rPr>
        <w:t>浓度又较低时，或当进厂污水的磷浓度超过</w:t>
      </w:r>
      <w:r>
        <w:t>TP</w:t>
      </w:r>
      <w:r>
        <w:rPr>
          <w:rFonts w:ascii="宋体" w:hAnsi="宋体"/>
        </w:rPr>
        <w:t>＞</w:t>
      </w:r>
      <w:r>
        <w:t>2.0mg/L</w:t>
      </w:r>
      <w:r>
        <w:rPr>
          <w:rFonts w:ascii="宋体" w:hAnsi="宋体"/>
        </w:rPr>
        <w:t>时，为保证出厂水中总磷（以</w:t>
      </w:r>
      <w:r>
        <w:t>P</w:t>
      </w:r>
      <w:r>
        <w:rPr>
          <w:rFonts w:ascii="宋体" w:hAnsi="宋体"/>
        </w:rPr>
        <w:t>计）低于</w:t>
      </w:r>
      <w:r>
        <w:t>0.5mg/L</w:t>
      </w:r>
      <w:r>
        <w:rPr>
          <w:rFonts w:ascii="宋体" w:hAnsi="宋体"/>
        </w:rPr>
        <w:t>，本工程配置一套化学除磷装置，作为应急措施，当出水磷达不到要求时使用。</w:t>
      </w:r>
    </w:p>
    <w:p>
      <w:pPr>
        <w:pStyle w:val="132"/>
        <w:adjustRightInd w:val="0"/>
        <w:snapToGrid w:val="0"/>
        <w:spacing w:line="360" w:lineRule="auto"/>
        <w:ind w:firstLine="480"/>
      </w:pPr>
      <w:r>
        <w:t>（8</w:t>
      </w:r>
      <w:r>
        <w:rPr>
          <w:rFonts w:hAnsi="宋体"/>
        </w:rPr>
        <w:t>）鼓风机房、变配电间及机修间</w:t>
      </w:r>
    </w:p>
    <w:p>
      <w:pPr>
        <w:pStyle w:val="132"/>
        <w:adjustRightInd w:val="0"/>
        <w:snapToGrid w:val="0"/>
        <w:spacing w:line="360" w:lineRule="auto"/>
        <w:ind w:firstLine="480"/>
      </w:pPr>
      <w:r>
        <w:rPr>
          <w:rFonts w:hAnsi="宋体"/>
        </w:rPr>
        <w:t>本单体为鼓风机房、变配电间及机修间三个项目合建。生物池由鼓风机房风机提供氧源，通过溶解氧探测仪采用变频调速装置自动调节鼓风机运行参数，保证脱氮及除磷效果。</w:t>
      </w:r>
    </w:p>
    <w:p>
      <w:pPr>
        <w:pStyle w:val="132"/>
        <w:adjustRightInd w:val="0"/>
        <w:snapToGrid w:val="0"/>
        <w:spacing w:line="360" w:lineRule="auto"/>
        <w:ind w:firstLine="480"/>
      </w:pPr>
      <w:r>
        <w:rPr>
          <w:rFonts w:hAnsi="宋体"/>
        </w:rPr>
        <w:t>本次鼓风机选用空气悬浮鼓风机。</w:t>
      </w:r>
    </w:p>
    <w:p>
      <w:pPr>
        <w:pStyle w:val="132"/>
        <w:adjustRightInd w:val="0"/>
        <w:snapToGrid w:val="0"/>
        <w:spacing w:line="360" w:lineRule="auto"/>
        <w:ind w:firstLine="480"/>
        <w:rPr>
          <w:rFonts w:ascii="宋体" w:hAnsi="宋体"/>
          <w:kern w:val="16"/>
        </w:rPr>
      </w:pPr>
      <w:r>
        <w:rPr>
          <w:rFonts w:ascii="宋体" w:hAnsi="宋体"/>
          <w:kern w:val="16"/>
        </w:rPr>
        <w:t>主要设计参数如下：</w:t>
      </w:r>
    </w:p>
    <w:p>
      <w:pPr>
        <w:pStyle w:val="14"/>
        <w:spacing w:line="240" w:lineRule="auto"/>
        <w:rPr>
          <w:rFonts w:cs="Times New Roman"/>
          <w:kern w:val="16"/>
        </w:rPr>
      </w:pPr>
      <w:r>
        <w:rPr>
          <w:rFonts w:cs="Times New Roman"/>
          <w:kern w:val="16"/>
        </w:rPr>
        <w:t>表</w:t>
      </w:r>
      <w:r>
        <w:rPr>
          <w:rFonts w:cs="Times New Roman"/>
          <w:kern w:val="16"/>
        </w:rPr>
        <w:fldChar w:fldCharType="begin"/>
      </w:r>
      <w:r>
        <w:rPr>
          <w:rFonts w:cs="Times New Roman"/>
          <w:kern w:val="16"/>
        </w:rPr>
        <w:instrText xml:space="preserve"> STYLEREF 2 \s </w:instrText>
      </w:r>
      <w:r>
        <w:rPr>
          <w:rFonts w:cs="Times New Roman"/>
          <w:kern w:val="16"/>
        </w:rPr>
        <w:fldChar w:fldCharType="separate"/>
      </w:r>
      <w:r>
        <w:rPr>
          <w:rFonts w:cs="Times New Roman"/>
          <w:kern w:val="16"/>
        </w:rPr>
        <w:t>2.1</w:t>
      </w:r>
      <w:r>
        <w:rPr>
          <w:rFonts w:cs="Times New Roman"/>
          <w:kern w:val="16"/>
        </w:rPr>
        <w:fldChar w:fldCharType="end"/>
      </w:r>
      <w:r>
        <w:rPr>
          <w:rFonts w:cs="Times New Roman"/>
          <w:kern w:val="16"/>
        </w:rPr>
        <w:noBreakHyphen/>
      </w:r>
      <w:r>
        <w:rPr>
          <w:rFonts w:cs="Times New Roman"/>
          <w:kern w:val="16"/>
        </w:rPr>
        <w:fldChar w:fldCharType="begin"/>
      </w:r>
      <w:r>
        <w:rPr>
          <w:rFonts w:cs="Times New Roman"/>
          <w:kern w:val="16"/>
        </w:rPr>
        <w:instrText xml:space="preserve"> SEQ 表 \* ARABIC \s 2 </w:instrText>
      </w:r>
      <w:r>
        <w:rPr>
          <w:rFonts w:cs="Times New Roman"/>
          <w:kern w:val="16"/>
        </w:rPr>
        <w:fldChar w:fldCharType="separate"/>
      </w:r>
      <w:r>
        <w:rPr>
          <w:rFonts w:cs="Times New Roman"/>
          <w:kern w:val="16"/>
        </w:rPr>
        <w:t>20</w:t>
      </w:r>
      <w:r>
        <w:rPr>
          <w:rFonts w:cs="Times New Roman"/>
          <w:kern w:val="16"/>
        </w:rPr>
        <w:fldChar w:fldCharType="end"/>
      </w:r>
      <w:r>
        <w:rPr>
          <w:rFonts w:cs="Times New Roman"/>
          <w:kern w:val="16"/>
        </w:rPr>
        <w:t xml:space="preserve">  鼓风机房、变配电间及机修间主要参数一览表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7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vAlign w:val="center"/>
          </w:tcPr>
          <w:p>
            <w:pPr>
              <w:pStyle w:val="132"/>
              <w:spacing w:line="240" w:lineRule="auto"/>
              <w:ind w:firstLine="0" w:firstLineChars="0"/>
              <w:jc w:val="center"/>
              <w:rPr>
                <w:kern w:val="16"/>
                <w:sz w:val="21"/>
                <w:szCs w:val="21"/>
              </w:rPr>
            </w:pPr>
            <w:r>
              <w:rPr>
                <w:kern w:val="16"/>
                <w:sz w:val="21"/>
                <w:szCs w:val="21"/>
              </w:rPr>
              <w:t>土建设计规模</w:t>
            </w:r>
          </w:p>
        </w:tc>
        <w:tc>
          <w:tcPr>
            <w:tcW w:w="7198" w:type="dxa"/>
            <w:vAlign w:val="center"/>
          </w:tcPr>
          <w:p>
            <w:pPr>
              <w:pStyle w:val="132"/>
              <w:spacing w:line="240" w:lineRule="auto"/>
              <w:ind w:firstLine="0" w:firstLineChars="0"/>
              <w:jc w:val="center"/>
              <w:rPr>
                <w:kern w:val="16"/>
                <w:sz w:val="21"/>
                <w:szCs w:val="21"/>
              </w:rPr>
            </w:pPr>
            <w:r>
              <w:rPr>
                <w:kern w:val="16"/>
                <w:sz w:val="21"/>
                <w:szCs w:val="21"/>
              </w:rPr>
              <w:t>6.00×10</w:t>
            </w:r>
            <w:r>
              <w:rPr>
                <w:kern w:val="16"/>
                <w:sz w:val="21"/>
                <w:szCs w:val="21"/>
                <w:vertAlign w:val="superscript"/>
              </w:rPr>
              <w:t>4</w:t>
            </w:r>
            <w:r>
              <w:rPr>
                <w:kern w:val="16"/>
                <w:sz w:val="21"/>
                <w:szCs w:val="21"/>
              </w:rPr>
              <w:t>m</w:t>
            </w:r>
            <w:r>
              <w:rPr>
                <w:kern w:val="16"/>
                <w:sz w:val="21"/>
                <w:szCs w:val="21"/>
                <w:vertAlign w:val="superscript"/>
              </w:rPr>
              <w:t>3</w:t>
            </w:r>
            <w:r>
              <w:rPr>
                <w:kern w:val="16"/>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vAlign w:val="center"/>
          </w:tcPr>
          <w:p>
            <w:pPr>
              <w:pStyle w:val="132"/>
              <w:spacing w:line="240" w:lineRule="auto"/>
              <w:ind w:firstLine="0" w:firstLineChars="0"/>
              <w:jc w:val="center"/>
              <w:rPr>
                <w:kern w:val="16"/>
                <w:sz w:val="21"/>
                <w:szCs w:val="21"/>
              </w:rPr>
            </w:pPr>
            <w:r>
              <w:rPr>
                <w:kern w:val="16"/>
                <w:sz w:val="21"/>
                <w:szCs w:val="21"/>
              </w:rPr>
              <w:t>设备配套：</w:t>
            </w:r>
          </w:p>
        </w:tc>
        <w:tc>
          <w:tcPr>
            <w:tcW w:w="7198" w:type="dxa"/>
            <w:vAlign w:val="center"/>
          </w:tcPr>
          <w:p>
            <w:pPr>
              <w:pStyle w:val="132"/>
              <w:spacing w:line="240" w:lineRule="auto"/>
              <w:ind w:firstLine="0" w:firstLineChars="0"/>
              <w:jc w:val="center"/>
              <w:rPr>
                <w:kern w:val="16"/>
                <w:sz w:val="21"/>
                <w:szCs w:val="21"/>
              </w:rPr>
            </w:pPr>
            <w:r>
              <w:rPr>
                <w:kern w:val="16"/>
                <w:sz w:val="21"/>
                <w:szCs w:val="21"/>
              </w:rPr>
              <w:t>2.0×10</w:t>
            </w:r>
            <w:r>
              <w:rPr>
                <w:kern w:val="16"/>
                <w:sz w:val="21"/>
                <w:szCs w:val="21"/>
                <w:vertAlign w:val="superscript"/>
              </w:rPr>
              <w:t>4</w:t>
            </w:r>
            <w:r>
              <w:rPr>
                <w:kern w:val="16"/>
                <w:sz w:val="21"/>
                <w:szCs w:val="21"/>
              </w:rPr>
              <w:t>m</w:t>
            </w:r>
            <w:r>
              <w:rPr>
                <w:kern w:val="16"/>
                <w:sz w:val="21"/>
                <w:szCs w:val="21"/>
                <w:vertAlign w:val="superscript"/>
              </w:rPr>
              <w:t>3</w:t>
            </w:r>
            <w:r>
              <w:rPr>
                <w:kern w:val="16"/>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vAlign w:val="center"/>
          </w:tcPr>
          <w:p>
            <w:pPr>
              <w:pStyle w:val="132"/>
              <w:spacing w:line="240" w:lineRule="auto"/>
              <w:ind w:firstLine="0" w:firstLineChars="0"/>
              <w:jc w:val="center"/>
              <w:rPr>
                <w:kern w:val="16"/>
                <w:sz w:val="21"/>
                <w:szCs w:val="21"/>
              </w:rPr>
            </w:pPr>
            <w:r>
              <w:rPr>
                <w:kern w:val="16"/>
                <w:sz w:val="21"/>
                <w:szCs w:val="21"/>
              </w:rPr>
              <w:t>鼓风机：</w:t>
            </w:r>
          </w:p>
        </w:tc>
        <w:tc>
          <w:tcPr>
            <w:tcW w:w="7198" w:type="dxa"/>
            <w:vAlign w:val="center"/>
          </w:tcPr>
          <w:p>
            <w:pPr>
              <w:pStyle w:val="132"/>
              <w:spacing w:line="240" w:lineRule="auto"/>
              <w:ind w:firstLine="0" w:firstLineChars="0"/>
              <w:jc w:val="center"/>
              <w:rPr>
                <w:kern w:val="16"/>
                <w:sz w:val="21"/>
                <w:szCs w:val="21"/>
              </w:rPr>
            </w:pPr>
            <w:r>
              <w:rPr>
                <w:kern w:val="16"/>
                <w:sz w:val="21"/>
                <w:szCs w:val="21"/>
              </w:rPr>
              <w:t>空气悬浮鼓风机，近期配备3台；</w:t>
            </w:r>
          </w:p>
          <w:p>
            <w:pPr>
              <w:pStyle w:val="132"/>
              <w:spacing w:line="240" w:lineRule="auto"/>
              <w:ind w:firstLine="0" w:firstLineChars="0"/>
              <w:jc w:val="center"/>
              <w:rPr>
                <w:kern w:val="16"/>
                <w:sz w:val="21"/>
                <w:szCs w:val="21"/>
              </w:rPr>
            </w:pPr>
            <w:r>
              <w:rPr>
                <w:kern w:val="16"/>
                <w:sz w:val="21"/>
                <w:szCs w:val="21"/>
              </w:rPr>
              <w:t>近远期各增加1台风机；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vAlign w:val="center"/>
          </w:tcPr>
          <w:p>
            <w:pPr>
              <w:pStyle w:val="132"/>
              <w:spacing w:line="240" w:lineRule="auto"/>
              <w:ind w:firstLine="0" w:firstLineChars="0"/>
              <w:jc w:val="center"/>
              <w:rPr>
                <w:kern w:val="16"/>
                <w:sz w:val="21"/>
                <w:szCs w:val="21"/>
              </w:rPr>
            </w:pPr>
            <w:r>
              <w:rPr>
                <w:kern w:val="16"/>
                <w:sz w:val="21"/>
                <w:szCs w:val="21"/>
              </w:rPr>
              <w:t>风机参数：</w:t>
            </w:r>
          </w:p>
        </w:tc>
        <w:tc>
          <w:tcPr>
            <w:tcW w:w="7198" w:type="dxa"/>
            <w:vAlign w:val="center"/>
          </w:tcPr>
          <w:p>
            <w:pPr>
              <w:pStyle w:val="132"/>
              <w:spacing w:line="240" w:lineRule="auto"/>
              <w:ind w:firstLine="0" w:firstLineChars="0"/>
              <w:jc w:val="center"/>
              <w:rPr>
                <w:kern w:val="16"/>
                <w:sz w:val="21"/>
                <w:szCs w:val="21"/>
              </w:rPr>
            </w:pPr>
            <w:r>
              <w:rPr>
                <w:kern w:val="16"/>
                <w:sz w:val="21"/>
                <w:szCs w:val="21"/>
              </w:rPr>
              <w:t>2台WL75（Q=40.0m</w:t>
            </w:r>
            <w:r>
              <w:rPr>
                <w:kern w:val="16"/>
                <w:sz w:val="21"/>
                <w:szCs w:val="21"/>
                <w:vertAlign w:val="superscript"/>
              </w:rPr>
              <w:t>3</w:t>
            </w:r>
            <w:r>
              <w:rPr>
                <w:kern w:val="16"/>
                <w:sz w:val="21"/>
                <w:szCs w:val="21"/>
              </w:rPr>
              <w:t>/min，P=68.6kPa，N=75.0kW）</w:t>
            </w:r>
          </w:p>
          <w:p>
            <w:pPr>
              <w:pStyle w:val="132"/>
              <w:spacing w:line="240" w:lineRule="auto"/>
              <w:ind w:firstLine="0" w:firstLineChars="0"/>
              <w:jc w:val="center"/>
              <w:rPr>
                <w:kern w:val="16"/>
                <w:sz w:val="21"/>
                <w:szCs w:val="21"/>
              </w:rPr>
            </w:pPr>
            <w:r>
              <w:rPr>
                <w:kern w:val="16"/>
                <w:sz w:val="21"/>
                <w:szCs w:val="21"/>
              </w:rPr>
              <w:t>2用1备用。</w:t>
            </w:r>
          </w:p>
        </w:tc>
      </w:tr>
    </w:tbl>
    <w:p>
      <w:pPr>
        <w:widowControl/>
        <w:adjustRightInd w:val="0"/>
        <w:snapToGrid w:val="0"/>
        <w:spacing w:line="360" w:lineRule="auto"/>
        <w:ind w:firstLine="480" w:firstLineChars="200"/>
        <w:jc w:val="left"/>
      </w:pPr>
      <w:r>
        <w:rPr>
          <w:rFonts w:hint="eastAsia"/>
        </w:rPr>
        <w:t>（9）加氯间</w:t>
      </w:r>
    </w:p>
    <w:p>
      <w:pPr>
        <w:pStyle w:val="132"/>
        <w:adjustRightInd w:val="0"/>
        <w:snapToGrid w:val="0"/>
        <w:spacing w:line="360" w:lineRule="auto"/>
        <w:ind w:firstLine="480"/>
      </w:pPr>
      <w:r>
        <w:rPr>
          <w:rFonts w:ascii="宋体" w:hAnsi="宋体"/>
        </w:rPr>
        <w:t>本工程为新建工程，共设计</w:t>
      </w:r>
      <w:r>
        <w:t>1</w:t>
      </w:r>
      <w:r>
        <w:rPr>
          <w:rFonts w:ascii="宋体" w:hAnsi="宋体"/>
        </w:rPr>
        <w:t>座加氯间，土建规模为</w:t>
      </w:r>
      <w:r>
        <w:t>6.0×10</w:t>
      </w:r>
      <w:r>
        <w:rPr>
          <w:vertAlign w:val="superscript"/>
        </w:rPr>
        <w:t>4</w:t>
      </w:r>
      <w:r>
        <w:t>m</w:t>
      </w:r>
      <w:r>
        <w:rPr>
          <w:vertAlign w:val="superscript"/>
        </w:rPr>
        <w:t>3</w:t>
      </w:r>
      <w:r>
        <w:t>/d</w:t>
      </w:r>
      <w:r>
        <w:rPr>
          <w:rFonts w:ascii="宋体" w:hAnsi="宋体"/>
        </w:rPr>
        <w:t>，设备按照近期</w:t>
      </w:r>
      <w:r>
        <w:t>2.0×10</w:t>
      </w:r>
      <w:r>
        <w:rPr>
          <w:vertAlign w:val="superscript"/>
        </w:rPr>
        <w:t>4</w:t>
      </w:r>
      <w:r>
        <w:t>m</w:t>
      </w:r>
      <w:r>
        <w:rPr>
          <w:vertAlign w:val="superscript"/>
        </w:rPr>
        <w:t>3</w:t>
      </w:r>
      <w:r>
        <w:t>/d</w:t>
      </w:r>
      <w:r>
        <w:rPr>
          <w:rFonts w:ascii="宋体" w:hAnsi="宋体"/>
        </w:rPr>
        <w:t>规模安装，总变化系数为</w:t>
      </w:r>
      <w:r>
        <w:t>1.49</w:t>
      </w:r>
      <w:r>
        <w:rPr>
          <w:rFonts w:ascii="宋体" w:hAnsi="宋体"/>
        </w:rPr>
        <w:t>。</w:t>
      </w:r>
    </w:p>
    <w:p>
      <w:pPr>
        <w:adjustRightInd w:val="0"/>
        <w:snapToGrid w:val="0"/>
        <w:spacing w:line="360" w:lineRule="auto"/>
        <w:ind w:firstLine="480" w:firstLineChars="200"/>
      </w:pPr>
      <w:r>
        <w:rPr>
          <w:rFonts w:ascii="宋体" w:hAnsi="宋体"/>
        </w:rPr>
        <w:t>设计最大加氯量有效氯</w:t>
      </w:r>
      <w:r>
        <w:t>12.0mg/L</w:t>
      </w:r>
      <w:r>
        <w:rPr>
          <w:rFonts w:ascii="宋体" w:hAnsi="宋体"/>
        </w:rPr>
        <w:t>，采用水射器投</w:t>
      </w:r>
      <w:r>
        <w:t>,</w:t>
      </w:r>
      <w:r>
        <w:rPr>
          <w:rFonts w:ascii="宋体" w:hAnsi="宋体"/>
        </w:rPr>
        <w:t>，投加点设置在接触消毒池内。二氧化氯制备以氯酸钠和盐酸为原料，通过水射器与水混合成消毒液进行投加，水射器水压为</w:t>
      </w:r>
      <w:r>
        <w:t>0.35MPa</w:t>
      </w:r>
      <w:r>
        <w:rPr>
          <w:rFonts w:ascii="宋体" w:hAnsi="宋体"/>
        </w:rPr>
        <w:t>以上；</w:t>
      </w:r>
    </w:p>
    <w:p>
      <w:pPr>
        <w:pStyle w:val="5"/>
      </w:pPr>
      <w:r>
        <w:t>项目的设计进水标准</w:t>
      </w:r>
    </w:p>
    <w:p>
      <w:pPr>
        <w:spacing w:line="360" w:lineRule="auto"/>
        <w:ind w:firstLine="480" w:firstLineChars="200"/>
      </w:pPr>
      <w:r>
        <w:rPr>
          <w:rFonts w:hint="eastAsia"/>
        </w:rPr>
        <w:t>本项目的设计进水标准为下表所示。</w:t>
      </w:r>
    </w:p>
    <w:p>
      <w:pPr>
        <w:pStyle w:val="14"/>
        <w:spacing w:line="240" w:lineRule="auto"/>
      </w:pPr>
      <w:r>
        <w:rPr>
          <w:rFonts w:hint="eastAsia"/>
        </w:rPr>
        <w:t>表</w:t>
      </w:r>
      <w:r>
        <w:fldChar w:fldCharType="begin"/>
      </w:r>
      <w:r>
        <w:instrText xml:space="preserve"> STYLEREF 2 \s </w:instrText>
      </w:r>
      <w:r>
        <w:fldChar w:fldCharType="separate"/>
      </w:r>
      <w:r>
        <w:t>2.1</w:t>
      </w:r>
      <w:r>
        <w:fldChar w:fldCharType="end"/>
      </w:r>
      <w:r>
        <w:noBreakHyphen/>
      </w:r>
      <w:r>
        <w:fldChar w:fldCharType="begin"/>
      </w:r>
      <w:r>
        <w:rPr>
          <w:rFonts w:hint="eastAsia"/>
        </w:rPr>
        <w:instrText xml:space="preserve">SEQ 表 \* ARABIC \s 2</w:instrText>
      </w:r>
      <w:r>
        <w:fldChar w:fldCharType="separate"/>
      </w:r>
      <w:r>
        <w:rPr>
          <w:rFonts w:hint="eastAsia"/>
        </w:rPr>
        <w:t>21</w:t>
      </w:r>
      <w:r>
        <w:fldChar w:fldCharType="end"/>
      </w:r>
      <w:r>
        <w:rPr>
          <w:rFonts w:hint="eastAsia"/>
        </w:rPr>
        <w:t xml:space="preserve">  项目设计进水标准表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9"/>
        <w:gridCol w:w="881"/>
        <w:gridCol w:w="871"/>
        <w:gridCol w:w="871"/>
        <w:gridCol w:w="1107"/>
        <w:gridCol w:w="871"/>
        <w:gridCol w:w="871"/>
        <w:gridCol w:w="871"/>
        <w:gridCol w:w="16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9" w:type="dxa"/>
            <w:vAlign w:val="center"/>
          </w:tcPr>
          <w:p>
            <w:pPr>
              <w:pStyle w:val="130"/>
              <w:spacing w:line="320" w:lineRule="exact"/>
            </w:pPr>
            <w:r>
              <w:t>指标</w:t>
            </w:r>
          </w:p>
        </w:tc>
        <w:tc>
          <w:tcPr>
            <w:tcW w:w="881" w:type="dxa"/>
            <w:vAlign w:val="center"/>
          </w:tcPr>
          <w:p>
            <w:pPr>
              <w:pStyle w:val="130"/>
              <w:spacing w:line="320" w:lineRule="exact"/>
              <w:rPr>
                <w:vertAlign w:val="subscript"/>
              </w:rPr>
            </w:pPr>
            <w:r>
              <w:t>COD</w:t>
            </w:r>
            <w:r>
              <w:rPr>
                <w:vertAlign w:val="subscript"/>
              </w:rPr>
              <w:t>cr</w:t>
            </w:r>
          </w:p>
        </w:tc>
        <w:tc>
          <w:tcPr>
            <w:tcW w:w="871" w:type="dxa"/>
            <w:vAlign w:val="center"/>
          </w:tcPr>
          <w:p>
            <w:pPr>
              <w:pStyle w:val="130"/>
              <w:spacing w:line="320" w:lineRule="exact"/>
              <w:rPr>
                <w:vertAlign w:val="subscript"/>
              </w:rPr>
            </w:pPr>
            <w:r>
              <w:t>BOD</w:t>
            </w:r>
            <w:r>
              <w:rPr>
                <w:vertAlign w:val="subscript"/>
              </w:rPr>
              <w:t>5</w:t>
            </w:r>
          </w:p>
        </w:tc>
        <w:tc>
          <w:tcPr>
            <w:tcW w:w="871" w:type="dxa"/>
            <w:vAlign w:val="center"/>
          </w:tcPr>
          <w:p>
            <w:pPr>
              <w:pStyle w:val="130"/>
              <w:spacing w:line="320" w:lineRule="exact"/>
            </w:pPr>
            <w:r>
              <w:t>SS</w:t>
            </w:r>
          </w:p>
        </w:tc>
        <w:tc>
          <w:tcPr>
            <w:tcW w:w="1107" w:type="dxa"/>
            <w:vAlign w:val="center"/>
          </w:tcPr>
          <w:p>
            <w:pPr>
              <w:pStyle w:val="130"/>
              <w:spacing w:line="320" w:lineRule="exact"/>
            </w:pPr>
            <w:r>
              <w:t>NH</w:t>
            </w:r>
            <w:r>
              <w:rPr>
                <w:vertAlign w:val="subscript"/>
              </w:rPr>
              <w:t>3</w:t>
            </w:r>
            <w:r>
              <w:t>-N</w:t>
            </w:r>
          </w:p>
        </w:tc>
        <w:tc>
          <w:tcPr>
            <w:tcW w:w="871" w:type="dxa"/>
            <w:vAlign w:val="center"/>
          </w:tcPr>
          <w:p>
            <w:pPr>
              <w:pStyle w:val="130"/>
              <w:spacing w:line="320" w:lineRule="exact"/>
            </w:pPr>
            <w:r>
              <w:t>TN</w:t>
            </w:r>
          </w:p>
        </w:tc>
        <w:tc>
          <w:tcPr>
            <w:tcW w:w="871" w:type="dxa"/>
            <w:vAlign w:val="center"/>
          </w:tcPr>
          <w:p>
            <w:pPr>
              <w:pStyle w:val="130"/>
              <w:spacing w:line="320" w:lineRule="exact"/>
            </w:pPr>
            <w:r>
              <w:t>TP</w:t>
            </w:r>
          </w:p>
        </w:tc>
        <w:tc>
          <w:tcPr>
            <w:tcW w:w="871" w:type="dxa"/>
            <w:vAlign w:val="center"/>
          </w:tcPr>
          <w:p>
            <w:pPr>
              <w:pStyle w:val="130"/>
              <w:spacing w:line="320" w:lineRule="exact"/>
            </w:pPr>
            <w:r>
              <w:t>动植</w:t>
            </w:r>
          </w:p>
          <w:p>
            <w:pPr>
              <w:pStyle w:val="130"/>
              <w:spacing w:line="320" w:lineRule="exact"/>
            </w:pPr>
            <w:r>
              <w:t>物油</w:t>
            </w:r>
          </w:p>
        </w:tc>
        <w:tc>
          <w:tcPr>
            <w:tcW w:w="1680" w:type="dxa"/>
            <w:vAlign w:val="center"/>
          </w:tcPr>
          <w:p>
            <w:pPr>
              <w:pStyle w:val="130"/>
              <w:spacing w:line="320" w:lineRule="exact"/>
            </w:pPr>
            <w:r>
              <w:t>粪大肠菌</w:t>
            </w:r>
          </w:p>
          <w:p>
            <w:pPr>
              <w:pStyle w:val="130"/>
              <w:spacing w:line="320" w:lineRule="exact"/>
            </w:pPr>
            <w:r>
              <w:t>群数（个/L</w:t>
            </w:r>
            <w:r>
              <w:rPr>
                <w:rFonts w:ascii="宋体" w:hAnsi="宋体"/>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9" w:type="dxa"/>
            <w:vAlign w:val="center"/>
          </w:tcPr>
          <w:p>
            <w:pPr>
              <w:pStyle w:val="130"/>
              <w:spacing w:line="320" w:lineRule="exact"/>
            </w:pPr>
            <w:r>
              <w:t>进水水质</w:t>
            </w:r>
          </w:p>
        </w:tc>
        <w:tc>
          <w:tcPr>
            <w:tcW w:w="881" w:type="dxa"/>
            <w:vAlign w:val="center"/>
          </w:tcPr>
          <w:p>
            <w:pPr>
              <w:pStyle w:val="130"/>
              <w:spacing w:line="320" w:lineRule="exact"/>
            </w:pPr>
            <w:r>
              <w:t>420</w:t>
            </w:r>
          </w:p>
        </w:tc>
        <w:tc>
          <w:tcPr>
            <w:tcW w:w="871" w:type="dxa"/>
            <w:vAlign w:val="center"/>
          </w:tcPr>
          <w:p>
            <w:pPr>
              <w:pStyle w:val="130"/>
              <w:spacing w:line="320" w:lineRule="exact"/>
            </w:pPr>
            <w:r>
              <w:t>150</w:t>
            </w:r>
          </w:p>
        </w:tc>
        <w:tc>
          <w:tcPr>
            <w:tcW w:w="871" w:type="dxa"/>
            <w:vAlign w:val="center"/>
          </w:tcPr>
          <w:p>
            <w:pPr>
              <w:pStyle w:val="130"/>
              <w:spacing w:line="320" w:lineRule="exact"/>
            </w:pPr>
            <w:r>
              <w:t>240</w:t>
            </w:r>
          </w:p>
        </w:tc>
        <w:tc>
          <w:tcPr>
            <w:tcW w:w="1107" w:type="dxa"/>
            <w:vAlign w:val="center"/>
          </w:tcPr>
          <w:p>
            <w:pPr>
              <w:pStyle w:val="130"/>
              <w:spacing w:line="320" w:lineRule="exact"/>
            </w:pPr>
            <w:r>
              <w:t>36.0</w:t>
            </w:r>
          </w:p>
        </w:tc>
        <w:tc>
          <w:tcPr>
            <w:tcW w:w="871" w:type="dxa"/>
            <w:vAlign w:val="center"/>
          </w:tcPr>
          <w:p>
            <w:pPr>
              <w:pStyle w:val="130"/>
              <w:spacing w:line="320" w:lineRule="exact"/>
            </w:pPr>
            <w:r>
              <w:t>46.0</w:t>
            </w:r>
          </w:p>
        </w:tc>
        <w:tc>
          <w:tcPr>
            <w:tcW w:w="871" w:type="dxa"/>
            <w:vAlign w:val="center"/>
          </w:tcPr>
          <w:p>
            <w:pPr>
              <w:pStyle w:val="130"/>
              <w:spacing w:line="320" w:lineRule="exact"/>
            </w:pPr>
            <w:r>
              <w:t>4.60</w:t>
            </w:r>
          </w:p>
        </w:tc>
        <w:tc>
          <w:tcPr>
            <w:tcW w:w="871" w:type="dxa"/>
            <w:vAlign w:val="center"/>
          </w:tcPr>
          <w:p>
            <w:pPr>
              <w:pStyle w:val="130"/>
              <w:spacing w:line="320" w:lineRule="exact"/>
            </w:pPr>
            <w:r>
              <w:t>100</w:t>
            </w:r>
          </w:p>
        </w:tc>
        <w:tc>
          <w:tcPr>
            <w:tcW w:w="1680" w:type="dxa"/>
            <w:vAlign w:val="center"/>
          </w:tcPr>
          <w:p>
            <w:pPr>
              <w:pStyle w:val="130"/>
              <w:spacing w:line="320" w:lineRule="exact"/>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9" w:type="dxa"/>
            <w:vAlign w:val="center"/>
          </w:tcPr>
          <w:p>
            <w:pPr>
              <w:pStyle w:val="130"/>
              <w:spacing w:line="320" w:lineRule="exact"/>
            </w:pPr>
            <w:r>
              <w:t>出水水质</w:t>
            </w:r>
          </w:p>
        </w:tc>
        <w:tc>
          <w:tcPr>
            <w:tcW w:w="881" w:type="dxa"/>
            <w:vAlign w:val="center"/>
          </w:tcPr>
          <w:p>
            <w:pPr>
              <w:pStyle w:val="130"/>
              <w:spacing w:line="320" w:lineRule="exact"/>
            </w:pPr>
            <w:r>
              <w:t>≤50</w:t>
            </w:r>
          </w:p>
        </w:tc>
        <w:tc>
          <w:tcPr>
            <w:tcW w:w="871" w:type="dxa"/>
            <w:vAlign w:val="center"/>
          </w:tcPr>
          <w:p>
            <w:pPr>
              <w:pStyle w:val="130"/>
              <w:spacing w:line="320" w:lineRule="exact"/>
            </w:pPr>
            <w:r>
              <w:t>≤10</w:t>
            </w:r>
          </w:p>
        </w:tc>
        <w:tc>
          <w:tcPr>
            <w:tcW w:w="871" w:type="dxa"/>
            <w:vAlign w:val="center"/>
          </w:tcPr>
          <w:p>
            <w:pPr>
              <w:pStyle w:val="130"/>
              <w:spacing w:line="320" w:lineRule="exact"/>
            </w:pPr>
            <w:r>
              <w:t>≤10</w:t>
            </w:r>
          </w:p>
        </w:tc>
        <w:tc>
          <w:tcPr>
            <w:tcW w:w="1107" w:type="dxa"/>
            <w:vAlign w:val="center"/>
          </w:tcPr>
          <w:p>
            <w:pPr>
              <w:pStyle w:val="130"/>
              <w:spacing w:line="320" w:lineRule="exact"/>
            </w:pPr>
            <w:r>
              <w:t>≤5</w:t>
            </w:r>
            <w:r>
              <w:rPr>
                <w:rFonts w:ascii="宋体" w:hAnsi="宋体"/>
              </w:rPr>
              <w:t>（</w:t>
            </w:r>
            <w:r>
              <w:t>8</w:t>
            </w:r>
            <w:r>
              <w:rPr>
                <w:rFonts w:ascii="宋体" w:hAnsi="宋体"/>
              </w:rPr>
              <w:t>）</w:t>
            </w:r>
          </w:p>
        </w:tc>
        <w:tc>
          <w:tcPr>
            <w:tcW w:w="871" w:type="dxa"/>
            <w:vAlign w:val="center"/>
          </w:tcPr>
          <w:p>
            <w:pPr>
              <w:pStyle w:val="130"/>
              <w:spacing w:line="320" w:lineRule="exact"/>
            </w:pPr>
            <w:r>
              <w:t>≤15</w:t>
            </w:r>
          </w:p>
        </w:tc>
        <w:tc>
          <w:tcPr>
            <w:tcW w:w="871" w:type="dxa"/>
            <w:vAlign w:val="center"/>
          </w:tcPr>
          <w:p>
            <w:pPr>
              <w:pStyle w:val="130"/>
              <w:spacing w:line="320" w:lineRule="exact"/>
            </w:pPr>
            <w:r>
              <w:t>≤0.5</w:t>
            </w:r>
          </w:p>
        </w:tc>
        <w:tc>
          <w:tcPr>
            <w:tcW w:w="871" w:type="dxa"/>
            <w:vAlign w:val="center"/>
          </w:tcPr>
          <w:p>
            <w:pPr>
              <w:pStyle w:val="130"/>
              <w:spacing w:line="320" w:lineRule="exact"/>
            </w:pPr>
            <w:r>
              <w:t>≤1.0</w:t>
            </w:r>
          </w:p>
        </w:tc>
        <w:tc>
          <w:tcPr>
            <w:tcW w:w="1680" w:type="dxa"/>
            <w:vAlign w:val="center"/>
          </w:tcPr>
          <w:p>
            <w:pPr>
              <w:pStyle w:val="130"/>
              <w:spacing w:line="320" w:lineRule="exact"/>
            </w:pPr>
            <w: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9" w:type="dxa"/>
            <w:vAlign w:val="center"/>
          </w:tcPr>
          <w:p>
            <w:pPr>
              <w:pStyle w:val="130"/>
              <w:spacing w:line="320" w:lineRule="exact"/>
            </w:pPr>
            <w:r>
              <w:t>处理程度</w:t>
            </w:r>
          </w:p>
        </w:tc>
        <w:tc>
          <w:tcPr>
            <w:tcW w:w="881" w:type="dxa"/>
            <w:vAlign w:val="center"/>
          </w:tcPr>
          <w:p>
            <w:pPr>
              <w:pStyle w:val="130"/>
              <w:spacing w:line="320" w:lineRule="exact"/>
            </w:pPr>
            <w:r>
              <w:t>88.9%</w:t>
            </w:r>
          </w:p>
        </w:tc>
        <w:tc>
          <w:tcPr>
            <w:tcW w:w="871" w:type="dxa"/>
            <w:vAlign w:val="center"/>
          </w:tcPr>
          <w:p>
            <w:pPr>
              <w:pStyle w:val="130"/>
              <w:spacing w:line="320" w:lineRule="exact"/>
            </w:pPr>
            <w:r>
              <w:t>95.5%</w:t>
            </w:r>
          </w:p>
        </w:tc>
        <w:tc>
          <w:tcPr>
            <w:tcW w:w="871" w:type="dxa"/>
            <w:vAlign w:val="center"/>
          </w:tcPr>
          <w:p>
            <w:pPr>
              <w:pStyle w:val="130"/>
              <w:spacing w:line="320" w:lineRule="exact"/>
            </w:pPr>
            <w:r>
              <w:t>96.7%</w:t>
            </w:r>
          </w:p>
        </w:tc>
        <w:tc>
          <w:tcPr>
            <w:tcW w:w="1107" w:type="dxa"/>
            <w:vAlign w:val="center"/>
          </w:tcPr>
          <w:p>
            <w:pPr>
              <w:pStyle w:val="130"/>
              <w:spacing w:line="320" w:lineRule="exact"/>
            </w:pPr>
            <w:r>
              <w:t>86.1%</w:t>
            </w:r>
          </w:p>
        </w:tc>
        <w:tc>
          <w:tcPr>
            <w:tcW w:w="871" w:type="dxa"/>
            <w:vAlign w:val="center"/>
          </w:tcPr>
          <w:p>
            <w:pPr>
              <w:pStyle w:val="130"/>
              <w:spacing w:line="320" w:lineRule="exact"/>
            </w:pPr>
            <w:r>
              <w:t>71.2%</w:t>
            </w:r>
          </w:p>
        </w:tc>
        <w:tc>
          <w:tcPr>
            <w:tcW w:w="871" w:type="dxa"/>
            <w:vAlign w:val="center"/>
          </w:tcPr>
          <w:p>
            <w:pPr>
              <w:pStyle w:val="130"/>
              <w:spacing w:line="320" w:lineRule="exact"/>
            </w:pPr>
            <w:r>
              <w:t>90.4%</w:t>
            </w:r>
          </w:p>
        </w:tc>
        <w:tc>
          <w:tcPr>
            <w:tcW w:w="871" w:type="dxa"/>
            <w:vAlign w:val="center"/>
          </w:tcPr>
          <w:p>
            <w:pPr>
              <w:pStyle w:val="130"/>
              <w:spacing w:line="320" w:lineRule="exact"/>
            </w:pPr>
            <w:r>
              <w:t>97.6%</w:t>
            </w:r>
          </w:p>
        </w:tc>
        <w:tc>
          <w:tcPr>
            <w:tcW w:w="1680" w:type="dxa"/>
            <w:vAlign w:val="center"/>
          </w:tcPr>
          <w:p>
            <w:pPr>
              <w:pStyle w:val="130"/>
              <w:spacing w:line="320" w:lineRule="exact"/>
            </w:pPr>
            <w:r>
              <w:t>--</w:t>
            </w:r>
          </w:p>
        </w:tc>
      </w:tr>
    </w:tbl>
    <w:p>
      <w:pPr>
        <w:pStyle w:val="5"/>
      </w:pPr>
      <w:r>
        <w:t>管网设计方案</w:t>
      </w:r>
    </w:p>
    <w:p>
      <w:pPr>
        <w:pStyle w:val="139"/>
        <w:spacing w:line="360" w:lineRule="auto"/>
        <w:ind w:firstLineChars="200"/>
        <w:rPr>
          <w:rFonts w:hint="default" w:ascii="Times New Roman" w:hAnsi="Times New Roman" w:cs="Times New Roman"/>
          <w:color w:val="000000" w:themeColor="text1"/>
          <w:szCs w:val="24"/>
          <w:u w:val="single"/>
        </w:rPr>
      </w:pPr>
      <w:r>
        <w:rPr>
          <w:rFonts w:hint="default" w:ascii="Times New Roman" w:hAnsi="Times New Roman" w:cs="Times New Roman"/>
          <w:color w:val="000000" w:themeColor="text1"/>
          <w:u w:val="single"/>
        </w:rPr>
        <w:t>本次新修污水管网</w:t>
      </w:r>
      <w:r>
        <w:rPr>
          <w:rFonts w:hint="default" w:ascii="Times New Roman" w:hAnsi="Times New Roman" w:cs="Times New Roman"/>
          <w:color w:val="000000" w:themeColor="text1"/>
          <w:szCs w:val="24"/>
          <w:u w:val="single"/>
        </w:rPr>
        <w:t>5.55km，本线路进水管自新华门业公司沿华容河边敷设至桥东污水厂粗格栅前端。工业园主干管F线起端自宝丽纺织，穿越岳华公路后沿沟渠边接至B线B10井，D线起端自二桥东路沿沟渠接至B5井，沿线收集周边居民生活污水及工业废水。管网工程具体见下表所示。</w:t>
      </w:r>
    </w:p>
    <w:p>
      <w:pPr>
        <w:pStyle w:val="14"/>
        <w:spacing w:line="240" w:lineRule="auto"/>
        <w:rPr>
          <w:rFonts w:cs="Times New Roman"/>
          <w:u w:val="single"/>
        </w:rPr>
      </w:pPr>
      <w:r>
        <w:rPr>
          <w:rFonts w:hint="eastAsia" w:cs="Times New Roman"/>
          <w:szCs w:val="24"/>
          <w:u w:val="single"/>
        </w:rPr>
        <w:t>表</w:t>
      </w:r>
      <w:r>
        <w:rPr>
          <w:rFonts w:cs="Times New Roman"/>
          <w:szCs w:val="24"/>
          <w:u w:val="single"/>
        </w:rPr>
        <w:fldChar w:fldCharType="begin"/>
      </w:r>
      <w:r>
        <w:rPr>
          <w:rFonts w:hint="eastAsia" w:cs="Times New Roman"/>
          <w:szCs w:val="24"/>
          <w:u w:val="single"/>
        </w:rPr>
        <w:instrText xml:space="preserve">STYLEREF 2 \s</w:instrText>
      </w:r>
      <w:r>
        <w:rPr>
          <w:rFonts w:cs="Times New Roman"/>
          <w:szCs w:val="24"/>
          <w:u w:val="single"/>
        </w:rPr>
        <w:fldChar w:fldCharType="separate"/>
      </w:r>
      <w:r>
        <w:rPr>
          <w:rFonts w:cs="Times New Roman"/>
          <w:szCs w:val="24"/>
          <w:u w:val="single"/>
        </w:rPr>
        <w:t>2.1</w:t>
      </w:r>
      <w:r>
        <w:rPr>
          <w:rFonts w:cs="Times New Roman"/>
          <w:szCs w:val="24"/>
          <w:u w:val="single"/>
        </w:rPr>
        <w:fldChar w:fldCharType="end"/>
      </w:r>
      <w:r>
        <w:rPr>
          <w:rFonts w:cs="Times New Roman"/>
          <w:szCs w:val="24"/>
          <w:u w:val="single"/>
        </w:rPr>
        <w:noBreakHyphen/>
      </w:r>
      <w:r>
        <w:rPr>
          <w:rFonts w:cs="Times New Roman"/>
          <w:szCs w:val="24"/>
          <w:u w:val="single"/>
        </w:rPr>
        <w:fldChar w:fldCharType="begin"/>
      </w:r>
      <w:r>
        <w:rPr>
          <w:rFonts w:hint="eastAsia" w:cs="Times New Roman"/>
          <w:szCs w:val="24"/>
          <w:u w:val="single"/>
        </w:rPr>
        <w:instrText xml:space="preserve">SEQ 表 \* ARABIC \s 2</w:instrText>
      </w:r>
      <w:r>
        <w:rPr>
          <w:rFonts w:cs="Times New Roman"/>
          <w:szCs w:val="24"/>
          <w:u w:val="single"/>
        </w:rPr>
        <w:fldChar w:fldCharType="separate"/>
      </w:r>
      <w:r>
        <w:rPr>
          <w:rFonts w:hint="eastAsia" w:cs="Times New Roman"/>
          <w:szCs w:val="24"/>
          <w:u w:val="single"/>
        </w:rPr>
        <w:t>22</w:t>
      </w:r>
      <w:r>
        <w:rPr>
          <w:rFonts w:cs="Times New Roman"/>
          <w:szCs w:val="24"/>
          <w:u w:val="single"/>
        </w:rPr>
        <w:fldChar w:fldCharType="end"/>
      </w:r>
      <w:r>
        <w:rPr>
          <w:rFonts w:hint="eastAsia" w:cs="Times New Roman"/>
          <w:u w:val="single"/>
        </w:rPr>
        <w:t xml:space="preserve">  管网工程情况一览表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1"/>
        <w:gridCol w:w="4458"/>
        <w:gridCol w:w="1835"/>
        <w:gridCol w:w="959"/>
        <w:gridCol w:w="10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520" w:type="pct"/>
            <w:vAlign w:val="center"/>
          </w:tcPr>
          <w:p>
            <w:pPr>
              <w:widowControl/>
              <w:spacing w:line="320" w:lineRule="exact"/>
              <w:jc w:val="center"/>
              <w:rPr>
                <w:kern w:val="0"/>
                <w:sz w:val="21"/>
                <w:u w:val="single"/>
              </w:rPr>
            </w:pPr>
            <w:r>
              <w:rPr>
                <w:kern w:val="0"/>
                <w:sz w:val="21"/>
                <w:u w:val="single"/>
              </w:rPr>
              <w:t>编号</w:t>
            </w:r>
          </w:p>
        </w:tc>
        <w:tc>
          <w:tcPr>
            <w:tcW w:w="2412" w:type="pct"/>
            <w:vAlign w:val="center"/>
          </w:tcPr>
          <w:p>
            <w:pPr>
              <w:widowControl/>
              <w:spacing w:line="320" w:lineRule="exact"/>
              <w:jc w:val="center"/>
              <w:rPr>
                <w:kern w:val="0"/>
                <w:sz w:val="21"/>
                <w:u w:val="single"/>
              </w:rPr>
            </w:pPr>
            <w:r>
              <w:rPr>
                <w:kern w:val="0"/>
                <w:sz w:val="21"/>
                <w:u w:val="single"/>
              </w:rPr>
              <w:t>名称</w:t>
            </w:r>
          </w:p>
        </w:tc>
        <w:tc>
          <w:tcPr>
            <w:tcW w:w="993" w:type="pct"/>
            <w:vAlign w:val="center"/>
          </w:tcPr>
          <w:p>
            <w:pPr>
              <w:widowControl/>
              <w:spacing w:line="320" w:lineRule="exact"/>
              <w:jc w:val="center"/>
              <w:rPr>
                <w:kern w:val="0"/>
                <w:sz w:val="21"/>
                <w:u w:val="single"/>
              </w:rPr>
            </w:pPr>
            <w:r>
              <w:rPr>
                <w:kern w:val="0"/>
                <w:sz w:val="21"/>
                <w:u w:val="single"/>
              </w:rPr>
              <w:t>规格</w:t>
            </w:r>
          </w:p>
        </w:tc>
        <w:tc>
          <w:tcPr>
            <w:tcW w:w="519" w:type="pct"/>
            <w:vAlign w:val="center"/>
          </w:tcPr>
          <w:p>
            <w:pPr>
              <w:widowControl/>
              <w:spacing w:line="320" w:lineRule="exact"/>
              <w:jc w:val="center"/>
              <w:rPr>
                <w:kern w:val="0"/>
                <w:sz w:val="21"/>
                <w:u w:val="single"/>
              </w:rPr>
            </w:pPr>
            <w:r>
              <w:rPr>
                <w:kern w:val="0"/>
                <w:sz w:val="21"/>
                <w:u w:val="single"/>
              </w:rPr>
              <w:t>单位</w:t>
            </w:r>
          </w:p>
        </w:tc>
        <w:tc>
          <w:tcPr>
            <w:tcW w:w="557" w:type="pct"/>
            <w:vAlign w:val="center"/>
          </w:tcPr>
          <w:p>
            <w:pPr>
              <w:widowControl/>
              <w:spacing w:line="320" w:lineRule="exact"/>
              <w:jc w:val="center"/>
              <w:rPr>
                <w:kern w:val="0"/>
                <w:sz w:val="21"/>
                <w:u w:val="single"/>
              </w:rPr>
            </w:pPr>
            <w:r>
              <w:rPr>
                <w:kern w:val="0"/>
                <w:sz w:val="21"/>
                <w:u w:val="single"/>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2200x2200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2</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1800x1100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3</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1500x1100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4</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B=1500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5</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φ1500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6</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φ1250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7</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φ1250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8</w:t>
            </w:r>
          </w:p>
        </w:tc>
        <w:tc>
          <w:tcPr>
            <w:tcW w:w="2412" w:type="pct"/>
            <w:vAlign w:val="center"/>
          </w:tcPr>
          <w:p>
            <w:pPr>
              <w:widowControl/>
              <w:spacing w:line="320" w:lineRule="exact"/>
              <w:jc w:val="center"/>
              <w:rPr>
                <w:kern w:val="0"/>
                <w:sz w:val="21"/>
                <w:u w:val="single"/>
              </w:rPr>
            </w:pPr>
            <w:r>
              <w:rPr>
                <w:kern w:val="0"/>
                <w:sz w:val="21"/>
                <w:u w:val="single"/>
              </w:rPr>
              <w:t>污水检查井</w:t>
            </w:r>
          </w:p>
        </w:tc>
        <w:tc>
          <w:tcPr>
            <w:tcW w:w="993" w:type="pct"/>
            <w:vAlign w:val="center"/>
          </w:tcPr>
          <w:p>
            <w:pPr>
              <w:widowControl/>
              <w:spacing w:line="320" w:lineRule="exact"/>
              <w:jc w:val="center"/>
              <w:rPr>
                <w:kern w:val="0"/>
                <w:sz w:val="21"/>
                <w:u w:val="single"/>
              </w:rPr>
            </w:pPr>
            <w:r>
              <w:rPr>
                <w:kern w:val="0"/>
                <w:sz w:val="21"/>
                <w:u w:val="single"/>
              </w:rPr>
              <w:t>φ1000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9</w:t>
            </w:r>
          </w:p>
        </w:tc>
        <w:tc>
          <w:tcPr>
            <w:tcW w:w="2412" w:type="pct"/>
            <w:vAlign w:val="center"/>
          </w:tcPr>
          <w:p>
            <w:pPr>
              <w:widowControl/>
              <w:spacing w:line="320" w:lineRule="exact"/>
              <w:jc w:val="center"/>
              <w:rPr>
                <w:kern w:val="0"/>
                <w:sz w:val="21"/>
                <w:u w:val="single"/>
              </w:rPr>
            </w:pPr>
            <w:r>
              <w:rPr>
                <w:kern w:val="0"/>
                <w:sz w:val="21"/>
                <w:u w:val="single"/>
              </w:rPr>
              <w:t>沉泥井</w:t>
            </w:r>
          </w:p>
        </w:tc>
        <w:tc>
          <w:tcPr>
            <w:tcW w:w="993" w:type="pct"/>
            <w:vAlign w:val="center"/>
          </w:tcPr>
          <w:p>
            <w:pPr>
              <w:widowControl/>
              <w:spacing w:line="320" w:lineRule="exact"/>
              <w:jc w:val="center"/>
              <w:rPr>
                <w:kern w:val="0"/>
                <w:sz w:val="21"/>
                <w:u w:val="single"/>
              </w:rPr>
            </w:pPr>
            <w:r>
              <w:rPr>
                <w:kern w:val="0"/>
                <w:sz w:val="21"/>
                <w:u w:val="single"/>
              </w:rPr>
              <w:t>1650x1650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10</w:t>
            </w:r>
          </w:p>
        </w:tc>
        <w:tc>
          <w:tcPr>
            <w:tcW w:w="2412" w:type="pct"/>
            <w:vAlign w:val="center"/>
          </w:tcPr>
          <w:p>
            <w:pPr>
              <w:widowControl/>
              <w:spacing w:line="320" w:lineRule="exact"/>
              <w:jc w:val="center"/>
              <w:rPr>
                <w:kern w:val="0"/>
                <w:sz w:val="21"/>
                <w:u w:val="single"/>
              </w:rPr>
            </w:pPr>
            <w:r>
              <w:rPr>
                <w:kern w:val="0"/>
                <w:sz w:val="21"/>
                <w:u w:val="single"/>
              </w:rPr>
              <w:t>沉泥井</w:t>
            </w:r>
          </w:p>
        </w:tc>
        <w:tc>
          <w:tcPr>
            <w:tcW w:w="993" w:type="pct"/>
            <w:vAlign w:val="center"/>
          </w:tcPr>
          <w:p>
            <w:pPr>
              <w:widowControl/>
              <w:spacing w:line="320" w:lineRule="exact"/>
              <w:jc w:val="center"/>
              <w:rPr>
                <w:kern w:val="0"/>
                <w:sz w:val="21"/>
                <w:u w:val="single"/>
              </w:rPr>
            </w:pPr>
            <w:r>
              <w:rPr>
                <w:kern w:val="0"/>
                <w:sz w:val="21"/>
                <w:u w:val="single"/>
              </w:rPr>
              <w:t>φ1500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11</w:t>
            </w:r>
          </w:p>
        </w:tc>
        <w:tc>
          <w:tcPr>
            <w:tcW w:w="2412" w:type="pct"/>
            <w:vAlign w:val="center"/>
          </w:tcPr>
          <w:p>
            <w:pPr>
              <w:widowControl/>
              <w:spacing w:line="320" w:lineRule="exact"/>
              <w:jc w:val="center"/>
              <w:rPr>
                <w:kern w:val="0"/>
                <w:sz w:val="21"/>
                <w:u w:val="single"/>
              </w:rPr>
            </w:pPr>
            <w:r>
              <w:rPr>
                <w:kern w:val="0"/>
                <w:sz w:val="21"/>
                <w:u w:val="single"/>
              </w:rPr>
              <w:t>沉泥井</w:t>
            </w:r>
          </w:p>
        </w:tc>
        <w:tc>
          <w:tcPr>
            <w:tcW w:w="993" w:type="pct"/>
            <w:vAlign w:val="center"/>
          </w:tcPr>
          <w:p>
            <w:pPr>
              <w:widowControl/>
              <w:spacing w:line="320" w:lineRule="exact"/>
              <w:jc w:val="center"/>
              <w:rPr>
                <w:kern w:val="0"/>
                <w:sz w:val="21"/>
                <w:u w:val="single"/>
              </w:rPr>
            </w:pPr>
            <w:r>
              <w:rPr>
                <w:kern w:val="0"/>
                <w:sz w:val="21"/>
                <w:u w:val="single"/>
              </w:rPr>
              <w:t>φ1250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12</w:t>
            </w:r>
          </w:p>
        </w:tc>
        <w:tc>
          <w:tcPr>
            <w:tcW w:w="2412" w:type="pct"/>
            <w:vAlign w:val="center"/>
          </w:tcPr>
          <w:p>
            <w:pPr>
              <w:widowControl/>
              <w:spacing w:line="320" w:lineRule="exact"/>
              <w:jc w:val="center"/>
              <w:rPr>
                <w:kern w:val="0"/>
                <w:sz w:val="21"/>
                <w:u w:val="single"/>
              </w:rPr>
            </w:pPr>
            <w:r>
              <w:rPr>
                <w:kern w:val="0"/>
                <w:sz w:val="21"/>
                <w:u w:val="single"/>
              </w:rPr>
              <w:t>沉泥井</w:t>
            </w:r>
          </w:p>
        </w:tc>
        <w:tc>
          <w:tcPr>
            <w:tcW w:w="993" w:type="pct"/>
            <w:vAlign w:val="center"/>
          </w:tcPr>
          <w:p>
            <w:pPr>
              <w:widowControl/>
              <w:spacing w:line="320" w:lineRule="exact"/>
              <w:jc w:val="center"/>
              <w:rPr>
                <w:kern w:val="0"/>
                <w:sz w:val="21"/>
                <w:u w:val="single"/>
              </w:rPr>
            </w:pPr>
            <w:r>
              <w:rPr>
                <w:kern w:val="0"/>
                <w:sz w:val="21"/>
                <w:u w:val="single"/>
              </w:rPr>
              <w:t>φ1000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13</w:t>
            </w:r>
          </w:p>
        </w:tc>
        <w:tc>
          <w:tcPr>
            <w:tcW w:w="2412" w:type="pct"/>
            <w:vAlign w:val="center"/>
          </w:tcPr>
          <w:p>
            <w:pPr>
              <w:widowControl/>
              <w:spacing w:line="320" w:lineRule="exact"/>
              <w:jc w:val="center"/>
              <w:rPr>
                <w:kern w:val="0"/>
                <w:sz w:val="21"/>
                <w:u w:val="single"/>
              </w:rPr>
            </w:pPr>
            <w:r>
              <w:rPr>
                <w:kern w:val="0"/>
                <w:sz w:val="21"/>
                <w:u w:val="single"/>
              </w:rPr>
              <w:t>III级钢筋混凝土管</w:t>
            </w:r>
          </w:p>
        </w:tc>
        <w:tc>
          <w:tcPr>
            <w:tcW w:w="993" w:type="pct"/>
            <w:vAlign w:val="center"/>
          </w:tcPr>
          <w:p>
            <w:pPr>
              <w:widowControl/>
              <w:spacing w:line="320" w:lineRule="exact"/>
              <w:jc w:val="center"/>
              <w:rPr>
                <w:kern w:val="0"/>
                <w:sz w:val="21"/>
                <w:u w:val="single"/>
              </w:rPr>
            </w:pPr>
            <w:r>
              <w:rPr>
                <w:kern w:val="0"/>
                <w:sz w:val="21"/>
                <w:u w:val="single"/>
              </w:rPr>
              <w:t>d1400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14</w:t>
            </w:r>
          </w:p>
        </w:tc>
        <w:tc>
          <w:tcPr>
            <w:tcW w:w="2412" w:type="pct"/>
            <w:vAlign w:val="center"/>
          </w:tcPr>
          <w:p>
            <w:pPr>
              <w:widowControl/>
              <w:spacing w:line="320" w:lineRule="exact"/>
              <w:jc w:val="center"/>
              <w:rPr>
                <w:kern w:val="0"/>
                <w:sz w:val="21"/>
                <w:u w:val="single"/>
              </w:rPr>
            </w:pPr>
            <w:r>
              <w:rPr>
                <w:kern w:val="0"/>
                <w:sz w:val="21"/>
                <w:u w:val="single"/>
              </w:rPr>
              <w:t>III级钢筋混凝土管</w:t>
            </w:r>
          </w:p>
        </w:tc>
        <w:tc>
          <w:tcPr>
            <w:tcW w:w="993" w:type="pct"/>
            <w:vAlign w:val="center"/>
          </w:tcPr>
          <w:p>
            <w:pPr>
              <w:widowControl/>
              <w:spacing w:line="320" w:lineRule="exact"/>
              <w:jc w:val="center"/>
              <w:rPr>
                <w:kern w:val="0"/>
                <w:sz w:val="21"/>
                <w:u w:val="single"/>
              </w:rPr>
            </w:pPr>
            <w:r>
              <w:rPr>
                <w:kern w:val="0"/>
                <w:sz w:val="21"/>
                <w:u w:val="single"/>
              </w:rPr>
              <w:t>d1200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686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15</w:t>
            </w:r>
          </w:p>
        </w:tc>
        <w:tc>
          <w:tcPr>
            <w:tcW w:w="2412" w:type="pct"/>
            <w:vAlign w:val="center"/>
          </w:tcPr>
          <w:p>
            <w:pPr>
              <w:widowControl/>
              <w:spacing w:line="320" w:lineRule="exact"/>
              <w:jc w:val="center"/>
              <w:rPr>
                <w:kern w:val="0"/>
                <w:sz w:val="21"/>
                <w:u w:val="single"/>
              </w:rPr>
            </w:pPr>
            <w:r>
              <w:rPr>
                <w:kern w:val="0"/>
                <w:sz w:val="21"/>
                <w:u w:val="single"/>
              </w:rPr>
              <w:t>高密度聚乙烯(HDPE)缠绕结构壁管</w:t>
            </w:r>
          </w:p>
        </w:tc>
        <w:tc>
          <w:tcPr>
            <w:tcW w:w="993" w:type="pct"/>
            <w:vAlign w:val="center"/>
          </w:tcPr>
          <w:p>
            <w:pPr>
              <w:widowControl/>
              <w:spacing w:line="320" w:lineRule="exact"/>
              <w:jc w:val="center"/>
              <w:rPr>
                <w:kern w:val="0"/>
                <w:sz w:val="21"/>
                <w:u w:val="single"/>
              </w:rPr>
            </w:pPr>
            <w:r>
              <w:rPr>
                <w:kern w:val="0"/>
                <w:sz w:val="21"/>
                <w:u w:val="single"/>
              </w:rPr>
              <w:t>DN1000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329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16</w:t>
            </w:r>
          </w:p>
        </w:tc>
        <w:tc>
          <w:tcPr>
            <w:tcW w:w="2412" w:type="pct"/>
            <w:vAlign w:val="center"/>
          </w:tcPr>
          <w:p>
            <w:pPr>
              <w:widowControl/>
              <w:spacing w:line="320" w:lineRule="exact"/>
              <w:jc w:val="center"/>
              <w:rPr>
                <w:kern w:val="0"/>
                <w:sz w:val="21"/>
                <w:u w:val="single"/>
              </w:rPr>
            </w:pPr>
            <w:r>
              <w:rPr>
                <w:kern w:val="0"/>
                <w:sz w:val="21"/>
                <w:u w:val="single"/>
              </w:rPr>
              <w:t>高密度聚乙烯(HDPE)缠绕结构壁管</w:t>
            </w:r>
          </w:p>
        </w:tc>
        <w:tc>
          <w:tcPr>
            <w:tcW w:w="993" w:type="pct"/>
            <w:vAlign w:val="center"/>
          </w:tcPr>
          <w:p>
            <w:pPr>
              <w:widowControl/>
              <w:spacing w:line="320" w:lineRule="exact"/>
              <w:jc w:val="center"/>
              <w:rPr>
                <w:kern w:val="0"/>
                <w:sz w:val="21"/>
                <w:u w:val="single"/>
              </w:rPr>
            </w:pPr>
            <w:r>
              <w:rPr>
                <w:kern w:val="0"/>
                <w:sz w:val="21"/>
                <w:u w:val="single"/>
              </w:rPr>
              <w:t>DN600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1096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17</w:t>
            </w:r>
          </w:p>
        </w:tc>
        <w:tc>
          <w:tcPr>
            <w:tcW w:w="2412" w:type="pct"/>
            <w:vAlign w:val="center"/>
          </w:tcPr>
          <w:p>
            <w:pPr>
              <w:widowControl/>
              <w:spacing w:line="320" w:lineRule="exact"/>
              <w:jc w:val="center"/>
              <w:rPr>
                <w:kern w:val="0"/>
                <w:sz w:val="21"/>
                <w:u w:val="single"/>
              </w:rPr>
            </w:pPr>
            <w:r>
              <w:rPr>
                <w:kern w:val="0"/>
                <w:sz w:val="21"/>
                <w:u w:val="single"/>
              </w:rPr>
              <w:t>高密度聚乙烯(HDPE)缠绕结构壁管</w:t>
            </w:r>
          </w:p>
        </w:tc>
        <w:tc>
          <w:tcPr>
            <w:tcW w:w="993" w:type="pct"/>
            <w:vAlign w:val="center"/>
          </w:tcPr>
          <w:p>
            <w:pPr>
              <w:widowControl/>
              <w:spacing w:line="320" w:lineRule="exact"/>
              <w:jc w:val="center"/>
              <w:rPr>
                <w:kern w:val="0"/>
                <w:sz w:val="21"/>
                <w:u w:val="single"/>
              </w:rPr>
            </w:pPr>
            <w:r>
              <w:rPr>
                <w:kern w:val="0"/>
                <w:sz w:val="21"/>
                <w:u w:val="single"/>
              </w:rPr>
              <w:t>DN500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432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18</w:t>
            </w:r>
          </w:p>
        </w:tc>
        <w:tc>
          <w:tcPr>
            <w:tcW w:w="2412" w:type="pct"/>
            <w:vAlign w:val="center"/>
          </w:tcPr>
          <w:p>
            <w:pPr>
              <w:widowControl/>
              <w:spacing w:line="320" w:lineRule="exact"/>
              <w:jc w:val="center"/>
              <w:rPr>
                <w:kern w:val="0"/>
                <w:sz w:val="21"/>
                <w:u w:val="single"/>
              </w:rPr>
            </w:pPr>
            <w:r>
              <w:rPr>
                <w:kern w:val="0"/>
                <w:sz w:val="21"/>
                <w:u w:val="single"/>
              </w:rPr>
              <w:t>高密度聚乙烯(HDPE)缠绕结构壁管</w:t>
            </w:r>
          </w:p>
        </w:tc>
        <w:tc>
          <w:tcPr>
            <w:tcW w:w="993" w:type="pct"/>
            <w:vAlign w:val="center"/>
          </w:tcPr>
          <w:p>
            <w:pPr>
              <w:widowControl/>
              <w:spacing w:line="320" w:lineRule="exact"/>
              <w:jc w:val="center"/>
              <w:rPr>
                <w:kern w:val="0"/>
                <w:sz w:val="21"/>
                <w:u w:val="single"/>
              </w:rPr>
            </w:pPr>
            <w:r>
              <w:rPr>
                <w:kern w:val="0"/>
                <w:sz w:val="21"/>
                <w:u w:val="single"/>
              </w:rPr>
              <w:t>DN400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209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19</w:t>
            </w:r>
          </w:p>
        </w:tc>
        <w:tc>
          <w:tcPr>
            <w:tcW w:w="2412" w:type="pct"/>
            <w:vAlign w:val="center"/>
          </w:tcPr>
          <w:p>
            <w:pPr>
              <w:widowControl/>
              <w:spacing w:line="320" w:lineRule="exact"/>
              <w:jc w:val="center"/>
              <w:rPr>
                <w:kern w:val="0"/>
                <w:sz w:val="21"/>
                <w:u w:val="single"/>
              </w:rPr>
            </w:pPr>
            <w:r>
              <w:rPr>
                <w:kern w:val="0"/>
                <w:sz w:val="21"/>
                <w:u w:val="single"/>
              </w:rPr>
              <w:t>高密度聚乙烯(HDPE)缠绕结构壁管</w:t>
            </w:r>
          </w:p>
        </w:tc>
        <w:tc>
          <w:tcPr>
            <w:tcW w:w="993" w:type="pct"/>
            <w:vAlign w:val="center"/>
          </w:tcPr>
          <w:p>
            <w:pPr>
              <w:widowControl/>
              <w:spacing w:line="320" w:lineRule="exact"/>
              <w:jc w:val="center"/>
              <w:rPr>
                <w:kern w:val="0"/>
                <w:sz w:val="21"/>
                <w:u w:val="single"/>
              </w:rPr>
            </w:pPr>
            <w:r>
              <w:rPr>
                <w:kern w:val="0"/>
                <w:sz w:val="21"/>
                <w:u w:val="single"/>
              </w:rPr>
              <w:t>DN315</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280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20</w:t>
            </w:r>
          </w:p>
        </w:tc>
        <w:tc>
          <w:tcPr>
            <w:tcW w:w="2412" w:type="pct"/>
            <w:vAlign w:val="center"/>
          </w:tcPr>
          <w:p>
            <w:pPr>
              <w:widowControl/>
              <w:spacing w:line="320" w:lineRule="exact"/>
              <w:jc w:val="center"/>
              <w:rPr>
                <w:kern w:val="0"/>
                <w:sz w:val="21"/>
                <w:u w:val="single"/>
              </w:rPr>
            </w:pPr>
            <w:r>
              <w:rPr>
                <w:kern w:val="0"/>
                <w:sz w:val="21"/>
                <w:u w:val="single"/>
              </w:rPr>
              <w:t>高密度聚乙烯(HDPE)缠绕结构壁管</w:t>
            </w:r>
          </w:p>
        </w:tc>
        <w:tc>
          <w:tcPr>
            <w:tcW w:w="993" w:type="pct"/>
            <w:vAlign w:val="center"/>
          </w:tcPr>
          <w:p>
            <w:pPr>
              <w:widowControl/>
              <w:spacing w:line="320" w:lineRule="exact"/>
              <w:jc w:val="center"/>
              <w:rPr>
                <w:kern w:val="0"/>
                <w:sz w:val="21"/>
                <w:u w:val="single"/>
              </w:rPr>
            </w:pPr>
            <w:r>
              <w:rPr>
                <w:kern w:val="0"/>
                <w:sz w:val="21"/>
                <w:u w:val="single"/>
              </w:rPr>
              <w:t>DN800</w:t>
            </w:r>
          </w:p>
        </w:tc>
        <w:tc>
          <w:tcPr>
            <w:tcW w:w="519" w:type="pct"/>
            <w:vAlign w:val="center"/>
          </w:tcPr>
          <w:p>
            <w:pPr>
              <w:widowControl/>
              <w:spacing w:line="320" w:lineRule="exact"/>
              <w:jc w:val="center"/>
              <w:rPr>
                <w:kern w:val="0"/>
                <w:sz w:val="21"/>
                <w:u w:val="single"/>
              </w:rPr>
            </w:pPr>
            <w:r>
              <w:rPr>
                <w:kern w:val="0"/>
                <w:sz w:val="21"/>
                <w:u w:val="single"/>
              </w:rPr>
              <w:t>米</w:t>
            </w:r>
          </w:p>
        </w:tc>
        <w:tc>
          <w:tcPr>
            <w:tcW w:w="557" w:type="pct"/>
            <w:vAlign w:val="center"/>
          </w:tcPr>
          <w:p>
            <w:pPr>
              <w:widowControl/>
              <w:spacing w:line="320" w:lineRule="exact"/>
              <w:jc w:val="center"/>
              <w:rPr>
                <w:kern w:val="0"/>
                <w:sz w:val="21"/>
                <w:u w:val="single"/>
              </w:rPr>
            </w:pPr>
            <w:r>
              <w:rPr>
                <w:kern w:val="0"/>
                <w:sz w:val="21"/>
                <w:u w:val="single"/>
              </w:rPr>
              <w:t>2278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21</w:t>
            </w:r>
          </w:p>
        </w:tc>
        <w:tc>
          <w:tcPr>
            <w:tcW w:w="2412" w:type="pct"/>
            <w:vAlign w:val="center"/>
          </w:tcPr>
          <w:p>
            <w:pPr>
              <w:widowControl/>
              <w:spacing w:line="320" w:lineRule="exact"/>
              <w:jc w:val="center"/>
              <w:rPr>
                <w:kern w:val="0"/>
                <w:sz w:val="21"/>
                <w:u w:val="single"/>
              </w:rPr>
            </w:pPr>
            <w:r>
              <w:rPr>
                <w:kern w:val="0"/>
                <w:sz w:val="21"/>
                <w:u w:val="single"/>
              </w:rPr>
              <w:t>顶管工作井</w:t>
            </w:r>
          </w:p>
        </w:tc>
        <w:tc>
          <w:tcPr>
            <w:tcW w:w="993" w:type="pct"/>
            <w:vAlign w:val="center"/>
          </w:tcPr>
          <w:p>
            <w:pPr>
              <w:widowControl/>
              <w:spacing w:line="320" w:lineRule="exact"/>
              <w:jc w:val="center"/>
              <w:rPr>
                <w:kern w:val="0"/>
                <w:sz w:val="21"/>
                <w:u w:val="single"/>
              </w:rPr>
            </w:pPr>
            <w:r>
              <w:rPr>
                <w:kern w:val="0"/>
                <w:sz w:val="21"/>
                <w:u w:val="single"/>
              </w:rPr>
              <w:t>φ8000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22</w:t>
            </w:r>
          </w:p>
        </w:tc>
        <w:tc>
          <w:tcPr>
            <w:tcW w:w="2412" w:type="pct"/>
            <w:vAlign w:val="center"/>
          </w:tcPr>
          <w:p>
            <w:pPr>
              <w:widowControl/>
              <w:spacing w:line="320" w:lineRule="exact"/>
              <w:jc w:val="center"/>
              <w:rPr>
                <w:kern w:val="0"/>
                <w:sz w:val="21"/>
                <w:u w:val="single"/>
              </w:rPr>
            </w:pPr>
            <w:r>
              <w:rPr>
                <w:kern w:val="0"/>
                <w:sz w:val="21"/>
                <w:u w:val="single"/>
              </w:rPr>
              <w:t>顶管接收井</w:t>
            </w:r>
          </w:p>
        </w:tc>
        <w:tc>
          <w:tcPr>
            <w:tcW w:w="993" w:type="pct"/>
            <w:vAlign w:val="center"/>
          </w:tcPr>
          <w:p>
            <w:pPr>
              <w:widowControl/>
              <w:spacing w:line="320" w:lineRule="exact"/>
              <w:jc w:val="center"/>
              <w:rPr>
                <w:kern w:val="0"/>
                <w:sz w:val="21"/>
                <w:u w:val="single"/>
              </w:rPr>
            </w:pPr>
            <w:r>
              <w:rPr>
                <w:kern w:val="0"/>
                <w:sz w:val="21"/>
                <w:u w:val="single"/>
              </w:rPr>
              <w:t>φ4000</w:t>
            </w:r>
          </w:p>
        </w:tc>
        <w:tc>
          <w:tcPr>
            <w:tcW w:w="519" w:type="pct"/>
            <w:vAlign w:val="center"/>
          </w:tcPr>
          <w:p>
            <w:pPr>
              <w:widowControl/>
              <w:spacing w:line="320" w:lineRule="exact"/>
              <w:jc w:val="center"/>
              <w:rPr>
                <w:kern w:val="0"/>
                <w:sz w:val="21"/>
                <w:u w:val="single"/>
              </w:rPr>
            </w:pPr>
            <w:r>
              <w:rPr>
                <w:kern w:val="0"/>
                <w:sz w:val="21"/>
                <w:u w:val="single"/>
              </w:rPr>
              <w:t>座</w:t>
            </w:r>
          </w:p>
        </w:tc>
        <w:tc>
          <w:tcPr>
            <w:tcW w:w="557" w:type="pct"/>
            <w:vAlign w:val="center"/>
          </w:tcPr>
          <w:p>
            <w:pPr>
              <w:widowControl/>
              <w:spacing w:line="320" w:lineRule="exact"/>
              <w:jc w:val="center"/>
              <w:rPr>
                <w:kern w:val="0"/>
                <w:sz w:val="21"/>
                <w:u w:val="single"/>
              </w:rPr>
            </w:pPr>
            <w:r>
              <w:rPr>
                <w:kern w:val="0"/>
                <w:sz w:val="21"/>
                <w:u w:val="single"/>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0" w:type="pct"/>
            <w:vAlign w:val="center"/>
          </w:tcPr>
          <w:p>
            <w:pPr>
              <w:widowControl/>
              <w:spacing w:line="320" w:lineRule="exact"/>
              <w:jc w:val="center"/>
              <w:rPr>
                <w:kern w:val="0"/>
                <w:sz w:val="21"/>
                <w:u w:val="single"/>
              </w:rPr>
            </w:pPr>
            <w:r>
              <w:rPr>
                <w:kern w:val="0"/>
                <w:sz w:val="21"/>
                <w:u w:val="single"/>
              </w:rPr>
              <w:t>23</w:t>
            </w:r>
          </w:p>
        </w:tc>
        <w:tc>
          <w:tcPr>
            <w:tcW w:w="2412" w:type="pct"/>
            <w:vAlign w:val="center"/>
          </w:tcPr>
          <w:p>
            <w:pPr>
              <w:widowControl/>
              <w:spacing w:line="320" w:lineRule="exact"/>
              <w:jc w:val="center"/>
              <w:rPr>
                <w:kern w:val="0"/>
                <w:sz w:val="21"/>
                <w:u w:val="single"/>
              </w:rPr>
            </w:pPr>
            <w:r>
              <w:rPr>
                <w:kern w:val="0"/>
                <w:sz w:val="21"/>
                <w:u w:val="single"/>
              </w:rPr>
              <w:t>防坠网</w:t>
            </w:r>
          </w:p>
        </w:tc>
        <w:tc>
          <w:tcPr>
            <w:tcW w:w="993" w:type="pct"/>
            <w:vAlign w:val="center"/>
          </w:tcPr>
          <w:p>
            <w:pPr>
              <w:widowControl/>
              <w:spacing w:line="320" w:lineRule="exact"/>
              <w:jc w:val="center"/>
              <w:rPr>
                <w:kern w:val="0"/>
                <w:sz w:val="21"/>
                <w:u w:val="single"/>
              </w:rPr>
            </w:pPr>
          </w:p>
        </w:tc>
        <w:tc>
          <w:tcPr>
            <w:tcW w:w="519" w:type="pct"/>
            <w:vAlign w:val="center"/>
          </w:tcPr>
          <w:p>
            <w:pPr>
              <w:widowControl/>
              <w:spacing w:line="320" w:lineRule="exact"/>
              <w:jc w:val="center"/>
              <w:rPr>
                <w:kern w:val="0"/>
                <w:sz w:val="21"/>
                <w:u w:val="single"/>
              </w:rPr>
            </w:pPr>
            <w:r>
              <w:rPr>
                <w:kern w:val="0"/>
                <w:sz w:val="21"/>
                <w:u w:val="single"/>
              </w:rPr>
              <w:t>套</w:t>
            </w:r>
          </w:p>
        </w:tc>
        <w:tc>
          <w:tcPr>
            <w:tcW w:w="557" w:type="pct"/>
            <w:vAlign w:val="center"/>
          </w:tcPr>
          <w:p>
            <w:pPr>
              <w:widowControl/>
              <w:spacing w:line="320" w:lineRule="exact"/>
              <w:jc w:val="center"/>
              <w:rPr>
                <w:kern w:val="0"/>
                <w:sz w:val="21"/>
                <w:u w:val="single"/>
              </w:rPr>
            </w:pPr>
            <w:r>
              <w:rPr>
                <w:kern w:val="0"/>
                <w:sz w:val="21"/>
                <w:u w:val="single"/>
              </w:rPr>
              <w:t>103</w:t>
            </w:r>
          </w:p>
        </w:tc>
      </w:tr>
    </w:tbl>
    <w:p>
      <w:pPr>
        <w:pStyle w:val="61"/>
      </w:pPr>
      <w:r>
        <w:rPr>
          <w:rFonts w:hint="eastAsia"/>
        </w:rPr>
        <w:t>排水</w:t>
      </w:r>
      <w:r>
        <w:t>管网构筑物</w:t>
      </w:r>
    </w:p>
    <w:p>
      <w:pPr>
        <w:spacing w:line="360" w:lineRule="auto"/>
        <w:ind w:firstLine="480" w:firstLineChars="200"/>
        <w:rPr>
          <w:rFonts w:eastAsia="宋体" w:cs="Times New Roman"/>
        </w:rPr>
      </w:pPr>
      <w:r>
        <w:rPr>
          <w:rFonts w:hAnsi="宋体" w:eastAsia="宋体" w:cs="Times New Roman"/>
        </w:rPr>
        <w:t>（</w:t>
      </w:r>
      <w:r>
        <w:rPr>
          <w:rFonts w:eastAsia="宋体" w:cs="Times New Roman"/>
        </w:rPr>
        <w:t>1</w:t>
      </w:r>
      <w:r>
        <w:rPr>
          <w:rFonts w:hAnsi="宋体" w:eastAsia="宋体" w:cs="Times New Roman"/>
        </w:rPr>
        <w:t>）检查井</w:t>
      </w:r>
    </w:p>
    <w:p>
      <w:pPr>
        <w:spacing w:line="360" w:lineRule="auto"/>
        <w:ind w:firstLine="480" w:firstLineChars="200"/>
        <w:rPr>
          <w:rFonts w:eastAsia="宋体" w:cs="Times New Roman"/>
          <w:szCs w:val="24"/>
        </w:rPr>
      </w:pPr>
      <w:r>
        <w:rPr>
          <w:rFonts w:hAnsi="宋体" w:eastAsia="宋体" w:cs="Times New Roman"/>
          <w:szCs w:val="24"/>
        </w:rPr>
        <w:t>在管道每隔一定距离设置检查井，最大间距根据具体情况确定为</w:t>
      </w:r>
      <w:r>
        <w:rPr>
          <w:rFonts w:eastAsia="宋体" w:cs="Times New Roman"/>
          <w:szCs w:val="24"/>
        </w:rPr>
        <w:t>40</w:t>
      </w:r>
      <w:r>
        <w:rPr>
          <w:rFonts w:hAnsi="宋体" w:eastAsia="宋体" w:cs="Times New Roman"/>
          <w:szCs w:val="24"/>
        </w:rPr>
        <w:t>～</w:t>
      </w:r>
      <w:r>
        <w:rPr>
          <w:rFonts w:eastAsia="宋体" w:cs="Times New Roman"/>
          <w:szCs w:val="24"/>
        </w:rPr>
        <w:t>120m</w:t>
      </w:r>
      <w:r>
        <w:rPr>
          <w:rFonts w:hAnsi="宋体" w:eastAsia="宋体" w:cs="Times New Roman"/>
          <w:szCs w:val="24"/>
        </w:rPr>
        <w:t>，在管线转弯角度较大处、断面变化处、支管接入处等，均按规范要求设置检查井，排水管道的检查井采用混凝土结构。</w:t>
      </w:r>
    </w:p>
    <w:p>
      <w:pPr>
        <w:spacing w:line="360" w:lineRule="auto"/>
        <w:ind w:firstLine="480" w:firstLineChars="200"/>
        <w:rPr>
          <w:rFonts w:eastAsia="宋体" w:cs="Times New Roman"/>
          <w:szCs w:val="24"/>
        </w:rPr>
      </w:pPr>
      <w:r>
        <w:rPr>
          <w:rFonts w:hAnsi="宋体" w:eastAsia="宋体" w:cs="Times New Roman"/>
          <w:szCs w:val="24"/>
        </w:rPr>
        <w:t>（</w:t>
      </w:r>
      <w:r>
        <w:rPr>
          <w:rFonts w:eastAsia="宋体" w:cs="Times New Roman"/>
          <w:szCs w:val="24"/>
        </w:rPr>
        <w:t>2</w:t>
      </w:r>
      <w:r>
        <w:rPr>
          <w:rFonts w:hAnsi="宋体" w:eastAsia="宋体" w:cs="Times New Roman"/>
          <w:szCs w:val="24"/>
        </w:rPr>
        <w:t>）跌水井</w:t>
      </w:r>
    </w:p>
    <w:p>
      <w:pPr>
        <w:spacing w:line="360" w:lineRule="auto"/>
        <w:ind w:firstLine="480" w:firstLineChars="200"/>
        <w:rPr>
          <w:rFonts w:eastAsia="宋体" w:cs="Times New Roman"/>
          <w:szCs w:val="24"/>
        </w:rPr>
      </w:pPr>
      <w:r>
        <w:rPr>
          <w:rFonts w:hAnsi="宋体" w:eastAsia="宋体" w:cs="Times New Roman"/>
          <w:szCs w:val="24"/>
        </w:rPr>
        <w:t>管道跌水水头为</w:t>
      </w:r>
      <w:r>
        <w:rPr>
          <w:rFonts w:eastAsia="宋体" w:cs="Times New Roman"/>
          <w:szCs w:val="24"/>
        </w:rPr>
        <w:t>1</w:t>
      </w:r>
      <w:r>
        <w:rPr>
          <w:rFonts w:hAnsi="宋体" w:eastAsia="宋体" w:cs="Times New Roman"/>
          <w:szCs w:val="24"/>
        </w:rPr>
        <w:t>～</w:t>
      </w:r>
      <w:r>
        <w:rPr>
          <w:rFonts w:eastAsia="宋体" w:cs="Times New Roman"/>
          <w:szCs w:val="24"/>
        </w:rPr>
        <w:t>2</w:t>
      </w:r>
      <w:r>
        <w:rPr>
          <w:rFonts w:hAnsi="宋体" w:eastAsia="宋体" w:cs="Times New Roman"/>
          <w:szCs w:val="24"/>
        </w:rPr>
        <w:t>米时宜设跌水井，管道跌水水头大于</w:t>
      </w:r>
      <w:r>
        <w:rPr>
          <w:rFonts w:eastAsia="宋体" w:cs="Times New Roman"/>
          <w:szCs w:val="24"/>
        </w:rPr>
        <w:t>2</w:t>
      </w:r>
      <w:r>
        <w:rPr>
          <w:rFonts w:hAnsi="宋体" w:eastAsia="宋体" w:cs="Times New Roman"/>
          <w:szCs w:val="24"/>
        </w:rPr>
        <w:t>米时必须设跌水井。管道转弯处不宜设跌水井。当管道直径小于或等于</w:t>
      </w:r>
      <w:r>
        <w:rPr>
          <w:rFonts w:eastAsia="宋体" w:cs="Times New Roman"/>
          <w:szCs w:val="24"/>
        </w:rPr>
        <w:t>400mm</w:t>
      </w:r>
      <w:r>
        <w:rPr>
          <w:rFonts w:hAnsi="宋体" w:eastAsia="宋体" w:cs="Times New Roman"/>
          <w:szCs w:val="24"/>
        </w:rPr>
        <w:t>时，采用竖管式跌水井；当管道直径大于</w:t>
      </w:r>
      <w:r>
        <w:rPr>
          <w:rFonts w:eastAsia="宋体" w:cs="Times New Roman"/>
          <w:szCs w:val="24"/>
        </w:rPr>
        <w:t>400mm</w:t>
      </w:r>
      <w:r>
        <w:rPr>
          <w:rFonts w:hAnsi="宋体" w:eastAsia="宋体" w:cs="Times New Roman"/>
          <w:szCs w:val="24"/>
        </w:rPr>
        <w:t>时，采用溢流堰式跌水井。跌水井采用混凝土结构。</w:t>
      </w:r>
    </w:p>
    <w:p>
      <w:pPr>
        <w:pStyle w:val="139"/>
        <w:spacing w:line="360" w:lineRule="auto"/>
        <w:ind w:firstLineChars="200"/>
        <w:rPr>
          <w:rFonts w:ascii="Times New Roman" w:hAnsi="Times New Roman" w:eastAsia="宋体" w:cs="Times New Roman"/>
          <w:szCs w:val="24"/>
        </w:rPr>
      </w:pPr>
      <w:r>
        <w:rPr>
          <w:rFonts w:ascii="Times New Roman" w:hAnsi="宋体" w:eastAsia="宋体" w:cs="Times New Roman"/>
          <w:szCs w:val="24"/>
        </w:rPr>
        <w:t>（</w:t>
      </w:r>
      <w:r>
        <w:rPr>
          <w:rFonts w:ascii="Times New Roman" w:hAnsi="Times New Roman" w:eastAsia="宋体" w:cs="Times New Roman"/>
          <w:szCs w:val="24"/>
        </w:rPr>
        <w:t>3</w:t>
      </w:r>
      <w:r>
        <w:rPr>
          <w:rFonts w:ascii="Times New Roman" w:hAnsi="宋体" w:eastAsia="宋体" w:cs="Times New Roman"/>
          <w:szCs w:val="24"/>
        </w:rPr>
        <w:t>）溢流井</w:t>
      </w:r>
    </w:p>
    <w:p>
      <w:pPr>
        <w:pStyle w:val="139"/>
        <w:spacing w:line="360" w:lineRule="auto"/>
        <w:ind w:firstLineChars="200"/>
        <w:rPr>
          <w:rFonts w:ascii="Times New Roman" w:hAnsi="Times New Roman" w:eastAsia="宋体" w:cs="Times New Roman"/>
          <w:szCs w:val="24"/>
        </w:rPr>
      </w:pPr>
      <w:r>
        <w:rPr>
          <w:rFonts w:ascii="Times New Roman" w:hAnsi="宋体" w:eastAsia="宋体" w:cs="Times New Roman"/>
          <w:szCs w:val="24"/>
        </w:rPr>
        <w:t>排水管道的溢流井材质选用钢筋砼。</w:t>
      </w:r>
    </w:p>
    <w:p>
      <w:pPr>
        <w:pStyle w:val="139"/>
        <w:spacing w:line="360" w:lineRule="auto"/>
        <w:ind w:firstLineChars="200"/>
        <w:rPr>
          <w:rFonts w:ascii="Times New Roman" w:hAnsi="Times New Roman" w:eastAsia="宋体" w:cs="Times New Roman"/>
          <w:szCs w:val="24"/>
        </w:rPr>
      </w:pPr>
      <w:r>
        <w:rPr>
          <w:rFonts w:ascii="Times New Roman" w:hAnsi="宋体" w:eastAsia="宋体" w:cs="Times New Roman"/>
          <w:szCs w:val="24"/>
        </w:rPr>
        <w:t>（</w:t>
      </w:r>
      <w:r>
        <w:rPr>
          <w:rFonts w:ascii="Times New Roman" w:hAnsi="Times New Roman" w:eastAsia="宋体" w:cs="Times New Roman"/>
          <w:szCs w:val="24"/>
        </w:rPr>
        <w:t>4</w:t>
      </w:r>
      <w:r>
        <w:rPr>
          <w:rFonts w:ascii="Times New Roman" w:hAnsi="宋体" w:eastAsia="宋体" w:cs="Times New Roman"/>
          <w:szCs w:val="24"/>
        </w:rPr>
        <w:t>）通气井</w:t>
      </w:r>
    </w:p>
    <w:p>
      <w:pPr>
        <w:pStyle w:val="139"/>
        <w:spacing w:line="360" w:lineRule="auto"/>
        <w:ind w:firstLineChars="200"/>
        <w:rPr>
          <w:rFonts w:ascii="Times New Roman" w:hAnsi="Times New Roman" w:eastAsia="宋体" w:cs="Times New Roman"/>
          <w:szCs w:val="24"/>
        </w:rPr>
      </w:pPr>
      <w:r>
        <w:rPr>
          <w:rFonts w:ascii="Times New Roman" w:hAnsi="宋体" w:eastAsia="宋体" w:cs="Times New Roman"/>
          <w:szCs w:val="24"/>
        </w:rPr>
        <w:t>在合流制排水管道的适当位置设通气井。通气井采用砖混结构。</w:t>
      </w:r>
    </w:p>
    <w:p>
      <w:pPr>
        <w:pStyle w:val="139"/>
        <w:spacing w:line="360" w:lineRule="auto"/>
        <w:ind w:firstLineChars="200"/>
        <w:rPr>
          <w:rFonts w:ascii="Times New Roman" w:hAnsi="Times New Roman" w:eastAsia="宋体" w:cs="Times New Roman"/>
          <w:szCs w:val="24"/>
        </w:rPr>
      </w:pPr>
      <w:r>
        <w:rPr>
          <w:rFonts w:ascii="Times New Roman" w:hAnsi="宋体" w:eastAsia="宋体" w:cs="Times New Roman"/>
          <w:szCs w:val="24"/>
        </w:rPr>
        <w:t>（</w:t>
      </w:r>
      <w:r>
        <w:rPr>
          <w:rFonts w:ascii="Times New Roman" w:hAnsi="Times New Roman" w:eastAsia="宋体" w:cs="Times New Roman"/>
          <w:szCs w:val="24"/>
        </w:rPr>
        <w:t>5</w:t>
      </w:r>
      <w:r>
        <w:rPr>
          <w:rFonts w:ascii="Times New Roman" w:hAnsi="宋体" w:eastAsia="宋体" w:cs="Times New Roman"/>
          <w:szCs w:val="24"/>
        </w:rPr>
        <w:t>）截流井</w:t>
      </w:r>
    </w:p>
    <w:p>
      <w:pPr>
        <w:spacing w:line="360" w:lineRule="auto"/>
        <w:ind w:firstLine="480" w:firstLineChars="200"/>
        <w:rPr>
          <w:rFonts w:eastAsia="宋体" w:cs="Times New Roman"/>
          <w:szCs w:val="24"/>
        </w:rPr>
      </w:pPr>
      <w:r>
        <w:rPr>
          <w:rFonts w:hAnsi="宋体" w:eastAsia="宋体" w:cs="Times New Roman"/>
          <w:szCs w:val="24"/>
        </w:rPr>
        <w:t>截流井宜采用槽式。截流井溢流水位应在设计洪水位或受纳管道设计水位以上。截流井材质选用钢筋砼。</w:t>
      </w:r>
    </w:p>
    <w:p>
      <w:pPr>
        <w:pStyle w:val="61"/>
      </w:pPr>
      <w:r>
        <w:t>配套污水收集管网设计</w:t>
      </w:r>
    </w:p>
    <w:p>
      <w:pPr>
        <w:pStyle w:val="139"/>
        <w:spacing w:line="360" w:lineRule="auto"/>
        <w:ind w:firstLine="482"/>
        <w:rPr>
          <w:rFonts w:ascii="Times New Roman" w:hAnsi="Times New Roman" w:cs="Times New Roman"/>
        </w:rPr>
      </w:pPr>
      <w:r>
        <w:rPr>
          <w:rFonts w:ascii="Times New Roman" w:hAnsi="Times New Roman" w:cs="Times New Roman"/>
        </w:rPr>
        <w:t>（1）污水管道水力计算公式</w:t>
      </w:r>
    </w:p>
    <w:p>
      <w:pPr>
        <w:pStyle w:val="139"/>
        <w:spacing w:line="360" w:lineRule="auto"/>
        <w:ind w:firstLine="482"/>
        <w:rPr>
          <w:rFonts w:ascii="Times New Roman" w:hAnsi="Times New Roman" w:cs="Times New Roman"/>
        </w:rPr>
      </w:pPr>
      <w:r>
        <w:rPr>
          <w:rFonts w:ascii="Times New Roman" w:hAnsi="Times New Roman" w:cs="Times New Roman"/>
        </w:rPr>
        <w:t>排水管道的水力计算采用均匀流公式，基本公式如下：</w:t>
      </w:r>
    </w:p>
    <w:p>
      <w:pPr>
        <w:pStyle w:val="139"/>
        <w:spacing w:line="360" w:lineRule="auto"/>
        <w:ind w:firstLine="482"/>
        <w:rPr>
          <w:rFonts w:hint="default" w:ascii="Times New Roman" w:hAnsi="Times New Roman" w:cs="Times New Roman"/>
        </w:rPr>
      </w:pPr>
      <w:r>
        <w:rPr>
          <w:rFonts w:hint="default" w:ascii="Times New Roman" w:hAnsi="Times New Roman" w:cs="Times New Roman"/>
        </w:rPr>
        <w:t>流量公式：Q＝V×A</w:t>
      </w:r>
    </w:p>
    <w:p>
      <w:pPr>
        <w:pStyle w:val="139"/>
        <w:spacing w:line="360" w:lineRule="auto"/>
        <w:ind w:firstLine="482"/>
        <w:rPr>
          <w:rFonts w:hint="default" w:ascii="Times New Roman" w:hAnsi="Times New Roman" w:cs="Times New Roman"/>
        </w:rPr>
      </w:pPr>
      <w:r>
        <w:rPr>
          <w:rFonts w:hint="default" w:ascii="Times New Roman" w:hAnsi="Times New Roman" w:cs="Times New Roman"/>
        </w:rPr>
        <w:t>流速公式：V＝（1/n）R</w:t>
      </w:r>
      <w:r>
        <w:rPr>
          <w:rFonts w:hint="default" w:ascii="Times New Roman" w:hAnsi="Times New Roman" w:cs="Times New Roman"/>
          <w:vertAlign w:val="superscript"/>
        </w:rPr>
        <w:t>2/3</w:t>
      </w:r>
      <w:r>
        <w:rPr>
          <w:rFonts w:hint="default" w:ascii="Times New Roman" w:hAnsi="Times New Roman" w:cs="Times New Roman"/>
        </w:rPr>
        <w:t>I</w:t>
      </w:r>
      <w:r>
        <w:rPr>
          <w:rFonts w:hint="default" w:ascii="Times New Roman" w:hAnsi="Times New Roman" w:cs="Times New Roman"/>
          <w:vertAlign w:val="superscript"/>
        </w:rPr>
        <w:t>1/2</w:t>
      </w:r>
    </w:p>
    <w:p>
      <w:pPr>
        <w:pStyle w:val="139"/>
        <w:spacing w:line="360" w:lineRule="auto"/>
        <w:ind w:firstLine="482"/>
        <w:rPr>
          <w:rFonts w:hint="default" w:ascii="Times New Roman" w:hAnsi="Times New Roman" w:cs="Times New Roman"/>
        </w:rPr>
      </w:pPr>
      <w:r>
        <w:rPr>
          <w:rFonts w:hint="default" w:ascii="Times New Roman" w:hAnsi="Times New Roman" w:cs="Times New Roman"/>
        </w:rPr>
        <w:t>式中：Q──流量（m</w:t>
      </w:r>
      <w:r>
        <w:rPr>
          <w:rFonts w:hint="default" w:ascii="Times New Roman" w:hAnsi="Times New Roman" w:cs="Times New Roman"/>
          <w:vertAlign w:val="superscript"/>
        </w:rPr>
        <w:t>3</w:t>
      </w:r>
      <w:r>
        <w:rPr>
          <w:rFonts w:hint="default" w:ascii="Times New Roman" w:hAnsi="Times New Roman" w:cs="Times New Roman"/>
        </w:rPr>
        <w:t>/s）</w:t>
      </w:r>
    </w:p>
    <w:p>
      <w:pPr>
        <w:pStyle w:val="139"/>
        <w:spacing w:line="360" w:lineRule="auto"/>
        <w:ind w:firstLine="1200" w:firstLineChars="500"/>
        <w:rPr>
          <w:rFonts w:hint="default" w:ascii="Times New Roman" w:hAnsi="Times New Roman" w:cs="Times New Roman"/>
        </w:rPr>
      </w:pPr>
      <w:r>
        <w:rPr>
          <w:rFonts w:hint="default" w:ascii="Times New Roman" w:hAnsi="Times New Roman" w:cs="Times New Roman"/>
        </w:rPr>
        <w:t>v──流速（m/s）</w:t>
      </w:r>
    </w:p>
    <w:p>
      <w:pPr>
        <w:pStyle w:val="139"/>
        <w:spacing w:line="360" w:lineRule="auto"/>
        <w:ind w:firstLine="1200" w:firstLineChars="500"/>
        <w:rPr>
          <w:rFonts w:hint="default" w:ascii="Times New Roman" w:hAnsi="Times New Roman" w:cs="Times New Roman"/>
        </w:rPr>
      </w:pPr>
      <w:r>
        <w:rPr>
          <w:rFonts w:hint="default" w:ascii="Times New Roman" w:hAnsi="Times New Roman" w:cs="Times New Roman"/>
        </w:rPr>
        <w:t>A──过水断面面积（m²）</w:t>
      </w:r>
    </w:p>
    <w:p>
      <w:pPr>
        <w:pStyle w:val="139"/>
        <w:spacing w:line="360" w:lineRule="auto"/>
        <w:ind w:firstLine="1200" w:firstLineChars="500"/>
        <w:rPr>
          <w:rFonts w:hint="default" w:ascii="Times New Roman" w:hAnsi="Times New Roman" w:cs="Times New Roman"/>
        </w:rPr>
      </w:pPr>
      <w:r>
        <w:rPr>
          <w:rFonts w:hint="default" w:ascii="Times New Roman" w:hAnsi="Times New Roman" w:cs="Times New Roman"/>
        </w:rPr>
        <w:t>n──管壁粗糙系数，n=0.014。</w:t>
      </w:r>
    </w:p>
    <w:p>
      <w:pPr>
        <w:pStyle w:val="139"/>
        <w:spacing w:line="360" w:lineRule="auto"/>
        <w:ind w:firstLine="1200" w:firstLineChars="500"/>
        <w:rPr>
          <w:rFonts w:hint="default" w:ascii="Times New Roman" w:hAnsi="Times New Roman" w:cs="Times New Roman"/>
        </w:rPr>
      </w:pPr>
      <w:r>
        <w:rPr>
          <w:rFonts w:hint="default" w:ascii="Times New Roman" w:hAnsi="Times New Roman" w:cs="Times New Roman"/>
        </w:rPr>
        <w:t>R──水力半径（m）（过水断面面积与湿周的比值）</w:t>
      </w:r>
    </w:p>
    <w:p>
      <w:pPr>
        <w:pStyle w:val="139"/>
        <w:spacing w:line="360" w:lineRule="auto"/>
        <w:ind w:firstLine="1200" w:firstLineChars="500"/>
        <w:rPr>
          <w:rFonts w:hint="default" w:ascii="Times New Roman" w:hAnsi="Times New Roman" w:cs="Times New Roman"/>
        </w:rPr>
      </w:pPr>
      <w:r>
        <w:rPr>
          <w:rFonts w:hint="default" w:ascii="Times New Roman" w:hAnsi="Times New Roman" w:cs="Times New Roman"/>
        </w:rPr>
        <w:t>I──水力坡降(‰)</w:t>
      </w:r>
    </w:p>
    <w:p>
      <w:pPr>
        <w:pStyle w:val="139"/>
        <w:spacing w:line="360" w:lineRule="auto"/>
        <w:ind w:firstLine="482"/>
        <w:rPr>
          <w:rFonts w:ascii="Times New Roman" w:hAnsi="Times New Roman" w:cs="Times New Roman"/>
        </w:rPr>
      </w:pPr>
      <w:r>
        <w:rPr>
          <w:rFonts w:ascii="Times New Roman" w:hAnsi="Times New Roman" w:cs="Times New Roman"/>
        </w:rPr>
        <w:t>为保证污水管道的正常运行，《室外排水设计规范》对设计充满度、设计流速等做了规定。</w:t>
      </w:r>
    </w:p>
    <w:p>
      <w:pPr>
        <w:pStyle w:val="139"/>
        <w:spacing w:line="360" w:lineRule="auto"/>
        <w:ind w:firstLine="482"/>
        <w:rPr>
          <w:rFonts w:ascii="Times New Roman" w:hAnsi="Times New Roman" w:cs="Times New Roman"/>
        </w:rPr>
      </w:pPr>
      <w:r>
        <w:rPr>
          <w:rFonts w:ascii="Times New Roman" w:hAnsi="Times New Roman" w:cs="Times New Roman"/>
        </w:rPr>
        <w:t>（2）计算参数</w:t>
      </w:r>
    </w:p>
    <w:p>
      <w:pPr>
        <w:pStyle w:val="139"/>
        <w:spacing w:line="360" w:lineRule="auto"/>
        <w:ind w:firstLine="482"/>
        <w:rPr>
          <w:rFonts w:ascii="Times New Roman" w:hAnsi="Times New Roman" w:cs="Times New Roman"/>
        </w:rPr>
      </w:pPr>
      <w:r>
        <w:rPr>
          <w:rFonts w:ascii="Times New Roman" w:hAnsi="宋体" w:cs="Times New Roman"/>
        </w:rPr>
        <w:t>①</w:t>
      </w:r>
      <w:r>
        <w:rPr>
          <w:rFonts w:ascii="Times New Roman" w:hAnsi="Times New Roman" w:cs="Times New Roman"/>
        </w:rPr>
        <w:t xml:space="preserve"> 设计充满度h/D</w:t>
      </w:r>
    </w:p>
    <w:p>
      <w:pPr>
        <w:pStyle w:val="139"/>
        <w:spacing w:line="360" w:lineRule="auto"/>
        <w:ind w:firstLine="482"/>
        <w:rPr>
          <w:rFonts w:ascii="Times New Roman" w:hAnsi="Times New Roman" w:cs="Times New Roman"/>
        </w:rPr>
      </w:pPr>
      <w:r>
        <w:rPr>
          <w:rFonts w:ascii="Times New Roman" w:hAnsi="Times New Roman" w:cs="Times New Roman"/>
        </w:rPr>
        <w:t>我国规定污水管道按不满流（h/D≤1）进行设计，其最大设计充满度的规定见下表，合流制管道按满流（h/D=1.0）进行设计。</w:t>
      </w:r>
    </w:p>
    <w:p>
      <w:pPr>
        <w:pStyle w:val="13"/>
        <w:ind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STYLEREF 2 \s </w:instrText>
      </w:r>
      <w:r>
        <w:rPr>
          <w:rFonts w:ascii="Times New Roman" w:hAnsi="Times New Roman" w:cs="Times New Roman"/>
          <w:b/>
          <w:sz w:val="24"/>
          <w:szCs w:val="24"/>
        </w:rPr>
        <w:fldChar w:fldCharType="separate"/>
      </w:r>
      <w:r>
        <w:rPr>
          <w:rFonts w:ascii="Times New Roman" w:hAnsi="Times New Roman" w:cs="Times New Roman"/>
          <w:b/>
          <w:sz w:val="24"/>
          <w:szCs w:val="24"/>
        </w:rPr>
        <w:t>2.1</w:t>
      </w:r>
      <w:r>
        <w:rPr>
          <w:rFonts w:ascii="Times New Roman" w:hAnsi="Times New Roman" w:cs="Times New Roman"/>
          <w:b/>
          <w:sz w:val="24"/>
          <w:szCs w:val="24"/>
        </w:rPr>
        <w:fldChar w:fldCharType="end"/>
      </w:r>
      <w:r>
        <w:rPr>
          <w:rFonts w:ascii="Times New Roman" w:hAnsi="Times New Roman" w:cs="Times New Roman"/>
          <w:b/>
          <w:sz w:val="24"/>
          <w:szCs w:val="24"/>
        </w:rPr>
        <w:noBreakHyphen/>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表 \* ARABIC \s 2 </w:instrText>
      </w:r>
      <w:r>
        <w:rPr>
          <w:rFonts w:ascii="Times New Roman" w:hAnsi="Times New Roman" w:cs="Times New Roman"/>
          <w:b/>
          <w:sz w:val="24"/>
          <w:szCs w:val="24"/>
        </w:rPr>
        <w:fldChar w:fldCharType="separate"/>
      </w:r>
      <w:r>
        <w:rPr>
          <w:rFonts w:ascii="Times New Roman" w:hAnsi="Times New Roman" w:cs="Times New Roman"/>
          <w:b/>
          <w:sz w:val="24"/>
          <w:szCs w:val="24"/>
        </w:rPr>
        <w:t>23</w:t>
      </w:r>
      <w:r>
        <w:rPr>
          <w:rFonts w:ascii="Times New Roman" w:hAnsi="Times New Roman" w:cs="Times New Roman"/>
          <w:b/>
          <w:sz w:val="24"/>
          <w:szCs w:val="24"/>
        </w:rPr>
        <w:fldChar w:fldCharType="end"/>
      </w:r>
      <w:r>
        <w:rPr>
          <w:rFonts w:ascii="Times New Roman" w:hAnsi="Times New Roman" w:cs="Times New Roman"/>
          <w:b/>
          <w:sz w:val="24"/>
          <w:szCs w:val="24"/>
        </w:rPr>
        <w:t>最大设计充满度规定表</w:t>
      </w:r>
    </w:p>
    <w:tbl>
      <w:tblPr>
        <w:tblStyle w:val="38"/>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04"/>
        <w:gridCol w:w="43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4" w:type="dxa"/>
            <w:vAlign w:val="center"/>
          </w:tcPr>
          <w:p>
            <w:pPr>
              <w:pStyle w:val="145"/>
              <w:spacing w:line="320" w:lineRule="exact"/>
              <w:rPr>
                <w:rFonts w:ascii="Times New Roman" w:hAnsi="Times New Roman" w:cs="Times New Roman"/>
              </w:rPr>
            </w:pPr>
            <w:r>
              <w:rPr>
                <w:rFonts w:ascii="Times New Roman" w:hAnsi="Times New Roman" w:cs="Times New Roman"/>
              </w:rPr>
              <w:t>管径（D）或暗管渠高（H）（mm）</w:t>
            </w:r>
          </w:p>
        </w:tc>
        <w:tc>
          <w:tcPr>
            <w:tcW w:w="4324" w:type="dxa"/>
            <w:vAlign w:val="center"/>
          </w:tcPr>
          <w:p>
            <w:pPr>
              <w:pStyle w:val="145"/>
              <w:spacing w:line="320" w:lineRule="exact"/>
              <w:rPr>
                <w:rFonts w:ascii="Times New Roman" w:hAnsi="Times New Roman" w:cs="Times New Roman"/>
              </w:rPr>
            </w:pPr>
            <w:r>
              <w:rPr>
                <w:rFonts w:ascii="Times New Roman" w:hAnsi="Times New Roman" w:cs="Times New Roman"/>
              </w:rPr>
              <w:t>最大设计充满度（h/D）或（h/H）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4" w:type="dxa"/>
            <w:vAlign w:val="center"/>
          </w:tcPr>
          <w:p>
            <w:pPr>
              <w:pStyle w:val="145"/>
              <w:spacing w:line="320" w:lineRule="exact"/>
              <w:rPr>
                <w:rFonts w:ascii="Times New Roman" w:hAnsi="Times New Roman" w:cs="Times New Roman"/>
                <w:vertAlign w:val="superscript"/>
              </w:rPr>
            </w:pPr>
            <w:r>
              <w:rPr>
                <w:rFonts w:ascii="Times New Roman" w:hAnsi="Times New Roman" w:cs="Times New Roman"/>
              </w:rPr>
              <w:t>200～300</w:t>
            </w:r>
          </w:p>
        </w:tc>
        <w:tc>
          <w:tcPr>
            <w:tcW w:w="4324" w:type="dxa"/>
            <w:vAlign w:val="center"/>
          </w:tcPr>
          <w:p>
            <w:pPr>
              <w:pStyle w:val="145"/>
              <w:spacing w:line="320" w:lineRule="exact"/>
              <w:rPr>
                <w:rFonts w:ascii="Times New Roman" w:hAnsi="Times New Roman" w:cs="Times New Roman"/>
              </w:rPr>
            </w:pPr>
            <w:r>
              <w:rPr>
                <w:rFonts w:ascii="Times New Roman" w:hAnsi="Times New Roman" w:cs="Times New Roma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4" w:type="dxa"/>
            <w:vAlign w:val="center"/>
          </w:tcPr>
          <w:p>
            <w:pPr>
              <w:pStyle w:val="145"/>
              <w:spacing w:line="320" w:lineRule="exact"/>
              <w:rPr>
                <w:rFonts w:ascii="Times New Roman" w:hAnsi="Times New Roman" w:cs="Times New Roman"/>
              </w:rPr>
            </w:pPr>
            <w:r>
              <w:rPr>
                <w:rFonts w:ascii="Times New Roman" w:hAnsi="Times New Roman" w:cs="Times New Roman"/>
              </w:rPr>
              <w:t>350～450</w:t>
            </w:r>
          </w:p>
        </w:tc>
        <w:tc>
          <w:tcPr>
            <w:tcW w:w="4324" w:type="dxa"/>
            <w:vAlign w:val="center"/>
          </w:tcPr>
          <w:p>
            <w:pPr>
              <w:pStyle w:val="145"/>
              <w:spacing w:line="320" w:lineRule="exact"/>
              <w:rPr>
                <w:rFonts w:ascii="Times New Roman" w:hAnsi="Times New Roman" w:cs="Times New Roman"/>
              </w:rPr>
            </w:pPr>
            <w:r>
              <w:rPr>
                <w:rFonts w:ascii="Times New Roman" w:hAnsi="Times New Roman" w:cs="Times New Roman"/>
              </w:rPr>
              <w:t>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4" w:type="dxa"/>
            <w:vAlign w:val="center"/>
          </w:tcPr>
          <w:p>
            <w:pPr>
              <w:pStyle w:val="145"/>
              <w:spacing w:line="320" w:lineRule="exact"/>
              <w:rPr>
                <w:rFonts w:ascii="Times New Roman" w:hAnsi="Times New Roman" w:cs="Times New Roman"/>
              </w:rPr>
            </w:pPr>
            <w:r>
              <w:rPr>
                <w:rFonts w:ascii="Times New Roman" w:hAnsi="Times New Roman" w:cs="Times New Roman"/>
              </w:rPr>
              <w:t>500～900</w:t>
            </w:r>
          </w:p>
        </w:tc>
        <w:tc>
          <w:tcPr>
            <w:tcW w:w="4324" w:type="dxa"/>
            <w:vAlign w:val="center"/>
          </w:tcPr>
          <w:p>
            <w:pPr>
              <w:pStyle w:val="145"/>
              <w:spacing w:line="320" w:lineRule="exact"/>
              <w:rPr>
                <w:rFonts w:ascii="Times New Roman" w:hAnsi="Times New Roman" w:cs="Times New Roman"/>
              </w:rPr>
            </w:pPr>
            <w:r>
              <w:rPr>
                <w:rFonts w:ascii="Times New Roman" w:hAnsi="Times New Roman" w:cs="Times New Roman"/>
              </w:rPr>
              <w:t>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4" w:type="dxa"/>
            <w:vAlign w:val="center"/>
          </w:tcPr>
          <w:p>
            <w:pPr>
              <w:pStyle w:val="145"/>
              <w:spacing w:line="320" w:lineRule="exact"/>
              <w:rPr>
                <w:rFonts w:ascii="Times New Roman" w:hAnsi="Times New Roman" w:cs="Times New Roman"/>
              </w:rPr>
            </w:pPr>
            <w:r>
              <w:rPr>
                <w:rFonts w:ascii="Times New Roman" w:hAnsi="Times New Roman" w:cs="Times New Roman"/>
              </w:rPr>
              <w:t>≥1000</w:t>
            </w:r>
          </w:p>
        </w:tc>
        <w:tc>
          <w:tcPr>
            <w:tcW w:w="4324" w:type="dxa"/>
            <w:vAlign w:val="center"/>
          </w:tcPr>
          <w:p>
            <w:pPr>
              <w:pStyle w:val="145"/>
              <w:spacing w:line="320" w:lineRule="exact"/>
              <w:rPr>
                <w:rFonts w:ascii="Times New Roman" w:hAnsi="Times New Roman" w:cs="Times New Roman"/>
              </w:rPr>
            </w:pPr>
            <w:r>
              <w:rPr>
                <w:rFonts w:ascii="Times New Roman" w:hAnsi="Times New Roman" w:cs="Times New Roman"/>
              </w:rPr>
              <w:t>0.75</w:t>
            </w:r>
          </w:p>
        </w:tc>
      </w:tr>
    </w:tbl>
    <w:p>
      <w:pPr>
        <w:pStyle w:val="139"/>
        <w:spacing w:line="360" w:lineRule="auto"/>
        <w:ind w:firstLineChars="200"/>
        <w:rPr>
          <w:rFonts w:ascii="Times New Roman" w:hAnsi="Times New Roman" w:cs="Times New Roman"/>
        </w:rPr>
      </w:pPr>
      <w:r>
        <w:rPr>
          <w:rFonts w:ascii="Times New Roman" w:hAnsi="宋体" w:cs="Times New Roman"/>
        </w:rPr>
        <w:t>②</w:t>
      </w:r>
      <w:r>
        <w:rPr>
          <w:rFonts w:ascii="Times New Roman" w:hAnsi="Times New Roman" w:cs="Times New Roman"/>
        </w:rPr>
        <w:t xml:space="preserve"> 设计流速</w:t>
      </w:r>
    </w:p>
    <w:p>
      <w:pPr>
        <w:pStyle w:val="139"/>
        <w:spacing w:line="360" w:lineRule="auto"/>
        <w:ind w:firstLineChars="200"/>
        <w:rPr>
          <w:rFonts w:ascii="Times New Roman" w:hAnsi="Times New Roman" w:cs="Times New Roman"/>
        </w:rPr>
      </w:pPr>
      <w:r>
        <w:rPr>
          <w:rFonts w:ascii="Times New Roman" w:hAnsi="Times New Roman" w:cs="Times New Roman"/>
        </w:rPr>
        <w:t>最小设计流速：V</w:t>
      </w:r>
      <w:r>
        <w:rPr>
          <w:rFonts w:ascii="Times New Roman" w:hAnsi="Times New Roman" w:cs="Times New Roman"/>
          <w:vertAlign w:val="subscript"/>
        </w:rPr>
        <w:t>min</w:t>
      </w:r>
      <w:r>
        <w:rPr>
          <w:rFonts w:ascii="Times New Roman" w:hAnsi="Times New Roman" w:cs="Times New Roman"/>
        </w:rPr>
        <w:t>=0.6m/s</w:t>
      </w:r>
    </w:p>
    <w:p>
      <w:pPr>
        <w:pStyle w:val="139"/>
        <w:spacing w:line="360" w:lineRule="auto"/>
        <w:ind w:firstLineChars="200"/>
        <w:rPr>
          <w:rFonts w:ascii="Times New Roman" w:hAnsi="Times New Roman" w:cs="Times New Roman"/>
        </w:rPr>
      </w:pPr>
      <w:r>
        <w:rPr>
          <w:rFonts w:ascii="Times New Roman" w:hAnsi="Times New Roman" w:cs="Times New Roman"/>
        </w:rPr>
        <w:t>最大设计流速：金属管道V</w:t>
      </w:r>
      <w:r>
        <w:rPr>
          <w:rFonts w:ascii="Times New Roman" w:hAnsi="Times New Roman" w:cs="Times New Roman"/>
          <w:vertAlign w:val="subscript"/>
        </w:rPr>
        <w:t>max</w:t>
      </w:r>
      <w:r>
        <w:rPr>
          <w:rFonts w:ascii="Times New Roman" w:hAnsi="Times New Roman" w:cs="Times New Roman"/>
        </w:rPr>
        <w:t>＝10m/s</w:t>
      </w:r>
    </w:p>
    <w:p>
      <w:pPr>
        <w:pStyle w:val="139"/>
        <w:spacing w:line="360" w:lineRule="auto"/>
        <w:ind w:firstLineChars="200"/>
        <w:rPr>
          <w:rFonts w:ascii="Times New Roman" w:hAnsi="Times New Roman" w:cs="Times New Roman"/>
        </w:rPr>
      </w:pPr>
      <w:r>
        <w:rPr>
          <w:rFonts w:ascii="Times New Roman" w:hAnsi="Times New Roman" w:cs="Times New Roman"/>
        </w:rPr>
        <w:t>非金属管道V</w:t>
      </w:r>
      <w:r>
        <w:rPr>
          <w:rFonts w:ascii="Times New Roman" w:hAnsi="Times New Roman" w:cs="Times New Roman"/>
          <w:vertAlign w:val="subscript"/>
        </w:rPr>
        <w:t>max</w:t>
      </w:r>
      <w:r>
        <w:rPr>
          <w:rFonts w:ascii="Times New Roman" w:hAnsi="Times New Roman" w:cs="Times New Roman"/>
        </w:rPr>
        <w:t>＝5m/s</w:t>
      </w:r>
    </w:p>
    <w:p>
      <w:pPr>
        <w:pStyle w:val="139"/>
        <w:spacing w:line="360" w:lineRule="auto"/>
        <w:ind w:firstLineChars="200"/>
        <w:rPr>
          <w:rFonts w:ascii="Times New Roman" w:hAnsi="Times New Roman" w:cs="Times New Roman"/>
        </w:rPr>
      </w:pPr>
      <w:r>
        <w:rPr>
          <w:rFonts w:ascii="Times New Roman" w:hAnsi="Times New Roman" w:cs="Times New Roman"/>
        </w:rPr>
        <w:t>合流制管道在满流时V</w:t>
      </w:r>
      <w:r>
        <w:rPr>
          <w:rFonts w:ascii="Times New Roman" w:hAnsi="Times New Roman" w:cs="Times New Roman"/>
          <w:vertAlign w:val="subscript"/>
        </w:rPr>
        <w:t>min</w:t>
      </w:r>
      <w:r>
        <w:rPr>
          <w:rFonts w:ascii="Times New Roman" w:hAnsi="Times New Roman" w:cs="Times New Roman"/>
        </w:rPr>
        <w:t>=0.75m/s</w:t>
      </w:r>
    </w:p>
    <w:p>
      <w:pPr>
        <w:pStyle w:val="139"/>
        <w:spacing w:line="360" w:lineRule="auto"/>
        <w:ind w:firstLineChars="200"/>
        <w:rPr>
          <w:rFonts w:ascii="Times New Roman" w:hAnsi="Times New Roman" w:cs="Times New Roman"/>
        </w:rPr>
      </w:pPr>
      <w:r>
        <w:rPr>
          <w:rFonts w:ascii="Times New Roman" w:hAnsi="宋体" w:cs="Times New Roman"/>
        </w:rPr>
        <w:t>③</w:t>
      </w:r>
      <w:r>
        <w:rPr>
          <w:rFonts w:ascii="Times New Roman" w:hAnsi="Times New Roman" w:cs="Times New Roman"/>
        </w:rPr>
        <w:t xml:space="preserve"> 最小管径与最小设计坡度</w:t>
      </w:r>
    </w:p>
    <w:p>
      <w:pPr>
        <w:pStyle w:val="139"/>
        <w:spacing w:line="360" w:lineRule="auto"/>
        <w:ind w:firstLineChars="200"/>
        <w:rPr>
          <w:rFonts w:ascii="Times New Roman" w:hAnsi="Times New Roman" w:cs="Times New Roman"/>
        </w:rPr>
      </w:pPr>
      <w:r>
        <w:rPr>
          <w:rFonts w:ascii="Times New Roman" w:hAnsi="Times New Roman" w:cs="Times New Roman"/>
        </w:rPr>
        <w:t>街道下最小管径为300mm，相应的最小设计坡度0.003。</w:t>
      </w:r>
    </w:p>
    <w:p>
      <w:pPr>
        <w:pStyle w:val="139"/>
        <w:spacing w:line="360" w:lineRule="auto"/>
        <w:ind w:firstLineChars="200"/>
        <w:rPr>
          <w:rFonts w:ascii="Times New Roman" w:hAnsi="Times New Roman" w:cs="Times New Roman"/>
        </w:rPr>
      </w:pPr>
      <w:r>
        <w:rPr>
          <w:rFonts w:cs="Times New Roman" w:asciiTheme="minorEastAsia" w:hAnsiTheme="minorEastAsia"/>
        </w:rPr>
        <w:t>④</w:t>
      </w:r>
      <w:r>
        <w:rPr>
          <w:rFonts w:ascii="Times New Roman" w:hAnsi="Times New Roman" w:cs="Times New Roman"/>
        </w:rPr>
        <w:t>管道连接</w:t>
      </w:r>
    </w:p>
    <w:p>
      <w:pPr>
        <w:pStyle w:val="139"/>
        <w:spacing w:line="360" w:lineRule="auto"/>
        <w:ind w:firstLineChars="200"/>
        <w:rPr>
          <w:rFonts w:ascii="Times New Roman" w:hAnsi="Times New Roman" w:cs="Times New Roman"/>
        </w:rPr>
      </w:pPr>
      <w:r>
        <w:rPr>
          <w:rFonts w:ascii="Times New Roman" w:hAnsi="Times New Roman" w:cs="Times New Roman"/>
        </w:rPr>
        <w:t>排水管道一般采用管顶平接、水面平接或跌水连接等方式。排水管渠的断面形式必须满足静力学、水力学以及经济和养护管理上的要求。在静力学方面，管道必须有较大的稳定性，在承受各种荷载时是稳定和坚固的；在水力学方面，管道断面应具有最大的排水能力，并在最小设计流量下不产生沉淀物；在经济方面，管道造价尽可能节省；在养护管理方面，管道断面应便于冲洗和清通，没有淤积。</w:t>
      </w:r>
    </w:p>
    <w:p>
      <w:pPr>
        <w:pStyle w:val="139"/>
        <w:spacing w:line="360" w:lineRule="auto"/>
        <w:ind w:firstLineChars="200"/>
        <w:rPr>
          <w:rFonts w:ascii="Times New Roman" w:hAnsi="Times New Roman" w:cs="Times New Roman"/>
        </w:rPr>
      </w:pPr>
      <w:r>
        <w:rPr>
          <w:rFonts w:ascii="Times New Roman" w:hAnsi="Times New Roman" w:cs="Times New Roman"/>
        </w:rPr>
        <w:t>圆形断面具有较好的水力性能，在一定的坡度下，圆形的断面面积具有最大的水力半径，流速大，流量也大。此外，圆形管便于预制，使用材料经济，对外压力的抵抗力较强，在运输和施工养护方面也较方便，因此是最常用的一种断面形式。矩形断面具有过水面积大，输水能力强的特点，通常在污水量很大时采用。</w:t>
      </w:r>
    </w:p>
    <w:p>
      <w:pPr>
        <w:pStyle w:val="5"/>
      </w:pPr>
      <w:r>
        <w:rPr>
          <w:rFonts w:hint="eastAsia"/>
        </w:rPr>
        <w:t>本</w:t>
      </w:r>
      <w:r>
        <w:t>项目工作制度及劳动定员</w:t>
      </w:r>
    </w:p>
    <w:p>
      <w:pPr>
        <w:spacing w:line="360" w:lineRule="auto"/>
        <w:ind w:firstLine="480" w:firstLineChars="200"/>
        <w:rPr>
          <w:rFonts w:cs="Times New Roman"/>
        </w:rPr>
      </w:pPr>
      <w:r>
        <w:rPr>
          <w:rFonts w:hint="eastAsia" w:cs="Times New Roman"/>
        </w:rPr>
        <w:t>本项目</w:t>
      </w:r>
      <w:r>
        <w:rPr>
          <w:rFonts w:cs="Times New Roman"/>
        </w:rPr>
        <w:t>污水处理厂总共40人，其中</w:t>
      </w:r>
      <w:r>
        <w:rPr>
          <w:rFonts w:hAnsi="宋体" w:cs="Times New Roman"/>
        </w:rPr>
        <w:t>厂级管理人员</w:t>
      </w:r>
      <w:r>
        <w:rPr>
          <w:rFonts w:cs="Times New Roman"/>
        </w:rPr>
        <w:t>5</w:t>
      </w:r>
      <w:r>
        <w:rPr>
          <w:rFonts w:hAnsi="宋体" w:cs="Times New Roman"/>
        </w:rPr>
        <w:t>人、技术人员</w:t>
      </w:r>
      <w:r>
        <w:rPr>
          <w:rFonts w:cs="Times New Roman"/>
        </w:rPr>
        <w:t>6</w:t>
      </w:r>
      <w:r>
        <w:rPr>
          <w:rFonts w:hAnsi="宋体" w:cs="Times New Roman"/>
        </w:rPr>
        <w:t>人、运转工</w:t>
      </w:r>
      <w:r>
        <w:rPr>
          <w:rFonts w:cs="Times New Roman"/>
        </w:rPr>
        <w:t>4</w:t>
      </w:r>
      <w:r>
        <w:rPr>
          <w:rFonts w:hAnsi="宋体" w:cs="Times New Roman"/>
        </w:rPr>
        <w:t>人、辅助生产人员</w:t>
      </w:r>
      <w:r>
        <w:rPr>
          <w:rFonts w:cs="Times New Roman"/>
        </w:rPr>
        <w:t>10</w:t>
      </w:r>
      <w:r>
        <w:rPr>
          <w:rFonts w:hAnsi="宋体" w:cs="Times New Roman"/>
        </w:rPr>
        <w:t>人、服务人员</w:t>
      </w:r>
      <w:r>
        <w:rPr>
          <w:rFonts w:cs="Times New Roman"/>
        </w:rPr>
        <w:t>15</w:t>
      </w:r>
      <w:r>
        <w:rPr>
          <w:rFonts w:hAnsi="宋体" w:cs="Times New Roman"/>
        </w:rPr>
        <w:t>人。</w:t>
      </w:r>
      <w:r>
        <w:rPr>
          <w:rFonts w:cs="Times New Roman"/>
        </w:rPr>
        <w:t>有8人在厂食宿，工作时间为三班8小时制，每年工作</w:t>
      </w:r>
      <w:r>
        <w:rPr>
          <w:rFonts w:hint="eastAsia" w:cs="Times New Roman"/>
        </w:rPr>
        <w:t>365</w:t>
      </w:r>
      <w:r>
        <w:rPr>
          <w:rFonts w:cs="Times New Roman"/>
        </w:rPr>
        <w:t>天</w:t>
      </w:r>
      <w:r>
        <w:rPr>
          <w:rFonts w:hint="eastAsia" w:cs="Times New Roman"/>
        </w:rPr>
        <w:t>.</w:t>
      </w:r>
    </w:p>
    <w:p>
      <w:pPr>
        <w:pStyle w:val="5"/>
      </w:pPr>
      <w:r>
        <w:t>公共工程</w:t>
      </w:r>
    </w:p>
    <w:p>
      <w:pPr>
        <w:spacing w:line="360" w:lineRule="auto"/>
        <w:ind w:firstLine="480" w:firstLineChars="200"/>
      </w:pPr>
      <w:r>
        <w:rPr>
          <w:rFonts w:hint="eastAsia"/>
        </w:rPr>
        <w:t>（1）给水</w:t>
      </w:r>
    </w:p>
    <w:p>
      <w:pPr>
        <w:spacing w:line="360" w:lineRule="auto"/>
        <w:ind w:firstLine="480" w:firstLineChars="200"/>
      </w:pPr>
      <w:r>
        <w:rPr>
          <w:rFonts w:hint="eastAsia"/>
        </w:rPr>
        <w:t>本项目供水由自来水厂供给。</w:t>
      </w:r>
    </w:p>
    <w:p>
      <w:pPr>
        <w:spacing w:line="360" w:lineRule="auto"/>
        <w:ind w:firstLine="480" w:firstLineChars="200"/>
      </w:pPr>
      <w:r>
        <w:rPr>
          <w:rFonts w:hint="eastAsia"/>
        </w:rPr>
        <w:t>（2）排水</w:t>
      </w:r>
    </w:p>
    <w:p>
      <w:pPr>
        <w:spacing w:line="360" w:lineRule="auto"/>
        <w:ind w:firstLine="480" w:firstLineChars="200"/>
      </w:pPr>
      <w:r>
        <w:rPr>
          <w:rFonts w:hint="eastAsia"/>
        </w:rPr>
        <w:t>采用雨污分流、清污分流。雨水通过雨水管网排入华容河，厂内各排水单元排污的污水汇总后达标处理排放，本项目排污口位于华容县石伏工业园，位于华容县城境内华容河流域下游，根据</w:t>
      </w:r>
      <w:r>
        <w:t>《</w:t>
      </w:r>
      <w:r>
        <w:rPr>
          <w:rFonts w:hint="eastAsia"/>
        </w:rPr>
        <w:t>湖南省主要地表水系水环境功能区划</w:t>
      </w:r>
      <w:r>
        <w:t>》（</w:t>
      </w:r>
      <w:r>
        <w:rPr>
          <w:rFonts w:hint="eastAsia"/>
        </w:rPr>
        <w:t>DB43023-2005</w:t>
      </w:r>
      <w:r>
        <w:t>）</w:t>
      </w:r>
      <w:r>
        <w:rPr>
          <w:rFonts w:hint="eastAsia"/>
        </w:rPr>
        <w:t>项目排污河段为华容河华容大桥至六门闸（北支）</w:t>
      </w:r>
      <w:r>
        <w:t>水质达到国家Ⅲ类水质标准，</w:t>
      </w:r>
      <w:r>
        <w:rPr>
          <w:rFonts w:hint="eastAsia"/>
        </w:rPr>
        <w:t>属渔业用水区。</w:t>
      </w:r>
    </w:p>
    <w:p>
      <w:pPr>
        <w:spacing w:line="360" w:lineRule="auto"/>
        <w:ind w:firstLine="480" w:firstLineChars="200"/>
      </w:pPr>
      <w:r>
        <w:rPr>
          <w:rFonts w:hint="eastAsia"/>
        </w:rPr>
        <w:t>（3）供电</w:t>
      </w:r>
    </w:p>
    <w:p>
      <w:pPr>
        <w:pStyle w:val="146"/>
        <w:spacing w:line="360" w:lineRule="auto"/>
        <w:ind w:firstLine="480" w:firstLineChars="200"/>
        <w:rPr>
          <w:sz w:val="24"/>
          <w:szCs w:val="24"/>
        </w:rPr>
      </w:pPr>
      <w:r>
        <w:rPr>
          <w:rFonts w:hAnsi="宋体"/>
          <w:sz w:val="24"/>
          <w:szCs w:val="24"/>
        </w:rPr>
        <w:t>本项目污水处理厂为二级负荷供电，双回路</w:t>
      </w:r>
      <w:r>
        <w:rPr>
          <w:sz w:val="24"/>
          <w:szCs w:val="24"/>
        </w:rPr>
        <w:t>10kV</w:t>
      </w:r>
      <w:r>
        <w:rPr>
          <w:rFonts w:hAnsi="宋体"/>
          <w:sz w:val="24"/>
          <w:szCs w:val="24"/>
        </w:rPr>
        <w:t>电源，厂内设</w:t>
      </w:r>
      <w:r>
        <w:rPr>
          <w:sz w:val="24"/>
          <w:szCs w:val="24"/>
        </w:rPr>
        <w:t>2</w:t>
      </w:r>
      <w:r>
        <w:rPr>
          <w:rFonts w:hAnsi="宋体"/>
          <w:sz w:val="24"/>
          <w:szCs w:val="24"/>
        </w:rPr>
        <w:t>台</w:t>
      </w:r>
      <w:r>
        <w:rPr>
          <w:rFonts w:hint="eastAsia"/>
          <w:sz w:val="24"/>
          <w:szCs w:val="24"/>
        </w:rPr>
        <w:t>400</w:t>
      </w:r>
      <w:r>
        <w:rPr>
          <w:sz w:val="24"/>
          <w:szCs w:val="24"/>
        </w:rPr>
        <w:t>kVA</w:t>
      </w:r>
      <w:r>
        <w:rPr>
          <w:rFonts w:hAnsi="宋体"/>
          <w:sz w:val="24"/>
          <w:szCs w:val="24"/>
        </w:rPr>
        <w:t>的干式变压器，设备电源由变配电所采用</w:t>
      </w:r>
      <w:r>
        <w:rPr>
          <w:sz w:val="24"/>
          <w:szCs w:val="24"/>
        </w:rPr>
        <w:t>380/220V</w:t>
      </w:r>
      <w:r>
        <w:rPr>
          <w:rFonts w:hAnsi="宋体"/>
          <w:sz w:val="24"/>
          <w:szCs w:val="24"/>
        </w:rPr>
        <w:t>电缆线路供电，设备配电采用放射式与树干式相结合的供电方式。本工程配电系统采用</w:t>
      </w:r>
      <w:r>
        <w:rPr>
          <w:sz w:val="24"/>
          <w:szCs w:val="24"/>
        </w:rPr>
        <w:t>TN-S</w:t>
      </w:r>
      <w:r>
        <w:rPr>
          <w:rFonts w:hAnsi="宋体"/>
          <w:sz w:val="24"/>
          <w:szCs w:val="24"/>
        </w:rPr>
        <w:t>系统。室外配电、照明线路采用电缆在电缆沟或直埋敷设。</w:t>
      </w:r>
    </w:p>
    <w:p>
      <w:pPr>
        <w:pStyle w:val="5"/>
      </w:pPr>
      <w:r>
        <w:t>自控及仪表</w:t>
      </w:r>
    </w:p>
    <w:p>
      <w:pPr>
        <w:pStyle w:val="146"/>
        <w:spacing w:line="360" w:lineRule="auto"/>
        <w:ind w:firstLine="480" w:firstLineChars="200"/>
        <w:rPr>
          <w:sz w:val="24"/>
          <w:szCs w:val="24"/>
        </w:rPr>
      </w:pPr>
      <w:r>
        <w:rPr>
          <w:rFonts w:hint="eastAsia" w:ascii="宋体" w:hAnsi="宋体"/>
          <w:sz w:val="24"/>
          <w:szCs w:val="24"/>
        </w:rPr>
        <w:t>自控系统采用现场总线+集散型的计算机控制系统结构。由可编程序控制器（</w:t>
      </w:r>
      <w:r>
        <w:rPr>
          <w:rFonts w:hint="eastAsia"/>
          <w:sz w:val="24"/>
          <w:szCs w:val="24"/>
        </w:rPr>
        <w:t>PLC</w:t>
      </w:r>
      <w:r>
        <w:rPr>
          <w:rFonts w:hint="eastAsia" w:ascii="宋体" w:hAnsi="宋体"/>
          <w:sz w:val="24"/>
          <w:szCs w:val="24"/>
        </w:rPr>
        <w:t>）及自动化仪表组成的检测控制系统—现场控制子站，对污水净化中心各过程进行分散控制；再由通讯、数据服务系统、工业控制机等组成的中央控制系统对全厂实行集中管理。中央控制室与</w:t>
      </w:r>
      <w:r>
        <w:rPr>
          <w:rFonts w:hint="eastAsia"/>
          <w:sz w:val="24"/>
          <w:szCs w:val="24"/>
        </w:rPr>
        <w:t>PLC</w:t>
      </w:r>
      <w:r>
        <w:rPr>
          <w:rFonts w:hint="eastAsia" w:ascii="宋体" w:hAnsi="宋体"/>
          <w:sz w:val="24"/>
          <w:szCs w:val="24"/>
        </w:rPr>
        <w:t>子站采用光纤进行数据通讯及信息交换，完成对处理过程仪表和设备的监视和控制。在中央控制室显示各设备运行状态，并动态显示各参数的变化并将这些数据不断保存、更新。根据需要可随机打印、报表，超限报警。计算机还可根据这些数据进行分析和处理，为操作人员修改控制的指令提供数据依据。操作人员可通过上位机发出指令，通过计算机的分析、处理，为优化系统控制和提高经济指标提供可靠依据。</w:t>
      </w:r>
    </w:p>
    <w:p>
      <w:pPr>
        <w:pStyle w:val="5"/>
      </w:pPr>
      <w:r>
        <w:t>工程总图布置</w:t>
      </w:r>
    </w:p>
    <w:p>
      <w:pPr>
        <w:spacing w:line="360" w:lineRule="auto"/>
        <w:ind w:firstLine="480" w:firstLineChars="200"/>
        <w:rPr>
          <w:rFonts w:cs="Times New Roman"/>
        </w:rPr>
      </w:pPr>
      <w:r>
        <w:t>华容县桥东污水处理厂项目的设计规模</w:t>
      </w:r>
      <w:r>
        <w:rPr>
          <w:rFonts w:hint="eastAsia"/>
        </w:rPr>
        <w:t>，</w:t>
      </w:r>
      <w:r>
        <w:t>为</w:t>
      </w:r>
      <w:r>
        <w:rPr>
          <w:rFonts w:cs="Times New Roman"/>
        </w:rPr>
        <w:t>2万m</w:t>
      </w:r>
      <w:r>
        <w:rPr>
          <w:rFonts w:cs="Times New Roman"/>
          <w:vertAlign w:val="superscript"/>
        </w:rPr>
        <w:t>3</w:t>
      </w:r>
      <w:r>
        <w:rPr>
          <w:rFonts w:cs="Times New Roman"/>
        </w:rPr>
        <w:t>/d</w:t>
      </w:r>
      <w:r>
        <w:rPr>
          <w:rFonts w:hint="eastAsia" w:cs="Times New Roman"/>
        </w:rPr>
        <w:t>，</w:t>
      </w:r>
      <w:r>
        <w:rPr>
          <w:rFonts w:cs="Times New Roman"/>
        </w:rPr>
        <w:t>远期设计规模6.0万m</w:t>
      </w:r>
      <w:r>
        <w:rPr>
          <w:rFonts w:cs="Times New Roman"/>
          <w:vertAlign w:val="superscript"/>
        </w:rPr>
        <w:t>3</w:t>
      </w:r>
      <w:r>
        <w:rPr>
          <w:rFonts w:cs="Times New Roman"/>
        </w:rPr>
        <w:t>/d，厂区范围按远期设计规模一次征地，总占地57547.34m</w:t>
      </w:r>
      <w:r>
        <w:rPr>
          <w:rFonts w:cs="Times New Roman"/>
          <w:vertAlign w:val="superscript"/>
        </w:rPr>
        <w:t>2</w:t>
      </w:r>
      <w:r>
        <w:rPr>
          <w:rFonts w:cs="Times New Roman"/>
        </w:rPr>
        <w:t>（86.32亩）</w:t>
      </w:r>
      <w:r>
        <w:rPr>
          <w:rFonts w:hint="eastAsia" w:cs="Times New Roman"/>
        </w:rPr>
        <w:t>，</w:t>
      </w:r>
      <w:r>
        <w:rPr>
          <w:rFonts w:cs="Times New Roman"/>
        </w:rPr>
        <w:t>设计采用</w:t>
      </w:r>
      <w:r>
        <w:rPr>
          <w:rFonts w:hint="eastAsia" w:cs="Times New Roman"/>
        </w:rPr>
        <w:t>“</w:t>
      </w:r>
      <w:r>
        <w:rPr>
          <w:rFonts w:hint="eastAsia"/>
        </w:rPr>
        <w:t>粗格栅、细格栅、组合池（由水解酸化组成+AAO生化池+矩形二沉池）、高效沉淀池、滤布滤池、接触消毒池</w:t>
      </w:r>
      <w:r>
        <w:rPr>
          <w:rFonts w:hint="eastAsia" w:cs="Times New Roman"/>
        </w:rPr>
        <w:t>”的工艺。项目区域6~7月为南风，其他月份偏北风，年主导风向为北风，年主导风向为北风，同时考虑项目周边交通情况（</w:t>
      </w:r>
      <w:r>
        <w:rPr>
          <w:rFonts w:cs="Times New Roman"/>
        </w:rPr>
        <w:t>项目厂区周边仅南侧有道路</w:t>
      </w:r>
      <w:r>
        <w:rPr>
          <w:rFonts w:hint="eastAsia" w:cs="Times New Roman"/>
        </w:rPr>
        <w:t>）</w:t>
      </w:r>
      <w:r>
        <w:rPr>
          <w:rFonts w:cs="Times New Roman"/>
        </w:rPr>
        <w:t>，因此污水处理厂生活办公区及污水处理区呈东西分布。</w:t>
      </w:r>
      <w:r>
        <w:rPr>
          <w:rFonts w:hint="eastAsia" w:cs="Times New Roman"/>
        </w:rPr>
        <w:t>本项目生活区域办公楼在西北方向</w:t>
      </w:r>
      <w:r>
        <w:rPr>
          <w:rFonts w:cs="Times New Roman"/>
        </w:rPr>
        <w:t>，</w:t>
      </w:r>
      <w:r>
        <w:rPr>
          <w:rFonts w:hint="eastAsia" w:cs="Times New Roman"/>
        </w:rPr>
        <w:t>生产区域位于东南方向，厂区围墙西侧有一条硬化的进厂道路</w:t>
      </w:r>
      <w:r>
        <w:rPr>
          <w:rFonts w:cs="Times New Roman"/>
        </w:rPr>
        <w:t>。在污水处理区布置有</w:t>
      </w:r>
      <w:r>
        <w:rPr>
          <w:rFonts w:cs="Times New Roman"/>
          <w:spacing w:val="4"/>
        </w:rPr>
        <w:t>粗格栅及污水提升泵站、细格栅及沉砂池、BDP</w:t>
      </w:r>
      <w:r>
        <w:rPr>
          <w:rFonts w:cs="Times New Roman"/>
        </w:rPr>
        <w:t>生物</w:t>
      </w:r>
      <w:r>
        <w:rPr>
          <w:rFonts w:cs="Times New Roman"/>
          <w:spacing w:val="4"/>
        </w:rPr>
        <w:t>池、高效混凝沉淀池、滤布滤池、接触消毒池、贮泥池、污泥脱水间、</w:t>
      </w:r>
      <w:r>
        <w:rPr>
          <w:rFonts w:cs="Times New Roman"/>
        </w:rPr>
        <w:t>机修间、变配电间和鼓风机房，并为远期建设预留有空地。厂区道路与建构筑物之间均留有不小于3.0米的绿化带，其余空隙地带全部栽种草皮和树木绿化</w:t>
      </w:r>
      <w:r>
        <w:rPr>
          <w:rFonts w:hint="eastAsia" w:cs="Times New Roman"/>
        </w:rPr>
        <w:t>。</w:t>
      </w:r>
    </w:p>
    <w:p>
      <w:pPr>
        <w:pStyle w:val="4"/>
      </w:pPr>
      <w:bookmarkStart w:id="110" w:name="_Toc1788"/>
      <w:r>
        <w:rPr>
          <w:rFonts w:hint="eastAsia"/>
        </w:rPr>
        <w:t>工艺流程简介</w:t>
      </w:r>
      <w:bookmarkEnd w:id="110"/>
    </w:p>
    <w:p>
      <w:pPr>
        <w:pStyle w:val="5"/>
      </w:pPr>
      <w:r>
        <w:rPr>
          <w:rFonts w:hint="eastAsia"/>
        </w:rPr>
        <w:t>工艺流程如下图:</w:t>
      </w:r>
    </w:p>
    <w:p>
      <w:r>
        <w:object>
          <v:shape id="_x0000_i1027" o:spt="75" type="#_x0000_t75" style="height:441.1pt;width:399.5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pPr>
        <w:pStyle w:val="14"/>
        <w:rPr>
          <w:u w:val="single"/>
        </w:rPr>
      </w:pPr>
      <w:r>
        <w:rPr>
          <w:rFonts w:hint="eastAsia"/>
          <w:u w:val="single"/>
        </w:rPr>
        <w:t>图</w:t>
      </w:r>
      <w:r>
        <w:rPr>
          <w:u w:val="single"/>
        </w:rPr>
        <w:fldChar w:fldCharType="begin"/>
      </w:r>
      <w:r>
        <w:rPr>
          <w:u w:val="single"/>
        </w:rPr>
        <w:instrText xml:space="preserve"> STYLEREF 2 \s </w:instrText>
      </w:r>
      <w:r>
        <w:rPr>
          <w:u w:val="single"/>
        </w:rPr>
        <w:fldChar w:fldCharType="separate"/>
      </w:r>
      <w:r>
        <w:rPr>
          <w:u w:val="single"/>
        </w:rPr>
        <w:t>2.2</w:t>
      </w:r>
      <w:r>
        <w:rPr>
          <w:u w:val="single"/>
        </w:rPr>
        <w:fldChar w:fldCharType="end"/>
      </w:r>
      <w:r>
        <w:rPr>
          <w:u w:val="single"/>
        </w:rPr>
        <w:noBreakHyphen/>
      </w:r>
      <w:r>
        <w:rPr>
          <w:u w:val="single"/>
        </w:rPr>
        <w:fldChar w:fldCharType="begin"/>
      </w:r>
      <w:r>
        <w:rPr>
          <w:rFonts w:hint="eastAsia"/>
          <w:u w:val="single"/>
        </w:rPr>
        <w:instrText xml:space="preserve">SEQ 图 \* ARABIC \s 2</w:instrText>
      </w:r>
      <w:r>
        <w:rPr>
          <w:u w:val="single"/>
        </w:rPr>
        <w:fldChar w:fldCharType="separate"/>
      </w:r>
      <w:r>
        <w:rPr>
          <w:rFonts w:hint="eastAsia"/>
          <w:u w:val="single"/>
        </w:rPr>
        <w:t>1</w:t>
      </w:r>
      <w:r>
        <w:rPr>
          <w:u w:val="single"/>
        </w:rPr>
        <w:fldChar w:fldCharType="end"/>
      </w:r>
      <w:r>
        <w:rPr>
          <w:rFonts w:hint="eastAsia"/>
          <w:u w:val="single"/>
        </w:rPr>
        <w:t xml:space="preserve">  工艺流程及产污环节图</w:t>
      </w:r>
    </w:p>
    <w:p>
      <w:pPr>
        <w:widowControl/>
        <w:jc w:val="left"/>
        <w:rPr>
          <w:rFonts w:eastAsia="宋体" w:cstheme="majorBidi"/>
          <w:b/>
          <w:szCs w:val="20"/>
          <w:u w:val="single"/>
        </w:rPr>
      </w:pPr>
      <w:r>
        <w:rPr>
          <w:rFonts w:hint="eastAsia" w:eastAsia="宋体" w:cstheme="majorBidi"/>
          <w:b/>
          <w:szCs w:val="20"/>
          <w:u w:val="single"/>
        </w:rPr>
        <w:t>处理工艺原理简要说明：</w:t>
      </w:r>
    </w:p>
    <w:p>
      <w:pPr>
        <w:pStyle w:val="100"/>
        <w:spacing w:line="360" w:lineRule="auto"/>
        <w:ind w:firstLine="480"/>
        <w:rPr>
          <w:szCs w:val="24"/>
          <w:u w:val="single"/>
        </w:rPr>
      </w:pPr>
      <w:r>
        <w:rPr>
          <w:szCs w:val="24"/>
          <w:u w:val="single"/>
        </w:rPr>
        <w:t>（1）粗格栅间、污水提升泵站：本项目采用钢丝绳牵引式格栅除污机拦截固体污染物，保护水泵不受损害。拦截的栅渣通过螺旋输送机输送至污泥脱水间</w:t>
      </w:r>
      <w:r>
        <w:rPr>
          <w:rFonts w:hint="eastAsia"/>
          <w:szCs w:val="24"/>
          <w:u w:val="single"/>
        </w:rPr>
        <w:t>。</w:t>
      </w:r>
    </w:p>
    <w:p>
      <w:pPr>
        <w:pStyle w:val="100"/>
        <w:spacing w:line="360" w:lineRule="auto"/>
        <w:ind w:firstLine="480"/>
        <w:rPr>
          <w:szCs w:val="24"/>
          <w:u w:val="single"/>
        </w:rPr>
      </w:pPr>
      <w:r>
        <w:rPr>
          <w:szCs w:val="24"/>
          <w:u w:val="single"/>
        </w:rPr>
        <w:t>（2）</w:t>
      </w:r>
      <w:r>
        <w:rPr>
          <w:rFonts w:cs="Times New Roman"/>
          <w:color w:val="000000" w:themeColor="text1"/>
          <w:szCs w:val="21"/>
          <w:u w:val="single"/>
        </w:rPr>
        <w:t>细格栅及</w:t>
      </w:r>
      <w:r>
        <w:rPr>
          <w:rFonts w:hint="eastAsia" w:cs="Times New Roman"/>
          <w:color w:val="000000" w:themeColor="text1"/>
          <w:szCs w:val="21"/>
          <w:u w:val="single"/>
        </w:rPr>
        <w:t>平</w:t>
      </w:r>
      <w:r>
        <w:rPr>
          <w:rFonts w:cs="Times New Roman"/>
          <w:color w:val="000000" w:themeColor="text1"/>
          <w:szCs w:val="21"/>
          <w:u w:val="single"/>
        </w:rPr>
        <w:t>流沉砂池</w:t>
      </w:r>
      <w:r>
        <w:rPr>
          <w:color w:val="000000" w:themeColor="text1"/>
          <w:szCs w:val="24"/>
          <w:u w:val="single"/>
        </w:rPr>
        <w:t>：</w:t>
      </w:r>
      <w:r>
        <w:rPr>
          <w:szCs w:val="24"/>
          <w:u w:val="single"/>
        </w:rPr>
        <w:t>项目采用机械回转式细格栅去除污水中的小型漂浮物，细小的纤维物质和固体颗粒，防止这些物质影响曝气系统。拦截的栅渣采用螺旋输送机输送至污泥脱水间</w:t>
      </w:r>
      <w:r>
        <w:rPr>
          <w:rFonts w:hint="eastAsia"/>
          <w:szCs w:val="24"/>
          <w:u w:val="single"/>
          <w:lang w:eastAsia="zh-CN"/>
        </w:rPr>
        <w:t>，</w:t>
      </w:r>
      <w:r>
        <w:rPr>
          <w:szCs w:val="24"/>
          <w:u w:val="single"/>
        </w:rPr>
        <w:t>沉砂池产生主要污染物是沉砂。</w:t>
      </w:r>
    </w:p>
    <w:p>
      <w:pPr>
        <w:pStyle w:val="100"/>
        <w:spacing w:line="360" w:lineRule="auto"/>
        <w:ind w:firstLine="480"/>
        <w:rPr>
          <w:szCs w:val="24"/>
          <w:u w:val="single"/>
        </w:rPr>
      </w:pPr>
      <w:r>
        <w:rPr>
          <w:szCs w:val="24"/>
          <w:u w:val="single"/>
        </w:rPr>
        <w:t>（3）组合池：组合池主要由水解酸化池+AAO生物池+矩形二沉池组成</w:t>
      </w:r>
    </w:p>
    <w:p>
      <w:pPr>
        <w:pStyle w:val="100"/>
        <w:spacing w:line="360" w:lineRule="auto"/>
        <w:ind w:firstLine="480"/>
        <w:rPr>
          <w:szCs w:val="24"/>
          <w:u w:val="single"/>
        </w:rPr>
      </w:pPr>
      <w:r>
        <w:rPr>
          <w:rFonts w:hint="eastAsia"/>
          <w:szCs w:val="24"/>
          <w:u w:val="single"/>
        </w:rPr>
        <w:t>①</w:t>
      </w:r>
      <w:r>
        <w:rPr>
          <w:szCs w:val="24"/>
          <w:u w:val="single"/>
        </w:rPr>
        <w:t>水解酸化池：水解酸化处理方法是一种介于好氧和厌氧处理法之间的方法，和其他工艺组合可以降低处理成本提高处理效率，被广泛用于工业废水处理中。本项目通过新建水解酸化池可将大分子物质转化为小分子物质，将环状结构转化为链状结构，进一步提高了废水的BOD/COD比，增加了废水的可生化性，为后续的好氧生化处理创造条件。由于水解酸化反阶段（水解阶段、酸化阶段），不需要密封及搅拌，在常温下进行即可提高废水的可生化迅速，故池容小，停留时间短，水解酸化反应能适应较大的水质范围，出水水质稳定。</w:t>
      </w:r>
    </w:p>
    <w:p>
      <w:pPr>
        <w:pStyle w:val="100"/>
        <w:spacing w:line="360" w:lineRule="auto"/>
        <w:ind w:firstLine="480"/>
        <w:rPr>
          <w:szCs w:val="24"/>
          <w:u w:val="single"/>
        </w:rPr>
      </w:pPr>
      <w:r>
        <w:rPr>
          <w:rFonts w:hAnsi="宋体"/>
          <w:szCs w:val="24"/>
          <w:u w:val="single"/>
        </w:rPr>
        <w:t>②</w:t>
      </w:r>
      <w:r>
        <w:rPr>
          <w:szCs w:val="24"/>
          <w:u w:val="single"/>
        </w:rPr>
        <w:t>AAO生物池：AAO生物池是污水处理厂的核心部分，由厌氧池、缺氧池及好氧池组合而成。厌氧池：使聚磷菌对磷释放，对混合液细菌菌群进行“选择”，抑制丝状菌生成。缺氧池：去除污水中的硝态氮及亚硝态氮，好氧池回流混合液的硝态氮在缺氧池中反硝化菌的生物作用下转化为氮气。好氧池：去除污水中的污染物质（BOD，COD，N，P 等）。通过好氧条件下的硝化反应，将氨氮氧化成硝酸盐，从中吸收超过其生长所需的磷的贮存，实现有机物的降解</w:t>
      </w:r>
    </w:p>
    <w:p>
      <w:pPr>
        <w:pStyle w:val="136"/>
        <w:adjustRightInd w:val="0"/>
        <w:snapToGrid w:val="0"/>
        <w:spacing w:line="360" w:lineRule="auto"/>
        <w:ind w:firstLine="480" w:firstLineChars="200"/>
        <w:rPr>
          <w:sz w:val="24"/>
          <w:szCs w:val="24"/>
          <w:u w:val="single"/>
        </w:rPr>
      </w:pPr>
      <w:r>
        <w:rPr>
          <w:rFonts w:hAnsi="宋体"/>
          <w:sz w:val="24"/>
          <w:szCs w:val="24"/>
          <w:u w:val="single"/>
        </w:rPr>
        <w:t>③</w:t>
      </w:r>
      <w:r>
        <w:rPr>
          <w:sz w:val="24"/>
          <w:szCs w:val="24"/>
          <w:u w:val="single"/>
        </w:rPr>
        <w:t>矩形二沉池：二沉池主要进行泥水分离，保证出水水质；回流污泥，维持曝气池内的污泥浓度。二沉池排出的主要污染物为剩余污泥。</w:t>
      </w:r>
    </w:p>
    <w:p>
      <w:pPr>
        <w:pStyle w:val="136"/>
        <w:adjustRightInd w:val="0"/>
        <w:snapToGrid w:val="0"/>
        <w:spacing w:line="360" w:lineRule="auto"/>
        <w:ind w:firstLine="480" w:firstLineChars="200"/>
        <w:rPr>
          <w:sz w:val="24"/>
          <w:szCs w:val="24"/>
          <w:u w:val="single"/>
        </w:rPr>
      </w:pPr>
      <w:r>
        <w:rPr>
          <w:sz w:val="24"/>
          <w:szCs w:val="24"/>
          <w:u w:val="single"/>
        </w:rPr>
        <w:t>（4）高效沉淀池：高效沉淀池主要是进一步通过混凝沉淀降低污水中的污染物质，其主要污染物为污泥及产生的恶臭污染物。</w:t>
      </w:r>
    </w:p>
    <w:p>
      <w:pPr>
        <w:pStyle w:val="136"/>
        <w:adjustRightInd w:val="0"/>
        <w:snapToGrid w:val="0"/>
        <w:spacing w:line="360" w:lineRule="auto"/>
        <w:ind w:firstLine="480" w:firstLineChars="200"/>
        <w:rPr>
          <w:sz w:val="24"/>
          <w:szCs w:val="24"/>
          <w:u w:val="single"/>
        </w:rPr>
      </w:pPr>
      <w:r>
        <w:rPr>
          <w:sz w:val="24"/>
          <w:szCs w:val="24"/>
          <w:u w:val="single"/>
        </w:rPr>
        <w:t>（5）滤布滤池：截留前端处理工艺不能去除的细微的絮体颗粒及其他杂质，确保SS稳定达标。</w:t>
      </w:r>
    </w:p>
    <w:p>
      <w:pPr>
        <w:pStyle w:val="136"/>
        <w:adjustRightInd w:val="0"/>
        <w:snapToGrid w:val="0"/>
        <w:spacing w:line="360" w:lineRule="auto"/>
        <w:ind w:firstLine="480" w:firstLineChars="200"/>
        <w:rPr>
          <w:sz w:val="24"/>
          <w:szCs w:val="24"/>
          <w:u w:val="single"/>
        </w:rPr>
      </w:pPr>
      <w:r>
        <w:rPr>
          <w:sz w:val="24"/>
          <w:szCs w:val="24"/>
          <w:u w:val="single"/>
        </w:rPr>
        <w:t>（6）接触消毒池：将过滤后的污水接入加氯接触消毒池进行折点加氯，进一步去除氨氮及消毒，从而满足一级A标准的消毒要求。本项目采用次氯酸钠作为消毒剂。</w:t>
      </w:r>
    </w:p>
    <w:p>
      <w:pPr>
        <w:pStyle w:val="136"/>
        <w:adjustRightInd w:val="0"/>
        <w:snapToGrid w:val="0"/>
        <w:spacing w:line="360" w:lineRule="auto"/>
        <w:ind w:firstLine="480" w:firstLineChars="200"/>
        <w:rPr>
          <w:sz w:val="24"/>
          <w:szCs w:val="24"/>
          <w:u w:val="single"/>
        </w:rPr>
      </w:pPr>
      <w:r>
        <w:rPr>
          <w:sz w:val="24"/>
          <w:szCs w:val="24"/>
          <w:u w:val="single"/>
        </w:rPr>
        <w:t>（7）污泥浓缩池：储存污泥，为污泥下一步压滤均质均量；通过加药改善污泥脱水性能，为进一步脱水做准备。</w:t>
      </w:r>
    </w:p>
    <w:p>
      <w:pPr>
        <w:pStyle w:val="100"/>
        <w:spacing w:line="360" w:lineRule="auto"/>
        <w:ind w:firstLine="480"/>
        <w:rPr>
          <w:u w:val="single"/>
        </w:rPr>
      </w:pPr>
      <w:r>
        <w:rPr>
          <w:szCs w:val="24"/>
          <w:u w:val="single"/>
        </w:rPr>
        <w:t>（8）污泥脱水间：</w:t>
      </w:r>
      <w:r>
        <w:rPr>
          <w:u w:val="single"/>
        </w:rPr>
        <w:t>污泥用全自动板框压滤机压缩至含水率60%。贮泥池和污泥脱水间主要污染物为恶臭类气体和污泥泵产生的噪声。</w:t>
      </w:r>
    </w:p>
    <w:p>
      <w:pPr>
        <w:pStyle w:val="5"/>
        <w:rPr>
          <w:u w:val="single"/>
        </w:rPr>
      </w:pPr>
      <w:r>
        <w:rPr>
          <w:u w:val="single"/>
        </w:rPr>
        <w:t>产物环节分析</w:t>
      </w:r>
    </w:p>
    <w:p>
      <w:pPr>
        <w:spacing w:line="360" w:lineRule="auto"/>
        <w:ind w:firstLine="480" w:firstLineChars="200"/>
        <w:rPr>
          <w:u w:val="single"/>
        </w:rPr>
      </w:pPr>
      <w:r>
        <w:rPr>
          <w:rFonts w:hint="eastAsia"/>
          <w:u w:val="single"/>
        </w:rPr>
        <w:t>根据上述工程分析，本项目产污环节如下表所示。</w:t>
      </w:r>
    </w:p>
    <w:p>
      <w:pPr>
        <w:pStyle w:val="14"/>
        <w:spacing w:line="240" w:lineRule="auto"/>
        <w:rPr>
          <w:u w:val="single"/>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2.2</w:t>
      </w:r>
      <w:r>
        <w:rPr>
          <w:u w:val="single"/>
        </w:rPr>
        <w:fldChar w:fldCharType="end"/>
      </w:r>
      <w:r>
        <w:rPr>
          <w:u w:val="single"/>
        </w:rPr>
        <w:noBreakHyphen/>
      </w:r>
      <w:r>
        <w:rPr>
          <w:u w:val="single"/>
        </w:rPr>
        <w:fldChar w:fldCharType="begin"/>
      </w:r>
      <w:r>
        <w:rPr>
          <w:rFonts w:hint="eastAsia"/>
          <w:u w:val="single"/>
        </w:rPr>
        <w:instrText xml:space="preserve">SEQ 表 \* ARABIC \s 2</w:instrText>
      </w:r>
      <w:r>
        <w:rPr>
          <w:u w:val="single"/>
        </w:rPr>
        <w:fldChar w:fldCharType="separate"/>
      </w:r>
      <w:r>
        <w:rPr>
          <w:rFonts w:hint="eastAsia"/>
          <w:u w:val="single"/>
        </w:rPr>
        <w:t>1</w:t>
      </w:r>
      <w:r>
        <w:rPr>
          <w:u w:val="single"/>
        </w:rPr>
        <w:fldChar w:fldCharType="end"/>
      </w:r>
      <w:r>
        <w:rPr>
          <w:rFonts w:hint="eastAsia"/>
          <w:u w:val="single"/>
        </w:rPr>
        <w:t xml:space="preserve">  污染物产生环节表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2"/>
        <w:gridCol w:w="1072"/>
        <w:gridCol w:w="2841"/>
        <w:gridCol w:w="42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Align w:val="center"/>
          </w:tcPr>
          <w:p>
            <w:pPr>
              <w:pStyle w:val="122"/>
              <w:rPr>
                <w:rFonts w:cs="Times New Roman"/>
                <w:u w:val="single"/>
              </w:rPr>
            </w:pPr>
            <w:r>
              <w:rPr>
                <w:rFonts w:hAnsi="宋体" w:cs="Times New Roman"/>
                <w:u w:val="single"/>
              </w:rPr>
              <w:t>序号</w:t>
            </w:r>
          </w:p>
        </w:tc>
        <w:tc>
          <w:tcPr>
            <w:tcW w:w="1072" w:type="dxa"/>
            <w:vAlign w:val="center"/>
          </w:tcPr>
          <w:p>
            <w:pPr>
              <w:pStyle w:val="122"/>
              <w:rPr>
                <w:rFonts w:cs="Times New Roman"/>
                <w:u w:val="single"/>
              </w:rPr>
            </w:pPr>
            <w:r>
              <w:rPr>
                <w:rFonts w:hAnsi="宋体" w:cs="Times New Roman"/>
                <w:u w:val="single"/>
              </w:rPr>
              <w:t>类型</w:t>
            </w:r>
          </w:p>
        </w:tc>
        <w:tc>
          <w:tcPr>
            <w:tcW w:w="2841" w:type="dxa"/>
            <w:vAlign w:val="center"/>
          </w:tcPr>
          <w:p>
            <w:pPr>
              <w:pStyle w:val="122"/>
              <w:rPr>
                <w:rFonts w:cs="Times New Roman"/>
                <w:u w:val="single"/>
              </w:rPr>
            </w:pPr>
            <w:r>
              <w:rPr>
                <w:rFonts w:cs="Times New Roman"/>
                <w:u w:val="single"/>
              </w:rPr>
              <w:t>污染源</w:t>
            </w:r>
          </w:p>
        </w:tc>
        <w:tc>
          <w:tcPr>
            <w:tcW w:w="4257" w:type="dxa"/>
            <w:vAlign w:val="center"/>
          </w:tcPr>
          <w:p>
            <w:pPr>
              <w:pStyle w:val="122"/>
              <w:rPr>
                <w:rFonts w:cs="Times New Roman"/>
                <w:u w:val="single"/>
              </w:rPr>
            </w:pPr>
            <w:r>
              <w:rPr>
                <w:rFonts w:hAnsi="宋体" w:cs="Times New Roman"/>
                <w:u w:val="single"/>
              </w:rPr>
              <w:t>产生环节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restart"/>
            <w:vAlign w:val="center"/>
          </w:tcPr>
          <w:p>
            <w:pPr>
              <w:pStyle w:val="122"/>
              <w:rPr>
                <w:rFonts w:cs="Times New Roman"/>
                <w:u w:val="single"/>
              </w:rPr>
            </w:pPr>
            <w:r>
              <w:rPr>
                <w:rFonts w:hint="eastAsia" w:cs="Times New Roman"/>
                <w:u w:val="single"/>
              </w:rPr>
              <w:t>1</w:t>
            </w:r>
          </w:p>
        </w:tc>
        <w:tc>
          <w:tcPr>
            <w:tcW w:w="1072" w:type="dxa"/>
            <w:vMerge w:val="restart"/>
            <w:vAlign w:val="center"/>
          </w:tcPr>
          <w:p>
            <w:pPr>
              <w:pStyle w:val="122"/>
              <w:rPr>
                <w:rFonts w:cs="Times New Roman"/>
                <w:u w:val="single"/>
              </w:rPr>
            </w:pPr>
            <w:r>
              <w:rPr>
                <w:rFonts w:cs="Times New Roman"/>
                <w:u w:val="single"/>
              </w:rPr>
              <w:t>废气</w:t>
            </w:r>
          </w:p>
        </w:tc>
        <w:tc>
          <w:tcPr>
            <w:tcW w:w="2841" w:type="dxa"/>
            <w:vAlign w:val="center"/>
          </w:tcPr>
          <w:p>
            <w:pPr>
              <w:pStyle w:val="122"/>
              <w:rPr>
                <w:rFonts w:cs="Times New Roman"/>
                <w:u w:val="single"/>
              </w:rPr>
            </w:pPr>
            <w:r>
              <w:rPr>
                <w:rFonts w:hAnsi="宋体" w:cs="Times New Roman"/>
                <w:u w:val="single"/>
              </w:rPr>
              <w:t>硫化氢</w:t>
            </w:r>
          </w:p>
        </w:tc>
        <w:tc>
          <w:tcPr>
            <w:tcW w:w="4257" w:type="dxa"/>
            <w:vAlign w:val="center"/>
          </w:tcPr>
          <w:p>
            <w:pPr>
              <w:pStyle w:val="122"/>
              <w:rPr>
                <w:rFonts w:cs="Times New Roman"/>
                <w:u w:val="single"/>
              </w:rPr>
            </w:pPr>
            <w:r>
              <w:rPr>
                <w:rFonts w:hAnsi="宋体" w:cs="Times New Roman"/>
                <w:u w:val="single"/>
              </w:rPr>
              <w:t>污水处理流程中氧化处理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continue"/>
            <w:vAlign w:val="center"/>
          </w:tcPr>
          <w:p>
            <w:pPr>
              <w:pStyle w:val="122"/>
              <w:rPr>
                <w:rFonts w:cs="Times New Roman"/>
                <w:u w:val="single"/>
              </w:rPr>
            </w:pPr>
          </w:p>
        </w:tc>
        <w:tc>
          <w:tcPr>
            <w:tcW w:w="1072" w:type="dxa"/>
            <w:vMerge w:val="continue"/>
            <w:vAlign w:val="center"/>
          </w:tcPr>
          <w:p>
            <w:pPr>
              <w:widowControl/>
              <w:jc w:val="left"/>
              <w:rPr>
                <w:rFonts w:eastAsia="宋体" w:cs="Times New Roman"/>
                <w:kern w:val="0"/>
                <w:sz w:val="21"/>
                <w:u w:val="single"/>
              </w:rPr>
            </w:pPr>
          </w:p>
        </w:tc>
        <w:tc>
          <w:tcPr>
            <w:tcW w:w="2841" w:type="dxa"/>
            <w:vAlign w:val="center"/>
          </w:tcPr>
          <w:p>
            <w:pPr>
              <w:pStyle w:val="122"/>
              <w:rPr>
                <w:rFonts w:cs="Times New Roman"/>
                <w:u w:val="single"/>
              </w:rPr>
            </w:pPr>
            <w:r>
              <w:rPr>
                <w:rFonts w:hAnsi="宋体" w:cs="Times New Roman"/>
                <w:u w:val="single"/>
              </w:rPr>
              <w:t>氨气</w:t>
            </w:r>
          </w:p>
        </w:tc>
        <w:tc>
          <w:tcPr>
            <w:tcW w:w="4257" w:type="dxa"/>
            <w:vAlign w:val="center"/>
          </w:tcPr>
          <w:p>
            <w:pPr>
              <w:pStyle w:val="122"/>
              <w:rPr>
                <w:rFonts w:cs="Times New Roman"/>
                <w:u w:val="single"/>
              </w:rPr>
            </w:pPr>
            <w:r>
              <w:rPr>
                <w:rFonts w:hAnsi="宋体" w:cs="Times New Roman"/>
                <w:u w:val="single"/>
              </w:rPr>
              <w:t>污水处理流程中氧化处理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continue"/>
            <w:vAlign w:val="center"/>
          </w:tcPr>
          <w:p>
            <w:pPr>
              <w:pStyle w:val="122"/>
              <w:rPr>
                <w:rFonts w:cs="Times New Roman"/>
                <w:u w:val="single"/>
              </w:rPr>
            </w:pPr>
          </w:p>
        </w:tc>
        <w:tc>
          <w:tcPr>
            <w:tcW w:w="1072" w:type="dxa"/>
            <w:vMerge w:val="continue"/>
            <w:vAlign w:val="center"/>
          </w:tcPr>
          <w:p>
            <w:pPr>
              <w:widowControl/>
              <w:jc w:val="left"/>
              <w:rPr>
                <w:rFonts w:eastAsia="宋体" w:cs="Times New Roman"/>
                <w:kern w:val="0"/>
                <w:sz w:val="21"/>
                <w:u w:val="single"/>
              </w:rPr>
            </w:pPr>
          </w:p>
        </w:tc>
        <w:tc>
          <w:tcPr>
            <w:tcW w:w="2841" w:type="dxa"/>
            <w:vAlign w:val="center"/>
          </w:tcPr>
          <w:p>
            <w:pPr>
              <w:pStyle w:val="122"/>
              <w:rPr>
                <w:rFonts w:cs="Times New Roman"/>
                <w:u w:val="single"/>
              </w:rPr>
            </w:pPr>
            <w:r>
              <w:rPr>
                <w:rFonts w:cs="Times New Roman"/>
                <w:u w:val="single"/>
              </w:rPr>
              <w:t>食堂油烟</w:t>
            </w:r>
          </w:p>
        </w:tc>
        <w:tc>
          <w:tcPr>
            <w:tcW w:w="4257" w:type="dxa"/>
            <w:vAlign w:val="center"/>
          </w:tcPr>
          <w:p>
            <w:pPr>
              <w:pStyle w:val="122"/>
              <w:rPr>
                <w:rFonts w:cs="Times New Roman"/>
                <w:u w:val="single"/>
              </w:rPr>
            </w:pPr>
            <w:r>
              <w:rPr>
                <w:rFonts w:hAnsi="宋体" w:cs="Times New Roman"/>
                <w:u w:val="single"/>
              </w:rPr>
              <w:t>食堂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Align w:val="center"/>
          </w:tcPr>
          <w:p>
            <w:pPr>
              <w:pStyle w:val="122"/>
              <w:rPr>
                <w:rFonts w:cs="Times New Roman"/>
                <w:u w:val="single"/>
              </w:rPr>
            </w:pPr>
            <w:r>
              <w:rPr>
                <w:rFonts w:hint="eastAsia" w:cs="Times New Roman"/>
                <w:u w:val="single"/>
              </w:rPr>
              <w:t>2</w:t>
            </w:r>
          </w:p>
        </w:tc>
        <w:tc>
          <w:tcPr>
            <w:tcW w:w="1072" w:type="dxa"/>
            <w:vAlign w:val="center"/>
          </w:tcPr>
          <w:p>
            <w:pPr>
              <w:pStyle w:val="122"/>
              <w:rPr>
                <w:rFonts w:cs="Times New Roman"/>
                <w:u w:val="single"/>
              </w:rPr>
            </w:pPr>
            <w:r>
              <w:rPr>
                <w:rFonts w:cs="Times New Roman"/>
                <w:u w:val="single"/>
              </w:rPr>
              <w:t>废水</w:t>
            </w:r>
          </w:p>
        </w:tc>
        <w:tc>
          <w:tcPr>
            <w:tcW w:w="2841" w:type="dxa"/>
            <w:vAlign w:val="center"/>
          </w:tcPr>
          <w:p>
            <w:pPr>
              <w:pStyle w:val="122"/>
              <w:rPr>
                <w:rFonts w:cs="Times New Roman"/>
                <w:u w:val="single"/>
              </w:rPr>
            </w:pPr>
            <w:r>
              <w:rPr>
                <w:rFonts w:hAnsi="宋体" w:cs="Times New Roman"/>
                <w:u w:val="single"/>
              </w:rPr>
              <w:t>处理</w:t>
            </w:r>
            <w:r>
              <w:rPr>
                <w:rFonts w:cs="Times New Roman"/>
                <w:u w:val="single"/>
              </w:rPr>
              <w:t>污水</w:t>
            </w:r>
          </w:p>
        </w:tc>
        <w:tc>
          <w:tcPr>
            <w:tcW w:w="4257" w:type="dxa"/>
            <w:vAlign w:val="center"/>
          </w:tcPr>
          <w:p>
            <w:pPr>
              <w:pStyle w:val="122"/>
              <w:rPr>
                <w:rFonts w:cs="Times New Roman"/>
                <w:u w:val="single"/>
              </w:rPr>
            </w:pPr>
            <w:r>
              <w:rPr>
                <w:rFonts w:hAnsi="宋体" w:cs="Times New Roman"/>
                <w:u w:val="single"/>
              </w:rPr>
              <w:t>污水处理流程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Align w:val="center"/>
          </w:tcPr>
          <w:p>
            <w:pPr>
              <w:pStyle w:val="122"/>
              <w:rPr>
                <w:rFonts w:cs="Times New Roman"/>
                <w:u w:val="single"/>
              </w:rPr>
            </w:pPr>
            <w:r>
              <w:rPr>
                <w:rFonts w:hint="eastAsia" w:cs="Times New Roman"/>
                <w:u w:val="single"/>
              </w:rPr>
              <w:t>3</w:t>
            </w:r>
          </w:p>
        </w:tc>
        <w:tc>
          <w:tcPr>
            <w:tcW w:w="1072" w:type="dxa"/>
            <w:vAlign w:val="center"/>
          </w:tcPr>
          <w:p>
            <w:pPr>
              <w:pStyle w:val="122"/>
              <w:rPr>
                <w:rFonts w:cs="Times New Roman"/>
                <w:u w:val="single"/>
              </w:rPr>
            </w:pPr>
            <w:r>
              <w:rPr>
                <w:rFonts w:cs="Times New Roman"/>
                <w:u w:val="single"/>
              </w:rPr>
              <w:t>噪声</w:t>
            </w:r>
          </w:p>
        </w:tc>
        <w:tc>
          <w:tcPr>
            <w:tcW w:w="2841" w:type="dxa"/>
            <w:vAlign w:val="center"/>
          </w:tcPr>
          <w:p>
            <w:pPr>
              <w:pStyle w:val="122"/>
              <w:rPr>
                <w:rFonts w:cs="Times New Roman"/>
                <w:u w:val="single"/>
              </w:rPr>
            </w:pPr>
            <w:r>
              <w:rPr>
                <w:rFonts w:cs="Times New Roman"/>
                <w:u w:val="single"/>
              </w:rPr>
              <w:t>机械噪声</w:t>
            </w:r>
          </w:p>
        </w:tc>
        <w:tc>
          <w:tcPr>
            <w:tcW w:w="4257" w:type="dxa"/>
            <w:vAlign w:val="center"/>
          </w:tcPr>
          <w:p>
            <w:pPr>
              <w:pStyle w:val="122"/>
              <w:rPr>
                <w:rFonts w:cs="Times New Roman"/>
                <w:u w:val="single"/>
              </w:rPr>
            </w:pPr>
            <w:r>
              <w:rPr>
                <w:rFonts w:cs="Times New Roman"/>
                <w:u w:val="single"/>
              </w:rPr>
              <w:t>设备运行</w:t>
            </w:r>
            <w:r>
              <w:rPr>
                <w:rFonts w:hAnsi="宋体" w:cs="Times New Roman"/>
                <w:u w:val="single"/>
              </w:rPr>
              <w:t>中产生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restart"/>
            <w:vAlign w:val="center"/>
          </w:tcPr>
          <w:p>
            <w:pPr>
              <w:pStyle w:val="122"/>
              <w:rPr>
                <w:rFonts w:cs="Times New Roman"/>
                <w:u w:val="single"/>
              </w:rPr>
            </w:pPr>
            <w:r>
              <w:rPr>
                <w:rFonts w:hint="eastAsia" w:cs="Times New Roman"/>
                <w:u w:val="single"/>
              </w:rPr>
              <w:t>4</w:t>
            </w:r>
          </w:p>
        </w:tc>
        <w:tc>
          <w:tcPr>
            <w:tcW w:w="1072" w:type="dxa"/>
            <w:vMerge w:val="restart"/>
            <w:vAlign w:val="center"/>
          </w:tcPr>
          <w:p>
            <w:pPr>
              <w:pStyle w:val="122"/>
              <w:rPr>
                <w:rFonts w:cs="Times New Roman"/>
                <w:u w:val="single"/>
              </w:rPr>
            </w:pPr>
            <w:r>
              <w:rPr>
                <w:rFonts w:cs="Times New Roman"/>
                <w:u w:val="single"/>
              </w:rPr>
              <w:t>固废</w:t>
            </w:r>
          </w:p>
        </w:tc>
        <w:tc>
          <w:tcPr>
            <w:tcW w:w="2841" w:type="dxa"/>
            <w:vAlign w:val="center"/>
          </w:tcPr>
          <w:p>
            <w:pPr>
              <w:pStyle w:val="122"/>
              <w:rPr>
                <w:rFonts w:cs="Times New Roman"/>
                <w:u w:val="single"/>
              </w:rPr>
            </w:pPr>
            <w:r>
              <w:rPr>
                <w:rFonts w:hAnsi="宋体" w:cs="Times New Roman"/>
                <w:u w:val="single"/>
              </w:rPr>
              <w:t>格栅产生的栅渣</w:t>
            </w:r>
          </w:p>
        </w:tc>
        <w:tc>
          <w:tcPr>
            <w:tcW w:w="4257" w:type="dxa"/>
            <w:vAlign w:val="center"/>
          </w:tcPr>
          <w:p>
            <w:pPr>
              <w:pStyle w:val="122"/>
              <w:rPr>
                <w:rFonts w:cs="Times New Roman"/>
                <w:u w:val="single"/>
              </w:rPr>
            </w:pPr>
            <w:r>
              <w:rPr>
                <w:rFonts w:hAnsi="宋体" w:cs="Times New Roman"/>
                <w:u w:val="single"/>
              </w:rPr>
              <w:t>污水处理过程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continue"/>
            <w:vAlign w:val="center"/>
          </w:tcPr>
          <w:p>
            <w:pPr>
              <w:pStyle w:val="122"/>
              <w:rPr>
                <w:rFonts w:cs="Times New Roman"/>
                <w:u w:val="single"/>
              </w:rPr>
            </w:pPr>
          </w:p>
        </w:tc>
        <w:tc>
          <w:tcPr>
            <w:tcW w:w="1072" w:type="dxa"/>
            <w:vMerge w:val="continue"/>
            <w:vAlign w:val="center"/>
          </w:tcPr>
          <w:p>
            <w:pPr>
              <w:widowControl/>
              <w:jc w:val="left"/>
              <w:rPr>
                <w:rFonts w:eastAsia="宋体" w:cs="Times New Roman"/>
                <w:kern w:val="0"/>
                <w:sz w:val="21"/>
                <w:u w:val="single"/>
              </w:rPr>
            </w:pPr>
          </w:p>
        </w:tc>
        <w:tc>
          <w:tcPr>
            <w:tcW w:w="2841" w:type="dxa"/>
            <w:vAlign w:val="center"/>
          </w:tcPr>
          <w:p>
            <w:pPr>
              <w:pStyle w:val="122"/>
              <w:rPr>
                <w:rFonts w:cs="Times New Roman"/>
                <w:u w:val="single"/>
              </w:rPr>
            </w:pPr>
            <w:r>
              <w:rPr>
                <w:rFonts w:hAnsi="宋体" w:cs="Times New Roman"/>
                <w:u w:val="single"/>
              </w:rPr>
              <w:t>沉砂池产生沉砂</w:t>
            </w:r>
          </w:p>
        </w:tc>
        <w:tc>
          <w:tcPr>
            <w:tcW w:w="4257" w:type="dxa"/>
            <w:vAlign w:val="center"/>
          </w:tcPr>
          <w:p>
            <w:pPr>
              <w:pStyle w:val="122"/>
              <w:rPr>
                <w:rFonts w:cs="Times New Roman"/>
                <w:u w:val="single"/>
              </w:rPr>
            </w:pPr>
            <w:r>
              <w:rPr>
                <w:rFonts w:hAnsi="宋体" w:cs="Times New Roman"/>
                <w:u w:val="single"/>
              </w:rPr>
              <w:t>污水处理过程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continue"/>
            <w:vAlign w:val="center"/>
          </w:tcPr>
          <w:p>
            <w:pPr>
              <w:pStyle w:val="122"/>
              <w:rPr>
                <w:rFonts w:cs="Times New Roman"/>
                <w:u w:val="single"/>
              </w:rPr>
            </w:pPr>
          </w:p>
        </w:tc>
        <w:tc>
          <w:tcPr>
            <w:tcW w:w="1072" w:type="dxa"/>
            <w:vMerge w:val="continue"/>
            <w:vAlign w:val="center"/>
          </w:tcPr>
          <w:p>
            <w:pPr>
              <w:widowControl/>
              <w:jc w:val="left"/>
              <w:rPr>
                <w:rFonts w:eastAsia="宋体" w:cs="Times New Roman"/>
                <w:kern w:val="0"/>
                <w:sz w:val="21"/>
                <w:u w:val="single"/>
              </w:rPr>
            </w:pPr>
          </w:p>
        </w:tc>
        <w:tc>
          <w:tcPr>
            <w:tcW w:w="2841" w:type="dxa"/>
            <w:vAlign w:val="center"/>
          </w:tcPr>
          <w:p>
            <w:pPr>
              <w:pStyle w:val="122"/>
              <w:rPr>
                <w:rFonts w:cs="Times New Roman"/>
                <w:u w:val="single"/>
              </w:rPr>
            </w:pPr>
            <w:r>
              <w:rPr>
                <w:rFonts w:hAnsi="宋体" w:cs="Times New Roman"/>
                <w:u w:val="single"/>
              </w:rPr>
              <w:t>污泥</w:t>
            </w:r>
          </w:p>
        </w:tc>
        <w:tc>
          <w:tcPr>
            <w:tcW w:w="4257" w:type="dxa"/>
            <w:vAlign w:val="center"/>
          </w:tcPr>
          <w:p>
            <w:pPr>
              <w:pStyle w:val="122"/>
              <w:rPr>
                <w:rFonts w:cs="Times New Roman"/>
                <w:u w:val="single"/>
              </w:rPr>
            </w:pPr>
            <w:r>
              <w:rPr>
                <w:rFonts w:hAnsi="宋体" w:cs="Times New Roman"/>
                <w:u w:val="single"/>
              </w:rPr>
              <w:t>污水处理过程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2" w:type="dxa"/>
            <w:vMerge w:val="continue"/>
            <w:vAlign w:val="center"/>
          </w:tcPr>
          <w:p>
            <w:pPr>
              <w:pStyle w:val="122"/>
              <w:rPr>
                <w:rFonts w:cs="Times New Roman"/>
                <w:u w:val="single"/>
              </w:rPr>
            </w:pPr>
          </w:p>
        </w:tc>
        <w:tc>
          <w:tcPr>
            <w:tcW w:w="1072" w:type="dxa"/>
            <w:vMerge w:val="continue"/>
            <w:vAlign w:val="center"/>
          </w:tcPr>
          <w:p>
            <w:pPr>
              <w:widowControl/>
              <w:jc w:val="left"/>
              <w:rPr>
                <w:rFonts w:eastAsia="宋体" w:cs="Times New Roman"/>
                <w:kern w:val="0"/>
                <w:sz w:val="21"/>
                <w:u w:val="single"/>
              </w:rPr>
            </w:pPr>
          </w:p>
        </w:tc>
        <w:tc>
          <w:tcPr>
            <w:tcW w:w="2841" w:type="dxa"/>
            <w:vAlign w:val="center"/>
          </w:tcPr>
          <w:p>
            <w:pPr>
              <w:pStyle w:val="122"/>
              <w:rPr>
                <w:rFonts w:cs="Times New Roman"/>
                <w:u w:val="single"/>
              </w:rPr>
            </w:pPr>
            <w:r>
              <w:rPr>
                <w:rFonts w:hAnsi="宋体" w:cs="Times New Roman"/>
                <w:u w:val="single"/>
              </w:rPr>
              <w:t>少量生活垃圾</w:t>
            </w:r>
          </w:p>
        </w:tc>
        <w:tc>
          <w:tcPr>
            <w:tcW w:w="4257" w:type="dxa"/>
            <w:vAlign w:val="center"/>
          </w:tcPr>
          <w:p>
            <w:pPr>
              <w:pStyle w:val="122"/>
              <w:rPr>
                <w:rFonts w:cs="Times New Roman"/>
                <w:u w:val="single"/>
              </w:rPr>
            </w:pPr>
            <w:r>
              <w:rPr>
                <w:rFonts w:hAnsi="宋体" w:cs="Times New Roman"/>
                <w:u w:val="single"/>
              </w:rPr>
              <w:t>员工生活</w:t>
            </w:r>
          </w:p>
        </w:tc>
      </w:tr>
    </w:tbl>
    <w:p>
      <w:pPr>
        <w:pStyle w:val="5"/>
      </w:pPr>
      <w:r>
        <w:rPr>
          <w:rFonts w:hint="eastAsia"/>
          <w:lang w:eastAsia="zh-CN"/>
        </w:rPr>
        <w:t>污水处理单元处理效率</w:t>
      </w:r>
    </w:p>
    <w:p>
      <w:pPr>
        <w:spacing w:line="360" w:lineRule="auto"/>
        <w:ind w:firstLine="480" w:firstLineChars="200"/>
      </w:pPr>
      <w:r>
        <w:rPr>
          <w:rFonts w:hint="eastAsia"/>
        </w:rPr>
        <w:t>根据本项目选取的污水处理工艺，结合前文工艺分析，本项目各污水处理单元处理效率见下表所示。</w:t>
      </w:r>
    </w:p>
    <w:p>
      <w:pPr>
        <w:pStyle w:val="14"/>
        <w:spacing w:line="240" w:lineRule="auto"/>
        <w:ind w:firstLine="482" w:firstLineChars="200"/>
        <w:rPr>
          <w:rFonts w:hint="eastAsia"/>
          <w:color w:val="000000" w:themeColor="text1"/>
          <w:u w:val="single"/>
        </w:rPr>
      </w:pPr>
      <w:r>
        <w:rPr>
          <w:color w:val="000000" w:themeColor="text1"/>
          <w:u w:val="single"/>
        </w:rPr>
        <w:t xml:space="preserve">表 </w:t>
      </w:r>
      <w:r>
        <w:rPr>
          <w:color w:val="000000" w:themeColor="text1"/>
          <w:u w:val="single"/>
        </w:rPr>
        <w:fldChar w:fldCharType="begin"/>
      </w:r>
      <w:r>
        <w:rPr>
          <w:color w:val="000000" w:themeColor="text1"/>
          <w:u w:val="single"/>
        </w:rPr>
        <w:instrText xml:space="preserve"> STYLEREF 2 \s </w:instrText>
      </w:r>
      <w:r>
        <w:rPr>
          <w:color w:val="000000" w:themeColor="text1"/>
          <w:u w:val="single"/>
        </w:rPr>
        <w:fldChar w:fldCharType="separate"/>
      </w:r>
      <w:r>
        <w:rPr>
          <w:color w:val="000000" w:themeColor="text1"/>
          <w:u w:val="single"/>
        </w:rPr>
        <w:t>2</w:t>
      </w:r>
      <w:r>
        <w:rPr>
          <w:rFonts w:hint="eastAsia"/>
          <w:color w:val="000000" w:themeColor="text1"/>
          <w:u w:val="single"/>
        </w:rPr>
        <w:t>.</w:t>
      </w:r>
      <w:r>
        <w:rPr>
          <w:color w:val="000000" w:themeColor="text1"/>
          <w:u w:val="single"/>
        </w:rPr>
        <w:t>2</w:t>
      </w:r>
      <w:r>
        <w:rPr>
          <w:color w:val="000000" w:themeColor="text1"/>
          <w:u w:val="single"/>
        </w:rPr>
        <w:fldChar w:fldCharType="end"/>
      </w:r>
      <w:r>
        <w:rPr>
          <w:rFonts w:hint="eastAsia"/>
          <w:color w:val="000000" w:themeColor="text1"/>
          <w:u w:val="single"/>
        </w:rPr>
        <w:t>-</w:t>
      </w:r>
      <w:r>
        <w:rPr>
          <w:color w:val="000000" w:themeColor="text1"/>
          <w:u w:val="single"/>
        </w:rPr>
        <w:fldChar w:fldCharType="begin"/>
      </w:r>
      <w:r>
        <w:rPr>
          <w:color w:val="000000" w:themeColor="text1"/>
          <w:u w:val="single"/>
        </w:rPr>
        <w:instrText xml:space="preserve"> SEQ 表 \* ARABIC \s 2 </w:instrText>
      </w:r>
      <w:r>
        <w:rPr>
          <w:color w:val="000000" w:themeColor="text1"/>
          <w:u w:val="single"/>
        </w:rPr>
        <w:fldChar w:fldCharType="separate"/>
      </w:r>
      <w:r>
        <w:rPr>
          <w:color w:val="000000" w:themeColor="text1"/>
          <w:u w:val="single"/>
        </w:rPr>
        <w:t>2</w:t>
      </w:r>
      <w:r>
        <w:rPr>
          <w:color w:val="000000" w:themeColor="text1"/>
          <w:u w:val="single"/>
        </w:rPr>
        <w:fldChar w:fldCharType="end"/>
      </w:r>
      <w:r>
        <w:rPr>
          <w:rFonts w:hint="eastAsia"/>
          <w:color w:val="000000" w:themeColor="text1"/>
          <w:u w:val="single"/>
        </w:rPr>
        <w:t xml:space="preserve">   各污水处理设施处理效率一览表</w:t>
      </w:r>
    </w:p>
    <w:tbl>
      <w:tblPr>
        <w:tblStyle w:val="38"/>
        <w:tblW w:w="0" w:type="auto"/>
        <w:tblInd w:w="0" w:type="dxa"/>
        <w:shd w:val="clear" w:color="auto" w:fill="auto"/>
        <w:tblLayout w:type="autofit"/>
        <w:tblCellMar>
          <w:top w:w="0" w:type="dxa"/>
          <w:left w:w="0" w:type="dxa"/>
          <w:bottom w:w="0" w:type="dxa"/>
          <w:right w:w="0" w:type="dxa"/>
        </w:tblCellMar>
      </w:tblPr>
      <w:tblGrid>
        <w:gridCol w:w="1030"/>
        <w:gridCol w:w="1054"/>
        <w:gridCol w:w="1448"/>
        <w:gridCol w:w="1253"/>
        <w:gridCol w:w="1264"/>
        <w:gridCol w:w="870"/>
        <w:gridCol w:w="1232"/>
        <w:gridCol w:w="905"/>
      </w:tblGrid>
      <w:tr>
        <w:tblPrEx>
          <w:shd w:val="clear" w:color="auto" w:fill="auto"/>
          <w:tblCellMar>
            <w:top w:w="0" w:type="dxa"/>
            <w:left w:w="0" w:type="dxa"/>
            <w:bottom w:w="0" w:type="dxa"/>
            <w:right w:w="0" w:type="dxa"/>
          </w:tblCellMar>
        </w:tblPrEx>
        <w:trPr>
          <w:trHeight w:val="1003" w:hRule="atLeast"/>
        </w:trPr>
        <w:tc>
          <w:tcPr>
            <w:tcW w:w="1030" w:type="dxa"/>
            <w:vMerge w:val="restart"/>
            <w:tcBorders>
              <w:top w:val="single" w:color="000000" w:sz="12"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实际进水水质</w:t>
            </w:r>
          </w:p>
        </w:tc>
        <w:tc>
          <w:tcPr>
            <w:tcW w:w="1054"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kern w:val="0"/>
                <w:sz w:val="21"/>
                <w:szCs w:val="21"/>
                <w:u w:val="single"/>
                <w:lang w:val="en-US" w:eastAsia="zh-CN" w:bidi="ar"/>
              </w:rPr>
            </w:pPr>
            <w:r>
              <w:rPr>
                <w:rFonts w:hint="default" w:ascii="Times New Roman" w:hAnsi="Times New Roman" w:eastAsia="宋体" w:cs="Times New Roman"/>
                <w:b w:val="0"/>
                <w:bCs/>
                <w:i w:val="0"/>
                <w:color w:val="000000" w:themeColor="text1"/>
                <w:kern w:val="0"/>
                <w:sz w:val="21"/>
                <w:szCs w:val="21"/>
                <w:u w:val="single"/>
                <w:lang w:val="en-US" w:eastAsia="zh-CN" w:bidi="ar"/>
              </w:rPr>
              <w:t>取样日期</w:t>
            </w:r>
          </w:p>
        </w:tc>
        <w:tc>
          <w:tcPr>
            <w:tcW w:w="0" w:type="auto"/>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sz w:val="21"/>
                <w:szCs w:val="21"/>
                <w:u w:val="single"/>
              </w:rPr>
            </w:pPr>
            <w:r>
              <w:rPr>
                <w:rFonts w:hint="default" w:ascii="Times New Roman" w:hAnsi="Times New Roman" w:eastAsia="宋体" w:cs="Times New Roman"/>
                <w:b w:val="0"/>
                <w:bCs/>
                <w:i w:val="0"/>
                <w:color w:val="000000" w:themeColor="text1"/>
                <w:kern w:val="0"/>
                <w:sz w:val="21"/>
                <w:szCs w:val="21"/>
                <w:u w:val="single"/>
                <w:lang w:val="en-US" w:eastAsia="zh-CN" w:bidi="ar"/>
              </w:rPr>
              <w:t>取样地点</w:t>
            </w:r>
          </w:p>
        </w:tc>
        <w:tc>
          <w:tcPr>
            <w:tcW w:w="0" w:type="auto"/>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sz w:val="21"/>
                <w:szCs w:val="21"/>
                <w:u w:val="single"/>
              </w:rPr>
            </w:pPr>
            <w:r>
              <w:rPr>
                <w:rFonts w:hint="default" w:ascii="Times New Roman" w:hAnsi="Times New Roman" w:eastAsia="宋体" w:cs="Times New Roman"/>
                <w:b w:val="0"/>
                <w:bCs/>
                <w:i w:val="0"/>
                <w:color w:val="000000" w:themeColor="text1"/>
                <w:kern w:val="0"/>
                <w:sz w:val="21"/>
                <w:szCs w:val="21"/>
                <w:u w:val="single"/>
                <w:lang w:val="en-US" w:eastAsia="zh-CN" w:bidi="ar"/>
              </w:rPr>
              <w:t xml:space="preserve">CODcr(mg/L) </w:t>
            </w:r>
          </w:p>
        </w:tc>
        <w:tc>
          <w:tcPr>
            <w:tcW w:w="0" w:type="auto"/>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sz w:val="21"/>
                <w:szCs w:val="21"/>
                <w:u w:val="single"/>
              </w:rPr>
            </w:pPr>
            <w:r>
              <w:rPr>
                <w:rFonts w:hint="default" w:ascii="Times New Roman" w:hAnsi="Times New Roman" w:eastAsia="宋体" w:cs="Times New Roman"/>
                <w:b w:val="0"/>
                <w:bCs/>
                <w:i w:val="0"/>
                <w:color w:val="000000" w:themeColor="text1"/>
                <w:kern w:val="0"/>
                <w:sz w:val="21"/>
                <w:szCs w:val="21"/>
                <w:u w:val="single"/>
                <w:lang w:val="en-US" w:eastAsia="zh-CN" w:bidi="ar"/>
              </w:rPr>
              <w:t xml:space="preserve">TN(mg/L) </w:t>
            </w:r>
          </w:p>
        </w:tc>
        <w:tc>
          <w:tcPr>
            <w:tcW w:w="0" w:type="auto"/>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sz w:val="21"/>
                <w:szCs w:val="21"/>
                <w:u w:val="single"/>
              </w:rPr>
            </w:pPr>
            <w:r>
              <w:rPr>
                <w:rFonts w:hint="default" w:ascii="Times New Roman" w:hAnsi="Times New Roman" w:eastAsia="宋体" w:cs="Times New Roman"/>
                <w:b w:val="0"/>
                <w:bCs/>
                <w:i w:val="0"/>
                <w:color w:val="000000" w:themeColor="text1"/>
                <w:kern w:val="0"/>
                <w:sz w:val="21"/>
                <w:szCs w:val="21"/>
                <w:u w:val="single"/>
                <w:lang w:val="en-US" w:eastAsia="zh-CN" w:bidi="ar"/>
              </w:rPr>
              <w:t xml:space="preserve">TP(mg/L) </w:t>
            </w:r>
          </w:p>
        </w:tc>
        <w:tc>
          <w:tcPr>
            <w:tcW w:w="0" w:type="auto"/>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sz w:val="21"/>
                <w:szCs w:val="21"/>
                <w:u w:val="single"/>
              </w:rPr>
            </w:pPr>
            <w:r>
              <w:rPr>
                <w:rStyle w:val="160"/>
                <w:rFonts w:hint="default" w:ascii="Times New Roman" w:hAnsi="Times New Roman" w:cs="Times New Roman"/>
                <w:b w:val="0"/>
                <w:bCs/>
                <w:color w:val="000000" w:themeColor="text1"/>
                <w:sz w:val="21"/>
                <w:szCs w:val="21"/>
                <w:u w:val="single"/>
                <w:lang w:val="en-US" w:eastAsia="zh-CN" w:bidi="ar"/>
              </w:rPr>
              <w:t>NH</w:t>
            </w:r>
            <w:r>
              <w:rPr>
                <w:rStyle w:val="161"/>
                <w:rFonts w:hint="default" w:ascii="Times New Roman" w:hAnsi="Times New Roman" w:cs="Times New Roman"/>
                <w:b w:val="0"/>
                <w:bCs/>
                <w:color w:val="000000" w:themeColor="text1"/>
                <w:sz w:val="21"/>
                <w:szCs w:val="21"/>
                <w:u w:val="single"/>
                <w:lang w:val="en-US" w:eastAsia="zh-CN" w:bidi="ar"/>
              </w:rPr>
              <w:t>3</w:t>
            </w:r>
            <w:r>
              <w:rPr>
                <w:rStyle w:val="160"/>
                <w:rFonts w:hint="default" w:ascii="Times New Roman" w:hAnsi="Times New Roman" w:cs="Times New Roman"/>
                <w:b w:val="0"/>
                <w:bCs/>
                <w:color w:val="000000" w:themeColor="text1"/>
                <w:sz w:val="21"/>
                <w:szCs w:val="21"/>
                <w:u w:val="single"/>
                <w:lang w:val="en-US" w:eastAsia="zh-CN" w:bidi="ar"/>
              </w:rPr>
              <w:t xml:space="preserve">-N(mg/L) </w:t>
            </w:r>
          </w:p>
        </w:tc>
        <w:tc>
          <w:tcPr>
            <w:tcW w:w="0" w:type="auto"/>
            <w:tcBorders>
              <w:top w:val="single" w:color="000000" w:sz="12"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themeColor="text1"/>
                <w:sz w:val="21"/>
                <w:szCs w:val="21"/>
                <w:u w:val="single"/>
              </w:rPr>
            </w:pPr>
            <w:r>
              <w:rPr>
                <w:rStyle w:val="160"/>
                <w:rFonts w:hint="default" w:ascii="Times New Roman" w:hAnsi="Times New Roman" w:cs="Times New Roman"/>
                <w:b w:val="0"/>
                <w:bCs/>
                <w:color w:val="000000" w:themeColor="text1"/>
                <w:sz w:val="21"/>
                <w:szCs w:val="21"/>
                <w:u w:val="single"/>
                <w:lang w:val="en-US" w:eastAsia="zh-CN" w:bidi="ar"/>
              </w:rPr>
              <w:t>NO</w:t>
            </w:r>
            <w:r>
              <w:rPr>
                <w:rStyle w:val="161"/>
                <w:rFonts w:hint="default" w:ascii="Times New Roman" w:hAnsi="Times New Roman" w:cs="Times New Roman"/>
                <w:b w:val="0"/>
                <w:bCs/>
                <w:color w:val="000000" w:themeColor="text1"/>
                <w:sz w:val="21"/>
                <w:szCs w:val="21"/>
                <w:u w:val="single"/>
                <w:lang w:val="en-US" w:eastAsia="zh-CN" w:bidi="ar"/>
              </w:rPr>
              <w:t>3</w:t>
            </w:r>
            <w:r>
              <w:rPr>
                <w:rStyle w:val="162"/>
                <w:rFonts w:hint="default" w:ascii="Times New Roman" w:hAnsi="Times New Roman" w:cs="Times New Roman"/>
                <w:b w:val="0"/>
                <w:bCs/>
                <w:color w:val="000000" w:themeColor="text1"/>
                <w:sz w:val="21"/>
                <w:szCs w:val="21"/>
                <w:u w:val="single"/>
                <w:lang w:val="en-US" w:eastAsia="zh-CN" w:bidi="ar"/>
              </w:rPr>
              <w:t>-</w:t>
            </w:r>
            <w:r>
              <w:rPr>
                <w:rStyle w:val="160"/>
                <w:rFonts w:hint="default" w:ascii="Times New Roman" w:hAnsi="Times New Roman" w:cs="Times New Roman"/>
                <w:b w:val="0"/>
                <w:bCs/>
                <w:color w:val="000000" w:themeColor="text1"/>
                <w:sz w:val="21"/>
                <w:szCs w:val="21"/>
                <w:u w:val="single"/>
                <w:lang w:val="en-US" w:eastAsia="zh-CN" w:bidi="ar"/>
              </w:rPr>
              <w:t xml:space="preserve"> -N</w:t>
            </w:r>
            <w:r>
              <w:rPr>
                <w:rStyle w:val="160"/>
                <w:rFonts w:hint="default" w:ascii="Times New Roman" w:hAnsi="Times New Roman" w:cs="Times New Roman"/>
                <w:b w:val="0"/>
                <w:bCs/>
                <w:color w:val="000000" w:themeColor="text1"/>
                <w:sz w:val="21"/>
                <w:szCs w:val="21"/>
                <w:u w:val="single"/>
                <w:lang w:val="en-US" w:eastAsia="zh-CN" w:bidi="ar"/>
              </w:rPr>
              <w:br w:type="textWrapping"/>
            </w:r>
            <w:r>
              <w:rPr>
                <w:rStyle w:val="160"/>
                <w:rFonts w:hint="default" w:ascii="Times New Roman" w:hAnsi="Times New Roman" w:cs="Times New Roman"/>
                <w:b w:val="0"/>
                <w:bCs/>
                <w:color w:val="000000" w:themeColor="text1"/>
                <w:sz w:val="21"/>
                <w:szCs w:val="21"/>
                <w:u w:val="single"/>
                <w:lang w:val="en-US" w:eastAsia="zh-CN" w:bidi="ar"/>
              </w:rPr>
              <w:t xml:space="preserve">(mg/L) </w:t>
            </w:r>
          </w:p>
        </w:tc>
      </w:tr>
      <w:tr>
        <w:tblPrEx>
          <w:shd w:val="clear" w:color="auto" w:fill="auto"/>
          <w:tblCellMar>
            <w:top w:w="0" w:type="dxa"/>
            <w:left w:w="0" w:type="dxa"/>
            <w:bottom w:w="0" w:type="dxa"/>
            <w:right w:w="0" w:type="dxa"/>
          </w:tblCellMar>
        </w:tblPrEx>
        <w:trPr>
          <w:trHeight w:val="402"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2019/8/15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细格栅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17.04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14.47 </w:t>
            </w:r>
          </w:p>
        </w:tc>
        <w:tc>
          <w:tcPr>
            <w:tcW w:w="0" w:type="auto"/>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2.51</w:t>
            </w:r>
          </w:p>
        </w:tc>
      </w:tr>
      <w:tr>
        <w:tblPrEx>
          <w:shd w:val="clear" w:color="auto" w:fill="auto"/>
          <w:tblCellMar>
            <w:top w:w="0" w:type="dxa"/>
            <w:left w:w="0" w:type="dxa"/>
            <w:bottom w:w="0" w:type="dxa"/>
            <w:right w:w="0" w:type="dxa"/>
          </w:tblCellMar>
        </w:tblPrEx>
        <w:trPr>
          <w:trHeight w:val="1453" w:hRule="atLeast"/>
        </w:trPr>
        <w:tc>
          <w:tcPr>
            <w:tcW w:w="10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二</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级</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处</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理</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工</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艺</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评</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估</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2019/8/15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工艺单元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NH</w:t>
            </w:r>
            <w:r>
              <w:rPr>
                <w:rStyle w:val="161"/>
                <w:rFonts w:hint="default" w:ascii="Times New Roman" w:hAnsi="Times New Roman" w:cs="Times New Roman"/>
                <w:b w:val="0"/>
                <w:bCs/>
                <w:sz w:val="21"/>
                <w:szCs w:val="21"/>
                <w:u w:val="single"/>
                <w:lang w:val="en-US" w:eastAsia="zh-CN" w:bidi="ar"/>
              </w:rPr>
              <w:t>3</w:t>
            </w:r>
            <w:r>
              <w:rPr>
                <w:rStyle w:val="161"/>
                <w:rFonts w:hint="eastAsia" w:cs="Times New Roman"/>
                <w:b w:val="0"/>
                <w:bCs/>
                <w:sz w:val="21"/>
                <w:szCs w:val="21"/>
                <w:u w:val="single"/>
                <w:vertAlign w:val="baseline"/>
                <w:lang w:val="en-US" w:eastAsia="zh-CN" w:bidi="ar"/>
              </w:rPr>
              <w:t>-</w:t>
            </w:r>
            <w:r>
              <w:rPr>
                <w:rFonts w:hint="default" w:ascii="Times New Roman" w:hAnsi="Times New Roman" w:eastAsia="宋体" w:cs="Times New Roman"/>
                <w:b w:val="0"/>
                <w:bCs/>
                <w:i w:val="0"/>
                <w:color w:val="000000"/>
                <w:kern w:val="0"/>
                <w:sz w:val="21"/>
                <w:szCs w:val="21"/>
                <w:u w:val="single"/>
                <w:lang w:val="en-US" w:eastAsia="zh-CN" w:bidi="ar"/>
              </w:rPr>
              <w:t>N</w:t>
            </w:r>
            <w:r>
              <w:rPr>
                <w:rStyle w:val="160"/>
                <w:rFonts w:hint="default" w:ascii="Times New Roman" w:hAnsi="Times New Roman" w:cs="Times New Roman"/>
                <w:b w:val="0"/>
                <w:bCs/>
                <w:sz w:val="21"/>
                <w:szCs w:val="21"/>
                <w:u w:val="single"/>
                <w:lang w:val="en-US" w:eastAsia="zh-CN" w:bidi="ar"/>
              </w:rPr>
              <w:t xml:space="preserve">(mg/L)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Style w:val="160"/>
                <w:rFonts w:hint="default" w:ascii="Times New Roman" w:hAnsi="Times New Roman" w:cs="Times New Roman"/>
                <w:b w:val="0"/>
                <w:bCs/>
                <w:sz w:val="21"/>
                <w:szCs w:val="21"/>
                <w:u w:val="single"/>
                <w:lang w:val="en-US" w:eastAsia="zh-CN" w:bidi="ar"/>
              </w:rPr>
              <w:t>NO</w:t>
            </w:r>
            <w:r>
              <w:rPr>
                <w:rStyle w:val="161"/>
                <w:rFonts w:hint="default" w:ascii="Times New Roman" w:hAnsi="Times New Roman" w:cs="Times New Roman"/>
                <w:b w:val="0"/>
                <w:bCs/>
                <w:sz w:val="21"/>
                <w:szCs w:val="21"/>
                <w:u w:val="single"/>
                <w:lang w:val="en-US" w:eastAsia="zh-CN" w:bidi="ar"/>
              </w:rPr>
              <w:t>3</w:t>
            </w:r>
            <w:r>
              <w:rPr>
                <w:rStyle w:val="162"/>
                <w:rFonts w:hint="default" w:ascii="Times New Roman" w:hAnsi="Times New Roman" w:cs="Times New Roman"/>
                <w:b w:val="0"/>
                <w:bCs/>
                <w:sz w:val="21"/>
                <w:szCs w:val="21"/>
                <w:u w:val="single"/>
                <w:lang w:val="en-US" w:eastAsia="zh-CN" w:bidi="ar"/>
              </w:rPr>
              <w:t>-</w:t>
            </w:r>
            <w:r>
              <w:rPr>
                <w:rStyle w:val="160"/>
                <w:rFonts w:hint="default" w:ascii="Times New Roman" w:hAnsi="Times New Roman" w:cs="Times New Roman"/>
                <w:b w:val="0"/>
                <w:bCs/>
                <w:sz w:val="21"/>
                <w:szCs w:val="21"/>
                <w:u w:val="single"/>
                <w:lang w:val="en-US" w:eastAsia="zh-CN" w:bidi="ar"/>
              </w:rPr>
              <w:t xml:space="preserve">-N(mg/L)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TP(mg/L)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CODcr(mg/L) </w:t>
            </w:r>
          </w:p>
        </w:tc>
        <w:tc>
          <w:tcPr>
            <w:tcW w:w="0" w:type="auto"/>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TN(mg/L)</w:t>
            </w:r>
          </w:p>
        </w:tc>
      </w:tr>
      <w:tr>
        <w:tblPrEx>
          <w:shd w:val="clear" w:color="auto" w:fill="auto"/>
          <w:tblCellMar>
            <w:top w:w="0" w:type="dxa"/>
            <w:left w:w="0" w:type="dxa"/>
            <w:bottom w:w="0" w:type="dxa"/>
            <w:right w:w="0" w:type="dxa"/>
          </w:tblCellMar>
        </w:tblPrEx>
        <w:trPr>
          <w:trHeight w:val="568"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水解池出水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lang w:val="en-US"/>
              </w:rPr>
            </w:pPr>
            <w:r>
              <w:rPr>
                <w:rFonts w:hint="eastAsia" w:eastAsia="宋体" w:cs="Times New Roman"/>
                <w:b w:val="0"/>
                <w:bCs/>
                <w:i w:val="0"/>
                <w:color w:val="000000"/>
                <w:kern w:val="0"/>
                <w:sz w:val="21"/>
                <w:szCs w:val="21"/>
                <w:u w:val="singl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1.49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2.10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50.20 </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17.34</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处理效率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40.6%</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96.3%</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厌氧区出水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3.31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7.61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1.66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38.60 </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11.92</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处理效率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93.4%</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56.1%</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23.1%</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31.3%</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缺氧区出水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3.72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7.85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1.84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16.00 </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13.25 </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处理效率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58.5%</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好氧区出水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0.71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11.98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1.34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22.00 </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12.83</w:t>
            </w:r>
          </w:p>
        </w:tc>
      </w:tr>
      <w:tr>
        <w:tblPrEx>
          <w:shd w:val="clear" w:color="auto" w:fill="auto"/>
          <w:tblCellMar>
            <w:top w:w="0" w:type="dxa"/>
            <w:left w:w="0" w:type="dxa"/>
            <w:bottom w:w="0" w:type="dxa"/>
            <w:right w:w="0" w:type="dxa"/>
          </w:tblCellMar>
        </w:tblPrEx>
        <w:trPr>
          <w:trHeight w:val="37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处理效率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80.9%</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3.2%</w:t>
            </w:r>
          </w:p>
        </w:tc>
      </w:tr>
      <w:tr>
        <w:tblPrEx>
          <w:shd w:val="clear" w:color="auto" w:fill="auto"/>
          <w:tblCellMar>
            <w:top w:w="0" w:type="dxa"/>
            <w:left w:w="0" w:type="dxa"/>
            <w:bottom w:w="0" w:type="dxa"/>
            <w:right w:w="0" w:type="dxa"/>
          </w:tblCellMar>
        </w:tblPrEx>
        <w:trPr>
          <w:trHeight w:val="90"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二沉池出水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0.09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10.56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1.58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21.60 </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11.52</w:t>
            </w:r>
          </w:p>
        </w:tc>
      </w:tr>
      <w:tr>
        <w:tblPrEx>
          <w:shd w:val="clear" w:color="auto" w:fill="auto"/>
          <w:tblCellMar>
            <w:top w:w="0" w:type="dxa"/>
            <w:left w:w="0" w:type="dxa"/>
            <w:bottom w:w="0" w:type="dxa"/>
            <w:right w:w="0" w:type="dxa"/>
          </w:tblCellMar>
        </w:tblPrEx>
        <w:trPr>
          <w:trHeight w:val="634" w:hRule="atLeast"/>
        </w:trPr>
        <w:tc>
          <w:tcPr>
            <w:tcW w:w="10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三</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级</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处</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理</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工</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艺</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评</w:t>
            </w:r>
            <w:r>
              <w:rPr>
                <w:rFonts w:hint="default" w:ascii="Times New Roman" w:hAnsi="Times New Roman" w:eastAsia="宋体" w:cs="Times New Roman"/>
                <w:b w:val="0"/>
                <w:bCs/>
                <w:i w:val="0"/>
                <w:color w:val="000000"/>
                <w:kern w:val="0"/>
                <w:sz w:val="21"/>
                <w:szCs w:val="21"/>
                <w:u w:val="single"/>
                <w:lang w:val="en-US" w:eastAsia="zh-CN" w:bidi="ar"/>
              </w:rPr>
              <w:br w:type="textWrapping"/>
            </w:r>
            <w:r>
              <w:rPr>
                <w:rFonts w:hint="default" w:ascii="Times New Roman" w:hAnsi="Times New Roman" w:eastAsia="宋体" w:cs="Times New Roman"/>
                <w:b w:val="0"/>
                <w:bCs/>
                <w:i w:val="0"/>
                <w:color w:val="000000"/>
                <w:kern w:val="0"/>
                <w:sz w:val="21"/>
                <w:szCs w:val="21"/>
                <w:u w:val="single"/>
                <w:lang w:val="en-US" w:eastAsia="zh-CN" w:bidi="ar"/>
              </w:rPr>
              <w:t>估</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2019/8/15</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工艺单元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NH</w:t>
            </w:r>
            <w:r>
              <w:rPr>
                <w:rStyle w:val="161"/>
                <w:rFonts w:hint="default" w:ascii="Times New Roman" w:hAnsi="Times New Roman" w:cs="Times New Roman"/>
                <w:b w:val="0"/>
                <w:bCs/>
                <w:sz w:val="21"/>
                <w:szCs w:val="21"/>
                <w:u w:val="single"/>
                <w:lang w:val="en-US" w:eastAsia="zh-CN" w:bidi="ar"/>
              </w:rPr>
              <w:t>3</w:t>
            </w:r>
            <w:r>
              <w:rPr>
                <w:rStyle w:val="161"/>
                <w:rFonts w:hint="eastAsia" w:cs="Times New Roman"/>
                <w:b w:val="0"/>
                <w:bCs/>
                <w:sz w:val="21"/>
                <w:szCs w:val="21"/>
                <w:u w:val="single"/>
                <w:vertAlign w:val="baseline"/>
                <w:lang w:val="en-US" w:eastAsia="zh-CN" w:bidi="ar"/>
              </w:rPr>
              <w:t>-</w:t>
            </w:r>
            <w:r>
              <w:rPr>
                <w:rFonts w:hint="default" w:ascii="Times New Roman" w:hAnsi="Times New Roman" w:eastAsia="宋体" w:cs="Times New Roman"/>
                <w:b w:val="0"/>
                <w:bCs/>
                <w:i w:val="0"/>
                <w:color w:val="000000"/>
                <w:kern w:val="0"/>
                <w:sz w:val="21"/>
                <w:szCs w:val="21"/>
                <w:u w:val="single"/>
                <w:lang w:val="en-US" w:eastAsia="zh-CN" w:bidi="ar"/>
              </w:rPr>
              <w:t xml:space="preserve">N(mg/L)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Style w:val="160"/>
                <w:rFonts w:hint="default" w:ascii="Times New Roman" w:hAnsi="Times New Roman" w:cs="Times New Roman"/>
                <w:b w:val="0"/>
                <w:bCs/>
                <w:sz w:val="21"/>
                <w:szCs w:val="21"/>
                <w:u w:val="single"/>
                <w:lang w:val="en-US" w:eastAsia="zh-CN" w:bidi="ar"/>
              </w:rPr>
              <w:t>NO</w:t>
            </w:r>
            <w:r>
              <w:rPr>
                <w:rStyle w:val="161"/>
                <w:rFonts w:hint="default" w:ascii="Times New Roman" w:hAnsi="Times New Roman" w:cs="Times New Roman"/>
                <w:b w:val="0"/>
                <w:bCs/>
                <w:sz w:val="21"/>
                <w:szCs w:val="21"/>
                <w:u w:val="single"/>
                <w:lang w:val="en-US" w:eastAsia="zh-CN" w:bidi="ar"/>
              </w:rPr>
              <w:t>3</w:t>
            </w:r>
            <w:r>
              <w:rPr>
                <w:rStyle w:val="162"/>
                <w:rFonts w:hint="default" w:ascii="Times New Roman" w:hAnsi="Times New Roman" w:cs="Times New Roman"/>
                <w:b w:val="0"/>
                <w:bCs/>
                <w:sz w:val="21"/>
                <w:szCs w:val="21"/>
                <w:u w:val="single"/>
                <w:lang w:val="en-US" w:eastAsia="zh-CN" w:bidi="ar"/>
              </w:rPr>
              <w:t>-</w:t>
            </w:r>
            <w:r>
              <w:rPr>
                <w:rStyle w:val="160"/>
                <w:rFonts w:hint="default" w:ascii="Times New Roman" w:hAnsi="Times New Roman" w:cs="Times New Roman"/>
                <w:b w:val="0"/>
                <w:bCs/>
                <w:sz w:val="21"/>
                <w:szCs w:val="21"/>
                <w:u w:val="single"/>
                <w:lang w:val="en-US" w:eastAsia="zh-CN" w:bidi="ar"/>
              </w:rPr>
              <w:t xml:space="preserve">-N(mg/L)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 xml:space="preserve">TP(mg/L) </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CODcr(mg/L)</w:t>
            </w:r>
          </w:p>
        </w:tc>
        <w:tc>
          <w:tcPr>
            <w:tcW w:w="0" w:type="auto"/>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TN(mg/L)</w:t>
            </w:r>
          </w:p>
        </w:tc>
      </w:tr>
      <w:tr>
        <w:tblPrEx>
          <w:shd w:val="clear" w:color="auto" w:fill="auto"/>
          <w:tblCellMar>
            <w:top w:w="0" w:type="dxa"/>
            <w:left w:w="0" w:type="dxa"/>
            <w:bottom w:w="0" w:type="dxa"/>
            <w:right w:w="0" w:type="dxa"/>
          </w:tblCellMar>
        </w:tblPrEx>
        <w:trPr>
          <w:trHeight w:val="31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高效沉淀池出水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0.82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0.56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13.2</w:t>
            </w: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11.68</w:t>
            </w:r>
          </w:p>
        </w:tc>
      </w:tr>
      <w:tr>
        <w:tblPrEx>
          <w:shd w:val="clear" w:color="auto" w:fill="auto"/>
          <w:tblCellMar>
            <w:top w:w="0" w:type="dxa"/>
            <w:left w:w="0" w:type="dxa"/>
            <w:bottom w:w="0" w:type="dxa"/>
            <w:right w:w="0" w:type="dxa"/>
          </w:tblCellMar>
        </w:tblPrEx>
        <w:trPr>
          <w:trHeight w:val="319"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处理效率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94.7%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38.9%</w:t>
            </w: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0</w:t>
            </w:r>
          </w:p>
        </w:tc>
      </w:tr>
      <w:tr>
        <w:tblPrEx>
          <w:shd w:val="clear" w:color="auto" w:fill="auto"/>
          <w:tblCellMar>
            <w:top w:w="0" w:type="dxa"/>
            <w:left w:w="0" w:type="dxa"/>
            <w:bottom w:w="0" w:type="dxa"/>
            <w:right w:w="0" w:type="dxa"/>
          </w:tblCellMar>
        </w:tblPrEx>
        <w:trPr>
          <w:trHeight w:val="827" w:hRule="atLeast"/>
        </w:trPr>
        <w:tc>
          <w:tcPr>
            <w:tcW w:w="10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b w:val="0"/>
                <w:bCs/>
                <w:i w:val="0"/>
                <w:color w:val="000000"/>
                <w:sz w:val="21"/>
                <w:szCs w:val="21"/>
                <w:u w:val="singl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滤布滤池出水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default" w:ascii="Times New Roman" w:hAnsi="Times New Roman" w:eastAsia="宋体" w:cs="Times New Roman"/>
                <w:b w:val="0"/>
                <w:bCs/>
                <w:i w:val="0"/>
                <w:color w:val="000000"/>
                <w:kern w:val="0"/>
                <w:sz w:val="21"/>
                <w:szCs w:val="21"/>
                <w:u w:val="single"/>
                <w:lang w:val="en-US" w:eastAsia="zh-CN" w:bidi="ar"/>
              </w:rPr>
              <w:t>9.12</w:t>
            </w: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sz w:val="21"/>
                <w:szCs w:val="21"/>
                <w:u w:val="single"/>
              </w:rPr>
            </w:pPr>
            <w:r>
              <w:rPr>
                <w:rFonts w:hint="default" w:ascii="Times New Roman" w:hAnsi="Times New Roman" w:eastAsia="宋体" w:cs="Times New Roman"/>
                <w:b w:val="0"/>
                <w:bCs/>
                <w:i w:val="0"/>
                <w:color w:val="000000"/>
                <w:kern w:val="0"/>
                <w:sz w:val="21"/>
                <w:szCs w:val="21"/>
                <w:u w:val="single"/>
                <w:lang w:val="en-US" w:eastAsia="zh-CN" w:bidi="ar"/>
              </w:rPr>
              <w:t>11.62</w:t>
            </w:r>
          </w:p>
        </w:tc>
      </w:tr>
      <w:tr>
        <w:tblPrEx>
          <w:shd w:val="clear" w:color="auto" w:fill="auto"/>
          <w:tblCellMar>
            <w:top w:w="0" w:type="dxa"/>
            <w:left w:w="0" w:type="dxa"/>
            <w:bottom w:w="0" w:type="dxa"/>
            <w:right w:w="0" w:type="dxa"/>
          </w:tblCellMar>
        </w:tblPrEx>
        <w:trPr>
          <w:trHeight w:val="761" w:hRule="atLeast"/>
        </w:trPr>
        <w:tc>
          <w:tcPr>
            <w:tcW w:w="0" w:type="auto"/>
            <w:gridSpan w:val="3"/>
            <w:tcBorders>
              <w:top w:val="single" w:color="000000" w:sz="4" w:space="0"/>
              <w:left w:val="nil"/>
              <w:bottom w:val="single" w:color="000000"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总处理效率</w:t>
            </w:r>
          </w:p>
        </w:tc>
        <w:tc>
          <w:tcPr>
            <w:tcW w:w="0" w:type="auto"/>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82.5%</w:t>
            </w:r>
          </w:p>
        </w:tc>
        <w:tc>
          <w:tcPr>
            <w:tcW w:w="0" w:type="auto"/>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90.4%</w:t>
            </w:r>
          </w:p>
        </w:tc>
        <w:tc>
          <w:tcPr>
            <w:tcW w:w="0" w:type="auto"/>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86.9%</w:t>
            </w:r>
          </w:p>
        </w:tc>
        <w:tc>
          <w:tcPr>
            <w:tcW w:w="0" w:type="auto"/>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94.4%</w:t>
            </w:r>
          </w:p>
        </w:tc>
        <w:tc>
          <w:tcPr>
            <w:tcW w:w="0" w:type="auto"/>
            <w:tcBorders>
              <w:top w:val="single" w:color="000000" w:sz="4"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1"/>
                <w:szCs w:val="21"/>
                <w:u w:val="single"/>
                <w:lang w:val="en-US" w:eastAsia="zh-CN" w:bidi="ar"/>
              </w:rPr>
            </w:pPr>
            <w:r>
              <w:rPr>
                <w:rFonts w:hint="eastAsia" w:eastAsia="宋体" w:cs="Times New Roman"/>
                <w:b w:val="0"/>
                <w:bCs/>
                <w:i w:val="0"/>
                <w:color w:val="000000"/>
                <w:kern w:val="0"/>
                <w:sz w:val="21"/>
                <w:szCs w:val="21"/>
                <w:u w:val="single"/>
                <w:lang w:val="en-US" w:eastAsia="zh-CN" w:bidi="ar"/>
              </w:rPr>
              <w:t>31.8%</w:t>
            </w:r>
          </w:p>
        </w:tc>
      </w:tr>
    </w:tbl>
    <w:p>
      <w:pPr>
        <w:pStyle w:val="14"/>
        <w:ind w:firstLine="420" w:firstLineChars="200"/>
        <w:jc w:val="left"/>
        <w:rPr>
          <w:rFonts w:hint="eastAsia" w:eastAsia="宋体"/>
          <w:b w:val="0"/>
          <w:bCs/>
          <w:color w:val="000000" w:themeColor="text1"/>
          <w:sz w:val="21"/>
          <w:szCs w:val="21"/>
          <w:lang w:eastAsia="zh-CN"/>
        </w:rPr>
      </w:pPr>
      <w:r>
        <w:rPr>
          <w:rFonts w:hint="eastAsia"/>
          <w:b w:val="0"/>
          <w:bCs/>
          <w:color w:val="000000" w:themeColor="text1"/>
          <w:sz w:val="21"/>
          <w:szCs w:val="21"/>
          <w:lang w:val="en-US" w:eastAsia="zh-CN"/>
        </w:rPr>
        <w:t>（</w:t>
      </w:r>
      <w:r>
        <w:rPr>
          <w:rFonts w:hint="eastAsia"/>
          <w:b w:val="0"/>
          <w:bCs/>
          <w:color w:val="000000" w:themeColor="text1"/>
          <w:sz w:val="21"/>
          <w:szCs w:val="21"/>
          <w:lang w:eastAsia="zh-CN"/>
        </w:rPr>
        <w:t>注：本项目各单元处理设施的处理效率由建设单位提供。</w:t>
      </w:r>
      <w:r>
        <w:rPr>
          <w:rFonts w:hint="eastAsia"/>
          <w:b w:val="0"/>
          <w:bCs/>
          <w:color w:val="000000" w:themeColor="text1"/>
          <w:sz w:val="21"/>
          <w:szCs w:val="21"/>
          <w:lang w:val="en-US" w:eastAsia="zh-CN"/>
        </w:rPr>
        <w:t>）</w:t>
      </w:r>
    </w:p>
    <w:p>
      <w:pPr>
        <w:pStyle w:val="4"/>
      </w:pPr>
      <w:bookmarkStart w:id="111" w:name="_Toc31634"/>
      <w:r>
        <w:rPr>
          <w:rFonts w:hint="eastAsia"/>
        </w:rPr>
        <w:t>工程分析</w:t>
      </w:r>
      <w:bookmarkEnd w:id="111"/>
    </w:p>
    <w:p>
      <w:pPr>
        <w:pStyle w:val="5"/>
      </w:pPr>
      <w:r>
        <w:t>项目建设必要性</w:t>
      </w:r>
    </w:p>
    <w:p>
      <w:pPr>
        <w:spacing w:line="360" w:lineRule="auto"/>
        <w:ind w:firstLine="480" w:firstLineChars="200"/>
        <w:rPr>
          <w:rFonts w:cs="Times New Roman"/>
        </w:rPr>
      </w:pPr>
      <w:r>
        <w:rPr>
          <w:rFonts w:cs="Times New Roman"/>
        </w:rPr>
        <w:t>（1）桥东片区发展的需要</w:t>
      </w:r>
    </w:p>
    <w:p>
      <w:pPr>
        <w:spacing w:line="360" w:lineRule="auto"/>
        <w:ind w:firstLine="480" w:firstLineChars="200"/>
        <w:rPr>
          <w:rFonts w:cs="Times New Roman"/>
        </w:rPr>
      </w:pPr>
      <w:r>
        <w:rPr>
          <w:rFonts w:hint="eastAsia" w:cs="Times New Roman" w:asciiTheme="minorEastAsia" w:hAnsiTheme="minorEastAsia"/>
          <w:szCs w:val="24"/>
        </w:rPr>
        <w:t>河西老城区仍是华容县城中心所在，特别是依托现有的商业商贸中心形成城市一级商贸中心，受历史和经济的限值，县城污水处理设施建设优先河西老城区建设，河西片区已有污水收集及处理系统，其桥东片区尚未进行污水收集处理系统建设。河西老城区已经建设华容县第一污水处理厂，即河西</w:t>
      </w:r>
      <w:r>
        <w:rPr>
          <w:rFonts w:hint="eastAsia" w:ascii="宋体" w:eastAsia="宋体" w:cs="宋体" w:hAnsiTheme="minorHAnsi"/>
          <w:kern w:val="0"/>
          <w:szCs w:val="24"/>
        </w:rPr>
        <w:t>蔡兴村污水处理厂，纳污范围为河西老城区片区、田家湖片区，现已有</w:t>
      </w:r>
      <w:r>
        <w:rPr>
          <w:rFonts w:eastAsia="宋体" w:cs="Times New Roman"/>
          <w:kern w:val="0"/>
          <w:szCs w:val="24"/>
        </w:rPr>
        <w:t>2.0</w:t>
      </w:r>
      <w:r>
        <w:rPr>
          <w:rFonts w:hint="eastAsia" w:ascii="TimesNewRoman" w:eastAsia="TimesNewRoman" w:cs="TimesNewRoman" w:hAnsiTheme="minorHAnsi"/>
          <w:kern w:val="0"/>
          <w:szCs w:val="24"/>
        </w:rPr>
        <w:t>×</w:t>
      </w:r>
      <w:r>
        <w:rPr>
          <w:rFonts w:eastAsia="宋体" w:cs="Times New Roman"/>
          <w:kern w:val="0"/>
          <w:szCs w:val="24"/>
        </w:rPr>
        <w:t>10</w:t>
      </w:r>
      <w:r>
        <w:rPr>
          <w:rFonts w:eastAsia="宋体" w:cs="Times New Roman"/>
          <w:kern w:val="0"/>
          <w:szCs w:val="24"/>
          <w:vertAlign w:val="superscript"/>
        </w:rPr>
        <w:t>4</w:t>
      </w:r>
      <w:r>
        <w:rPr>
          <w:rFonts w:eastAsia="宋体" w:cs="Times New Roman"/>
          <w:kern w:val="0"/>
          <w:szCs w:val="24"/>
        </w:rPr>
        <w:t>m</w:t>
      </w:r>
      <w:r>
        <w:rPr>
          <w:rFonts w:eastAsia="宋体" w:cs="Times New Roman"/>
          <w:kern w:val="0"/>
          <w:szCs w:val="24"/>
          <w:vertAlign w:val="superscript"/>
        </w:rPr>
        <w:t>3</w:t>
      </w:r>
      <w:r>
        <w:rPr>
          <w:rFonts w:eastAsia="宋体" w:cs="Times New Roman"/>
          <w:kern w:val="0"/>
          <w:szCs w:val="24"/>
        </w:rPr>
        <w:t>/d</w:t>
      </w:r>
      <w:r>
        <w:rPr>
          <w:rFonts w:hint="eastAsia" w:ascii="宋体" w:eastAsia="宋体" w:cs="宋体" w:hAnsiTheme="minorHAnsi"/>
          <w:kern w:val="0"/>
          <w:szCs w:val="24"/>
        </w:rPr>
        <w:t>的处理规模，处理后排入华容河。河西片区沿护城港已建设配套截污管网系统。</w:t>
      </w:r>
      <w:r>
        <w:rPr>
          <w:rFonts w:eastAsia="宋体" w:cs="Times New Roman"/>
          <w:kern w:val="0"/>
          <w:szCs w:val="24"/>
        </w:rPr>
        <w:t>2018年前华容县桥东片区内尚污水处理设施，截污管网不完善，雨污水主要通过道路两旁的暗渠进行收集后排放。桥东片区的生活污水和工业废水未经处理便排入了池塘</w:t>
      </w:r>
      <w:r>
        <w:rPr>
          <w:rFonts w:hint="eastAsia" w:eastAsia="宋体" w:cs="Times New Roman"/>
          <w:kern w:val="0"/>
          <w:szCs w:val="24"/>
        </w:rPr>
        <w:t>或</w:t>
      </w:r>
      <w:r>
        <w:rPr>
          <w:rFonts w:eastAsia="宋体" w:cs="Times New Roman"/>
          <w:kern w:val="0"/>
          <w:szCs w:val="24"/>
        </w:rPr>
        <w:t>河流，对自然水体造成了</w:t>
      </w:r>
      <w:r>
        <w:rPr>
          <w:rFonts w:hint="eastAsia" w:eastAsia="宋体" w:cs="Times New Roman"/>
          <w:kern w:val="0"/>
          <w:szCs w:val="24"/>
        </w:rPr>
        <w:t>一定</w:t>
      </w:r>
      <w:r>
        <w:rPr>
          <w:rFonts w:eastAsia="宋体" w:cs="Times New Roman"/>
          <w:kern w:val="0"/>
          <w:szCs w:val="24"/>
        </w:rPr>
        <w:t>的污染。由于现有的排水体制为合流制，排水系统主要是利用防洪系统中的撇洪渠和水利排灌系统排水，造成排水不畅、卫生状况较差的状况。因此，新建华容县桥东污水处理厂及配套截污干管工程已十分迫切。</w:t>
      </w:r>
    </w:p>
    <w:p>
      <w:pPr>
        <w:spacing w:line="360" w:lineRule="auto"/>
        <w:ind w:firstLine="480" w:firstLineChars="200"/>
        <w:rPr>
          <w:rFonts w:cs="Times New Roman"/>
        </w:rPr>
      </w:pPr>
      <w:r>
        <w:rPr>
          <w:rFonts w:cs="Times New Roman"/>
        </w:rPr>
        <w:t>（2）区域地表水环境保护的需要</w:t>
      </w:r>
    </w:p>
    <w:p>
      <w:pPr>
        <w:spacing w:line="360" w:lineRule="auto"/>
        <w:ind w:firstLine="480" w:firstLineChars="200"/>
        <w:rPr>
          <w:rFonts w:cs="Times New Roman"/>
        </w:rPr>
      </w:pPr>
      <w:r>
        <w:rPr>
          <w:rFonts w:cs="Times New Roman"/>
        </w:rPr>
        <w:t>根据水十条中全面控制污染物排放的强化城镇生活污染治理。加快城镇污水处理设施建设与改扩建和推进污泥处理处置。以及《洞庭湖生态环境专项整治三年行动计划（2018-2020年）》（湘政办发[2017]83号）、《湖南省城市双修三年行动计划（2018-2020）》（湘政办发[2017]74号）、《统筹推进“一湖四水”生态环境综合整治总体方案（2018-2020年）》（湘政办发[2018]14号）等相关政策的陆续出台，不断加大对环洞庭湖流域环境综合治理的绩效考核。石伏工业园的废水出水标准已经无法满足相关部门和政策的需求，故对桥东污水处理厂进行改造，在接纳桥东污生活污水的同时，接纳石伏工业园的工业废水，从而改善华容河的水质。</w:t>
      </w:r>
    </w:p>
    <w:p>
      <w:pPr>
        <w:pStyle w:val="5"/>
      </w:pPr>
      <w:r>
        <w:rPr>
          <w:rFonts w:hint="eastAsia"/>
        </w:rPr>
        <w:t>污水处理厂设计规模合理性</w:t>
      </w:r>
    </w:p>
    <w:p>
      <w:pPr>
        <w:pStyle w:val="6"/>
        <w:rPr>
          <w:rFonts w:eastAsia="宋体" w:cs="Times New Roman"/>
        </w:rPr>
      </w:pPr>
      <w:r>
        <w:rPr>
          <w:rStyle w:val="52"/>
          <w:b/>
          <w:bCs/>
        </w:rPr>
        <w:t>废水的来源组成及排放标准</w:t>
      </w:r>
    </w:p>
    <w:p>
      <w:pPr>
        <w:pStyle w:val="14"/>
        <w:adjustRightInd w:val="0"/>
        <w:snapToGrid w:val="0"/>
        <w:ind w:firstLine="480" w:firstLineChars="200"/>
        <w:jc w:val="both"/>
        <w:rPr>
          <w:rFonts w:cs="Times New Roman"/>
          <w:b w:val="0"/>
          <w:bCs/>
          <w:u w:val="single"/>
        </w:rPr>
      </w:pPr>
      <w:r>
        <w:rPr>
          <w:rFonts w:cs="Times New Roman"/>
          <w:b w:val="0"/>
          <w:bCs/>
          <w:u w:val="single"/>
        </w:rPr>
        <w:t>项目主要接纳城东8.4km范围内居民生活废水和石伏工业园工业废水。依据可行报告可知，其中桥东片区的生活污水约占80</w:t>
      </w:r>
      <w:r>
        <w:rPr>
          <w:rFonts w:hint="eastAsia" w:cs="Times New Roman"/>
          <w:b w:val="0"/>
          <w:bCs/>
          <w:u w:val="single"/>
          <w:lang w:val="en-US" w:eastAsia="zh-CN"/>
        </w:rPr>
        <w:t>%</w:t>
      </w:r>
      <w:r>
        <w:rPr>
          <w:rFonts w:cs="Times New Roman"/>
          <w:b w:val="0"/>
          <w:bCs/>
          <w:u w:val="single"/>
        </w:rPr>
        <w:t>（主要接纳华容县桥东片区8.5万人的生活污水），石伏工业园的工业废水约占20</w:t>
      </w:r>
      <w:r>
        <w:rPr>
          <w:rFonts w:hint="eastAsia" w:cs="Times New Roman"/>
          <w:b w:val="0"/>
          <w:bCs/>
          <w:u w:val="single"/>
          <w:lang w:val="en-US" w:eastAsia="zh-CN"/>
        </w:rPr>
        <w:t>%</w:t>
      </w:r>
      <w:r>
        <w:rPr>
          <w:rFonts w:cs="Times New Roman"/>
          <w:b w:val="0"/>
          <w:bCs/>
          <w:u w:val="single"/>
        </w:rPr>
        <w:t>。项目由预处理+组合池（水解酸化池+AAO生物池+二沉池）+深度处理后，达到《城镇污水处理厂污染物排放标准》（GB18918-2002）一级A标准排放到华容河北支，其项目废水主要来源见表2.3-1。</w:t>
      </w:r>
    </w:p>
    <w:p>
      <w:pPr>
        <w:pStyle w:val="14"/>
        <w:spacing w:line="240" w:lineRule="auto"/>
        <w:rPr>
          <w:u w:val="single"/>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2</w:t>
      </w:r>
      <w:r>
        <w:rPr>
          <w:rFonts w:hint="eastAsia"/>
          <w:u w:val="single"/>
        </w:rPr>
        <w:t>.</w:t>
      </w:r>
      <w:r>
        <w:rPr>
          <w:u w:val="single"/>
        </w:rPr>
        <w:t>3</w:t>
      </w:r>
      <w:r>
        <w:rPr>
          <w:u w:val="single"/>
        </w:rPr>
        <w:fldChar w:fldCharType="end"/>
      </w:r>
      <w:r>
        <w:rPr>
          <w:rFonts w:hint="eastAsia"/>
          <w:u w:val="single"/>
        </w:rPr>
        <w:t>-</w:t>
      </w:r>
      <w:r>
        <w:rPr>
          <w:u w:val="single"/>
        </w:rPr>
        <w:fldChar w:fldCharType="begin"/>
      </w:r>
      <w:r>
        <w:rPr>
          <w:u w:val="single"/>
        </w:rPr>
        <w:instrText xml:space="preserve"> SEQ 表 \* ARABIC \s 2 </w:instrText>
      </w:r>
      <w:r>
        <w:rPr>
          <w:u w:val="single"/>
        </w:rPr>
        <w:fldChar w:fldCharType="separate"/>
      </w:r>
      <w:r>
        <w:rPr>
          <w:u w:val="single"/>
        </w:rPr>
        <w:t>1</w:t>
      </w:r>
      <w:r>
        <w:rPr>
          <w:u w:val="single"/>
        </w:rPr>
        <w:fldChar w:fldCharType="end"/>
      </w:r>
      <w:r>
        <w:rPr>
          <w:rFonts w:hint="eastAsia"/>
          <w:u w:val="single"/>
        </w:rPr>
        <w:t xml:space="preserve">  本工程废水主要来源及污水量</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Borders>
              <w:top w:val="single" w:color="auto" w:sz="12" w:space="0"/>
              <w:left w:val="nil"/>
            </w:tcBorders>
          </w:tcPr>
          <w:p>
            <w:pPr>
              <w:pStyle w:val="14"/>
              <w:adjustRightInd w:val="0"/>
              <w:snapToGrid w:val="0"/>
              <w:spacing w:line="240" w:lineRule="auto"/>
              <w:rPr>
                <w:b w:val="0"/>
                <w:bCs/>
                <w:sz w:val="21"/>
                <w:szCs w:val="21"/>
                <w:u w:val="single"/>
              </w:rPr>
            </w:pPr>
          </w:p>
        </w:tc>
        <w:tc>
          <w:tcPr>
            <w:tcW w:w="4621" w:type="dxa"/>
            <w:tcBorders>
              <w:top w:val="single" w:color="auto" w:sz="12" w:space="0"/>
              <w:right w:val="nil"/>
            </w:tcBorders>
          </w:tcPr>
          <w:p>
            <w:pPr>
              <w:pStyle w:val="14"/>
              <w:adjustRightInd w:val="0"/>
              <w:snapToGrid w:val="0"/>
              <w:spacing w:line="240" w:lineRule="auto"/>
              <w:rPr>
                <w:b w:val="0"/>
                <w:bCs/>
                <w:sz w:val="21"/>
                <w:szCs w:val="21"/>
                <w:u w:val="single"/>
              </w:rPr>
            </w:pPr>
            <w:r>
              <w:rPr>
                <w:rFonts w:hint="eastAsia"/>
                <w:b w:val="0"/>
                <w:bCs/>
                <w:sz w:val="21"/>
                <w:szCs w:val="21"/>
                <w:u w:val="singl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Borders>
              <w:left w:val="nil"/>
            </w:tcBorders>
          </w:tcPr>
          <w:p>
            <w:pPr>
              <w:pStyle w:val="14"/>
              <w:adjustRightInd w:val="0"/>
              <w:snapToGrid w:val="0"/>
              <w:spacing w:line="240" w:lineRule="auto"/>
              <w:rPr>
                <w:b w:val="0"/>
                <w:bCs/>
                <w:sz w:val="21"/>
                <w:szCs w:val="21"/>
                <w:u w:val="single"/>
              </w:rPr>
            </w:pPr>
            <w:r>
              <w:rPr>
                <w:rFonts w:hint="eastAsia"/>
                <w:b w:val="0"/>
                <w:bCs/>
                <w:sz w:val="21"/>
                <w:szCs w:val="21"/>
                <w:u w:val="single"/>
              </w:rPr>
              <w:t>生活污水量（m</w:t>
            </w:r>
            <w:r>
              <w:rPr>
                <w:rFonts w:hint="eastAsia"/>
                <w:b w:val="0"/>
                <w:bCs/>
                <w:sz w:val="21"/>
                <w:szCs w:val="21"/>
                <w:u w:val="single"/>
                <w:vertAlign w:val="superscript"/>
              </w:rPr>
              <w:t>3</w:t>
            </w:r>
            <w:r>
              <w:rPr>
                <w:rFonts w:hint="eastAsia"/>
                <w:b w:val="0"/>
                <w:bCs/>
                <w:sz w:val="21"/>
                <w:szCs w:val="21"/>
                <w:u w:val="single"/>
              </w:rPr>
              <w:t>/d）</w:t>
            </w:r>
          </w:p>
        </w:tc>
        <w:tc>
          <w:tcPr>
            <w:tcW w:w="4621" w:type="dxa"/>
            <w:tcBorders>
              <w:right w:val="nil"/>
            </w:tcBorders>
          </w:tcPr>
          <w:p>
            <w:pPr>
              <w:pStyle w:val="14"/>
              <w:adjustRightInd w:val="0"/>
              <w:snapToGrid w:val="0"/>
              <w:spacing w:line="240" w:lineRule="auto"/>
              <w:rPr>
                <w:b w:val="0"/>
                <w:bCs/>
                <w:sz w:val="21"/>
                <w:szCs w:val="21"/>
                <w:u w:val="single"/>
              </w:rPr>
            </w:pPr>
            <w:r>
              <w:rPr>
                <w:rFonts w:hint="eastAsia"/>
                <w:b w:val="0"/>
                <w:bCs/>
                <w:sz w:val="21"/>
                <w:szCs w:val="21"/>
                <w:u w:val="single"/>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Borders>
              <w:left w:val="nil"/>
            </w:tcBorders>
          </w:tcPr>
          <w:p>
            <w:pPr>
              <w:pStyle w:val="14"/>
              <w:adjustRightInd w:val="0"/>
              <w:snapToGrid w:val="0"/>
              <w:spacing w:line="240" w:lineRule="auto"/>
              <w:rPr>
                <w:b w:val="0"/>
                <w:bCs/>
                <w:sz w:val="21"/>
                <w:szCs w:val="21"/>
                <w:u w:val="single"/>
              </w:rPr>
            </w:pPr>
            <w:r>
              <w:rPr>
                <w:rFonts w:hint="eastAsia"/>
                <w:b w:val="0"/>
                <w:bCs/>
                <w:sz w:val="21"/>
                <w:szCs w:val="21"/>
                <w:u w:val="single"/>
              </w:rPr>
              <w:t>工业污水量（m</w:t>
            </w:r>
            <w:r>
              <w:rPr>
                <w:rFonts w:hint="eastAsia"/>
                <w:b w:val="0"/>
                <w:bCs/>
                <w:sz w:val="21"/>
                <w:szCs w:val="21"/>
                <w:u w:val="single"/>
                <w:vertAlign w:val="superscript"/>
              </w:rPr>
              <w:t>3</w:t>
            </w:r>
            <w:r>
              <w:rPr>
                <w:rFonts w:hint="eastAsia"/>
                <w:b w:val="0"/>
                <w:bCs/>
                <w:sz w:val="21"/>
                <w:szCs w:val="21"/>
                <w:u w:val="single"/>
              </w:rPr>
              <w:t>/d）</w:t>
            </w:r>
          </w:p>
        </w:tc>
        <w:tc>
          <w:tcPr>
            <w:tcW w:w="4621" w:type="dxa"/>
            <w:tcBorders>
              <w:right w:val="nil"/>
            </w:tcBorders>
          </w:tcPr>
          <w:p>
            <w:pPr>
              <w:pStyle w:val="14"/>
              <w:adjustRightInd w:val="0"/>
              <w:snapToGrid w:val="0"/>
              <w:spacing w:line="240" w:lineRule="auto"/>
              <w:rPr>
                <w:b w:val="0"/>
                <w:bCs/>
                <w:sz w:val="21"/>
                <w:szCs w:val="21"/>
                <w:u w:val="single"/>
              </w:rPr>
            </w:pPr>
            <w:r>
              <w:rPr>
                <w:rFonts w:hint="eastAsia"/>
                <w:b w:val="0"/>
                <w:bCs/>
                <w:sz w:val="21"/>
                <w:szCs w:val="21"/>
                <w:u w:val="singl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Borders>
              <w:left w:val="nil"/>
              <w:bottom w:val="single" w:color="auto" w:sz="12" w:space="0"/>
            </w:tcBorders>
          </w:tcPr>
          <w:p>
            <w:pPr>
              <w:pStyle w:val="14"/>
              <w:adjustRightInd w:val="0"/>
              <w:snapToGrid w:val="0"/>
              <w:spacing w:line="240" w:lineRule="auto"/>
              <w:rPr>
                <w:b w:val="0"/>
                <w:bCs/>
                <w:sz w:val="21"/>
                <w:szCs w:val="21"/>
                <w:u w:val="single"/>
              </w:rPr>
            </w:pPr>
            <w:r>
              <w:rPr>
                <w:rFonts w:hint="eastAsia"/>
                <w:b w:val="0"/>
                <w:bCs/>
                <w:sz w:val="21"/>
                <w:szCs w:val="21"/>
                <w:u w:val="single"/>
              </w:rPr>
              <w:t>污水总量（m</w:t>
            </w:r>
            <w:r>
              <w:rPr>
                <w:rFonts w:hint="eastAsia"/>
                <w:b w:val="0"/>
                <w:bCs/>
                <w:sz w:val="21"/>
                <w:szCs w:val="21"/>
                <w:u w:val="single"/>
                <w:vertAlign w:val="superscript"/>
              </w:rPr>
              <w:t>3</w:t>
            </w:r>
            <w:r>
              <w:rPr>
                <w:rFonts w:hint="eastAsia"/>
                <w:b w:val="0"/>
                <w:bCs/>
                <w:sz w:val="21"/>
                <w:szCs w:val="21"/>
                <w:u w:val="single"/>
              </w:rPr>
              <w:t>/d）</w:t>
            </w:r>
          </w:p>
        </w:tc>
        <w:tc>
          <w:tcPr>
            <w:tcW w:w="4621" w:type="dxa"/>
            <w:tcBorders>
              <w:bottom w:val="single" w:color="auto" w:sz="12" w:space="0"/>
              <w:right w:val="nil"/>
            </w:tcBorders>
          </w:tcPr>
          <w:p>
            <w:pPr>
              <w:pStyle w:val="14"/>
              <w:adjustRightInd w:val="0"/>
              <w:snapToGrid w:val="0"/>
              <w:spacing w:line="240" w:lineRule="auto"/>
              <w:rPr>
                <w:b w:val="0"/>
                <w:bCs/>
                <w:sz w:val="21"/>
                <w:szCs w:val="21"/>
                <w:u w:val="single"/>
              </w:rPr>
            </w:pPr>
            <w:r>
              <w:rPr>
                <w:rFonts w:hint="eastAsia"/>
                <w:b w:val="0"/>
                <w:bCs/>
                <w:sz w:val="21"/>
                <w:szCs w:val="21"/>
                <w:u w:val="single"/>
              </w:rPr>
              <w:t>20000</w:t>
            </w:r>
          </w:p>
        </w:tc>
      </w:tr>
    </w:tbl>
    <w:p>
      <w:pPr>
        <w:pStyle w:val="14"/>
        <w:spacing w:line="240" w:lineRule="auto"/>
      </w:pPr>
      <w:r>
        <w:t xml:space="preserve">表 </w:t>
      </w:r>
      <w:r>
        <w:fldChar w:fldCharType="begin"/>
      </w:r>
      <w:r>
        <w:instrText xml:space="preserve"> STYLEREF 2 \s </w:instrText>
      </w:r>
      <w:r>
        <w:fldChar w:fldCharType="separate"/>
      </w:r>
      <w:r>
        <w:t>2</w:t>
      </w:r>
      <w:r>
        <w:rPr>
          <w:rFonts w:hint="eastAsia"/>
        </w:rPr>
        <w:t>.</w:t>
      </w:r>
      <w:r>
        <w:t>3</w:t>
      </w:r>
      <w:r>
        <w:fldChar w:fldCharType="end"/>
      </w:r>
      <w:r>
        <w:rPr>
          <w:rFonts w:hint="eastAsia"/>
        </w:rPr>
        <w:t>-</w:t>
      </w:r>
      <w:r>
        <w:fldChar w:fldCharType="begin"/>
      </w:r>
      <w:r>
        <w:instrText xml:space="preserve"> SEQ 表 \* ARABIC \s 2 </w:instrText>
      </w:r>
      <w:r>
        <w:fldChar w:fldCharType="separate"/>
      </w:r>
      <w:r>
        <w:t>2</w:t>
      </w:r>
      <w:r>
        <w:fldChar w:fldCharType="end"/>
      </w:r>
      <w:r>
        <w:rPr>
          <w:rFonts w:hint="eastAsia"/>
        </w:rPr>
        <w:t xml:space="preserve">  排放标准一览表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3081"/>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restart"/>
            <w:tcBorders>
              <w:top w:val="single" w:color="auto" w:sz="12" w:space="0"/>
              <w:left w:val="nil"/>
            </w:tcBorders>
            <w:vAlign w:val="center"/>
          </w:tcPr>
          <w:p>
            <w:pPr>
              <w:pStyle w:val="14"/>
              <w:spacing w:line="240" w:lineRule="auto"/>
              <w:rPr>
                <w:b w:val="0"/>
                <w:bCs/>
                <w:sz w:val="21"/>
                <w:szCs w:val="21"/>
              </w:rPr>
            </w:pPr>
            <w:r>
              <w:rPr>
                <w:rFonts w:hint="eastAsia"/>
                <w:b w:val="0"/>
                <w:bCs/>
                <w:sz w:val="21"/>
                <w:szCs w:val="21"/>
              </w:rPr>
              <w:t>基本控制项目</w:t>
            </w:r>
          </w:p>
        </w:tc>
        <w:tc>
          <w:tcPr>
            <w:tcW w:w="3081" w:type="dxa"/>
            <w:tcBorders>
              <w:top w:val="single" w:color="auto" w:sz="12" w:space="0"/>
            </w:tcBorders>
            <w:vAlign w:val="center"/>
          </w:tcPr>
          <w:p>
            <w:pPr>
              <w:pStyle w:val="14"/>
              <w:spacing w:line="240" w:lineRule="auto"/>
              <w:rPr>
                <w:b w:val="0"/>
                <w:bCs/>
                <w:sz w:val="21"/>
                <w:szCs w:val="21"/>
              </w:rPr>
            </w:pPr>
            <w:r>
              <w:rPr>
                <w:rFonts w:hint="eastAsia"/>
                <w:b w:val="0"/>
                <w:bCs/>
                <w:sz w:val="21"/>
                <w:szCs w:val="21"/>
              </w:rPr>
              <w:t>PH</w:t>
            </w:r>
          </w:p>
        </w:tc>
        <w:tc>
          <w:tcPr>
            <w:tcW w:w="3081" w:type="dxa"/>
            <w:tcBorders>
              <w:top w:val="single" w:color="auto" w:sz="12" w:space="0"/>
              <w:right w:val="nil"/>
            </w:tcBorders>
            <w:vAlign w:val="center"/>
          </w:tcPr>
          <w:p>
            <w:pPr>
              <w:pStyle w:val="14"/>
              <w:spacing w:line="240" w:lineRule="auto"/>
              <w:rPr>
                <w:b w:val="0"/>
                <w:bCs/>
                <w:sz w:val="21"/>
                <w:szCs w:val="21"/>
              </w:rPr>
            </w:pPr>
            <w:r>
              <w:rPr>
                <w:rFonts w:hint="eastAsia"/>
                <w:b w:val="0"/>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COD</w:t>
            </w:r>
            <w:r>
              <w:rPr>
                <w:rFonts w:hint="eastAsia"/>
                <w:b w:val="0"/>
                <w:bCs/>
                <w:sz w:val="21"/>
                <w:szCs w:val="21"/>
                <w:vertAlign w:val="subscript"/>
              </w:rPr>
              <w:t>cr</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BOD</w:t>
            </w:r>
            <w:r>
              <w:rPr>
                <w:rFonts w:hint="eastAsia"/>
                <w:b w:val="0"/>
                <w:bCs/>
                <w:sz w:val="21"/>
                <w:szCs w:val="21"/>
                <w:vertAlign w:val="subscript"/>
              </w:rPr>
              <w:t>5</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悬浮物（SS）</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动植物油</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石油类</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氨氮（以N计）</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总氮（以N计）</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总磷（以P计）</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tcBorders>
            <w:vAlign w:val="center"/>
          </w:tcPr>
          <w:p>
            <w:pPr>
              <w:pStyle w:val="14"/>
              <w:spacing w:line="240" w:lineRule="auto"/>
              <w:rPr>
                <w:b w:val="0"/>
                <w:bCs/>
                <w:sz w:val="21"/>
                <w:szCs w:val="21"/>
              </w:rPr>
            </w:pPr>
          </w:p>
        </w:tc>
        <w:tc>
          <w:tcPr>
            <w:tcW w:w="3081" w:type="dxa"/>
            <w:vAlign w:val="center"/>
          </w:tcPr>
          <w:p>
            <w:pPr>
              <w:pStyle w:val="14"/>
              <w:spacing w:line="240" w:lineRule="auto"/>
              <w:rPr>
                <w:b w:val="0"/>
                <w:bCs/>
                <w:sz w:val="21"/>
                <w:szCs w:val="21"/>
              </w:rPr>
            </w:pPr>
            <w:r>
              <w:rPr>
                <w:rFonts w:hint="eastAsia"/>
                <w:b w:val="0"/>
                <w:bCs/>
                <w:sz w:val="21"/>
                <w:szCs w:val="21"/>
              </w:rPr>
              <w:t>色度（稀释倍数）</w:t>
            </w:r>
          </w:p>
        </w:tc>
        <w:tc>
          <w:tcPr>
            <w:tcW w:w="3081" w:type="dxa"/>
            <w:tcBorders>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vMerge w:val="continue"/>
            <w:tcBorders>
              <w:left w:val="nil"/>
              <w:bottom w:val="single" w:color="auto" w:sz="12" w:space="0"/>
            </w:tcBorders>
            <w:vAlign w:val="center"/>
          </w:tcPr>
          <w:p>
            <w:pPr>
              <w:pStyle w:val="14"/>
              <w:spacing w:line="240" w:lineRule="auto"/>
              <w:rPr>
                <w:b w:val="0"/>
                <w:bCs/>
                <w:sz w:val="21"/>
                <w:szCs w:val="21"/>
              </w:rPr>
            </w:pPr>
          </w:p>
        </w:tc>
        <w:tc>
          <w:tcPr>
            <w:tcW w:w="3081" w:type="dxa"/>
            <w:tcBorders>
              <w:bottom w:val="single" w:color="auto" w:sz="12" w:space="0"/>
            </w:tcBorders>
            <w:vAlign w:val="center"/>
          </w:tcPr>
          <w:p>
            <w:pPr>
              <w:pStyle w:val="14"/>
              <w:spacing w:line="240" w:lineRule="auto"/>
              <w:rPr>
                <w:b w:val="0"/>
                <w:bCs/>
                <w:sz w:val="21"/>
                <w:szCs w:val="21"/>
              </w:rPr>
            </w:pPr>
            <w:r>
              <w:rPr>
                <w:rFonts w:hint="eastAsia"/>
                <w:b w:val="0"/>
                <w:bCs/>
                <w:sz w:val="21"/>
                <w:szCs w:val="21"/>
              </w:rPr>
              <w:t>类大肠菌群数（个/L）</w:t>
            </w:r>
          </w:p>
        </w:tc>
        <w:tc>
          <w:tcPr>
            <w:tcW w:w="3081" w:type="dxa"/>
            <w:tcBorders>
              <w:bottom w:val="single" w:color="auto" w:sz="12" w:space="0"/>
              <w:right w:val="nil"/>
            </w:tcBorders>
            <w:vAlign w:val="center"/>
          </w:tcPr>
          <w:p>
            <w:pPr>
              <w:pStyle w:val="14"/>
              <w:spacing w:line="240" w:lineRule="auto"/>
              <w:rPr>
                <w:b w:val="0"/>
                <w:bCs/>
                <w:sz w:val="21"/>
                <w:szCs w:val="21"/>
              </w:rPr>
            </w:pPr>
            <w:r>
              <w:rPr>
                <w:rFonts w:cs="Times New Roman"/>
                <w:b w:val="0"/>
                <w:bCs/>
                <w:sz w:val="21"/>
                <w:szCs w:val="21"/>
              </w:rPr>
              <w:t>≤</w:t>
            </w:r>
            <w:r>
              <w:rPr>
                <w:rFonts w:hint="eastAsia" w:cs="Times New Roman"/>
                <w:b w:val="0"/>
                <w:bCs/>
                <w:sz w:val="21"/>
                <w:szCs w:val="21"/>
              </w:rPr>
              <w:t>10</w:t>
            </w:r>
            <w:r>
              <w:rPr>
                <w:rFonts w:hint="eastAsia" w:cs="Times New Roman"/>
                <w:b w:val="0"/>
                <w:bCs/>
                <w:sz w:val="21"/>
                <w:szCs w:val="21"/>
                <w:vertAlign w:val="superscript"/>
              </w:rPr>
              <w:t>3</w:t>
            </w:r>
          </w:p>
        </w:tc>
      </w:tr>
    </w:tbl>
    <w:p>
      <w:pPr>
        <w:pStyle w:val="61"/>
      </w:pPr>
      <w:r>
        <w:rPr>
          <w:rFonts w:hint="eastAsia"/>
        </w:rPr>
        <w:t>石伏工业园基本情况</w:t>
      </w:r>
    </w:p>
    <w:p>
      <w:pPr>
        <w:pStyle w:val="64"/>
        <w:adjustRightInd w:val="0"/>
        <w:snapToGrid w:val="0"/>
        <w:spacing w:before="0" w:after="0"/>
      </w:pPr>
      <w:r>
        <w:rPr>
          <w:rFonts w:hint="eastAsia"/>
        </w:rPr>
        <w:t>项目工业废水源于石伏工业园，经调查，石伏工业园现有排污企业基本情况见下表所示。</w:t>
      </w:r>
    </w:p>
    <w:p>
      <w:pPr>
        <w:pStyle w:val="14"/>
        <w:adjustRightInd w:val="0"/>
        <w:snapToGrid w:val="0"/>
        <w:spacing w:line="240" w:lineRule="auto"/>
        <w:rPr>
          <w:u w:val="single"/>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2</w:t>
      </w:r>
      <w:r>
        <w:rPr>
          <w:rFonts w:hint="eastAsia"/>
          <w:u w:val="single"/>
        </w:rPr>
        <w:t>.</w:t>
      </w:r>
      <w:r>
        <w:rPr>
          <w:u w:val="single"/>
        </w:rPr>
        <w:t>3</w:t>
      </w:r>
      <w:r>
        <w:rPr>
          <w:u w:val="single"/>
        </w:rPr>
        <w:fldChar w:fldCharType="end"/>
      </w:r>
      <w:r>
        <w:rPr>
          <w:rFonts w:hint="eastAsia"/>
          <w:u w:val="single"/>
        </w:rPr>
        <w:t>-</w:t>
      </w:r>
      <w:r>
        <w:rPr>
          <w:u w:val="single"/>
        </w:rPr>
        <w:fldChar w:fldCharType="begin"/>
      </w:r>
      <w:r>
        <w:rPr>
          <w:u w:val="single"/>
        </w:rPr>
        <w:instrText xml:space="preserve"> SEQ 表 \* ARABIC \s 2 </w:instrText>
      </w:r>
      <w:r>
        <w:rPr>
          <w:u w:val="single"/>
        </w:rPr>
        <w:fldChar w:fldCharType="separate"/>
      </w:r>
      <w:r>
        <w:rPr>
          <w:u w:val="single"/>
        </w:rPr>
        <w:t>3</w:t>
      </w:r>
      <w:r>
        <w:rPr>
          <w:u w:val="single"/>
        </w:rPr>
        <w:fldChar w:fldCharType="end"/>
      </w:r>
      <w:r>
        <w:rPr>
          <w:rFonts w:hint="eastAsia"/>
          <w:u w:val="single"/>
        </w:rPr>
        <w:t xml:space="preserve">  石伏工业园内现有已排入污水处理厂处理的企业的基本情况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559"/>
        <w:gridCol w:w="913"/>
        <w:gridCol w:w="1023"/>
        <w:gridCol w:w="1045"/>
        <w:gridCol w:w="1866"/>
        <w:gridCol w:w="940"/>
        <w:gridCol w:w="73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公司名称</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法人代表</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投产时间</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用地面积（亩）</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建筑面积（m</w:t>
            </w:r>
            <w:r>
              <w:rPr>
                <w:rFonts w:hint="eastAsia"/>
                <w:b w:val="0"/>
                <w:bCs/>
                <w:sz w:val="21"/>
                <w:szCs w:val="21"/>
                <w:u w:val="single"/>
                <w:vertAlign w:val="superscript"/>
              </w:rPr>
              <w:t>2</w:t>
            </w:r>
            <w:r>
              <w:rPr>
                <w:rFonts w:hint="eastAsia"/>
                <w:b w:val="0"/>
                <w:bCs/>
                <w:sz w:val="21"/>
                <w:szCs w:val="21"/>
                <w:u w:val="single"/>
              </w:rPr>
              <w:t>）</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生产规模</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总投资（万元）</w:t>
            </w:r>
          </w:p>
        </w:tc>
        <w:tc>
          <w:tcPr>
            <w:tcW w:w="0" w:type="auto"/>
            <w:tcBorders>
              <w:top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环保手续履行情况</w:t>
            </w:r>
          </w:p>
        </w:tc>
        <w:tc>
          <w:tcPr>
            <w:tcW w:w="0" w:type="auto"/>
            <w:tcBorders>
              <w:top w:val="single" w:color="auto" w:sz="12" w:space="0"/>
              <w:righ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废水量（t/d）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湖南喜多多食品有限公司</w:t>
            </w:r>
          </w:p>
        </w:tc>
        <w:tc>
          <w:tcPr>
            <w:tcW w:w="0" w:type="auto"/>
            <w:vAlign w:val="center"/>
          </w:tcPr>
          <w:p>
            <w:pPr>
              <w:pStyle w:val="141"/>
              <w:jc w:val="center"/>
              <w:rPr>
                <w:bCs/>
                <w:u w:val="single"/>
              </w:rPr>
            </w:pPr>
            <w:r>
              <w:rPr>
                <w:rFonts w:ascii="Times New Roman" w:hAnsi="Times New Roman"/>
                <w:bCs/>
                <w:color w:val="000000" w:themeColor="text1"/>
                <w:u w:val="single"/>
              </w:rPr>
              <w:t>戚立红</w:t>
            </w:r>
          </w:p>
        </w:tc>
        <w:tc>
          <w:tcPr>
            <w:tcW w:w="0" w:type="auto"/>
            <w:vAlign w:val="center"/>
          </w:tcPr>
          <w:p>
            <w:pPr>
              <w:pStyle w:val="141"/>
              <w:jc w:val="center"/>
              <w:rPr>
                <w:bCs/>
                <w:u w:val="single"/>
              </w:rPr>
            </w:pPr>
            <w:r>
              <w:rPr>
                <w:rFonts w:ascii="Times New Roman" w:hAnsi="Times New Roman"/>
                <w:bCs/>
                <w:color w:val="000000" w:themeColor="text1"/>
                <w:u w:val="single"/>
              </w:rPr>
              <w:t>2012年8月</w:t>
            </w:r>
          </w:p>
        </w:tc>
        <w:tc>
          <w:tcPr>
            <w:tcW w:w="0" w:type="auto"/>
            <w:vAlign w:val="center"/>
          </w:tcPr>
          <w:p>
            <w:pPr>
              <w:pStyle w:val="141"/>
              <w:jc w:val="center"/>
              <w:rPr>
                <w:bCs/>
                <w:u w:val="single"/>
              </w:rPr>
            </w:pPr>
            <w:r>
              <w:rPr>
                <w:rFonts w:ascii="Times New Roman" w:hAnsi="Times New Roman"/>
                <w:bCs/>
                <w:color w:val="000000" w:themeColor="text1"/>
                <w:u w:val="single"/>
              </w:rPr>
              <w:t>40</w:t>
            </w:r>
          </w:p>
        </w:tc>
        <w:tc>
          <w:tcPr>
            <w:tcW w:w="0" w:type="auto"/>
            <w:vAlign w:val="center"/>
          </w:tcPr>
          <w:p>
            <w:pPr>
              <w:pStyle w:val="141"/>
              <w:jc w:val="center"/>
              <w:rPr>
                <w:bCs/>
                <w:u w:val="single"/>
              </w:rPr>
            </w:pPr>
            <w:r>
              <w:rPr>
                <w:rFonts w:ascii="Times New Roman" w:hAnsi="Times New Roman"/>
                <w:bCs/>
                <w:color w:val="000000" w:themeColor="text1"/>
                <w:u w:val="single"/>
              </w:rPr>
              <w:t>1800</w:t>
            </w:r>
          </w:p>
        </w:tc>
        <w:tc>
          <w:tcPr>
            <w:tcW w:w="0" w:type="auto"/>
            <w:vAlign w:val="center"/>
          </w:tcPr>
          <w:p>
            <w:pPr>
              <w:pStyle w:val="141"/>
              <w:jc w:val="center"/>
              <w:rPr>
                <w:bCs/>
                <w:u w:val="single"/>
              </w:rPr>
            </w:pPr>
            <w:r>
              <w:rPr>
                <w:rFonts w:ascii="Times New Roman" w:hAnsi="Times New Roman"/>
                <w:bCs/>
                <w:color w:val="000000" w:themeColor="text1"/>
                <w:u w:val="single"/>
              </w:rPr>
              <w:t>年加工蔬菜7000吨，年加工南瓜3.6万吨，年产酸菜风味包10亿个</w:t>
            </w:r>
          </w:p>
        </w:tc>
        <w:tc>
          <w:tcPr>
            <w:tcW w:w="0" w:type="auto"/>
            <w:vAlign w:val="center"/>
          </w:tcPr>
          <w:p>
            <w:pPr>
              <w:pStyle w:val="141"/>
              <w:jc w:val="center"/>
              <w:rPr>
                <w:bCs/>
                <w:u w:val="single"/>
              </w:rPr>
            </w:pPr>
            <w:r>
              <w:rPr>
                <w:rFonts w:ascii="Times New Roman" w:hAnsi="Times New Roman"/>
                <w:bCs/>
                <w:color w:val="000000" w:themeColor="text1"/>
                <w:u w:val="single"/>
              </w:rPr>
              <w:t>8000</w:t>
            </w:r>
          </w:p>
        </w:tc>
        <w:tc>
          <w:tcPr>
            <w:tcW w:w="0" w:type="auto"/>
            <w:vAlign w:val="center"/>
          </w:tcPr>
          <w:p>
            <w:pPr>
              <w:pStyle w:val="141"/>
              <w:jc w:val="center"/>
              <w:rPr>
                <w:bCs/>
                <w:u w:val="single"/>
              </w:rPr>
            </w:pPr>
            <w:r>
              <w:rPr>
                <w:rFonts w:ascii="Times New Roman" w:hAnsi="Times New Roman"/>
                <w:bCs/>
                <w:color w:val="000000" w:themeColor="text1"/>
                <w:u w:val="single"/>
              </w:rPr>
              <w:t>完成环评</w:t>
            </w:r>
          </w:p>
        </w:tc>
        <w:tc>
          <w:tcPr>
            <w:tcW w:w="0" w:type="auto"/>
            <w:tcBorders>
              <w:righ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华翔彩瓦厂</w:t>
            </w:r>
          </w:p>
        </w:tc>
        <w:tc>
          <w:tcPr>
            <w:tcW w:w="0" w:type="auto"/>
            <w:vAlign w:val="center"/>
          </w:tcPr>
          <w:p>
            <w:pPr>
              <w:pStyle w:val="141"/>
              <w:jc w:val="center"/>
              <w:rPr>
                <w:bCs/>
                <w:u w:val="single"/>
              </w:rPr>
            </w:pPr>
            <w:r>
              <w:rPr>
                <w:rFonts w:ascii="Times New Roman" w:hAnsi="Times New Roman"/>
                <w:bCs/>
                <w:color w:val="000000" w:themeColor="text1"/>
                <w:u w:val="single"/>
              </w:rPr>
              <w:t>刘迪明</w:t>
            </w:r>
          </w:p>
        </w:tc>
        <w:tc>
          <w:tcPr>
            <w:tcW w:w="0" w:type="auto"/>
            <w:vAlign w:val="center"/>
          </w:tcPr>
          <w:p>
            <w:pPr>
              <w:pStyle w:val="141"/>
              <w:jc w:val="center"/>
              <w:rPr>
                <w:bCs/>
                <w:u w:val="single"/>
              </w:rPr>
            </w:pPr>
            <w:r>
              <w:rPr>
                <w:rFonts w:ascii="Times New Roman" w:hAnsi="Times New Roman"/>
                <w:bCs/>
                <w:color w:val="000000" w:themeColor="text1"/>
                <w:u w:val="single"/>
              </w:rPr>
              <w:t>2009年8月</w:t>
            </w:r>
          </w:p>
        </w:tc>
        <w:tc>
          <w:tcPr>
            <w:tcW w:w="0" w:type="auto"/>
            <w:vAlign w:val="center"/>
          </w:tcPr>
          <w:p>
            <w:pPr>
              <w:pStyle w:val="141"/>
              <w:jc w:val="center"/>
              <w:rPr>
                <w:bCs/>
                <w:u w:val="single"/>
              </w:rPr>
            </w:pPr>
            <w:r>
              <w:rPr>
                <w:rFonts w:ascii="Times New Roman" w:hAnsi="Times New Roman"/>
                <w:bCs/>
                <w:color w:val="000000" w:themeColor="text1"/>
                <w:u w:val="single"/>
              </w:rPr>
              <w:t>4</w:t>
            </w:r>
          </w:p>
        </w:tc>
        <w:tc>
          <w:tcPr>
            <w:tcW w:w="0" w:type="auto"/>
            <w:vAlign w:val="center"/>
          </w:tcPr>
          <w:p>
            <w:pPr>
              <w:pStyle w:val="141"/>
              <w:jc w:val="center"/>
              <w:rPr>
                <w:bCs/>
                <w:u w:val="single"/>
              </w:rPr>
            </w:pPr>
            <w:r>
              <w:rPr>
                <w:rFonts w:ascii="Times New Roman" w:hAnsi="Times New Roman"/>
                <w:bCs/>
                <w:color w:val="000000" w:themeColor="text1"/>
                <w:u w:val="single"/>
              </w:rPr>
              <w:t>200</w:t>
            </w:r>
          </w:p>
        </w:tc>
        <w:tc>
          <w:tcPr>
            <w:tcW w:w="0" w:type="auto"/>
            <w:vAlign w:val="center"/>
          </w:tcPr>
          <w:p>
            <w:pPr>
              <w:pStyle w:val="141"/>
              <w:jc w:val="center"/>
              <w:rPr>
                <w:bCs/>
                <w:u w:val="single"/>
              </w:rPr>
            </w:pPr>
            <w:r>
              <w:rPr>
                <w:rFonts w:ascii="Times New Roman" w:hAnsi="Times New Roman"/>
                <w:bCs/>
                <w:color w:val="000000" w:themeColor="text1"/>
                <w:u w:val="single"/>
              </w:rPr>
              <w:t>年产2万片彩瓦</w:t>
            </w:r>
          </w:p>
        </w:tc>
        <w:tc>
          <w:tcPr>
            <w:tcW w:w="0" w:type="auto"/>
            <w:vAlign w:val="center"/>
          </w:tcPr>
          <w:p>
            <w:pPr>
              <w:pStyle w:val="141"/>
              <w:jc w:val="center"/>
              <w:rPr>
                <w:bCs/>
                <w:u w:val="single"/>
              </w:rPr>
            </w:pPr>
            <w:r>
              <w:rPr>
                <w:rFonts w:ascii="Times New Roman" w:hAnsi="Times New Roman"/>
                <w:bCs/>
                <w:color w:val="000000" w:themeColor="text1"/>
                <w:u w:val="single"/>
              </w:rPr>
              <w:t>3</w:t>
            </w:r>
          </w:p>
        </w:tc>
        <w:tc>
          <w:tcPr>
            <w:tcW w:w="0" w:type="auto"/>
            <w:vAlign w:val="center"/>
          </w:tcPr>
          <w:p>
            <w:pPr>
              <w:pStyle w:val="141"/>
              <w:jc w:val="center"/>
              <w:rPr>
                <w:bCs/>
                <w:u w:val="single"/>
              </w:rPr>
            </w:pPr>
            <w:r>
              <w:rPr>
                <w:rFonts w:hint="eastAsia"/>
                <w:bCs/>
                <w:u w:val="single"/>
              </w:rPr>
              <w:t>/</w:t>
            </w:r>
          </w:p>
        </w:tc>
        <w:tc>
          <w:tcPr>
            <w:tcW w:w="0" w:type="auto"/>
            <w:tcBorders>
              <w:righ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华润雪花啤酒（湖南有限公司）</w:t>
            </w:r>
          </w:p>
        </w:tc>
        <w:tc>
          <w:tcPr>
            <w:tcW w:w="0" w:type="auto"/>
            <w:vAlign w:val="center"/>
          </w:tcPr>
          <w:p>
            <w:pPr>
              <w:pStyle w:val="141"/>
              <w:jc w:val="center"/>
              <w:rPr>
                <w:bCs/>
                <w:u w:val="single"/>
              </w:rPr>
            </w:pPr>
            <w:r>
              <w:rPr>
                <w:rFonts w:ascii="Times New Roman" w:hAnsi="Times New Roman"/>
                <w:bCs/>
                <w:color w:val="000000" w:themeColor="text1"/>
                <w:u w:val="single"/>
              </w:rPr>
              <w:t>王群</w:t>
            </w:r>
          </w:p>
        </w:tc>
        <w:tc>
          <w:tcPr>
            <w:tcW w:w="0" w:type="auto"/>
            <w:vAlign w:val="center"/>
          </w:tcPr>
          <w:p>
            <w:pPr>
              <w:pStyle w:val="141"/>
              <w:jc w:val="center"/>
              <w:rPr>
                <w:bCs/>
                <w:u w:val="single"/>
              </w:rPr>
            </w:pPr>
            <w:r>
              <w:rPr>
                <w:rFonts w:ascii="Times New Roman" w:hAnsi="Times New Roman"/>
                <w:bCs/>
                <w:color w:val="000000" w:themeColor="text1"/>
                <w:u w:val="single"/>
              </w:rPr>
              <w:t>2001年09年30日</w:t>
            </w:r>
          </w:p>
        </w:tc>
        <w:tc>
          <w:tcPr>
            <w:tcW w:w="0" w:type="auto"/>
            <w:vAlign w:val="center"/>
          </w:tcPr>
          <w:p>
            <w:pPr>
              <w:pStyle w:val="141"/>
              <w:jc w:val="center"/>
              <w:rPr>
                <w:bCs/>
                <w:u w:val="single"/>
              </w:rPr>
            </w:pPr>
            <w:r>
              <w:rPr>
                <w:rFonts w:ascii="Times New Roman" w:hAnsi="Times New Roman"/>
                <w:bCs/>
                <w:color w:val="000000" w:themeColor="text1"/>
                <w:u w:val="single"/>
              </w:rPr>
              <w:t>/</w:t>
            </w:r>
          </w:p>
        </w:tc>
        <w:tc>
          <w:tcPr>
            <w:tcW w:w="0" w:type="auto"/>
            <w:vAlign w:val="center"/>
          </w:tcPr>
          <w:p>
            <w:pPr>
              <w:pStyle w:val="141"/>
              <w:jc w:val="center"/>
              <w:rPr>
                <w:bCs/>
                <w:u w:val="single"/>
              </w:rPr>
            </w:pPr>
            <w:r>
              <w:rPr>
                <w:rFonts w:ascii="Times New Roman" w:hAnsi="Times New Roman"/>
                <w:bCs/>
                <w:color w:val="000000" w:themeColor="text1"/>
                <w:u w:val="single"/>
              </w:rPr>
              <w:t>20000</w:t>
            </w:r>
          </w:p>
        </w:tc>
        <w:tc>
          <w:tcPr>
            <w:tcW w:w="0" w:type="auto"/>
            <w:vAlign w:val="center"/>
          </w:tcPr>
          <w:p>
            <w:pPr>
              <w:pStyle w:val="141"/>
              <w:jc w:val="center"/>
              <w:rPr>
                <w:bCs/>
                <w:u w:val="single"/>
              </w:rPr>
            </w:pPr>
            <w:r>
              <w:rPr>
                <w:rFonts w:ascii="Times New Roman" w:hAnsi="Times New Roman"/>
                <w:bCs/>
                <w:color w:val="000000" w:themeColor="text1"/>
                <w:u w:val="single"/>
              </w:rPr>
              <w:t>年产20万吨啤酒</w:t>
            </w:r>
          </w:p>
        </w:tc>
        <w:tc>
          <w:tcPr>
            <w:tcW w:w="0" w:type="auto"/>
            <w:vAlign w:val="center"/>
          </w:tcPr>
          <w:p>
            <w:pPr>
              <w:pStyle w:val="141"/>
              <w:jc w:val="center"/>
              <w:rPr>
                <w:bCs/>
                <w:u w:val="single"/>
              </w:rPr>
            </w:pPr>
            <w:r>
              <w:rPr>
                <w:rFonts w:ascii="Times New Roman" w:hAnsi="Times New Roman"/>
                <w:bCs/>
                <w:color w:val="000000" w:themeColor="text1"/>
                <w:u w:val="single"/>
              </w:rPr>
              <w:t>4115</w:t>
            </w:r>
          </w:p>
        </w:tc>
        <w:tc>
          <w:tcPr>
            <w:tcW w:w="0" w:type="auto"/>
            <w:vAlign w:val="center"/>
          </w:tcPr>
          <w:p>
            <w:pPr>
              <w:pStyle w:val="141"/>
              <w:jc w:val="center"/>
              <w:rPr>
                <w:bCs/>
                <w:u w:val="single"/>
              </w:rPr>
            </w:pPr>
            <w:r>
              <w:rPr>
                <w:rFonts w:ascii="Times New Roman" w:hAnsi="Times New Roman"/>
                <w:bCs/>
                <w:color w:val="000000" w:themeColor="text1"/>
                <w:u w:val="single"/>
              </w:rPr>
              <w:t>完成环评</w:t>
            </w:r>
          </w:p>
        </w:tc>
        <w:tc>
          <w:tcPr>
            <w:tcW w:w="0" w:type="auto"/>
            <w:tcBorders>
              <w:righ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岳阳宝丽纺织有限公司</w:t>
            </w:r>
          </w:p>
        </w:tc>
        <w:tc>
          <w:tcPr>
            <w:tcW w:w="0" w:type="auto"/>
            <w:vAlign w:val="center"/>
          </w:tcPr>
          <w:p>
            <w:pPr>
              <w:pStyle w:val="141"/>
              <w:jc w:val="center"/>
              <w:rPr>
                <w:bCs/>
                <w:u w:val="single"/>
              </w:rPr>
            </w:pPr>
            <w:r>
              <w:rPr>
                <w:rFonts w:ascii="Times New Roman" w:hAnsi="Times New Roman"/>
                <w:bCs/>
                <w:color w:val="000000" w:themeColor="text1"/>
                <w:u w:val="single"/>
              </w:rPr>
              <w:t>张红艳</w:t>
            </w:r>
          </w:p>
        </w:tc>
        <w:tc>
          <w:tcPr>
            <w:tcW w:w="0" w:type="auto"/>
            <w:vAlign w:val="center"/>
          </w:tcPr>
          <w:p>
            <w:pPr>
              <w:pStyle w:val="141"/>
              <w:jc w:val="center"/>
              <w:rPr>
                <w:bCs/>
                <w:u w:val="single"/>
              </w:rPr>
            </w:pPr>
            <w:r>
              <w:rPr>
                <w:rFonts w:ascii="Times New Roman" w:hAnsi="Times New Roman"/>
                <w:bCs/>
                <w:color w:val="000000" w:themeColor="text1"/>
                <w:u w:val="single"/>
              </w:rPr>
              <w:t>2016年1月29日</w:t>
            </w:r>
          </w:p>
        </w:tc>
        <w:tc>
          <w:tcPr>
            <w:tcW w:w="0" w:type="auto"/>
            <w:vAlign w:val="center"/>
          </w:tcPr>
          <w:p>
            <w:pPr>
              <w:pStyle w:val="141"/>
              <w:jc w:val="center"/>
              <w:rPr>
                <w:bCs/>
                <w:u w:val="single"/>
              </w:rPr>
            </w:pPr>
            <w:r>
              <w:rPr>
                <w:rFonts w:ascii="Times New Roman" w:hAnsi="Times New Roman"/>
                <w:bCs/>
                <w:color w:val="000000" w:themeColor="text1"/>
                <w:u w:val="single"/>
              </w:rPr>
              <w:t>/</w:t>
            </w:r>
          </w:p>
        </w:tc>
        <w:tc>
          <w:tcPr>
            <w:tcW w:w="0" w:type="auto"/>
            <w:vAlign w:val="center"/>
          </w:tcPr>
          <w:p>
            <w:pPr>
              <w:pStyle w:val="141"/>
              <w:jc w:val="center"/>
              <w:rPr>
                <w:bCs/>
                <w:u w:val="single"/>
              </w:rPr>
            </w:pPr>
            <w:r>
              <w:rPr>
                <w:rFonts w:ascii="Times New Roman" w:hAnsi="Times New Roman"/>
                <w:bCs/>
                <w:color w:val="000000" w:themeColor="text1"/>
                <w:u w:val="single"/>
              </w:rPr>
              <w:t>12000</w:t>
            </w:r>
          </w:p>
        </w:tc>
        <w:tc>
          <w:tcPr>
            <w:tcW w:w="0" w:type="auto"/>
            <w:vAlign w:val="center"/>
          </w:tcPr>
          <w:p>
            <w:pPr>
              <w:pStyle w:val="141"/>
              <w:jc w:val="center"/>
              <w:rPr>
                <w:bCs/>
                <w:u w:val="single"/>
              </w:rPr>
            </w:pPr>
            <w:r>
              <w:rPr>
                <w:rFonts w:ascii="Times New Roman" w:hAnsi="Times New Roman"/>
                <w:bCs/>
                <w:color w:val="000000" w:themeColor="text1"/>
                <w:u w:val="single"/>
                <w:shd w:val="clear" w:color="auto" w:fill="FFFFFF"/>
              </w:rPr>
              <w:t>3</w:t>
            </w:r>
            <w:r>
              <w:rPr>
                <w:rFonts w:ascii="Times New Roman" w:hAnsi="Verdana"/>
                <w:bCs/>
                <w:color w:val="000000" w:themeColor="text1"/>
                <w:u w:val="single"/>
                <w:shd w:val="clear" w:color="auto" w:fill="FFFFFF"/>
              </w:rPr>
              <w:t>万锭配套的环锭纺生产线，</w:t>
            </w:r>
            <w:r>
              <w:rPr>
                <w:rFonts w:ascii="Times New Roman" w:hAnsi="Times New Roman"/>
                <w:bCs/>
                <w:color w:val="000000" w:themeColor="text1"/>
                <w:u w:val="single"/>
                <w:shd w:val="clear" w:color="auto" w:fill="FFFFFF"/>
              </w:rPr>
              <w:t>96</w:t>
            </w:r>
            <w:r>
              <w:rPr>
                <w:rFonts w:ascii="Times New Roman" w:hAnsi="Verdana"/>
                <w:bCs/>
                <w:color w:val="000000" w:themeColor="text1"/>
                <w:u w:val="single"/>
                <w:shd w:val="clear" w:color="auto" w:fill="FFFFFF"/>
              </w:rPr>
              <w:t>型轧花生产线</w:t>
            </w:r>
            <w:r>
              <w:rPr>
                <w:rFonts w:ascii="Times New Roman" w:hAnsi="Times New Roman"/>
                <w:bCs/>
                <w:color w:val="000000" w:themeColor="text1"/>
                <w:u w:val="single"/>
                <w:shd w:val="clear" w:color="auto" w:fill="FFFFFF"/>
              </w:rPr>
              <w:t>2</w:t>
            </w:r>
            <w:r>
              <w:rPr>
                <w:rFonts w:ascii="Times New Roman" w:hAnsi="Verdana"/>
                <w:bCs/>
                <w:color w:val="000000" w:themeColor="text1"/>
                <w:u w:val="single"/>
                <w:shd w:val="clear" w:color="auto" w:fill="FFFFFF"/>
              </w:rPr>
              <w:t>条</w:t>
            </w:r>
          </w:p>
        </w:tc>
        <w:tc>
          <w:tcPr>
            <w:tcW w:w="0" w:type="auto"/>
            <w:vAlign w:val="center"/>
          </w:tcPr>
          <w:p>
            <w:pPr>
              <w:pStyle w:val="141"/>
              <w:jc w:val="center"/>
              <w:rPr>
                <w:bCs/>
                <w:u w:val="single"/>
              </w:rPr>
            </w:pPr>
            <w:r>
              <w:rPr>
                <w:rFonts w:ascii="Times New Roman" w:hAnsi="Times New Roman"/>
                <w:bCs/>
                <w:color w:val="000000" w:themeColor="text1"/>
                <w:u w:val="single"/>
              </w:rPr>
              <w:t>12000</w:t>
            </w:r>
          </w:p>
        </w:tc>
        <w:tc>
          <w:tcPr>
            <w:tcW w:w="0" w:type="auto"/>
            <w:vAlign w:val="center"/>
          </w:tcPr>
          <w:p>
            <w:pPr>
              <w:pStyle w:val="141"/>
              <w:jc w:val="center"/>
              <w:rPr>
                <w:bCs/>
                <w:u w:val="single"/>
              </w:rPr>
            </w:pPr>
            <w:r>
              <w:rPr>
                <w:rFonts w:ascii="Times New Roman" w:hAnsi="Times New Roman"/>
                <w:bCs/>
                <w:color w:val="000000" w:themeColor="text1"/>
                <w:u w:val="single"/>
              </w:rPr>
              <w:t>完成环评</w:t>
            </w:r>
          </w:p>
        </w:tc>
        <w:tc>
          <w:tcPr>
            <w:tcW w:w="0" w:type="auto"/>
            <w:tcBorders>
              <w:righ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single" w:color="auto" w:sz="12" w:space="0"/>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华容大宏生猪交易有限公司</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陈天喜</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2017年6月21日</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5000</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日交易生猪300头，不涉及屠宰</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280</w:t>
            </w:r>
          </w:p>
        </w:tc>
        <w:tc>
          <w:tcPr>
            <w:tcW w:w="0" w:type="auto"/>
            <w:tcBorders>
              <w:bottom w:val="single" w:color="auto" w:sz="12" w:space="0"/>
            </w:tcBorders>
            <w:vAlign w:val="center"/>
          </w:tcPr>
          <w:p>
            <w:pPr>
              <w:pStyle w:val="141"/>
              <w:jc w:val="center"/>
              <w:rPr>
                <w:bCs/>
                <w:u w:val="single"/>
              </w:rPr>
            </w:pPr>
            <w:r>
              <w:rPr>
                <w:rFonts w:ascii="Times New Roman" w:hAnsi="Times New Roman"/>
                <w:bCs/>
                <w:color w:val="000000" w:themeColor="text1"/>
                <w:u w:val="single"/>
              </w:rPr>
              <w:t>完成环评</w:t>
            </w:r>
          </w:p>
        </w:tc>
        <w:tc>
          <w:tcPr>
            <w:tcW w:w="0" w:type="auto"/>
            <w:tcBorders>
              <w:bottom w:val="single" w:color="auto" w:sz="12" w:space="0"/>
              <w:right w:val="nil"/>
            </w:tcBorders>
            <w:vAlign w:val="center"/>
          </w:tcPr>
          <w:p>
            <w:pPr>
              <w:pStyle w:val="14"/>
              <w:adjustRightInd w:val="0"/>
              <w:snapToGrid w:val="0"/>
              <w:spacing w:line="240" w:lineRule="auto"/>
              <w:rPr>
                <w:b w:val="0"/>
                <w:bCs/>
                <w:sz w:val="21"/>
                <w:szCs w:val="21"/>
                <w:u w:val="single"/>
              </w:rPr>
            </w:pPr>
            <w:r>
              <w:rPr>
                <w:rFonts w:hint="eastAsia"/>
                <w:b w:val="0"/>
                <w:bCs/>
                <w:sz w:val="21"/>
                <w:szCs w:val="21"/>
                <w:u w:val="single"/>
              </w:rPr>
              <w:t>9</w:t>
            </w:r>
          </w:p>
        </w:tc>
      </w:tr>
    </w:tbl>
    <w:p>
      <w:pPr>
        <w:pStyle w:val="61"/>
        <w:numPr>
          <w:ilvl w:val="3"/>
          <w:numId w:val="0"/>
        </w:numPr>
        <w:adjustRightInd w:val="0"/>
        <w:ind w:firstLine="480" w:firstLineChars="200"/>
        <w:outlineLvl w:val="9"/>
        <w:rPr>
          <w:rFonts w:hint="eastAsia"/>
          <w:b w:val="0"/>
          <w:bCs w:val="0"/>
          <w:u w:val="single"/>
        </w:rPr>
      </w:pPr>
      <w:r>
        <w:rPr>
          <w:rFonts w:hint="eastAsia"/>
          <w:b w:val="0"/>
          <w:bCs w:val="0"/>
          <w:u w:val="single"/>
        </w:rPr>
        <w:t>本项目接受废水设计量约为4000t/d，由上表可知本项目现有工业废水接受量约为2278t/d，剩余的1722t/d为石伏工业园后期发展预留废水量。</w:t>
      </w:r>
    </w:p>
    <w:p>
      <w:pPr>
        <w:pStyle w:val="14"/>
        <w:spacing w:line="240" w:lineRule="auto"/>
        <w:rPr>
          <w:u w:val="single"/>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2</w:t>
      </w:r>
      <w:r>
        <w:rPr>
          <w:rFonts w:hint="eastAsia"/>
          <w:u w:val="single"/>
          <w:lang w:val="en-US" w:eastAsia="zh-CN"/>
        </w:rPr>
        <w:t>.</w:t>
      </w:r>
      <w:r>
        <w:rPr>
          <w:u w:val="single"/>
        </w:rPr>
        <w:t>3</w:t>
      </w:r>
      <w:r>
        <w:rPr>
          <w:u w:val="single"/>
        </w:rPr>
        <w:fldChar w:fldCharType="end"/>
      </w:r>
      <w:r>
        <w:rPr>
          <w:rFonts w:hint="eastAsia"/>
          <w:u w:val="single"/>
        </w:rPr>
        <w:t>-</w:t>
      </w:r>
      <w:r>
        <w:rPr>
          <w:u w:val="single"/>
        </w:rPr>
        <w:fldChar w:fldCharType="begin"/>
      </w:r>
      <w:r>
        <w:rPr>
          <w:u w:val="single"/>
        </w:rPr>
        <w:instrText xml:space="preserve"> SEQ 表 \* ARABIC \s 2 </w:instrText>
      </w:r>
      <w:r>
        <w:rPr>
          <w:u w:val="single"/>
        </w:rPr>
        <w:fldChar w:fldCharType="separate"/>
      </w:r>
      <w:r>
        <w:rPr>
          <w:u w:val="single"/>
        </w:rPr>
        <w:t>4</w:t>
      </w:r>
      <w:r>
        <w:rPr>
          <w:u w:val="single"/>
        </w:rPr>
        <w:fldChar w:fldCharType="end"/>
      </w:r>
      <w:r>
        <w:rPr>
          <w:rFonts w:hint="eastAsia"/>
          <w:u w:val="single"/>
        </w:rPr>
        <w:t xml:space="preserve">  废水检测数据表</w:t>
      </w:r>
    </w:p>
    <w:tbl>
      <w:tblPr>
        <w:tblStyle w:val="3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1945"/>
        <w:gridCol w:w="2666"/>
        <w:gridCol w:w="1539"/>
        <w:gridCol w:w="1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rPr>
              <w:t>指标</w:t>
            </w:r>
          </w:p>
        </w:tc>
        <w:tc>
          <w:tcPr>
            <w:tcW w:w="1053"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rPr>
              <w:t>湖南喜多多食品有限公司</w:t>
            </w:r>
          </w:p>
        </w:tc>
        <w:tc>
          <w:tcPr>
            <w:tcW w:w="1443" w:type="pct"/>
            <w:tcBorders>
              <w:tl2br w:val="nil"/>
              <w:tr2bl w:val="nil"/>
            </w:tcBorders>
            <w:vAlign w:val="center"/>
          </w:tcPr>
          <w:p>
            <w:pPr>
              <w:pStyle w:val="14"/>
              <w:spacing w:line="240" w:lineRule="auto"/>
              <w:rPr>
                <w:b w:val="0"/>
                <w:bCs/>
                <w:sz w:val="21"/>
                <w:szCs w:val="21"/>
                <w:u w:val="single"/>
              </w:rPr>
            </w:pPr>
            <w:r>
              <w:rPr>
                <w:b w:val="0"/>
                <w:bCs/>
                <w:color w:val="000000" w:themeColor="text1"/>
                <w:sz w:val="21"/>
                <w:szCs w:val="21"/>
                <w:u w:val="single"/>
              </w:rPr>
              <w:t>华润雪花啤酒（湖南）有限公司</w:t>
            </w:r>
          </w:p>
        </w:tc>
        <w:tc>
          <w:tcPr>
            <w:tcW w:w="833" w:type="pct"/>
            <w:tcBorders>
              <w:tl2br w:val="nil"/>
              <w:tr2bl w:val="nil"/>
            </w:tcBorders>
            <w:vAlign w:val="center"/>
          </w:tcPr>
          <w:p>
            <w:pPr>
              <w:pStyle w:val="14"/>
              <w:spacing w:line="240" w:lineRule="auto"/>
              <w:rPr>
                <w:b w:val="0"/>
                <w:bCs/>
                <w:sz w:val="21"/>
                <w:szCs w:val="21"/>
                <w:u w:val="single"/>
              </w:rPr>
            </w:pPr>
            <w:r>
              <w:rPr>
                <w:b w:val="0"/>
                <w:bCs/>
                <w:color w:val="000000" w:themeColor="text1"/>
                <w:sz w:val="21"/>
                <w:szCs w:val="21"/>
                <w:u w:val="single"/>
              </w:rPr>
              <w:t>岳阳宝丽纺织有限公司</w:t>
            </w:r>
          </w:p>
        </w:tc>
        <w:tc>
          <w:tcPr>
            <w:tcW w:w="837" w:type="pct"/>
            <w:tcBorders>
              <w:tl2br w:val="nil"/>
              <w:tr2bl w:val="nil"/>
            </w:tcBorders>
            <w:vAlign w:val="center"/>
          </w:tcPr>
          <w:p>
            <w:pPr>
              <w:pStyle w:val="14"/>
              <w:spacing w:line="240" w:lineRule="auto"/>
              <w:rPr>
                <w:b w:val="0"/>
                <w:bCs/>
                <w:sz w:val="21"/>
                <w:szCs w:val="21"/>
                <w:u w:val="single"/>
              </w:rPr>
            </w:pPr>
            <w:r>
              <w:rPr>
                <w:b w:val="0"/>
                <w:bCs/>
                <w:color w:val="000000" w:themeColor="text1"/>
                <w:sz w:val="21"/>
                <w:szCs w:val="21"/>
                <w:u w:val="single"/>
              </w:rPr>
              <w:t>华容大宏生猪交易有限公司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b w:val="0"/>
                <w:bCs/>
                <w:sz w:val="21"/>
                <w:szCs w:val="21"/>
                <w:u w:val="single"/>
              </w:rPr>
            </w:pPr>
            <w:r>
              <w:rPr>
                <w:rFonts w:hint="eastAsia"/>
                <w:b w:val="0"/>
                <w:bCs/>
                <w:sz w:val="21"/>
                <w:szCs w:val="21"/>
                <w:u w:val="single"/>
              </w:rPr>
              <w:t>最大日污水量（m</w:t>
            </w:r>
            <w:r>
              <w:rPr>
                <w:rFonts w:hint="eastAsia"/>
                <w:b w:val="0"/>
                <w:bCs/>
                <w:sz w:val="21"/>
                <w:szCs w:val="21"/>
                <w:u w:val="single"/>
                <w:vertAlign w:val="superscript"/>
              </w:rPr>
              <w:t>3</w:t>
            </w:r>
            <w:r>
              <w:rPr>
                <w:rFonts w:hint="eastAsia"/>
                <w:b w:val="0"/>
                <w:bCs/>
                <w:sz w:val="21"/>
                <w:szCs w:val="21"/>
                <w:u w:val="single"/>
              </w:rPr>
              <w:t>/d）</w:t>
            </w:r>
          </w:p>
        </w:tc>
        <w:tc>
          <w:tcPr>
            <w:tcW w:w="1053" w:type="pct"/>
            <w:tcBorders>
              <w:tl2br w:val="nil"/>
              <w:tr2bl w:val="nil"/>
            </w:tcBorders>
            <w:vAlign w:val="center"/>
          </w:tcPr>
          <w:p>
            <w:pPr>
              <w:pStyle w:val="14"/>
              <w:spacing w:line="240" w:lineRule="auto"/>
              <w:rPr>
                <w:rFonts w:hint="eastAsia"/>
                <w:b w:val="0"/>
                <w:bCs/>
                <w:sz w:val="21"/>
                <w:szCs w:val="21"/>
                <w:u w:val="single"/>
              </w:rPr>
            </w:pPr>
            <w:r>
              <w:rPr>
                <w:rFonts w:hint="eastAsia"/>
                <w:b w:val="0"/>
                <w:bCs/>
                <w:sz w:val="21"/>
                <w:szCs w:val="21"/>
                <w:u w:val="single"/>
              </w:rPr>
              <w:t>427</w:t>
            </w:r>
          </w:p>
        </w:tc>
        <w:tc>
          <w:tcPr>
            <w:tcW w:w="1443" w:type="pct"/>
            <w:tcBorders>
              <w:tl2br w:val="nil"/>
              <w:tr2bl w:val="nil"/>
            </w:tcBorders>
            <w:vAlign w:val="center"/>
          </w:tcPr>
          <w:p>
            <w:pPr>
              <w:pStyle w:val="14"/>
              <w:spacing w:line="240" w:lineRule="auto"/>
              <w:rPr>
                <w:b w:val="0"/>
                <w:bCs/>
                <w:color w:val="000000" w:themeColor="text1"/>
                <w:sz w:val="21"/>
                <w:szCs w:val="21"/>
                <w:u w:val="single"/>
              </w:rPr>
            </w:pPr>
            <w:r>
              <w:rPr>
                <w:rFonts w:hint="eastAsia"/>
                <w:b w:val="0"/>
                <w:bCs/>
                <w:sz w:val="21"/>
                <w:szCs w:val="21"/>
                <w:u w:val="single"/>
              </w:rPr>
              <w:t>1212</w:t>
            </w:r>
          </w:p>
        </w:tc>
        <w:tc>
          <w:tcPr>
            <w:tcW w:w="833" w:type="pct"/>
            <w:tcBorders>
              <w:tl2br w:val="nil"/>
              <w:tr2bl w:val="nil"/>
            </w:tcBorders>
            <w:vAlign w:val="center"/>
          </w:tcPr>
          <w:p>
            <w:pPr>
              <w:pStyle w:val="14"/>
              <w:spacing w:line="240" w:lineRule="auto"/>
              <w:rPr>
                <w:b w:val="0"/>
                <w:bCs/>
                <w:color w:val="000000" w:themeColor="text1"/>
                <w:sz w:val="21"/>
                <w:szCs w:val="21"/>
                <w:u w:val="single"/>
              </w:rPr>
            </w:pPr>
            <w:r>
              <w:rPr>
                <w:rFonts w:hint="eastAsia"/>
                <w:b w:val="0"/>
                <w:bCs/>
                <w:sz w:val="21"/>
                <w:szCs w:val="21"/>
                <w:u w:val="single"/>
              </w:rPr>
              <w:t>529</w:t>
            </w:r>
          </w:p>
        </w:tc>
        <w:tc>
          <w:tcPr>
            <w:tcW w:w="837" w:type="pct"/>
            <w:tcBorders>
              <w:tl2br w:val="nil"/>
              <w:tr2bl w:val="nil"/>
            </w:tcBorders>
            <w:vAlign w:val="center"/>
          </w:tcPr>
          <w:p>
            <w:pPr>
              <w:pStyle w:val="14"/>
              <w:spacing w:line="240" w:lineRule="auto"/>
              <w:rPr>
                <w:b w:val="0"/>
                <w:bCs/>
                <w:color w:val="000000" w:themeColor="text1"/>
                <w:sz w:val="21"/>
                <w:szCs w:val="21"/>
                <w:u w:val="single"/>
              </w:rPr>
            </w:pPr>
            <w:r>
              <w:rPr>
                <w:rFonts w:hint="eastAsia"/>
                <w:b w:val="0"/>
                <w:bCs/>
                <w:sz w:val="21"/>
                <w:szCs w:val="21"/>
                <w:u w:val="single"/>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rPr>
              <w:t>PH</w:t>
            </w:r>
          </w:p>
        </w:tc>
        <w:tc>
          <w:tcPr>
            <w:tcW w:w="105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7.81</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7.51</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7.4</w:t>
            </w:r>
          </w:p>
        </w:tc>
        <w:tc>
          <w:tcPr>
            <w:tcW w:w="837"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rPr>
              <w:t>悬浮物</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11</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22</w:t>
            </w:r>
          </w:p>
        </w:tc>
        <w:tc>
          <w:tcPr>
            <w:tcW w:w="837"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rPr>
              <w:t>色度</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80</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rPr>
              <w:t>COD</w:t>
            </w:r>
          </w:p>
        </w:tc>
        <w:tc>
          <w:tcPr>
            <w:tcW w:w="105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450</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40</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34</w:t>
            </w:r>
          </w:p>
        </w:tc>
        <w:tc>
          <w:tcPr>
            <w:tcW w:w="837"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BOD</w:t>
            </w:r>
            <w:r>
              <w:rPr>
                <w:rFonts w:hint="eastAsia"/>
                <w:b w:val="0"/>
                <w:bCs/>
                <w:sz w:val="21"/>
                <w:szCs w:val="21"/>
                <w:u w:val="single"/>
                <w:vertAlign w:val="subscript"/>
                <w:lang w:val="en-US" w:eastAsia="zh-CN"/>
              </w:rPr>
              <w:t>5</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12</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13</w:t>
            </w:r>
          </w:p>
        </w:tc>
        <w:tc>
          <w:tcPr>
            <w:tcW w:w="837"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氨氮</w:t>
            </w:r>
          </w:p>
        </w:tc>
        <w:tc>
          <w:tcPr>
            <w:tcW w:w="105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18.4</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2.37</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1.45</w:t>
            </w:r>
          </w:p>
        </w:tc>
        <w:tc>
          <w:tcPr>
            <w:tcW w:w="837"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eastAsia="宋体"/>
                <w:b w:val="0"/>
                <w:bCs/>
                <w:sz w:val="21"/>
                <w:szCs w:val="21"/>
                <w:u w:val="single"/>
                <w:lang w:eastAsia="zh-CN"/>
              </w:rPr>
            </w:pPr>
            <w:r>
              <w:rPr>
                <w:rFonts w:hint="eastAsia"/>
                <w:b w:val="0"/>
                <w:bCs/>
                <w:sz w:val="21"/>
                <w:szCs w:val="21"/>
                <w:u w:val="single"/>
                <w:lang w:eastAsia="zh-CN"/>
              </w:rPr>
              <w:t>总氮</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4.93</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9.58</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eastAsia="宋体"/>
                <w:b w:val="0"/>
                <w:bCs/>
                <w:sz w:val="21"/>
                <w:szCs w:val="21"/>
                <w:u w:val="single"/>
                <w:lang w:eastAsia="zh-CN"/>
              </w:rPr>
            </w:pPr>
            <w:r>
              <w:rPr>
                <w:rFonts w:hint="eastAsia"/>
                <w:b w:val="0"/>
                <w:bCs/>
                <w:sz w:val="21"/>
                <w:szCs w:val="21"/>
                <w:u w:val="single"/>
                <w:lang w:eastAsia="zh-CN"/>
              </w:rPr>
              <w:t>总磷</w:t>
            </w:r>
          </w:p>
        </w:tc>
        <w:tc>
          <w:tcPr>
            <w:tcW w:w="105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9.44</w:t>
            </w:r>
          </w:p>
        </w:tc>
        <w:tc>
          <w:tcPr>
            <w:tcW w:w="144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0.1</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1.22</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eastAsia="宋体"/>
                <w:b w:val="0"/>
                <w:bCs/>
                <w:sz w:val="21"/>
                <w:szCs w:val="21"/>
                <w:u w:val="single"/>
                <w:lang w:eastAsia="zh-CN"/>
              </w:rPr>
            </w:pPr>
            <w:r>
              <w:rPr>
                <w:rFonts w:hint="eastAsia"/>
                <w:b w:val="0"/>
                <w:bCs/>
                <w:sz w:val="21"/>
                <w:szCs w:val="21"/>
                <w:u w:val="single"/>
                <w:lang w:eastAsia="zh-CN"/>
              </w:rPr>
              <w:t>硫化物</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ND</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eastAsia="宋体"/>
                <w:b w:val="0"/>
                <w:bCs/>
                <w:sz w:val="21"/>
                <w:szCs w:val="21"/>
                <w:u w:val="single"/>
                <w:lang w:eastAsia="zh-CN"/>
              </w:rPr>
            </w:pPr>
            <w:r>
              <w:rPr>
                <w:rFonts w:hint="eastAsia"/>
                <w:b w:val="0"/>
                <w:bCs/>
                <w:sz w:val="21"/>
                <w:szCs w:val="21"/>
                <w:u w:val="single"/>
                <w:lang w:eastAsia="zh-CN"/>
              </w:rPr>
              <w:t>苯胺</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0.22</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eastAsia="宋体"/>
                <w:b w:val="0"/>
                <w:bCs/>
                <w:sz w:val="21"/>
                <w:szCs w:val="21"/>
                <w:u w:val="single"/>
                <w:lang w:eastAsia="zh-CN"/>
              </w:rPr>
            </w:pPr>
            <w:r>
              <w:rPr>
                <w:rFonts w:hint="eastAsia"/>
                <w:b w:val="0"/>
                <w:bCs/>
                <w:sz w:val="21"/>
                <w:szCs w:val="21"/>
                <w:u w:val="single"/>
                <w:lang w:eastAsia="zh-CN"/>
              </w:rPr>
              <w:t>二氧化氯</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b w:val="0"/>
                <w:bCs/>
                <w:sz w:val="21"/>
                <w:szCs w:val="21"/>
                <w:u w:val="single"/>
              </w:rPr>
            </w:pPr>
            <w:r>
              <w:rPr>
                <w:rFonts w:hint="eastAsia"/>
                <w:b w:val="0"/>
                <w:bCs/>
                <w:sz w:val="21"/>
                <w:szCs w:val="21"/>
                <w:u w:val="single"/>
                <w:lang w:val="en-US" w:eastAsia="zh-CN"/>
              </w:rPr>
              <w:t>ND</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rPr>
                <w:rFonts w:hint="eastAsia" w:eastAsia="宋体"/>
                <w:b w:val="0"/>
                <w:bCs/>
                <w:sz w:val="21"/>
                <w:szCs w:val="21"/>
                <w:u w:val="single"/>
                <w:lang w:eastAsia="zh-CN"/>
              </w:rPr>
            </w:pPr>
            <w:r>
              <w:rPr>
                <w:rFonts w:hint="eastAsia"/>
                <w:b w:val="0"/>
                <w:bCs/>
                <w:sz w:val="21"/>
                <w:szCs w:val="21"/>
                <w:u w:val="single"/>
                <w:lang w:eastAsia="zh-CN"/>
              </w:rPr>
              <w:t>可吸附的有机卤化物</w:t>
            </w:r>
          </w:p>
        </w:tc>
        <w:tc>
          <w:tcPr>
            <w:tcW w:w="105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0.062</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jc w:val="center"/>
              <w:rPr>
                <w:rFonts w:hint="eastAsia" w:eastAsia="宋体"/>
                <w:b w:val="0"/>
                <w:bCs/>
                <w:sz w:val="21"/>
                <w:szCs w:val="21"/>
                <w:u w:val="single"/>
                <w:lang w:val="en-US" w:eastAsia="zh-CN"/>
              </w:rPr>
            </w:pPr>
            <w:r>
              <w:rPr>
                <w:rFonts w:hint="eastAsia"/>
                <w:b w:val="0"/>
                <w:bCs/>
                <w:sz w:val="21"/>
                <w:szCs w:val="21"/>
                <w:u w:val="single"/>
                <w:lang w:val="en-US" w:eastAsia="zh-CN"/>
              </w:rPr>
              <w:t>动植物油</w:t>
            </w:r>
          </w:p>
        </w:tc>
        <w:tc>
          <w:tcPr>
            <w:tcW w:w="105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0.06</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rFonts w:hint="default"/>
                <w:b w:val="0"/>
                <w:bCs/>
                <w:sz w:val="21"/>
                <w:szCs w:val="21"/>
                <w:u w:val="single"/>
                <w:lang w:val="en-US" w:eastAsia="zh-CN"/>
              </w:rPr>
            </w:pPr>
            <w:r>
              <w:rPr>
                <w:rFonts w:hint="eastAsia"/>
                <w:b w:val="0"/>
                <w:bCs/>
                <w:sz w:val="21"/>
                <w:szCs w:val="21"/>
                <w:u w:val="single"/>
                <w:lang w:val="en-US" w:eastAsia="zh-CN"/>
              </w:rPr>
              <w:t>49</w:t>
            </w:r>
          </w:p>
        </w:tc>
        <w:tc>
          <w:tcPr>
            <w:tcW w:w="837"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jc w:val="center"/>
              <w:rPr>
                <w:rFonts w:hint="eastAsia" w:eastAsia="宋体"/>
                <w:b w:val="0"/>
                <w:bCs/>
                <w:sz w:val="21"/>
                <w:szCs w:val="21"/>
                <w:u w:val="single"/>
                <w:lang w:val="en-US" w:eastAsia="zh-CN"/>
              </w:rPr>
            </w:pPr>
            <w:r>
              <w:rPr>
                <w:rFonts w:hint="eastAsia"/>
                <w:b w:val="0"/>
                <w:bCs/>
                <w:sz w:val="21"/>
                <w:szCs w:val="21"/>
                <w:u w:val="single"/>
                <w:lang w:val="en-US" w:eastAsia="zh-CN"/>
              </w:rPr>
              <w:t>氯离子</w:t>
            </w:r>
          </w:p>
        </w:tc>
        <w:tc>
          <w:tcPr>
            <w:tcW w:w="1053" w:type="pct"/>
            <w:tcBorders>
              <w:tl2br w:val="nil"/>
              <w:tr2bl w:val="nil"/>
            </w:tcBorders>
            <w:vAlign w:val="center"/>
          </w:tcPr>
          <w:p>
            <w:pPr>
              <w:pStyle w:val="14"/>
              <w:spacing w:line="240" w:lineRule="auto"/>
              <w:rPr>
                <w:rFonts w:hint="default" w:eastAsia="宋体"/>
                <w:b w:val="0"/>
                <w:bCs/>
                <w:sz w:val="21"/>
                <w:szCs w:val="21"/>
                <w:u w:val="single"/>
                <w:lang w:val="en-US" w:eastAsia="zh-CN"/>
              </w:rPr>
            </w:pPr>
            <w:r>
              <w:rPr>
                <w:rFonts w:hint="eastAsia"/>
                <w:b w:val="0"/>
                <w:bCs/>
                <w:sz w:val="21"/>
                <w:szCs w:val="21"/>
                <w:u w:val="single"/>
                <w:lang w:val="en-US" w:eastAsia="zh-CN"/>
              </w:rPr>
              <w:t>1700</w:t>
            </w:r>
          </w:p>
        </w:tc>
        <w:tc>
          <w:tcPr>
            <w:tcW w:w="1443" w:type="pct"/>
            <w:tcBorders>
              <w:tl2br w:val="nil"/>
              <w:tr2bl w:val="nil"/>
            </w:tcBorders>
            <w:vAlign w:val="center"/>
          </w:tcPr>
          <w:p>
            <w:pPr>
              <w:pStyle w:val="14"/>
              <w:spacing w:line="240" w:lineRule="auto"/>
              <w:rPr>
                <w:rFonts w:hint="eastAsia" w:eastAsia="宋体"/>
                <w:b w:val="0"/>
                <w:bCs/>
                <w:sz w:val="21"/>
                <w:szCs w:val="21"/>
                <w:u w:val="single"/>
                <w:lang w:val="en-US" w:eastAsia="zh-CN"/>
              </w:rPr>
            </w:pPr>
            <w:r>
              <w:rPr>
                <w:rFonts w:hint="eastAsia"/>
                <w:b w:val="0"/>
                <w:bCs/>
                <w:sz w:val="21"/>
                <w:szCs w:val="21"/>
                <w:u w:val="single"/>
                <w:lang w:val="en-US" w:eastAsia="zh-CN"/>
              </w:rPr>
              <w:t>/</w:t>
            </w:r>
          </w:p>
        </w:tc>
        <w:tc>
          <w:tcPr>
            <w:tcW w:w="833" w:type="pct"/>
            <w:tcBorders>
              <w:tl2br w:val="nil"/>
              <w:tr2bl w:val="nil"/>
            </w:tcBorders>
            <w:vAlign w:val="center"/>
          </w:tcPr>
          <w:p>
            <w:pPr>
              <w:pStyle w:val="14"/>
              <w:spacing w:line="240" w:lineRule="auto"/>
              <w:rPr>
                <w:rFonts w:hint="default"/>
                <w:b w:val="0"/>
                <w:bCs/>
                <w:sz w:val="21"/>
                <w:szCs w:val="21"/>
                <w:u w:val="single"/>
                <w:lang w:val="en-US" w:eastAsia="zh-CN"/>
              </w:rPr>
            </w:pPr>
            <w:r>
              <w:rPr>
                <w:rFonts w:hint="eastAsia"/>
                <w:b w:val="0"/>
                <w:bCs/>
                <w:sz w:val="21"/>
                <w:szCs w:val="21"/>
                <w:u w:val="single"/>
                <w:lang w:val="en-US" w:eastAsia="zh-CN"/>
              </w:rPr>
              <w:t>/</w:t>
            </w:r>
          </w:p>
        </w:tc>
        <w:tc>
          <w:tcPr>
            <w:tcW w:w="837" w:type="pct"/>
            <w:tcBorders>
              <w:tl2br w:val="nil"/>
              <w:tr2bl w:val="nil"/>
            </w:tcBorders>
            <w:vAlign w:val="center"/>
          </w:tcPr>
          <w:p>
            <w:pPr>
              <w:pStyle w:val="14"/>
              <w:spacing w:line="240" w:lineRule="auto"/>
              <w:rPr>
                <w:rFonts w:hint="default"/>
                <w:b w:val="0"/>
                <w:bCs/>
                <w:sz w:val="21"/>
                <w:szCs w:val="21"/>
                <w:u w:val="single"/>
                <w:lang w:val="en-US" w:eastAsia="zh-CN"/>
              </w:rPr>
            </w:pPr>
            <w:r>
              <w:rPr>
                <w:rFonts w:hint="eastAsia"/>
                <w:b w:val="0"/>
                <w:bCs/>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2" w:type="pct"/>
            <w:tcBorders>
              <w:tl2br w:val="nil"/>
              <w:tr2bl w:val="nil"/>
            </w:tcBorders>
            <w:vAlign w:val="center"/>
          </w:tcPr>
          <w:p>
            <w:pPr>
              <w:pStyle w:val="14"/>
              <w:spacing w:line="240" w:lineRule="auto"/>
              <w:jc w:val="center"/>
              <w:rPr>
                <w:b w:val="0"/>
                <w:bCs/>
                <w:sz w:val="21"/>
                <w:szCs w:val="21"/>
                <w:u w:val="single"/>
              </w:rPr>
            </w:pPr>
            <w:r>
              <w:rPr>
                <w:rFonts w:hint="eastAsia"/>
                <w:b w:val="0"/>
                <w:bCs/>
                <w:sz w:val="21"/>
                <w:szCs w:val="21"/>
                <w:u w:val="single"/>
              </w:rPr>
              <w:t>备注</w:t>
            </w:r>
          </w:p>
        </w:tc>
        <w:tc>
          <w:tcPr>
            <w:tcW w:w="4167" w:type="pct"/>
            <w:gridSpan w:val="4"/>
            <w:tcBorders>
              <w:tl2br w:val="nil"/>
              <w:tr2bl w:val="nil"/>
            </w:tcBorders>
            <w:vAlign w:val="center"/>
          </w:tcPr>
          <w:p>
            <w:pPr>
              <w:pStyle w:val="14"/>
              <w:spacing w:line="240" w:lineRule="auto"/>
              <w:rPr>
                <w:b w:val="0"/>
                <w:bCs/>
                <w:sz w:val="21"/>
                <w:szCs w:val="21"/>
                <w:u w:val="single"/>
              </w:rPr>
            </w:pPr>
            <w:r>
              <w:rPr>
                <w:rFonts w:cs="Times New Roman"/>
                <w:b w:val="0"/>
                <w:bCs/>
                <w:sz w:val="21"/>
                <w:szCs w:val="21"/>
                <w:u w:val="single"/>
              </w:rPr>
              <w:t>①</w:t>
            </w:r>
            <w:r>
              <w:rPr>
                <w:rFonts w:hint="eastAsia" w:cs="Times New Roman"/>
                <w:b w:val="0"/>
                <w:bCs/>
                <w:sz w:val="21"/>
                <w:szCs w:val="21"/>
                <w:u w:val="single"/>
                <w:lang w:val="en-US" w:eastAsia="zh-CN"/>
              </w:rPr>
              <w:t>ND</w:t>
            </w:r>
            <w:r>
              <w:rPr>
                <w:rFonts w:cs="Times New Roman"/>
                <w:b w:val="0"/>
                <w:bCs/>
                <w:sz w:val="21"/>
                <w:szCs w:val="21"/>
                <w:u w:val="single"/>
              </w:rPr>
              <w:t>表示低于检出限未检出；②PH为无量纲：其他量纲均为mg/L</w:t>
            </w:r>
          </w:p>
        </w:tc>
      </w:tr>
    </w:tbl>
    <w:p>
      <w:pPr>
        <w:pStyle w:val="61"/>
        <w:keepNext/>
        <w:keepLines/>
        <w:pageBreakBefore w:val="0"/>
        <w:widowControl w:val="0"/>
        <w:numPr>
          <w:ilvl w:val="3"/>
          <w:numId w:val="0"/>
        </w:numPr>
        <w:kinsoku/>
        <w:wordWrap/>
        <w:overflowPunct/>
        <w:topLinePunct w:val="0"/>
        <w:autoSpaceDE/>
        <w:autoSpaceDN/>
        <w:bidi w:val="0"/>
        <w:adjustRightInd w:val="0"/>
        <w:snapToGrid/>
        <w:ind w:firstLine="480" w:firstLineChars="200"/>
        <w:textAlignment w:val="auto"/>
        <w:outlineLvl w:val="9"/>
        <w:rPr>
          <w:rFonts w:hint="default" w:ascii="Times New Roman" w:hAnsi="Times New Roman" w:cs="Times New Roman"/>
          <w:b w:val="0"/>
          <w:bCs w:val="0"/>
          <w:u w:val="single"/>
          <w:lang w:val="en-US" w:eastAsia="zh-CN"/>
        </w:rPr>
      </w:pPr>
      <w:r>
        <w:rPr>
          <w:rFonts w:hint="default" w:ascii="Times New Roman" w:hAnsi="Times New Roman" w:cs="Times New Roman"/>
          <w:b w:val="0"/>
          <w:bCs w:val="0"/>
          <w:u w:val="single"/>
          <w:lang w:val="en-US" w:eastAsia="zh-CN"/>
        </w:rPr>
        <w:t>石伏工业园主要以棉花加工的纺织业为主（服装不含水洗工序），配套服装等企业，同时注入了食品和啤酒等企业。根据建设提供的资料，目前入桥东污水处理厂的为以上 四家企业，湖南喜多多食品有限公司为食品加工企业，排放的废水中会含有食用盐，根据监测湖南喜多多食品有限公司排入污水处理厂中氯离子的浓度为1700mg/L。</w:t>
      </w:r>
    </w:p>
    <w:p>
      <w:pPr>
        <w:pStyle w:val="61"/>
        <w:keepNext/>
        <w:keepLines/>
        <w:pageBreakBefore w:val="0"/>
        <w:widowControl w:val="0"/>
        <w:numPr>
          <w:ilvl w:val="3"/>
          <w:numId w:val="0"/>
        </w:numPr>
        <w:kinsoku/>
        <w:wordWrap/>
        <w:overflowPunct/>
        <w:topLinePunct w:val="0"/>
        <w:autoSpaceDE/>
        <w:autoSpaceDN/>
        <w:bidi w:val="0"/>
        <w:adjustRightInd w:val="0"/>
        <w:snapToGrid/>
        <w:ind w:firstLine="480" w:firstLineChars="200"/>
        <w:textAlignment w:val="auto"/>
        <w:outlineLvl w:val="9"/>
        <w:rPr>
          <w:rFonts w:hint="default" w:ascii="Times New Roman" w:hAnsi="Times New Roman" w:cs="Times New Roman"/>
          <w:b w:val="0"/>
          <w:bCs w:val="0"/>
          <w:u w:val="single"/>
          <w:lang w:val="en-US" w:eastAsia="zh-CN"/>
        </w:rPr>
      </w:pPr>
      <w:r>
        <w:rPr>
          <w:rFonts w:hint="default" w:ascii="Times New Roman" w:hAnsi="Times New Roman" w:cs="Times New Roman"/>
          <w:b w:val="0"/>
          <w:bCs w:val="0"/>
          <w:u w:val="single"/>
          <w:lang w:val="en-US" w:eastAsia="zh-CN"/>
        </w:rPr>
        <w:t>其他三家企业为华润雪花啤酒（湖南）有限公司、岳阳宝丽纺织有限公司和 华容大宏生猪交易有限公司，排入桥东污水处理厂废水水量、水质情况具体见上表所示。石伏工业园的废水主要通过接入污水管网，各企业的排放的废水达到桥东污水处理厂的进水水质要求后，再排入桥东污水处理厂处理。</w:t>
      </w:r>
      <w:r>
        <w:rPr>
          <w:rFonts w:hint="eastAsia" w:ascii="Times New Roman" w:hAnsi="Times New Roman" w:cs="Times New Roman"/>
          <w:b w:val="0"/>
          <w:bCs w:val="0"/>
          <w:u w:val="single"/>
          <w:lang w:val="en-US" w:eastAsia="zh-CN"/>
        </w:rPr>
        <w:t>桥东污水处理厂不得接入印染类的企业的废水和涉及重金属排放的企业的废水。</w:t>
      </w:r>
    </w:p>
    <w:p>
      <w:pPr>
        <w:pStyle w:val="61"/>
      </w:pPr>
      <w:r>
        <w:t>总排水量</w:t>
      </w:r>
    </w:p>
    <w:p>
      <w:pPr>
        <w:spacing w:line="360" w:lineRule="auto"/>
        <w:ind w:firstLine="480" w:firstLineChars="200"/>
        <w:rPr>
          <w:rFonts w:cs="Times New Roman"/>
        </w:rPr>
      </w:pPr>
      <w:r>
        <w:rPr>
          <w:rFonts w:cs="Times New Roman"/>
        </w:rPr>
        <w:t>本项目污水处理厂服务范围内总排水量为生活污水与工业污水之和，同时加上少量的未预见水。项目服务范围内污水总量见下表所示。</w:t>
      </w:r>
    </w:p>
    <w:p>
      <w:pPr>
        <w:pStyle w:val="14"/>
        <w:spacing w:line="240" w:lineRule="auto"/>
        <w:rPr>
          <w:rFonts w:cs="Times New Roman"/>
        </w:rPr>
      </w:pPr>
      <w:bookmarkStart w:id="112" w:name="_Ref17124447"/>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2.3</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5</w:t>
      </w:r>
      <w:r>
        <w:rPr>
          <w:rFonts w:cs="Times New Roman"/>
        </w:rPr>
        <w:fldChar w:fldCharType="end"/>
      </w:r>
      <w:bookmarkEnd w:id="112"/>
      <w:r>
        <w:rPr>
          <w:rFonts w:cs="Times New Roman"/>
        </w:rPr>
        <w:t xml:space="preserve">  华容县桥东污水处理厂废水处理总量表</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19"/>
        <w:gridCol w:w="46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619" w:type="dxa"/>
            <w:vAlign w:val="center"/>
          </w:tcPr>
          <w:p>
            <w:pPr>
              <w:pStyle w:val="122"/>
              <w:rPr>
                <w:rFonts w:cs="Times New Roman"/>
              </w:rPr>
            </w:pPr>
          </w:p>
        </w:tc>
        <w:tc>
          <w:tcPr>
            <w:tcW w:w="4623" w:type="dxa"/>
            <w:vAlign w:val="center"/>
          </w:tcPr>
          <w:p>
            <w:pPr>
              <w:pStyle w:val="122"/>
              <w:rPr>
                <w:rFonts w:cs="Times New Roman"/>
              </w:rPr>
            </w:pPr>
            <w:r>
              <w:rPr>
                <w:rFonts w:cs="Times New Roman"/>
              </w:rPr>
              <w:t>2018~2020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4619" w:type="dxa"/>
            <w:vAlign w:val="center"/>
          </w:tcPr>
          <w:p>
            <w:pPr>
              <w:pStyle w:val="122"/>
              <w:rPr>
                <w:rFonts w:cs="Times New Roman"/>
              </w:rPr>
            </w:pPr>
            <w:r>
              <w:rPr>
                <w:rFonts w:cs="Times New Roman"/>
              </w:rPr>
              <w:t>生活污水量（m</w:t>
            </w:r>
            <w:r>
              <w:rPr>
                <w:rFonts w:cs="Times New Roman"/>
                <w:vertAlign w:val="superscript"/>
              </w:rPr>
              <w:t>3</w:t>
            </w:r>
            <w:r>
              <w:rPr>
                <w:rFonts w:cs="Times New Roman"/>
              </w:rPr>
              <w:t>/d）</w:t>
            </w:r>
          </w:p>
        </w:tc>
        <w:tc>
          <w:tcPr>
            <w:tcW w:w="4623" w:type="dxa"/>
            <w:vAlign w:val="center"/>
          </w:tcPr>
          <w:p>
            <w:pPr>
              <w:pStyle w:val="122"/>
              <w:rPr>
                <w:rFonts w:cs="Times New Roman"/>
              </w:rPr>
            </w:pPr>
            <w:r>
              <w:rPr>
                <w:rFonts w:hint="eastAsia" w:cs="Times New Roman"/>
              </w:rPr>
              <w:t>16000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619" w:type="dxa"/>
            <w:vAlign w:val="center"/>
          </w:tcPr>
          <w:p>
            <w:pPr>
              <w:pStyle w:val="122"/>
              <w:rPr>
                <w:rFonts w:cs="Times New Roman"/>
              </w:rPr>
            </w:pPr>
            <w:r>
              <w:rPr>
                <w:rFonts w:cs="Times New Roman"/>
              </w:rPr>
              <w:t>工业污水量（m</w:t>
            </w:r>
            <w:r>
              <w:rPr>
                <w:rFonts w:cs="Times New Roman"/>
                <w:vertAlign w:val="superscript"/>
              </w:rPr>
              <w:t>3</w:t>
            </w:r>
            <w:r>
              <w:rPr>
                <w:rFonts w:cs="Times New Roman"/>
              </w:rPr>
              <w:t>/d）</w:t>
            </w:r>
          </w:p>
        </w:tc>
        <w:tc>
          <w:tcPr>
            <w:tcW w:w="4623" w:type="dxa"/>
            <w:vAlign w:val="center"/>
          </w:tcPr>
          <w:p>
            <w:pPr>
              <w:pStyle w:val="122"/>
              <w:rPr>
                <w:rFonts w:cs="Times New Roman"/>
              </w:rPr>
            </w:pPr>
            <w:r>
              <w:rPr>
                <w:rFonts w:hint="eastAsia" w:cs="Times New Roman"/>
              </w:rPr>
              <w:t>2278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619" w:type="dxa"/>
            <w:vAlign w:val="center"/>
          </w:tcPr>
          <w:p>
            <w:pPr>
              <w:pStyle w:val="122"/>
              <w:rPr>
                <w:rFonts w:cs="Times New Roman"/>
              </w:rPr>
            </w:pPr>
            <w:r>
              <w:rPr>
                <w:rFonts w:hint="eastAsia" w:cs="Times New Roman"/>
              </w:rPr>
              <w:t>预留废水量</w:t>
            </w:r>
            <w:r>
              <w:rPr>
                <w:rFonts w:cs="Times New Roman"/>
              </w:rPr>
              <w:t>（m</w:t>
            </w:r>
            <w:r>
              <w:rPr>
                <w:rFonts w:cs="Times New Roman"/>
                <w:vertAlign w:val="superscript"/>
              </w:rPr>
              <w:t>3</w:t>
            </w:r>
            <w:r>
              <w:rPr>
                <w:rFonts w:cs="Times New Roman"/>
              </w:rPr>
              <w:t>/d）</w:t>
            </w:r>
          </w:p>
        </w:tc>
        <w:tc>
          <w:tcPr>
            <w:tcW w:w="4623" w:type="dxa"/>
            <w:vAlign w:val="center"/>
          </w:tcPr>
          <w:p>
            <w:pPr>
              <w:pStyle w:val="122"/>
              <w:rPr>
                <w:rFonts w:cs="Times New Roman"/>
              </w:rPr>
            </w:pPr>
            <w:r>
              <w:rPr>
                <w:rFonts w:hint="eastAsia" w:cs="Times New Roman"/>
              </w:rPr>
              <w:t>1722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4619" w:type="dxa"/>
            <w:vAlign w:val="center"/>
          </w:tcPr>
          <w:p>
            <w:pPr>
              <w:pStyle w:val="122"/>
              <w:rPr>
                <w:rFonts w:cs="Times New Roman"/>
              </w:rPr>
            </w:pPr>
            <w:r>
              <w:rPr>
                <w:rFonts w:cs="Times New Roman"/>
              </w:rPr>
              <w:t>污水总量（m</w:t>
            </w:r>
            <w:r>
              <w:rPr>
                <w:rFonts w:cs="Times New Roman"/>
                <w:vertAlign w:val="superscript"/>
              </w:rPr>
              <w:t>3</w:t>
            </w:r>
            <w:r>
              <w:rPr>
                <w:rFonts w:cs="Times New Roman"/>
              </w:rPr>
              <w:t>/d）</w:t>
            </w:r>
          </w:p>
        </w:tc>
        <w:tc>
          <w:tcPr>
            <w:tcW w:w="4623" w:type="dxa"/>
            <w:vAlign w:val="center"/>
          </w:tcPr>
          <w:p>
            <w:pPr>
              <w:pStyle w:val="122"/>
              <w:rPr>
                <w:rFonts w:cs="Times New Roman"/>
              </w:rPr>
            </w:pPr>
            <w:r>
              <w:rPr>
                <w:rFonts w:cs="Times New Roman"/>
              </w:rPr>
              <w:t>20000</w:t>
            </w:r>
          </w:p>
        </w:tc>
      </w:tr>
    </w:tbl>
    <w:p>
      <w:pPr>
        <w:pStyle w:val="5"/>
      </w:pPr>
      <w:r>
        <w:t>污水处理厂进出水水质分析</w:t>
      </w:r>
    </w:p>
    <w:p>
      <w:pPr>
        <w:pStyle w:val="6"/>
      </w:pPr>
      <w:r>
        <w:rPr>
          <w:rFonts w:hint="eastAsia"/>
        </w:rPr>
        <w:t>污水处理厂进水水质现状</w:t>
      </w:r>
    </w:p>
    <w:p>
      <w:pPr>
        <w:spacing w:line="360" w:lineRule="auto"/>
        <w:ind w:firstLine="480" w:firstLineChars="200"/>
      </w:pPr>
      <w:r>
        <w:rPr>
          <w:rFonts w:hint="eastAsia"/>
        </w:rPr>
        <w:t>本项目进水水质现状具体见下表所示。</w:t>
      </w:r>
    </w:p>
    <w:p>
      <w:pPr>
        <w:pStyle w:val="14"/>
        <w:spacing w:line="240" w:lineRule="auto"/>
        <w:rPr>
          <w:color w:val="000000" w:themeColor="text1"/>
        </w:rPr>
      </w:pPr>
      <w:r>
        <w:t xml:space="preserve">表 </w:t>
      </w:r>
      <w:r>
        <w:fldChar w:fldCharType="begin"/>
      </w:r>
      <w:r>
        <w:instrText xml:space="preserve"> STYLEREF 2 \s </w:instrText>
      </w:r>
      <w:r>
        <w:fldChar w:fldCharType="separate"/>
      </w:r>
      <w:r>
        <w:t>2</w:t>
      </w:r>
      <w:r>
        <w:rPr>
          <w:rFonts w:hint="eastAsia"/>
        </w:rPr>
        <w:t>.</w:t>
      </w:r>
      <w:r>
        <w:t>3</w:t>
      </w:r>
      <w:r>
        <w:fldChar w:fldCharType="end"/>
      </w:r>
      <w:r>
        <w:rPr>
          <w:rFonts w:hint="eastAsia"/>
        </w:rPr>
        <w:t>-</w:t>
      </w:r>
      <w:r>
        <w:fldChar w:fldCharType="begin"/>
      </w:r>
      <w:r>
        <w:instrText xml:space="preserve"> SEQ 表 \* ARABIC \s 2 </w:instrText>
      </w:r>
      <w:r>
        <w:fldChar w:fldCharType="separate"/>
      </w:r>
      <w:r>
        <w:t>6</w:t>
      </w:r>
      <w:r>
        <w:fldChar w:fldCharType="end"/>
      </w:r>
      <w:r>
        <w:rPr>
          <w:rFonts w:hint="eastAsia"/>
        </w:rPr>
        <w:t xml:space="preserve">  </w:t>
      </w:r>
      <w:r>
        <w:rPr>
          <w:rFonts w:hint="eastAsia"/>
          <w:color w:val="000000" w:themeColor="text1"/>
        </w:rPr>
        <w:t>2019年现状实际进水水质统计表（单位：mg/L）</w:t>
      </w:r>
    </w:p>
    <w:tbl>
      <w:tblPr>
        <w:tblStyle w:val="38"/>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23"/>
        <w:gridCol w:w="1902"/>
        <w:gridCol w:w="1417"/>
        <w:gridCol w:w="1191"/>
        <w:gridCol w:w="1370"/>
        <w:gridCol w:w="1283"/>
        <w:gridCol w:w="12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399" w:type="pct"/>
            <w:gridSpan w:val="2"/>
            <w:tcBorders>
              <w:left w:val="nil"/>
            </w:tcBorders>
            <w:vAlign w:val="center"/>
          </w:tcPr>
          <w:p>
            <w:pPr>
              <w:pStyle w:val="122"/>
              <w:rPr>
                <w:rFonts w:cs="Times New Roman"/>
                <w:color w:val="000000" w:themeColor="text1"/>
                <w:u w:val="single"/>
              </w:rPr>
            </w:pPr>
            <w:r>
              <w:rPr>
                <w:rFonts w:cs="Times New Roman"/>
                <w:color w:val="000000" w:themeColor="text1"/>
                <w:u w:val="single"/>
              </w:rPr>
              <w:t>项目</w:t>
            </w:r>
          </w:p>
        </w:tc>
        <w:tc>
          <w:tcPr>
            <w:tcW w:w="785" w:type="pct"/>
            <w:vAlign w:val="center"/>
          </w:tcPr>
          <w:p>
            <w:pPr>
              <w:pStyle w:val="122"/>
              <w:rPr>
                <w:rFonts w:cs="Times New Roman"/>
                <w:color w:val="000000" w:themeColor="text1"/>
                <w:u w:val="single"/>
              </w:rPr>
            </w:pPr>
            <w:r>
              <w:rPr>
                <w:rFonts w:cs="Times New Roman"/>
                <w:color w:val="000000" w:themeColor="text1"/>
                <w:u w:val="single"/>
              </w:rPr>
              <w:t>COD（mg/L）</w:t>
            </w:r>
          </w:p>
        </w:tc>
        <w:tc>
          <w:tcPr>
            <w:tcW w:w="660" w:type="pct"/>
            <w:vAlign w:val="center"/>
          </w:tcPr>
          <w:p>
            <w:pPr>
              <w:pStyle w:val="122"/>
              <w:rPr>
                <w:rFonts w:cs="Times New Roman"/>
                <w:color w:val="000000" w:themeColor="text1"/>
                <w:u w:val="single"/>
              </w:rPr>
            </w:pPr>
            <w:r>
              <w:rPr>
                <w:rFonts w:cs="Times New Roman"/>
                <w:color w:val="000000" w:themeColor="text1"/>
                <w:u w:val="single"/>
              </w:rPr>
              <w:t>TP（mg/L）</w:t>
            </w:r>
          </w:p>
        </w:tc>
        <w:tc>
          <w:tcPr>
            <w:tcW w:w="759" w:type="pct"/>
            <w:vAlign w:val="center"/>
          </w:tcPr>
          <w:p>
            <w:pPr>
              <w:pStyle w:val="122"/>
              <w:rPr>
                <w:rFonts w:cs="Times New Roman"/>
                <w:color w:val="000000" w:themeColor="text1"/>
                <w:u w:val="single"/>
              </w:rPr>
            </w:pPr>
            <w:r>
              <w:rPr>
                <w:rFonts w:cs="Times New Roman"/>
                <w:color w:val="000000" w:themeColor="text1"/>
                <w:u w:val="single"/>
              </w:rPr>
              <w:t>NH</w:t>
            </w:r>
            <w:r>
              <w:rPr>
                <w:rFonts w:cs="Times New Roman"/>
                <w:color w:val="000000" w:themeColor="text1"/>
                <w:u w:val="single"/>
                <w:vertAlign w:val="subscript"/>
              </w:rPr>
              <w:t>3</w:t>
            </w:r>
            <w:r>
              <w:rPr>
                <w:rFonts w:cs="Times New Roman"/>
                <w:color w:val="000000" w:themeColor="text1"/>
                <w:u w:val="single"/>
              </w:rPr>
              <w:t>-N（mg/L）</w:t>
            </w:r>
          </w:p>
        </w:tc>
        <w:tc>
          <w:tcPr>
            <w:tcW w:w="711" w:type="pct"/>
            <w:vAlign w:val="center"/>
          </w:tcPr>
          <w:p>
            <w:pPr>
              <w:pStyle w:val="122"/>
              <w:rPr>
                <w:rFonts w:cs="Times New Roman"/>
                <w:color w:val="000000" w:themeColor="text1"/>
                <w:u w:val="single"/>
              </w:rPr>
            </w:pPr>
            <w:r>
              <w:rPr>
                <w:rFonts w:cs="Times New Roman"/>
                <w:color w:val="000000" w:themeColor="text1"/>
                <w:u w:val="single"/>
              </w:rPr>
              <w:t>TN（mg/L）</w:t>
            </w:r>
          </w:p>
        </w:tc>
        <w:tc>
          <w:tcPr>
            <w:tcW w:w="684" w:type="pct"/>
            <w:tcBorders>
              <w:right w:val="nil"/>
            </w:tcBorders>
            <w:vAlign w:val="center"/>
          </w:tcPr>
          <w:p>
            <w:pPr>
              <w:pStyle w:val="122"/>
              <w:rPr>
                <w:rFonts w:cs="Times New Roman"/>
                <w:color w:val="000000" w:themeColor="text1"/>
                <w:u w:val="single"/>
              </w:rPr>
            </w:pPr>
            <w:r>
              <w:rPr>
                <w:rFonts w:hint="eastAsia" w:cs="Times New Roman"/>
                <w:color w:val="000000" w:themeColor="text1"/>
                <w:u w:val="single"/>
                <w:lang w:val="en-US" w:eastAsia="zh-CN"/>
              </w:rPr>
              <w:t>D0</w:t>
            </w:r>
            <w:r>
              <w:rPr>
                <w:rFonts w:cs="Times New Roman"/>
                <w:color w:val="000000" w:themeColor="text1"/>
                <w:u w:val="single"/>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345" w:type="pct"/>
            <w:vMerge w:val="restart"/>
            <w:tcBorders>
              <w:left w:val="nil"/>
            </w:tcBorders>
            <w:vAlign w:val="center"/>
          </w:tcPr>
          <w:p>
            <w:pPr>
              <w:pStyle w:val="122"/>
              <w:rPr>
                <w:rFonts w:cs="Times New Roman"/>
                <w:color w:val="000000" w:themeColor="text1"/>
                <w:u w:val="single"/>
              </w:rPr>
            </w:pPr>
            <w:r>
              <w:rPr>
                <w:rFonts w:cs="Times New Roman"/>
                <w:color w:val="000000" w:themeColor="text1"/>
                <w:u w:val="single"/>
              </w:rPr>
              <w:t>进水浓度</w:t>
            </w:r>
          </w:p>
        </w:tc>
        <w:tc>
          <w:tcPr>
            <w:tcW w:w="1054" w:type="pct"/>
            <w:vMerge w:val="restart"/>
            <w:vAlign w:val="center"/>
          </w:tcPr>
          <w:p>
            <w:pPr>
              <w:pStyle w:val="122"/>
              <w:rPr>
                <w:rFonts w:hint="eastAsia" w:eastAsia="宋体" w:cs="Times New Roman"/>
                <w:color w:val="000000" w:themeColor="text1"/>
                <w:u w:val="single"/>
                <w:lang w:eastAsia="zh-CN"/>
              </w:rPr>
            </w:pPr>
            <w:r>
              <w:rPr>
                <w:rFonts w:hint="eastAsia" w:cs="Times New Roman"/>
                <w:color w:val="000000" w:themeColor="text1"/>
                <w:u w:val="single"/>
                <w:lang w:eastAsia="zh-CN"/>
              </w:rPr>
              <w:t>监测值</w:t>
            </w:r>
          </w:p>
        </w:tc>
        <w:tc>
          <w:tcPr>
            <w:tcW w:w="785" w:type="pct"/>
            <w:vMerge w:val="restart"/>
            <w:vAlign w:val="center"/>
          </w:tcPr>
          <w:p>
            <w:pPr>
              <w:pStyle w:val="122"/>
              <w:rPr>
                <w:rFonts w:hint="default" w:eastAsia="宋体" w:cs="Times New Roman"/>
                <w:color w:val="000000" w:themeColor="text1"/>
                <w:u w:val="single"/>
                <w:lang w:val="en-US" w:eastAsia="zh-CN"/>
              </w:rPr>
            </w:pPr>
            <w:r>
              <w:rPr>
                <w:rFonts w:hint="eastAsia" w:cs="Times New Roman"/>
                <w:color w:val="000000" w:themeColor="text1"/>
                <w:u w:val="single"/>
                <w:lang w:val="en-US" w:eastAsia="zh-CN"/>
              </w:rPr>
              <w:t>164</w:t>
            </w:r>
          </w:p>
        </w:tc>
        <w:tc>
          <w:tcPr>
            <w:tcW w:w="660" w:type="pct"/>
            <w:vMerge w:val="restart"/>
            <w:vAlign w:val="center"/>
          </w:tcPr>
          <w:p>
            <w:pPr>
              <w:pStyle w:val="122"/>
              <w:rPr>
                <w:rFonts w:hint="default" w:eastAsia="宋体" w:cs="Times New Roman"/>
                <w:color w:val="000000" w:themeColor="text1"/>
                <w:u w:val="single"/>
                <w:lang w:val="en-US" w:eastAsia="zh-CN"/>
              </w:rPr>
            </w:pPr>
            <w:r>
              <w:rPr>
                <w:rFonts w:hint="eastAsia" w:cs="Times New Roman"/>
                <w:color w:val="000000" w:themeColor="text1"/>
                <w:u w:val="single"/>
                <w:lang w:val="en-US" w:eastAsia="zh-CN"/>
              </w:rPr>
              <w:t>2.14</w:t>
            </w:r>
          </w:p>
        </w:tc>
        <w:tc>
          <w:tcPr>
            <w:tcW w:w="759" w:type="pct"/>
            <w:vMerge w:val="restart"/>
            <w:vAlign w:val="center"/>
          </w:tcPr>
          <w:p>
            <w:pPr>
              <w:pStyle w:val="122"/>
              <w:rPr>
                <w:rFonts w:hint="default" w:eastAsia="宋体" w:cs="Times New Roman"/>
                <w:color w:val="000000" w:themeColor="text1"/>
                <w:u w:val="single"/>
                <w:lang w:val="en-US" w:eastAsia="zh-CN"/>
              </w:rPr>
            </w:pPr>
            <w:r>
              <w:rPr>
                <w:rFonts w:hint="eastAsia" w:cs="Times New Roman"/>
                <w:color w:val="000000" w:themeColor="text1"/>
                <w:u w:val="single"/>
                <w:lang w:val="en-US" w:eastAsia="zh-CN"/>
              </w:rPr>
              <w:t>14.47</w:t>
            </w:r>
          </w:p>
        </w:tc>
        <w:tc>
          <w:tcPr>
            <w:tcW w:w="711" w:type="pct"/>
            <w:vMerge w:val="restart"/>
            <w:vAlign w:val="center"/>
          </w:tcPr>
          <w:p>
            <w:pPr>
              <w:pStyle w:val="122"/>
              <w:rPr>
                <w:rFonts w:hint="default" w:eastAsia="宋体" w:cs="Times New Roman"/>
                <w:color w:val="000000" w:themeColor="text1"/>
                <w:u w:val="single"/>
                <w:lang w:val="en-US" w:eastAsia="zh-CN"/>
              </w:rPr>
            </w:pPr>
            <w:r>
              <w:rPr>
                <w:rFonts w:hint="eastAsia" w:cs="Times New Roman"/>
                <w:color w:val="000000" w:themeColor="text1"/>
                <w:u w:val="single"/>
                <w:lang w:val="en-US" w:eastAsia="zh-CN"/>
              </w:rPr>
              <w:t>17.04</w:t>
            </w:r>
          </w:p>
        </w:tc>
        <w:tc>
          <w:tcPr>
            <w:tcW w:w="684" w:type="pct"/>
            <w:vMerge w:val="restart"/>
            <w:tcBorders>
              <w:right w:val="nil"/>
            </w:tcBorders>
            <w:vAlign w:val="center"/>
          </w:tcPr>
          <w:p>
            <w:pPr>
              <w:pStyle w:val="122"/>
              <w:rPr>
                <w:rFonts w:hint="default" w:eastAsia="宋体" w:cs="Times New Roman"/>
                <w:color w:val="000000" w:themeColor="text1"/>
                <w:u w:val="single"/>
                <w:lang w:val="en-US" w:eastAsia="zh-CN"/>
              </w:rPr>
            </w:pPr>
            <w:r>
              <w:rPr>
                <w:rFonts w:hint="eastAsia" w:cs="Times New Roman"/>
                <w:color w:val="000000" w:themeColor="text1"/>
                <w:u w:val="single"/>
                <w:lang w:val="en-US" w:eastAsia="zh-CN"/>
              </w:rPr>
              <w:t>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pct"/>
            <w:vMerge w:val="continue"/>
            <w:tcBorders>
              <w:left w:val="nil"/>
            </w:tcBorders>
            <w:vAlign w:val="center"/>
          </w:tcPr>
          <w:p>
            <w:pPr>
              <w:pStyle w:val="122"/>
              <w:rPr>
                <w:rFonts w:cs="Times New Roman"/>
                <w:color w:val="000000" w:themeColor="text1"/>
                <w:u w:val="single"/>
              </w:rPr>
            </w:pPr>
          </w:p>
        </w:tc>
        <w:tc>
          <w:tcPr>
            <w:tcW w:w="1054" w:type="pct"/>
            <w:vMerge w:val="continue"/>
            <w:vAlign w:val="center"/>
          </w:tcPr>
          <w:p>
            <w:pPr>
              <w:pStyle w:val="122"/>
              <w:rPr>
                <w:rFonts w:hint="eastAsia" w:eastAsia="宋体" w:cs="Times New Roman"/>
                <w:color w:val="000000" w:themeColor="text1"/>
                <w:u w:val="single"/>
                <w:lang w:eastAsia="zh-CN"/>
              </w:rPr>
            </w:pPr>
          </w:p>
        </w:tc>
        <w:tc>
          <w:tcPr>
            <w:tcW w:w="785" w:type="pct"/>
            <w:vMerge w:val="continue"/>
            <w:vAlign w:val="center"/>
          </w:tcPr>
          <w:p>
            <w:pPr>
              <w:pStyle w:val="122"/>
              <w:rPr>
                <w:rFonts w:cs="Times New Roman"/>
                <w:color w:val="000000" w:themeColor="text1"/>
                <w:u w:val="single"/>
              </w:rPr>
            </w:pPr>
          </w:p>
        </w:tc>
        <w:tc>
          <w:tcPr>
            <w:tcW w:w="660" w:type="pct"/>
            <w:vMerge w:val="continue"/>
            <w:vAlign w:val="center"/>
          </w:tcPr>
          <w:p>
            <w:pPr>
              <w:pStyle w:val="122"/>
              <w:rPr>
                <w:rFonts w:cs="Times New Roman"/>
                <w:color w:val="000000" w:themeColor="text1"/>
                <w:u w:val="single"/>
              </w:rPr>
            </w:pPr>
          </w:p>
        </w:tc>
        <w:tc>
          <w:tcPr>
            <w:tcW w:w="759" w:type="pct"/>
            <w:vMerge w:val="continue"/>
            <w:vAlign w:val="center"/>
          </w:tcPr>
          <w:p>
            <w:pPr>
              <w:pStyle w:val="122"/>
              <w:rPr>
                <w:rFonts w:cs="Times New Roman"/>
                <w:color w:val="000000" w:themeColor="text1"/>
                <w:u w:val="single"/>
              </w:rPr>
            </w:pPr>
          </w:p>
        </w:tc>
        <w:tc>
          <w:tcPr>
            <w:tcW w:w="711" w:type="pct"/>
            <w:vMerge w:val="continue"/>
            <w:vAlign w:val="center"/>
          </w:tcPr>
          <w:p>
            <w:pPr>
              <w:pStyle w:val="122"/>
              <w:rPr>
                <w:rFonts w:cs="Times New Roman"/>
                <w:color w:val="000000" w:themeColor="text1"/>
                <w:u w:val="single"/>
              </w:rPr>
            </w:pPr>
          </w:p>
        </w:tc>
        <w:tc>
          <w:tcPr>
            <w:tcW w:w="684" w:type="pct"/>
            <w:vMerge w:val="continue"/>
            <w:tcBorders>
              <w:right w:val="nil"/>
            </w:tcBorders>
            <w:vAlign w:val="center"/>
          </w:tcPr>
          <w:p>
            <w:pPr>
              <w:pStyle w:val="122"/>
              <w:rPr>
                <w:rFonts w:cs="Times New Roman"/>
                <w:color w:val="000000" w:themeColor="text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pct"/>
            <w:vMerge w:val="continue"/>
            <w:tcBorders>
              <w:left w:val="nil"/>
            </w:tcBorders>
            <w:vAlign w:val="center"/>
          </w:tcPr>
          <w:p>
            <w:pPr>
              <w:pStyle w:val="122"/>
              <w:rPr>
                <w:rFonts w:cs="Times New Roman"/>
                <w:color w:val="000000" w:themeColor="text1"/>
                <w:u w:val="single"/>
              </w:rPr>
            </w:pPr>
          </w:p>
        </w:tc>
        <w:tc>
          <w:tcPr>
            <w:tcW w:w="1054" w:type="pct"/>
            <w:vMerge w:val="continue"/>
            <w:vAlign w:val="center"/>
          </w:tcPr>
          <w:p>
            <w:pPr>
              <w:pStyle w:val="122"/>
              <w:rPr>
                <w:rFonts w:cs="Times New Roman"/>
                <w:color w:val="000000" w:themeColor="text1"/>
                <w:u w:val="single"/>
              </w:rPr>
            </w:pPr>
          </w:p>
        </w:tc>
        <w:tc>
          <w:tcPr>
            <w:tcW w:w="785" w:type="pct"/>
            <w:vMerge w:val="continue"/>
            <w:vAlign w:val="center"/>
          </w:tcPr>
          <w:p>
            <w:pPr>
              <w:pStyle w:val="122"/>
              <w:rPr>
                <w:rFonts w:cs="Times New Roman"/>
                <w:color w:val="000000" w:themeColor="text1"/>
                <w:u w:val="single"/>
              </w:rPr>
            </w:pPr>
          </w:p>
        </w:tc>
        <w:tc>
          <w:tcPr>
            <w:tcW w:w="660" w:type="pct"/>
            <w:vMerge w:val="continue"/>
            <w:vAlign w:val="center"/>
          </w:tcPr>
          <w:p>
            <w:pPr>
              <w:pStyle w:val="122"/>
              <w:rPr>
                <w:rFonts w:cs="Times New Roman"/>
                <w:color w:val="000000" w:themeColor="text1"/>
                <w:u w:val="single"/>
              </w:rPr>
            </w:pPr>
          </w:p>
        </w:tc>
        <w:tc>
          <w:tcPr>
            <w:tcW w:w="759" w:type="pct"/>
            <w:vMerge w:val="continue"/>
            <w:vAlign w:val="center"/>
          </w:tcPr>
          <w:p>
            <w:pPr>
              <w:pStyle w:val="122"/>
              <w:rPr>
                <w:rFonts w:cs="Times New Roman"/>
                <w:color w:val="000000" w:themeColor="text1"/>
                <w:u w:val="single"/>
              </w:rPr>
            </w:pPr>
          </w:p>
        </w:tc>
        <w:tc>
          <w:tcPr>
            <w:tcW w:w="711" w:type="pct"/>
            <w:vMerge w:val="continue"/>
            <w:vAlign w:val="center"/>
          </w:tcPr>
          <w:p>
            <w:pPr>
              <w:pStyle w:val="122"/>
              <w:rPr>
                <w:rFonts w:cs="Times New Roman"/>
                <w:color w:val="000000" w:themeColor="text1"/>
                <w:u w:val="single"/>
              </w:rPr>
            </w:pPr>
          </w:p>
        </w:tc>
        <w:tc>
          <w:tcPr>
            <w:tcW w:w="684" w:type="pct"/>
            <w:vMerge w:val="continue"/>
            <w:tcBorders>
              <w:right w:val="nil"/>
            </w:tcBorders>
            <w:vAlign w:val="center"/>
          </w:tcPr>
          <w:p>
            <w:pPr>
              <w:pStyle w:val="122"/>
              <w:rPr>
                <w:rFonts w:cs="Times New Roman"/>
                <w:color w:val="000000" w:themeColor="text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99" w:type="pct"/>
            <w:gridSpan w:val="2"/>
            <w:tcBorders>
              <w:left w:val="nil"/>
            </w:tcBorders>
            <w:vAlign w:val="center"/>
          </w:tcPr>
          <w:p>
            <w:pPr>
              <w:pStyle w:val="122"/>
              <w:rPr>
                <w:rFonts w:cs="Times New Roman"/>
                <w:color w:val="000000" w:themeColor="text1"/>
                <w:u w:val="single"/>
              </w:rPr>
            </w:pPr>
            <w:r>
              <w:rPr>
                <w:rFonts w:cs="Times New Roman"/>
                <w:color w:val="000000" w:themeColor="text1"/>
                <w:u w:val="single"/>
              </w:rPr>
              <w:t>设计进水水质</w:t>
            </w:r>
          </w:p>
        </w:tc>
        <w:tc>
          <w:tcPr>
            <w:tcW w:w="785" w:type="pct"/>
            <w:vAlign w:val="center"/>
          </w:tcPr>
          <w:p>
            <w:pPr>
              <w:pStyle w:val="122"/>
              <w:rPr>
                <w:rFonts w:cs="Times New Roman"/>
                <w:color w:val="000000" w:themeColor="text1"/>
                <w:u w:val="single"/>
              </w:rPr>
            </w:pPr>
            <w:r>
              <w:rPr>
                <w:rFonts w:cs="Times New Roman"/>
                <w:color w:val="000000" w:themeColor="text1"/>
                <w:u w:val="single"/>
              </w:rPr>
              <w:t>420</w:t>
            </w:r>
          </w:p>
        </w:tc>
        <w:tc>
          <w:tcPr>
            <w:tcW w:w="660" w:type="pct"/>
            <w:vAlign w:val="center"/>
          </w:tcPr>
          <w:p>
            <w:pPr>
              <w:pStyle w:val="122"/>
              <w:rPr>
                <w:rFonts w:cs="Times New Roman"/>
                <w:color w:val="000000" w:themeColor="text1"/>
                <w:u w:val="single"/>
              </w:rPr>
            </w:pPr>
            <w:r>
              <w:rPr>
                <w:rFonts w:cs="Times New Roman"/>
                <w:color w:val="000000" w:themeColor="text1"/>
                <w:u w:val="single"/>
              </w:rPr>
              <w:t>4.6</w:t>
            </w:r>
          </w:p>
        </w:tc>
        <w:tc>
          <w:tcPr>
            <w:tcW w:w="759" w:type="pct"/>
            <w:vAlign w:val="center"/>
          </w:tcPr>
          <w:p>
            <w:pPr>
              <w:pStyle w:val="122"/>
              <w:rPr>
                <w:rFonts w:cs="Times New Roman"/>
                <w:color w:val="000000" w:themeColor="text1"/>
                <w:u w:val="single"/>
              </w:rPr>
            </w:pPr>
            <w:r>
              <w:rPr>
                <w:rFonts w:cs="Times New Roman"/>
                <w:color w:val="000000" w:themeColor="text1"/>
                <w:u w:val="single"/>
              </w:rPr>
              <w:t>36</w:t>
            </w:r>
          </w:p>
        </w:tc>
        <w:tc>
          <w:tcPr>
            <w:tcW w:w="711" w:type="pct"/>
            <w:vAlign w:val="center"/>
          </w:tcPr>
          <w:p>
            <w:pPr>
              <w:pStyle w:val="122"/>
              <w:rPr>
                <w:rFonts w:cs="Times New Roman"/>
                <w:color w:val="000000" w:themeColor="text1"/>
                <w:u w:val="single"/>
              </w:rPr>
            </w:pPr>
            <w:r>
              <w:rPr>
                <w:rFonts w:cs="Times New Roman"/>
                <w:color w:val="000000" w:themeColor="text1"/>
                <w:u w:val="single"/>
              </w:rPr>
              <w:t>46</w:t>
            </w:r>
          </w:p>
        </w:tc>
        <w:tc>
          <w:tcPr>
            <w:tcW w:w="684" w:type="pct"/>
            <w:tcBorders>
              <w:right w:val="nil"/>
            </w:tcBorders>
            <w:vAlign w:val="center"/>
          </w:tcPr>
          <w:p>
            <w:pPr>
              <w:pStyle w:val="122"/>
              <w:rPr>
                <w:rFonts w:hint="eastAsia" w:eastAsia="宋体" w:cs="Times New Roman"/>
                <w:color w:val="000000" w:themeColor="text1"/>
                <w:u w:val="single"/>
                <w:lang w:val="en-US" w:eastAsia="zh-CN"/>
              </w:rPr>
            </w:pPr>
            <w:r>
              <w:rPr>
                <w:rFonts w:hint="eastAsia" w:cs="Times New Roman"/>
                <w:color w:val="000000" w:themeColor="text1"/>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99" w:type="pct"/>
            <w:gridSpan w:val="2"/>
            <w:tcBorders>
              <w:left w:val="nil"/>
            </w:tcBorders>
            <w:vAlign w:val="center"/>
          </w:tcPr>
          <w:p>
            <w:pPr>
              <w:pStyle w:val="122"/>
              <w:rPr>
                <w:rFonts w:cs="Times New Roman"/>
                <w:color w:val="000000" w:themeColor="text1"/>
                <w:u w:val="single"/>
              </w:rPr>
            </w:pPr>
            <w:r>
              <w:rPr>
                <w:rFonts w:cs="Times New Roman"/>
                <w:color w:val="000000" w:themeColor="text1"/>
                <w:u w:val="single"/>
              </w:rPr>
              <w:t>进水超标率（%）</w:t>
            </w:r>
          </w:p>
        </w:tc>
        <w:tc>
          <w:tcPr>
            <w:tcW w:w="785" w:type="pct"/>
            <w:vAlign w:val="center"/>
          </w:tcPr>
          <w:p>
            <w:pPr>
              <w:pStyle w:val="122"/>
              <w:rPr>
                <w:rFonts w:cs="Times New Roman"/>
                <w:color w:val="000000" w:themeColor="text1"/>
                <w:u w:val="single"/>
              </w:rPr>
            </w:pPr>
            <w:r>
              <w:rPr>
                <w:rFonts w:hint="eastAsia" w:cs="Times New Roman"/>
                <w:color w:val="000000" w:themeColor="text1"/>
                <w:u w:val="single"/>
              </w:rPr>
              <w:t>0</w:t>
            </w:r>
          </w:p>
        </w:tc>
        <w:tc>
          <w:tcPr>
            <w:tcW w:w="660" w:type="pct"/>
            <w:vAlign w:val="center"/>
          </w:tcPr>
          <w:p>
            <w:pPr>
              <w:pStyle w:val="122"/>
              <w:rPr>
                <w:rFonts w:cs="Times New Roman"/>
                <w:color w:val="000000" w:themeColor="text1"/>
                <w:u w:val="single"/>
              </w:rPr>
            </w:pPr>
            <w:r>
              <w:rPr>
                <w:rFonts w:hint="eastAsia" w:cs="Times New Roman"/>
                <w:color w:val="000000" w:themeColor="text1"/>
                <w:u w:val="single"/>
              </w:rPr>
              <w:t>0</w:t>
            </w:r>
          </w:p>
        </w:tc>
        <w:tc>
          <w:tcPr>
            <w:tcW w:w="759" w:type="pct"/>
            <w:vAlign w:val="center"/>
          </w:tcPr>
          <w:p>
            <w:pPr>
              <w:pStyle w:val="122"/>
              <w:rPr>
                <w:rFonts w:cs="Times New Roman"/>
                <w:color w:val="000000" w:themeColor="text1"/>
                <w:u w:val="single"/>
              </w:rPr>
            </w:pPr>
            <w:r>
              <w:rPr>
                <w:rFonts w:hint="eastAsia" w:cs="Times New Roman"/>
                <w:color w:val="000000" w:themeColor="text1"/>
                <w:u w:val="single"/>
              </w:rPr>
              <w:t>0</w:t>
            </w:r>
          </w:p>
        </w:tc>
        <w:tc>
          <w:tcPr>
            <w:tcW w:w="711" w:type="pct"/>
            <w:vAlign w:val="center"/>
          </w:tcPr>
          <w:p>
            <w:pPr>
              <w:pStyle w:val="122"/>
              <w:rPr>
                <w:rFonts w:cs="Times New Roman"/>
                <w:color w:val="000000" w:themeColor="text1"/>
                <w:u w:val="single"/>
              </w:rPr>
            </w:pPr>
            <w:r>
              <w:rPr>
                <w:rFonts w:hint="eastAsia" w:cs="Times New Roman"/>
                <w:color w:val="000000" w:themeColor="text1"/>
                <w:u w:val="single"/>
              </w:rPr>
              <w:t>0</w:t>
            </w:r>
          </w:p>
        </w:tc>
        <w:tc>
          <w:tcPr>
            <w:tcW w:w="684" w:type="pct"/>
            <w:tcBorders>
              <w:right w:val="nil"/>
            </w:tcBorders>
            <w:vAlign w:val="center"/>
          </w:tcPr>
          <w:p>
            <w:pPr>
              <w:pStyle w:val="122"/>
              <w:rPr>
                <w:rFonts w:cs="Times New Roman"/>
                <w:color w:val="000000" w:themeColor="text1"/>
                <w:u w:val="single"/>
              </w:rPr>
            </w:pPr>
            <w:r>
              <w:rPr>
                <w:rFonts w:hint="eastAsia" w:cs="Times New Roman"/>
                <w:color w:val="000000" w:themeColor="text1"/>
                <w:u w:val="single"/>
              </w:rPr>
              <w:t>0</w:t>
            </w:r>
          </w:p>
        </w:tc>
      </w:tr>
    </w:tbl>
    <w:p>
      <w:pPr>
        <w:pStyle w:val="5"/>
      </w:pPr>
      <w:r>
        <w:rPr>
          <w:rFonts w:hint="eastAsia"/>
        </w:rPr>
        <w:t>工业污水水质分析</w:t>
      </w:r>
    </w:p>
    <w:p>
      <w:pPr>
        <w:pStyle w:val="6"/>
      </w:pPr>
      <w:r>
        <w:t>污水处理厂出水水质标准</w:t>
      </w:r>
    </w:p>
    <w:p>
      <w:pPr>
        <w:spacing w:line="360" w:lineRule="auto"/>
        <w:ind w:firstLine="480" w:firstLineChars="200"/>
      </w:pPr>
      <w:r>
        <w:rPr>
          <w:rFonts w:hint="eastAsia"/>
        </w:rPr>
        <w:t>根据华容县桥东污水处理厂排水路径，本项目污水处理厂尾水排入华容河。综合考虑华容河水域环境保护等各方面因素。本项目木污水处理厂尾水出水水质要求达到《城镇污水处理厂污水排放标准》（GB18918-2002）一级A标准，其具体出水水质限值见</w:t>
      </w:r>
      <w:r>
        <w:fldChar w:fldCharType="begin"/>
      </w:r>
      <w:r>
        <w:rPr>
          <w:rFonts w:hint="eastAsia"/>
        </w:rPr>
        <w:instrText xml:space="preserve">REF _Ref17125231 \h</w:instrText>
      </w:r>
      <w:r>
        <w:fldChar w:fldCharType="separate"/>
      </w:r>
      <w:r>
        <w:rPr>
          <w:rFonts w:hint="eastAsia"/>
        </w:rPr>
        <w:t>表</w:t>
      </w:r>
      <w:r>
        <w:fldChar w:fldCharType="begin"/>
      </w:r>
      <w:r>
        <w:instrText xml:space="preserve"> STYLEREF 2 \s </w:instrText>
      </w:r>
      <w:r>
        <w:fldChar w:fldCharType="separate"/>
      </w:r>
      <w:r>
        <w:t>2.3</w:t>
      </w:r>
      <w:r>
        <w:fldChar w:fldCharType="end"/>
      </w:r>
      <w:r>
        <w:noBreakHyphen/>
      </w:r>
      <w:r>
        <w:rPr>
          <w:rFonts w:hint="eastAsia"/>
        </w:rPr>
        <w:t>7</w:t>
      </w:r>
      <w:r>
        <w:fldChar w:fldCharType="end"/>
      </w:r>
      <w:r>
        <w:rPr>
          <w:rFonts w:hint="eastAsia"/>
        </w:rPr>
        <w:t>。</w:t>
      </w:r>
    </w:p>
    <w:p>
      <w:pPr>
        <w:pStyle w:val="14"/>
        <w:spacing w:line="240" w:lineRule="auto"/>
      </w:pPr>
      <w:bookmarkStart w:id="113" w:name="_Ref17125231"/>
      <w:r>
        <w:rPr>
          <w:rFonts w:hint="eastAsia"/>
        </w:rPr>
        <w:t>表</w:t>
      </w:r>
      <w:r>
        <w:fldChar w:fldCharType="begin"/>
      </w:r>
      <w:r>
        <w:instrText xml:space="preserve"> STYLEREF 2 \s </w:instrText>
      </w:r>
      <w:r>
        <w:fldChar w:fldCharType="separate"/>
      </w:r>
      <w:r>
        <w:t>2.3</w:t>
      </w:r>
      <w:r>
        <w:fldChar w:fldCharType="end"/>
      </w:r>
      <w:r>
        <w:noBreakHyphen/>
      </w:r>
      <w:r>
        <w:fldChar w:fldCharType="begin"/>
      </w:r>
      <w:r>
        <w:rPr>
          <w:rFonts w:hint="eastAsia"/>
        </w:rPr>
        <w:instrText xml:space="preserve">SEQ 表 \* ARABIC \s 2</w:instrText>
      </w:r>
      <w:r>
        <w:fldChar w:fldCharType="separate"/>
      </w:r>
      <w:r>
        <w:rPr>
          <w:rFonts w:hint="eastAsia"/>
        </w:rPr>
        <w:t>7</w:t>
      </w:r>
      <w:r>
        <w:fldChar w:fldCharType="end"/>
      </w:r>
      <w:bookmarkEnd w:id="113"/>
      <w:r>
        <w:rPr>
          <w:rFonts w:hint="eastAsia"/>
        </w:rPr>
        <w:t xml:space="preserve">  污水处理厂设计出水水质一览表（单位：mg/L）</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1257"/>
        <w:gridCol w:w="1257"/>
        <w:gridCol w:w="1257"/>
        <w:gridCol w:w="1257"/>
        <w:gridCol w:w="1257"/>
        <w:gridCol w:w="12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0" w:type="dxa"/>
            <w:vAlign w:val="center"/>
          </w:tcPr>
          <w:p>
            <w:pPr>
              <w:pStyle w:val="122"/>
              <w:rPr>
                <w:rFonts w:cs="Times New Roman"/>
              </w:rPr>
            </w:pPr>
            <w:r>
              <w:rPr>
                <w:rFonts w:cs="Times New Roman"/>
              </w:rPr>
              <w:t>项目</w:t>
            </w:r>
          </w:p>
        </w:tc>
        <w:tc>
          <w:tcPr>
            <w:tcW w:w="1257" w:type="dxa"/>
            <w:vAlign w:val="center"/>
          </w:tcPr>
          <w:p>
            <w:pPr>
              <w:pStyle w:val="122"/>
              <w:rPr>
                <w:rFonts w:cs="Times New Roman"/>
              </w:rPr>
            </w:pPr>
            <w:r>
              <w:rPr>
                <w:rFonts w:cs="Times New Roman"/>
              </w:rPr>
              <w:t>COD</w:t>
            </w:r>
            <w:r>
              <w:rPr>
                <w:rFonts w:cs="Times New Roman"/>
                <w:vertAlign w:val="subscript"/>
              </w:rPr>
              <w:t>Cr</w:t>
            </w:r>
          </w:p>
        </w:tc>
        <w:tc>
          <w:tcPr>
            <w:tcW w:w="1257" w:type="dxa"/>
            <w:vAlign w:val="center"/>
          </w:tcPr>
          <w:p>
            <w:pPr>
              <w:pStyle w:val="122"/>
              <w:rPr>
                <w:rFonts w:cs="Times New Roman"/>
              </w:rPr>
            </w:pPr>
            <w:r>
              <w:rPr>
                <w:rFonts w:cs="Times New Roman"/>
              </w:rPr>
              <w:t>BOD</w:t>
            </w:r>
            <w:r>
              <w:rPr>
                <w:rFonts w:cs="Times New Roman"/>
                <w:vertAlign w:val="subscript"/>
              </w:rPr>
              <w:t>5</w:t>
            </w:r>
          </w:p>
        </w:tc>
        <w:tc>
          <w:tcPr>
            <w:tcW w:w="1257" w:type="dxa"/>
            <w:vAlign w:val="center"/>
          </w:tcPr>
          <w:p>
            <w:pPr>
              <w:pStyle w:val="122"/>
              <w:rPr>
                <w:rFonts w:cs="Times New Roman"/>
              </w:rPr>
            </w:pPr>
            <w:r>
              <w:rPr>
                <w:rFonts w:cs="Times New Roman"/>
              </w:rPr>
              <w:t>SS</w:t>
            </w:r>
          </w:p>
        </w:tc>
        <w:tc>
          <w:tcPr>
            <w:tcW w:w="1257" w:type="dxa"/>
            <w:vAlign w:val="center"/>
          </w:tcPr>
          <w:p>
            <w:pPr>
              <w:pStyle w:val="122"/>
              <w:rPr>
                <w:rFonts w:cs="Times New Roman"/>
              </w:rPr>
            </w:pPr>
            <w:r>
              <w:rPr>
                <w:rFonts w:cs="Times New Roman"/>
              </w:rPr>
              <w:t>TN</w:t>
            </w:r>
          </w:p>
        </w:tc>
        <w:tc>
          <w:tcPr>
            <w:tcW w:w="1257" w:type="dxa"/>
            <w:vAlign w:val="center"/>
          </w:tcPr>
          <w:p>
            <w:pPr>
              <w:pStyle w:val="122"/>
              <w:rPr>
                <w:rFonts w:cs="Times New Roman"/>
              </w:rPr>
            </w:pPr>
            <w:r>
              <w:rPr>
                <w:rFonts w:cs="Times New Roman"/>
              </w:rPr>
              <w:t>NH</w:t>
            </w:r>
            <w:r>
              <w:rPr>
                <w:rFonts w:cs="Times New Roman"/>
                <w:vertAlign w:val="subscript"/>
              </w:rPr>
              <w:t>3</w:t>
            </w:r>
            <w:r>
              <w:rPr>
                <w:rFonts w:cs="Times New Roman"/>
              </w:rPr>
              <w:t>-N</w:t>
            </w:r>
          </w:p>
        </w:tc>
        <w:tc>
          <w:tcPr>
            <w:tcW w:w="1257" w:type="dxa"/>
            <w:vAlign w:val="center"/>
          </w:tcPr>
          <w:p>
            <w:pPr>
              <w:pStyle w:val="122"/>
              <w:rPr>
                <w:rFonts w:cs="Times New Roman"/>
              </w:rPr>
            </w:pPr>
            <w:r>
              <w:rPr>
                <w:rFonts w:cs="Times New Roma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0" w:type="dxa"/>
            <w:vAlign w:val="center"/>
          </w:tcPr>
          <w:p>
            <w:pPr>
              <w:pStyle w:val="122"/>
              <w:rPr>
                <w:rFonts w:cs="Times New Roman"/>
              </w:rPr>
            </w:pPr>
            <w:r>
              <w:rPr>
                <w:rFonts w:cs="Times New Roman"/>
              </w:rPr>
              <w:t>出水水质</w:t>
            </w:r>
          </w:p>
        </w:tc>
        <w:tc>
          <w:tcPr>
            <w:tcW w:w="1257" w:type="dxa"/>
            <w:vAlign w:val="center"/>
          </w:tcPr>
          <w:p>
            <w:pPr>
              <w:pStyle w:val="122"/>
              <w:rPr>
                <w:rFonts w:cs="Times New Roman"/>
              </w:rPr>
            </w:pPr>
            <w:r>
              <w:rPr>
                <w:rFonts w:cs="Times New Roman"/>
              </w:rPr>
              <w:t>≤50</w:t>
            </w:r>
          </w:p>
        </w:tc>
        <w:tc>
          <w:tcPr>
            <w:tcW w:w="1257" w:type="dxa"/>
            <w:vAlign w:val="center"/>
          </w:tcPr>
          <w:p>
            <w:pPr>
              <w:pStyle w:val="122"/>
              <w:rPr>
                <w:rFonts w:cs="Times New Roman"/>
              </w:rPr>
            </w:pPr>
            <w:r>
              <w:rPr>
                <w:rFonts w:cs="Times New Roman"/>
              </w:rPr>
              <w:t>≤10</w:t>
            </w:r>
          </w:p>
        </w:tc>
        <w:tc>
          <w:tcPr>
            <w:tcW w:w="1257" w:type="dxa"/>
            <w:vAlign w:val="center"/>
          </w:tcPr>
          <w:p>
            <w:pPr>
              <w:pStyle w:val="122"/>
              <w:rPr>
                <w:rFonts w:cs="Times New Roman"/>
              </w:rPr>
            </w:pPr>
            <w:r>
              <w:rPr>
                <w:rFonts w:cs="Times New Roman"/>
              </w:rPr>
              <w:t>≤10</w:t>
            </w:r>
          </w:p>
        </w:tc>
        <w:tc>
          <w:tcPr>
            <w:tcW w:w="1257" w:type="dxa"/>
            <w:vAlign w:val="center"/>
          </w:tcPr>
          <w:p>
            <w:pPr>
              <w:pStyle w:val="122"/>
              <w:rPr>
                <w:rFonts w:cs="Times New Roman"/>
              </w:rPr>
            </w:pPr>
            <w:r>
              <w:rPr>
                <w:rFonts w:cs="Times New Roman"/>
              </w:rPr>
              <w:t>≤15</w:t>
            </w:r>
          </w:p>
        </w:tc>
        <w:tc>
          <w:tcPr>
            <w:tcW w:w="1257" w:type="dxa"/>
            <w:vAlign w:val="center"/>
          </w:tcPr>
          <w:p>
            <w:pPr>
              <w:pStyle w:val="122"/>
              <w:rPr>
                <w:rFonts w:cs="Times New Roman"/>
              </w:rPr>
            </w:pPr>
            <w:r>
              <w:rPr>
                <w:rFonts w:cs="Times New Roman"/>
              </w:rPr>
              <w:t>≤5（8）</w:t>
            </w:r>
          </w:p>
        </w:tc>
        <w:tc>
          <w:tcPr>
            <w:tcW w:w="1257" w:type="dxa"/>
            <w:vAlign w:val="center"/>
          </w:tcPr>
          <w:p>
            <w:pPr>
              <w:pStyle w:val="122"/>
              <w:rPr>
                <w:rFonts w:cs="Times New Roman"/>
              </w:rPr>
            </w:pPr>
            <w:r>
              <w:rPr>
                <w:rFonts w:cs="Times New Roman"/>
              </w:rPr>
              <w:t>≤0.5</w:t>
            </w:r>
          </w:p>
        </w:tc>
      </w:tr>
    </w:tbl>
    <w:p>
      <w:pPr>
        <w:spacing w:line="360" w:lineRule="auto"/>
        <w:ind w:firstLine="420" w:firstLineChars="200"/>
        <w:rPr>
          <w:rFonts w:ascii="宋体" w:hAnsi="宋体"/>
          <w:sz w:val="21"/>
        </w:rPr>
      </w:pPr>
      <w:r>
        <w:rPr>
          <w:rFonts w:ascii="宋体" w:hAnsi="宋体"/>
          <w:sz w:val="21"/>
        </w:rPr>
        <w:t>注：</w:t>
      </w:r>
      <w:r>
        <w:rPr>
          <w:rFonts w:hint="eastAsia" w:ascii="宋体" w:hAnsi="宋体"/>
          <w:sz w:val="21"/>
        </w:rPr>
        <w:t>①</w:t>
      </w:r>
      <w:r>
        <w:rPr>
          <w:rFonts w:ascii="宋体" w:hAnsi="宋体"/>
          <w:sz w:val="21"/>
        </w:rPr>
        <w:t>括号外数值为水温</w:t>
      </w:r>
      <w:r>
        <w:rPr>
          <w:sz w:val="21"/>
        </w:rPr>
        <w:t>&gt;12</w:t>
      </w:r>
      <w:r>
        <w:rPr>
          <w:rFonts w:hint="eastAsia" w:ascii="宋体" w:hAnsi="宋体"/>
          <w:sz w:val="21"/>
        </w:rPr>
        <w:t>℃</w:t>
      </w:r>
      <w:r>
        <w:rPr>
          <w:rFonts w:ascii="宋体" w:hAnsi="宋体"/>
          <w:sz w:val="21"/>
        </w:rPr>
        <w:t>时的控制指标，括号外数值为水温</w:t>
      </w:r>
      <w:r>
        <w:rPr>
          <w:sz w:val="21"/>
        </w:rPr>
        <w:t>≤12</w:t>
      </w:r>
      <w:r>
        <w:rPr>
          <w:rFonts w:hint="eastAsia" w:ascii="宋体" w:hAnsi="宋体"/>
          <w:sz w:val="21"/>
        </w:rPr>
        <w:t>℃</w:t>
      </w:r>
      <w:r>
        <w:rPr>
          <w:rFonts w:ascii="宋体" w:hAnsi="宋体"/>
          <w:sz w:val="21"/>
        </w:rPr>
        <w:t>时的控制指标。</w:t>
      </w:r>
    </w:p>
    <w:p>
      <w:pPr>
        <w:pStyle w:val="5"/>
      </w:pPr>
      <w:r>
        <w:rPr>
          <w:rFonts w:hint="eastAsia"/>
        </w:rPr>
        <w:t>入河排污口设置合理性分析</w:t>
      </w:r>
    </w:p>
    <w:p>
      <w:pPr>
        <w:pStyle w:val="6"/>
      </w:pPr>
      <w:r>
        <w:rPr>
          <w:rFonts w:hint="eastAsia"/>
        </w:rPr>
        <w:t>入河排污口设置基本情况</w:t>
      </w:r>
    </w:p>
    <w:p>
      <w:pPr>
        <w:spacing w:line="360" w:lineRule="auto"/>
        <w:ind w:firstLine="480" w:firstLineChars="200"/>
        <w:rPr>
          <w:rFonts w:eastAsia="宋体" w:cs="Times New Roman"/>
        </w:rPr>
      </w:pPr>
      <w:r>
        <w:rPr>
          <w:rFonts w:eastAsia="宋体" w:cs="Times New Roman"/>
        </w:rPr>
        <w:t>项目入河口位置位于</w:t>
      </w:r>
      <w:r>
        <w:rPr>
          <w:rFonts w:hint="eastAsia" w:eastAsia="宋体" w:cs="Times New Roman"/>
        </w:rPr>
        <w:t>华容县桥东污水处理厂</w:t>
      </w:r>
      <w:r>
        <w:rPr>
          <w:rFonts w:eastAsia="宋体" w:cs="Times New Roman"/>
        </w:rPr>
        <w:t>向南200m处。东经112°35′53.4"北纬29°31′39.7。污水经污水处理厂处理后采用DN1200mm专用的尾水管到排入华容河北支，排污口为岸边连续性排放。</w:t>
      </w:r>
      <w:r>
        <w:rPr>
          <w:rFonts w:hint="eastAsia" w:eastAsia="宋体" w:cs="Times New Roman"/>
        </w:rPr>
        <w:t>具体情况见下表所示。</w:t>
      </w:r>
    </w:p>
    <w:p>
      <w:pPr>
        <w:pStyle w:val="14"/>
        <w:spacing w:line="240" w:lineRule="auto"/>
        <w:rPr>
          <w:szCs w:val="24"/>
        </w:rPr>
      </w:pPr>
      <w:r>
        <w:rPr>
          <w:szCs w:val="24"/>
        </w:rPr>
        <w:t xml:space="preserve">表 </w:t>
      </w:r>
      <w:r>
        <w:rPr>
          <w:szCs w:val="24"/>
        </w:rPr>
        <w:fldChar w:fldCharType="begin"/>
      </w:r>
      <w:r>
        <w:rPr>
          <w:szCs w:val="24"/>
        </w:rPr>
        <w:instrText xml:space="preserve"> STYLEREF 2 \s </w:instrText>
      </w:r>
      <w:r>
        <w:rPr>
          <w:szCs w:val="24"/>
        </w:rPr>
        <w:fldChar w:fldCharType="separate"/>
      </w:r>
      <w:r>
        <w:rPr>
          <w:szCs w:val="24"/>
        </w:rPr>
        <w:t>2</w:t>
      </w:r>
      <w:r>
        <w:rPr>
          <w:rFonts w:hint="eastAsia"/>
          <w:szCs w:val="24"/>
        </w:rPr>
        <w:t>.</w:t>
      </w:r>
      <w:r>
        <w:rPr>
          <w:szCs w:val="24"/>
        </w:rPr>
        <w:t>3</w:t>
      </w:r>
      <w:r>
        <w:rPr>
          <w:szCs w:val="24"/>
        </w:rPr>
        <w:fldChar w:fldCharType="end"/>
      </w:r>
      <w:r>
        <w:rPr>
          <w:rFonts w:hint="eastAsia"/>
          <w:szCs w:val="24"/>
        </w:rPr>
        <w:t>-</w:t>
      </w:r>
      <w:r>
        <w:rPr>
          <w:szCs w:val="24"/>
        </w:rPr>
        <w:fldChar w:fldCharType="begin"/>
      </w:r>
      <w:r>
        <w:rPr>
          <w:szCs w:val="24"/>
        </w:rPr>
        <w:instrText xml:space="preserve"> SEQ 表 \* ARABIC \s 2 </w:instrText>
      </w:r>
      <w:r>
        <w:rPr>
          <w:szCs w:val="24"/>
        </w:rPr>
        <w:fldChar w:fldCharType="separate"/>
      </w:r>
      <w:r>
        <w:rPr>
          <w:szCs w:val="24"/>
        </w:rPr>
        <w:t>8</w:t>
      </w:r>
      <w:r>
        <w:rPr>
          <w:szCs w:val="24"/>
        </w:rPr>
        <w:fldChar w:fldCharType="end"/>
      </w:r>
      <w:r>
        <w:rPr>
          <w:rFonts w:hint="eastAsia"/>
          <w:szCs w:val="24"/>
        </w:rPr>
        <w:t xml:space="preserve">  </w:t>
      </w:r>
      <w:r>
        <w:rPr>
          <w:rFonts w:cs="Times New Roman"/>
          <w:bCs/>
          <w:szCs w:val="24"/>
        </w:rPr>
        <w:t>排污口基本情况一览表</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3003"/>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top w:val="single" w:color="auto" w:sz="12" w:space="0"/>
              <w:left w:val="nil"/>
            </w:tcBorders>
            <w:vAlign w:val="center"/>
          </w:tcPr>
          <w:p>
            <w:pPr>
              <w:widowControl/>
              <w:jc w:val="center"/>
              <w:rPr>
                <w:rFonts w:eastAsia="宋体" w:cs="Times New Roman"/>
                <w:sz w:val="21"/>
                <w:u w:val="single"/>
              </w:rPr>
            </w:pPr>
            <w:r>
              <w:rPr>
                <w:rFonts w:eastAsia="宋体" w:cs="Times New Roman"/>
                <w:sz w:val="21"/>
                <w:u w:val="single"/>
              </w:rPr>
              <w:t>序号</w:t>
            </w:r>
          </w:p>
        </w:tc>
        <w:tc>
          <w:tcPr>
            <w:tcW w:w="1626" w:type="pct"/>
            <w:tcBorders>
              <w:top w:val="single" w:color="auto" w:sz="12" w:space="0"/>
            </w:tcBorders>
            <w:vAlign w:val="center"/>
          </w:tcPr>
          <w:p>
            <w:pPr>
              <w:widowControl/>
              <w:jc w:val="center"/>
              <w:rPr>
                <w:rFonts w:eastAsia="宋体" w:cs="Times New Roman"/>
                <w:sz w:val="21"/>
                <w:u w:val="single"/>
              </w:rPr>
            </w:pPr>
            <w:r>
              <w:rPr>
                <w:rFonts w:eastAsia="宋体" w:cs="Times New Roman"/>
                <w:sz w:val="21"/>
                <w:u w:val="single"/>
              </w:rPr>
              <w:t>项目</w:t>
            </w:r>
          </w:p>
        </w:tc>
        <w:tc>
          <w:tcPr>
            <w:tcW w:w="2814" w:type="pct"/>
            <w:tcBorders>
              <w:top w:val="single" w:color="auto" w:sz="12" w:space="0"/>
              <w:right w:val="nil"/>
            </w:tcBorders>
            <w:vAlign w:val="center"/>
          </w:tcPr>
          <w:p>
            <w:pPr>
              <w:widowControl/>
              <w:jc w:val="center"/>
              <w:rPr>
                <w:rFonts w:eastAsia="宋体" w:cs="Times New Roman"/>
                <w:sz w:val="21"/>
                <w:u w:val="single"/>
              </w:rPr>
            </w:pPr>
            <w:r>
              <w:rPr>
                <w:rFonts w:eastAsia="宋体" w:cs="Times New Roman"/>
                <w:sz w:val="21"/>
                <w:u w:val="singl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left w:val="nil"/>
              <w:right w:val="nil"/>
            </w:tcBorders>
            <w:vAlign w:val="center"/>
          </w:tcPr>
          <w:p>
            <w:pPr>
              <w:widowControl/>
              <w:jc w:val="center"/>
              <w:rPr>
                <w:rFonts w:eastAsia="宋体" w:cs="Times New Roman"/>
                <w:sz w:val="21"/>
                <w:u w:val="single"/>
              </w:rPr>
            </w:pPr>
            <w:r>
              <w:rPr>
                <w:rFonts w:eastAsia="宋体" w:cs="Times New Roman"/>
                <w:sz w:val="21"/>
                <w:u w:val="single"/>
              </w:rPr>
              <w:t>一</w:t>
            </w:r>
            <w:r>
              <w:rPr>
                <w:rFonts w:hint="eastAsia" w:eastAsia="宋体" w:cs="Times New Roman"/>
                <w:sz w:val="21"/>
                <w:u w:val="single"/>
              </w:rPr>
              <w:t>、</w:t>
            </w:r>
            <w:r>
              <w:rPr>
                <w:rFonts w:eastAsia="宋体" w:cs="Times New Roman"/>
                <w:sz w:val="21"/>
                <w:u w:val="single"/>
              </w:rPr>
              <w:t>入河排污口基本情况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1</w:t>
            </w:r>
          </w:p>
        </w:tc>
        <w:tc>
          <w:tcPr>
            <w:tcW w:w="1626" w:type="pct"/>
            <w:vAlign w:val="center"/>
          </w:tcPr>
          <w:p>
            <w:pPr>
              <w:widowControl/>
              <w:jc w:val="center"/>
              <w:rPr>
                <w:rFonts w:eastAsia="宋体" w:cs="Times New Roman"/>
                <w:sz w:val="21"/>
                <w:u w:val="single"/>
              </w:rPr>
            </w:pPr>
            <w:r>
              <w:rPr>
                <w:rFonts w:eastAsia="宋体" w:cs="Times New Roman"/>
                <w:sz w:val="21"/>
                <w:u w:val="single"/>
              </w:rPr>
              <w:t>入河排污口位置</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所在行政区：岳阳市华容县石伏</w:t>
            </w:r>
            <w:r>
              <w:rPr>
                <w:rFonts w:hint="eastAsia" w:eastAsia="宋体" w:cs="Times New Roman"/>
                <w:sz w:val="21"/>
                <w:u w:val="single"/>
              </w:rPr>
              <w:t>工业园</w:t>
            </w:r>
          </w:p>
          <w:p>
            <w:pPr>
              <w:widowControl/>
              <w:jc w:val="center"/>
              <w:rPr>
                <w:rFonts w:eastAsia="宋体" w:cs="Times New Roman"/>
                <w:sz w:val="21"/>
                <w:u w:val="single"/>
              </w:rPr>
            </w:pPr>
            <w:r>
              <w:rPr>
                <w:rFonts w:eastAsia="宋体" w:cs="Times New Roman"/>
                <w:sz w:val="21"/>
                <w:u w:val="single"/>
              </w:rPr>
              <w:t>排入水体名称：华容河</w:t>
            </w:r>
          </w:p>
          <w:p>
            <w:pPr>
              <w:widowControl/>
              <w:jc w:val="center"/>
              <w:rPr>
                <w:rFonts w:eastAsia="宋体" w:cs="Times New Roman"/>
                <w:sz w:val="21"/>
                <w:u w:val="single"/>
              </w:rPr>
            </w:pPr>
            <w:r>
              <w:rPr>
                <w:rFonts w:eastAsia="宋体" w:cs="Times New Roman"/>
                <w:sz w:val="21"/>
                <w:u w:val="single"/>
              </w:rPr>
              <w:t>排入的水功能区名称：华容河北支</w:t>
            </w:r>
          </w:p>
          <w:p>
            <w:pPr>
              <w:widowControl/>
              <w:jc w:val="center"/>
              <w:rPr>
                <w:rFonts w:eastAsia="宋体" w:cs="Times New Roman"/>
                <w:sz w:val="21"/>
                <w:u w:val="single"/>
              </w:rPr>
            </w:pPr>
            <w:r>
              <w:rPr>
                <w:rFonts w:eastAsia="宋体" w:cs="Times New Roman"/>
                <w:sz w:val="21"/>
                <w:u w:val="single"/>
              </w:rPr>
              <w:t>经度：112°35′53.4″</w:t>
            </w:r>
          </w:p>
          <w:p>
            <w:pPr>
              <w:widowControl/>
              <w:jc w:val="center"/>
              <w:rPr>
                <w:rFonts w:eastAsia="宋体" w:cs="Times New Roman"/>
                <w:sz w:val="21"/>
                <w:u w:val="single"/>
              </w:rPr>
            </w:pPr>
            <w:r>
              <w:rPr>
                <w:rFonts w:eastAsia="宋体" w:cs="Times New Roman"/>
                <w:sz w:val="21"/>
                <w:u w:val="single"/>
              </w:rPr>
              <w:t>纬度：29°31′39.7″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2</w:t>
            </w:r>
          </w:p>
        </w:tc>
        <w:tc>
          <w:tcPr>
            <w:tcW w:w="1626" w:type="pct"/>
            <w:vAlign w:val="center"/>
          </w:tcPr>
          <w:p>
            <w:pPr>
              <w:widowControl/>
              <w:jc w:val="center"/>
              <w:rPr>
                <w:rFonts w:eastAsia="宋体" w:cs="Times New Roman"/>
                <w:sz w:val="21"/>
                <w:u w:val="single"/>
              </w:rPr>
            </w:pPr>
            <w:r>
              <w:rPr>
                <w:rFonts w:eastAsia="宋体" w:cs="Times New Roman"/>
                <w:sz w:val="21"/>
                <w:u w:val="single"/>
              </w:rPr>
              <w:t>入河排污口名称</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华容县桥东污水处理厂（2万吨/日）混合入河排污口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3</w:t>
            </w:r>
          </w:p>
        </w:tc>
        <w:tc>
          <w:tcPr>
            <w:tcW w:w="1626" w:type="pct"/>
            <w:vAlign w:val="center"/>
          </w:tcPr>
          <w:p>
            <w:pPr>
              <w:widowControl/>
              <w:jc w:val="center"/>
              <w:rPr>
                <w:rFonts w:eastAsia="宋体" w:cs="Times New Roman"/>
                <w:sz w:val="21"/>
                <w:u w:val="single"/>
              </w:rPr>
            </w:pPr>
            <w:r>
              <w:rPr>
                <w:rFonts w:eastAsia="宋体" w:cs="Times New Roman"/>
                <w:sz w:val="21"/>
                <w:u w:val="single"/>
              </w:rPr>
              <w:t>入河排污口设置类型</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新建入河排污口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4</w:t>
            </w:r>
          </w:p>
        </w:tc>
        <w:tc>
          <w:tcPr>
            <w:tcW w:w="1626" w:type="pct"/>
            <w:vAlign w:val="center"/>
          </w:tcPr>
          <w:p>
            <w:pPr>
              <w:widowControl/>
              <w:jc w:val="center"/>
              <w:rPr>
                <w:rFonts w:eastAsia="宋体" w:cs="Times New Roman"/>
                <w:sz w:val="21"/>
                <w:u w:val="single"/>
              </w:rPr>
            </w:pPr>
            <w:r>
              <w:rPr>
                <w:rFonts w:eastAsia="宋体" w:cs="Times New Roman"/>
                <w:sz w:val="21"/>
                <w:u w:val="single"/>
              </w:rPr>
              <w:t>入河排污口分类</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混合废污水入河排污口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5</w:t>
            </w:r>
          </w:p>
        </w:tc>
        <w:tc>
          <w:tcPr>
            <w:tcW w:w="1626" w:type="pct"/>
            <w:vAlign w:val="center"/>
          </w:tcPr>
          <w:p>
            <w:pPr>
              <w:widowControl/>
              <w:jc w:val="center"/>
              <w:rPr>
                <w:rFonts w:eastAsia="宋体" w:cs="Times New Roman"/>
                <w:sz w:val="21"/>
                <w:u w:val="single"/>
              </w:rPr>
            </w:pPr>
            <w:r>
              <w:rPr>
                <w:rFonts w:eastAsia="宋体" w:cs="Times New Roman"/>
                <w:sz w:val="21"/>
                <w:u w:val="single"/>
              </w:rPr>
              <w:t>排放方式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6</w:t>
            </w:r>
          </w:p>
        </w:tc>
        <w:tc>
          <w:tcPr>
            <w:tcW w:w="1626" w:type="pct"/>
            <w:vAlign w:val="center"/>
          </w:tcPr>
          <w:p>
            <w:pPr>
              <w:widowControl/>
              <w:jc w:val="center"/>
              <w:rPr>
                <w:rFonts w:eastAsia="宋体" w:cs="Times New Roman"/>
                <w:sz w:val="21"/>
                <w:u w:val="single"/>
              </w:rPr>
            </w:pPr>
            <w:r>
              <w:rPr>
                <w:rFonts w:eastAsia="宋体" w:cs="Times New Roman"/>
                <w:sz w:val="21"/>
                <w:u w:val="single"/>
              </w:rPr>
              <w:t>入河方式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采用DN1200mm专用尾水排水管，直接排入华容河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left w:val="nil"/>
              <w:right w:val="nil"/>
            </w:tcBorders>
            <w:vAlign w:val="center"/>
          </w:tcPr>
          <w:p>
            <w:pPr>
              <w:widowControl/>
              <w:jc w:val="center"/>
              <w:rPr>
                <w:rFonts w:eastAsia="宋体" w:cs="Times New Roman"/>
                <w:sz w:val="21"/>
                <w:u w:val="single"/>
              </w:rPr>
            </w:pPr>
            <w:r>
              <w:rPr>
                <w:rFonts w:eastAsia="宋体" w:cs="Times New Roman"/>
                <w:sz w:val="21"/>
                <w:u w:val="single"/>
              </w:rPr>
              <w:t>二</w:t>
            </w:r>
            <w:r>
              <w:rPr>
                <w:rFonts w:hint="eastAsia" w:eastAsia="宋体" w:cs="Times New Roman"/>
                <w:sz w:val="21"/>
                <w:u w:val="single"/>
              </w:rPr>
              <w:t>、</w:t>
            </w:r>
            <w:r>
              <w:rPr>
                <w:rFonts w:eastAsia="宋体" w:cs="Times New Roman"/>
                <w:sz w:val="21"/>
                <w:u w:val="single"/>
              </w:rPr>
              <w:t>入河排污情况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1</w:t>
            </w:r>
          </w:p>
        </w:tc>
        <w:tc>
          <w:tcPr>
            <w:tcW w:w="1626" w:type="pct"/>
            <w:vAlign w:val="center"/>
          </w:tcPr>
          <w:p>
            <w:pPr>
              <w:widowControl/>
              <w:jc w:val="center"/>
              <w:rPr>
                <w:rFonts w:eastAsia="宋体" w:cs="Times New Roman"/>
                <w:sz w:val="21"/>
                <w:u w:val="single"/>
              </w:rPr>
            </w:pPr>
            <w:r>
              <w:rPr>
                <w:rFonts w:eastAsia="宋体" w:cs="Times New Roman"/>
                <w:sz w:val="21"/>
                <w:u w:val="single"/>
              </w:rPr>
              <w:t>废水来源</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桥东片区居民生活废水及石伏工业园生产废水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2</w:t>
            </w:r>
          </w:p>
        </w:tc>
        <w:tc>
          <w:tcPr>
            <w:tcW w:w="1626" w:type="pct"/>
            <w:vAlign w:val="center"/>
          </w:tcPr>
          <w:p>
            <w:pPr>
              <w:widowControl/>
              <w:jc w:val="center"/>
              <w:rPr>
                <w:rFonts w:eastAsia="宋体" w:cs="Times New Roman"/>
                <w:sz w:val="21"/>
                <w:u w:val="single"/>
              </w:rPr>
            </w:pPr>
            <w:r>
              <w:rPr>
                <w:rFonts w:eastAsia="宋体" w:cs="Times New Roman"/>
                <w:sz w:val="21"/>
                <w:u w:val="single"/>
              </w:rPr>
              <w:t>废水主要污染物</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COD、氨氮、BOD5、SS、TN、TP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3</w:t>
            </w:r>
          </w:p>
        </w:tc>
        <w:tc>
          <w:tcPr>
            <w:tcW w:w="1626" w:type="pct"/>
            <w:vAlign w:val="center"/>
          </w:tcPr>
          <w:p>
            <w:pPr>
              <w:widowControl/>
              <w:jc w:val="center"/>
              <w:rPr>
                <w:rFonts w:eastAsia="宋体" w:cs="Times New Roman"/>
                <w:sz w:val="21"/>
                <w:u w:val="single"/>
              </w:rPr>
            </w:pPr>
            <w:r>
              <w:rPr>
                <w:rFonts w:eastAsia="宋体" w:cs="Times New Roman"/>
                <w:sz w:val="21"/>
                <w:u w:val="single"/>
              </w:rPr>
              <w:t>废水处理工艺及能力</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预处理+组合池（水解酸化池+AAO生物池+二沉池）+深度处理2万吨/日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4</w:t>
            </w:r>
          </w:p>
        </w:tc>
        <w:tc>
          <w:tcPr>
            <w:tcW w:w="1626" w:type="pct"/>
            <w:vAlign w:val="center"/>
          </w:tcPr>
          <w:p>
            <w:pPr>
              <w:widowControl/>
              <w:jc w:val="center"/>
              <w:rPr>
                <w:rFonts w:eastAsia="宋体" w:cs="Times New Roman"/>
                <w:sz w:val="21"/>
                <w:u w:val="single"/>
              </w:rPr>
            </w:pPr>
            <w:r>
              <w:rPr>
                <w:rFonts w:eastAsia="宋体" w:cs="Times New Roman"/>
                <w:sz w:val="21"/>
                <w:u w:val="single"/>
              </w:rPr>
              <w:t>废水排放量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19040吨/日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5</w:t>
            </w:r>
          </w:p>
        </w:tc>
        <w:tc>
          <w:tcPr>
            <w:tcW w:w="1626" w:type="pct"/>
            <w:vAlign w:val="center"/>
          </w:tcPr>
          <w:p>
            <w:pPr>
              <w:widowControl/>
              <w:jc w:val="center"/>
              <w:rPr>
                <w:rFonts w:eastAsia="宋体" w:cs="Times New Roman"/>
                <w:sz w:val="21"/>
                <w:u w:val="single"/>
              </w:rPr>
            </w:pPr>
            <w:r>
              <w:rPr>
                <w:rFonts w:eastAsia="宋体" w:cs="Times New Roman"/>
                <w:sz w:val="21"/>
                <w:u w:val="single"/>
              </w:rPr>
              <w:t>COD排放浓度及排放量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≤50mg/L   排放量≤</w:t>
            </w:r>
            <w:r>
              <w:rPr>
                <w:rFonts w:hint="eastAsia" w:eastAsia="宋体" w:cs="Times New Roman"/>
                <w:sz w:val="21"/>
                <w:u w:val="single"/>
              </w:rPr>
              <w:t>1</w:t>
            </w:r>
            <w:r>
              <w:rPr>
                <w:rFonts w:eastAsia="宋体" w:cs="Times New Roman"/>
                <w:sz w:val="21"/>
                <w:u w:val="single"/>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hint="eastAsia" w:eastAsia="宋体" w:cs="Times New Roman"/>
                <w:sz w:val="21"/>
                <w:u w:val="single"/>
              </w:rPr>
              <w:t>6</w:t>
            </w:r>
          </w:p>
        </w:tc>
        <w:tc>
          <w:tcPr>
            <w:tcW w:w="1626" w:type="pct"/>
            <w:vAlign w:val="center"/>
          </w:tcPr>
          <w:p>
            <w:pPr>
              <w:widowControl/>
              <w:jc w:val="center"/>
              <w:rPr>
                <w:rFonts w:eastAsia="宋体" w:cs="Times New Roman"/>
                <w:sz w:val="21"/>
                <w:u w:val="single"/>
              </w:rPr>
            </w:pPr>
            <w:r>
              <w:rPr>
                <w:rFonts w:eastAsia="宋体" w:cs="Times New Roman"/>
                <w:sz w:val="21"/>
                <w:u w:val="single"/>
              </w:rPr>
              <w:t>氨氮排放浓度及排放量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≤8mg/L   排放量≤0.1t/d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hint="eastAsia" w:eastAsia="宋体" w:cs="Times New Roman"/>
                <w:sz w:val="21"/>
                <w:u w:val="single"/>
              </w:rPr>
              <w:t>7</w:t>
            </w:r>
          </w:p>
        </w:tc>
        <w:tc>
          <w:tcPr>
            <w:tcW w:w="1626" w:type="pct"/>
            <w:vAlign w:val="center"/>
          </w:tcPr>
          <w:p>
            <w:pPr>
              <w:widowControl/>
              <w:jc w:val="center"/>
              <w:rPr>
                <w:rFonts w:eastAsia="宋体" w:cs="Times New Roman"/>
                <w:sz w:val="21"/>
                <w:u w:val="single"/>
              </w:rPr>
            </w:pPr>
            <w:r>
              <w:rPr>
                <w:rFonts w:eastAsia="宋体" w:cs="Times New Roman"/>
                <w:sz w:val="21"/>
                <w:u w:val="single"/>
              </w:rPr>
              <w:t>BOD</w:t>
            </w:r>
            <w:r>
              <w:rPr>
                <w:rFonts w:eastAsia="宋体" w:cs="Times New Roman"/>
                <w:sz w:val="21"/>
                <w:u w:val="single"/>
                <w:vertAlign w:val="subscript"/>
              </w:rPr>
              <w:t>5</w:t>
            </w:r>
            <w:r>
              <w:rPr>
                <w:rFonts w:eastAsia="宋体" w:cs="Times New Roman"/>
                <w:sz w:val="21"/>
                <w:u w:val="single"/>
              </w:rPr>
              <w:t>排放浓度及排放量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≤10mg/L   排放量≤0.</w:t>
            </w:r>
            <w:r>
              <w:rPr>
                <w:rFonts w:hint="eastAsia" w:eastAsia="宋体" w:cs="Times New Roman"/>
                <w:sz w:val="21"/>
                <w:u w:val="single"/>
              </w:rPr>
              <w:t>2</w:t>
            </w:r>
            <w:r>
              <w:rPr>
                <w:rFonts w:eastAsia="宋体" w:cs="Times New Roman"/>
                <w:sz w:val="21"/>
                <w:u w:val="single"/>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hint="eastAsia" w:eastAsia="宋体" w:cs="Times New Roman"/>
                <w:sz w:val="21"/>
                <w:u w:val="single"/>
              </w:rPr>
              <w:t>8</w:t>
            </w:r>
          </w:p>
        </w:tc>
        <w:tc>
          <w:tcPr>
            <w:tcW w:w="1626" w:type="pct"/>
            <w:vAlign w:val="center"/>
          </w:tcPr>
          <w:p>
            <w:pPr>
              <w:widowControl/>
              <w:jc w:val="center"/>
              <w:rPr>
                <w:rFonts w:eastAsia="宋体" w:cs="Times New Roman"/>
                <w:sz w:val="21"/>
                <w:u w:val="single"/>
              </w:rPr>
            </w:pPr>
            <w:r>
              <w:rPr>
                <w:rFonts w:eastAsia="宋体" w:cs="Times New Roman"/>
                <w:sz w:val="21"/>
                <w:u w:val="single"/>
              </w:rPr>
              <w:t>总磷排放浓度及排放量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≤0.5mg/L   排放量≤0.0</w:t>
            </w:r>
            <w:r>
              <w:rPr>
                <w:rFonts w:hint="eastAsia" w:eastAsia="宋体" w:cs="Times New Roman"/>
                <w:sz w:val="21"/>
                <w:u w:val="single"/>
              </w:rPr>
              <w:t>1</w:t>
            </w:r>
            <w:r>
              <w:rPr>
                <w:rFonts w:eastAsia="宋体" w:cs="Times New Roman"/>
                <w:sz w:val="21"/>
                <w:u w:val="single"/>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hint="eastAsia" w:eastAsia="宋体" w:cs="Times New Roman"/>
                <w:sz w:val="21"/>
                <w:u w:val="single"/>
              </w:rPr>
              <w:t>9</w:t>
            </w:r>
          </w:p>
        </w:tc>
        <w:tc>
          <w:tcPr>
            <w:tcW w:w="1626" w:type="pct"/>
            <w:vAlign w:val="center"/>
          </w:tcPr>
          <w:p>
            <w:pPr>
              <w:widowControl/>
              <w:jc w:val="center"/>
              <w:rPr>
                <w:rFonts w:eastAsia="宋体" w:cs="Times New Roman"/>
                <w:sz w:val="21"/>
                <w:u w:val="single"/>
              </w:rPr>
            </w:pPr>
            <w:r>
              <w:rPr>
                <w:rFonts w:eastAsia="宋体" w:cs="Times New Roman"/>
                <w:sz w:val="21"/>
                <w:u w:val="single"/>
              </w:rPr>
              <w:t>总氮排放浓度及排放量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≤15mg/L   排放量≤0.</w:t>
            </w:r>
            <w:r>
              <w:rPr>
                <w:rFonts w:hint="eastAsia" w:eastAsia="宋体" w:cs="Times New Roman"/>
                <w:sz w:val="21"/>
                <w:u w:val="single"/>
              </w:rPr>
              <w:t>3</w:t>
            </w:r>
            <w:r>
              <w:rPr>
                <w:rFonts w:eastAsia="宋体" w:cs="Times New Roman"/>
                <w:sz w:val="21"/>
                <w:u w:val="single"/>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hint="eastAsia" w:eastAsia="宋体" w:cs="Times New Roman"/>
                <w:sz w:val="21"/>
                <w:u w:val="single"/>
              </w:rPr>
              <w:t>10</w:t>
            </w:r>
          </w:p>
        </w:tc>
        <w:tc>
          <w:tcPr>
            <w:tcW w:w="1626" w:type="pct"/>
            <w:vAlign w:val="center"/>
          </w:tcPr>
          <w:p>
            <w:pPr>
              <w:widowControl/>
              <w:jc w:val="center"/>
              <w:rPr>
                <w:rFonts w:eastAsia="宋体" w:cs="Times New Roman"/>
                <w:sz w:val="21"/>
                <w:u w:val="single"/>
              </w:rPr>
            </w:pPr>
            <w:r>
              <w:rPr>
                <w:rFonts w:eastAsia="宋体" w:cs="Times New Roman"/>
                <w:sz w:val="21"/>
                <w:u w:val="single"/>
              </w:rPr>
              <w:t>悬浮物排放浓度及排放量</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≤10mg/L   排放量≤0.</w:t>
            </w:r>
            <w:r>
              <w:rPr>
                <w:rFonts w:hint="eastAsia" w:eastAsia="宋体" w:cs="Times New Roman"/>
                <w:sz w:val="21"/>
                <w:u w:val="single"/>
              </w:rPr>
              <w:t>2</w:t>
            </w:r>
            <w:r>
              <w:rPr>
                <w:rFonts w:eastAsia="宋体" w:cs="Times New Roman"/>
                <w:sz w:val="21"/>
                <w:u w:val="single"/>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left w:val="nil"/>
              <w:right w:val="nil"/>
            </w:tcBorders>
            <w:vAlign w:val="center"/>
          </w:tcPr>
          <w:p>
            <w:pPr>
              <w:widowControl/>
              <w:jc w:val="center"/>
              <w:rPr>
                <w:rFonts w:eastAsia="宋体" w:cs="Times New Roman"/>
                <w:sz w:val="21"/>
                <w:u w:val="single"/>
              </w:rPr>
            </w:pPr>
            <w:r>
              <w:rPr>
                <w:rFonts w:eastAsia="宋体" w:cs="Times New Roman"/>
                <w:sz w:val="21"/>
                <w:u w:val="single"/>
              </w:rPr>
              <w:t>三</w:t>
            </w:r>
            <w:r>
              <w:rPr>
                <w:rFonts w:hint="eastAsia" w:eastAsia="宋体" w:cs="Times New Roman"/>
                <w:sz w:val="21"/>
                <w:u w:val="single"/>
              </w:rPr>
              <w:t>、</w:t>
            </w:r>
            <w:r>
              <w:rPr>
                <w:rFonts w:eastAsia="宋体" w:cs="Times New Roman"/>
                <w:sz w:val="21"/>
                <w:u w:val="single"/>
              </w:rPr>
              <w:t>入河排污口规范化情况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tcBorders>
            <w:vAlign w:val="center"/>
          </w:tcPr>
          <w:p>
            <w:pPr>
              <w:widowControl/>
              <w:jc w:val="center"/>
              <w:rPr>
                <w:rFonts w:eastAsia="宋体" w:cs="Times New Roman"/>
                <w:sz w:val="21"/>
                <w:u w:val="single"/>
              </w:rPr>
            </w:pPr>
            <w:r>
              <w:rPr>
                <w:rFonts w:eastAsia="宋体" w:cs="Times New Roman"/>
                <w:sz w:val="21"/>
                <w:u w:val="single"/>
              </w:rPr>
              <w:t>1</w:t>
            </w:r>
          </w:p>
        </w:tc>
        <w:tc>
          <w:tcPr>
            <w:tcW w:w="1626" w:type="pct"/>
            <w:vAlign w:val="center"/>
          </w:tcPr>
          <w:p>
            <w:pPr>
              <w:widowControl/>
              <w:jc w:val="center"/>
              <w:rPr>
                <w:rFonts w:eastAsia="宋体" w:cs="Times New Roman"/>
                <w:sz w:val="21"/>
                <w:u w:val="single"/>
              </w:rPr>
            </w:pPr>
            <w:r>
              <w:rPr>
                <w:rFonts w:eastAsia="宋体" w:cs="Times New Roman"/>
                <w:sz w:val="21"/>
                <w:u w:val="single"/>
              </w:rPr>
              <w:t>规范化建设内容</w:t>
            </w:r>
          </w:p>
        </w:tc>
        <w:tc>
          <w:tcPr>
            <w:tcW w:w="2814" w:type="pct"/>
            <w:tcBorders>
              <w:right w:val="nil"/>
            </w:tcBorders>
            <w:vAlign w:val="center"/>
          </w:tcPr>
          <w:p>
            <w:pPr>
              <w:widowControl/>
              <w:jc w:val="center"/>
              <w:rPr>
                <w:rFonts w:eastAsia="宋体" w:cs="Times New Roman"/>
                <w:sz w:val="21"/>
                <w:u w:val="single"/>
              </w:rPr>
            </w:pPr>
            <w:r>
              <w:rPr>
                <w:rFonts w:eastAsia="宋体" w:cs="Times New Roman"/>
                <w:sz w:val="21"/>
                <w:u w:val="single"/>
              </w:rPr>
              <w:t>（1）按照《排污口规范化整治技术要求》，建设完善规范化排污口。要充分考虑便于采集样品、便于监测计量、便于日常环境监督管理的要求。（2）设立标志牌。排污口标志牌是对排污单位排放污染物实施监测采样和监督管理的法定标志。各企业应按照原国家环境保护总局《排放口标志牌技术规格》（环办〔2003〕95号）和国家标准GB15562.1-1995和GB15562.2-1995的要求设立排污口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Borders>
              <w:left w:val="nil"/>
              <w:bottom w:val="single" w:color="auto" w:sz="12" w:space="0"/>
            </w:tcBorders>
            <w:vAlign w:val="center"/>
          </w:tcPr>
          <w:p>
            <w:pPr>
              <w:widowControl/>
              <w:jc w:val="center"/>
              <w:rPr>
                <w:rFonts w:eastAsia="宋体" w:cs="Times New Roman"/>
                <w:sz w:val="21"/>
                <w:u w:val="single"/>
              </w:rPr>
            </w:pPr>
            <w:r>
              <w:rPr>
                <w:rFonts w:eastAsia="宋体" w:cs="Times New Roman"/>
                <w:sz w:val="21"/>
                <w:u w:val="single"/>
              </w:rPr>
              <w:t>2</w:t>
            </w:r>
          </w:p>
        </w:tc>
        <w:tc>
          <w:tcPr>
            <w:tcW w:w="1626" w:type="pct"/>
            <w:tcBorders>
              <w:bottom w:val="single" w:color="auto" w:sz="12" w:space="0"/>
            </w:tcBorders>
            <w:vAlign w:val="center"/>
          </w:tcPr>
          <w:p>
            <w:pPr>
              <w:widowControl/>
              <w:jc w:val="center"/>
              <w:rPr>
                <w:rFonts w:eastAsia="宋体" w:cs="Times New Roman"/>
                <w:sz w:val="21"/>
                <w:u w:val="single"/>
              </w:rPr>
            </w:pPr>
            <w:r>
              <w:rPr>
                <w:rFonts w:eastAsia="宋体" w:cs="Times New Roman"/>
                <w:sz w:val="21"/>
                <w:u w:val="single"/>
              </w:rPr>
              <w:t>规范化管理内容</w:t>
            </w:r>
          </w:p>
        </w:tc>
        <w:tc>
          <w:tcPr>
            <w:tcW w:w="2814" w:type="pct"/>
            <w:tcBorders>
              <w:bottom w:val="single" w:color="auto" w:sz="12" w:space="0"/>
              <w:right w:val="nil"/>
            </w:tcBorders>
            <w:vAlign w:val="center"/>
          </w:tcPr>
          <w:p>
            <w:pPr>
              <w:widowControl/>
              <w:jc w:val="center"/>
              <w:rPr>
                <w:rFonts w:eastAsia="宋体" w:cs="Times New Roman"/>
                <w:sz w:val="21"/>
                <w:u w:val="single"/>
              </w:rPr>
            </w:pPr>
            <w:r>
              <w:rPr>
                <w:rFonts w:eastAsia="宋体" w:cs="Times New Roman"/>
                <w:sz w:val="21"/>
                <w:u w:val="single"/>
              </w:rPr>
              <w:t>建立规范化排污口档案。各相关企业应建立相应排污口的监督管理档案，内容包括排污单位名称，排污口性质及编号，排污口的地理位置（GPS定位经纬度），排污口所排放的主要污染物种类、数量、浓度及排放去向，立标情况，设施运行及日常现场监督检查记录等有关资料，同时上报建档以便统一管理</w:t>
            </w:r>
          </w:p>
        </w:tc>
      </w:tr>
    </w:tbl>
    <w:p>
      <w:pPr>
        <w:pStyle w:val="6"/>
      </w:pPr>
      <w:r>
        <w:rPr>
          <w:rFonts w:hint="eastAsia"/>
        </w:rPr>
        <w:t>位置与排放方式的分析</w:t>
      </w:r>
    </w:p>
    <w:p>
      <w:pPr>
        <w:adjustRightInd w:val="0"/>
        <w:snapToGrid w:val="0"/>
        <w:spacing w:line="360" w:lineRule="auto"/>
        <w:ind w:firstLine="480" w:firstLineChars="200"/>
        <w:rPr>
          <w:rFonts w:hint="eastAsia" w:eastAsia="宋体" w:cs="Times New Roman"/>
          <w:u w:val="single"/>
          <w:lang w:eastAsia="zh-CN"/>
        </w:rPr>
      </w:pPr>
      <w:r>
        <w:rPr>
          <w:rFonts w:hint="eastAsia" w:eastAsia="宋体" w:cs="Times New Roman"/>
          <w:u w:val="single"/>
        </w:rPr>
        <w:t>本项目排污口属于岸边连续性排污口，其位置处于在平均水位之上，且设有止回阀。根据《防洪标准》（</w:t>
      </w:r>
      <w:r>
        <w:rPr>
          <w:rFonts w:eastAsia="宋体" w:cs="Times New Roman"/>
          <w:u w:val="single"/>
        </w:rPr>
        <w:t>GB50201-2014</w:t>
      </w:r>
      <w:r>
        <w:rPr>
          <w:rFonts w:hint="eastAsia" w:eastAsia="宋体" w:cs="Times New Roman"/>
          <w:u w:val="single"/>
        </w:rPr>
        <w:t>）规定：经过行、蓄、滞洪区的管道工程的防洪标准，应结合所在河段、地区的行、蓄、滞洪区的要求确定，不得影响行、蓄、滞洪区的正常运用。根据水利部已批复的《洞庭湖区综合治理近期规划报告》（</w:t>
      </w:r>
      <w:r>
        <w:rPr>
          <w:rFonts w:eastAsia="宋体" w:cs="Times New Roman"/>
          <w:u w:val="single"/>
        </w:rPr>
        <w:t>1997.9</w:t>
      </w:r>
      <w:r>
        <w:rPr>
          <w:rFonts w:hint="eastAsia" w:eastAsia="宋体" w:cs="Times New Roman"/>
          <w:u w:val="single"/>
        </w:rPr>
        <w:t xml:space="preserve">），东洞庭湖区以解放以来至 </w:t>
      </w:r>
      <w:r>
        <w:rPr>
          <w:rFonts w:eastAsia="宋体" w:cs="Times New Roman"/>
          <w:u w:val="single"/>
        </w:rPr>
        <w:t xml:space="preserve">1954 </w:t>
      </w:r>
      <w:r>
        <w:rPr>
          <w:rFonts w:hint="eastAsia" w:eastAsia="宋体" w:cs="Times New Roman"/>
          <w:u w:val="single"/>
        </w:rPr>
        <w:t xml:space="preserve">年最高水位为设计洪水位，推算至污水处理厂尾水排放口处设计洪水位为 </w:t>
      </w:r>
      <w:r>
        <w:rPr>
          <w:rFonts w:eastAsia="宋体" w:cs="Times New Roman"/>
          <w:u w:val="single"/>
        </w:rPr>
        <w:t>33.79m</w:t>
      </w:r>
      <w:r>
        <w:rPr>
          <w:rFonts w:hint="eastAsia" w:eastAsia="宋体" w:cs="Times New Roman"/>
          <w:u w:val="single"/>
        </w:rPr>
        <w:t>。</w:t>
      </w:r>
      <w:r>
        <w:rPr>
          <w:rFonts w:hint="eastAsia" w:eastAsia="宋体" w:cs="Times New Roman"/>
          <w:u w:val="single"/>
          <w:lang w:eastAsia="zh-CN"/>
        </w:rPr>
        <w:t>本项目不得设置溢流口。</w:t>
      </w:r>
    </w:p>
    <w:p>
      <w:pPr>
        <w:spacing w:line="360" w:lineRule="auto"/>
        <w:ind w:firstLine="480" w:firstLineChars="200"/>
        <w:rPr>
          <w:rFonts w:eastAsia="宋体" w:cs="Times New Roman"/>
          <w:u w:val="single"/>
        </w:rPr>
      </w:pPr>
      <w:r>
        <w:rPr>
          <w:rFonts w:eastAsia="宋体" w:cs="Times New Roman"/>
          <w:u w:val="single"/>
        </w:rPr>
        <w:t>项目排污口属于岸边连续性排污口，其位置处于在平均水位之上，且设有止回阀。其位置不处于河道中排放，不会影响河道通航能力，且设置有止回阀，当河道水位应涨水超过排污口位置后，不会发生回灌。项目区域地下水流向为两侧向河道流向，项目排水不会逆向补给到周边地下水，不影响地下水水质。</w:t>
      </w:r>
    </w:p>
    <w:p>
      <w:pPr>
        <w:pStyle w:val="6"/>
      </w:pPr>
      <w:r>
        <w:rPr>
          <w:rFonts w:hint="eastAsia"/>
        </w:rPr>
        <w:t>对水功能区的影响</w:t>
      </w:r>
    </w:p>
    <w:p>
      <w:pPr>
        <w:widowControl/>
        <w:spacing w:line="360" w:lineRule="auto"/>
        <w:ind w:firstLine="480" w:firstLineChars="200"/>
        <w:rPr>
          <w:rFonts w:eastAsia="宋体" w:cs="Times New Roman"/>
        </w:rPr>
      </w:pPr>
      <w:r>
        <w:rPr>
          <w:rFonts w:eastAsia="宋体" w:cs="Times New Roman"/>
        </w:rPr>
        <w:t>根据《湖南省主要地表水系水环境功能区划》（DB43023-2005），项目排污河段为华容河华容大桥至六门闸（北支）水质达到国家Ⅲ类水质标准。</w:t>
      </w:r>
    </w:p>
    <w:p>
      <w:pPr>
        <w:widowControl/>
        <w:spacing w:line="360" w:lineRule="auto"/>
        <w:ind w:firstLine="480" w:firstLineChars="200"/>
        <w:rPr>
          <w:rFonts w:eastAsia="宋体" w:cs="Times New Roman"/>
        </w:rPr>
      </w:pPr>
      <w:r>
        <w:rPr>
          <w:rFonts w:eastAsia="宋体" w:cs="Times New Roman"/>
        </w:rPr>
        <w:t>在华容河相撞水质、本项目正常运行的情况下尾水达到《城镇污水处理厂污染物排放标准》（GB18918-2002）中的一级A排放标准，其COD、NH</w:t>
      </w:r>
      <w:r>
        <w:rPr>
          <w:rFonts w:eastAsia="宋体" w:cs="Times New Roman"/>
          <w:vertAlign w:val="subscript"/>
        </w:rPr>
        <w:t>3</w:t>
      </w:r>
      <w:r>
        <w:rPr>
          <w:rFonts w:eastAsia="宋体" w:cs="Times New Roman"/>
        </w:rPr>
        <w:t>-N浓度低于或接近华容河现状水质，不会对华容河北支水功能区产生影响。</w:t>
      </w:r>
    </w:p>
    <w:p>
      <w:pPr>
        <w:pStyle w:val="61"/>
      </w:pPr>
      <w:r>
        <w:rPr>
          <w:rFonts w:hint="eastAsia"/>
        </w:rPr>
        <w:t>对生态环境的影响</w:t>
      </w:r>
    </w:p>
    <w:p>
      <w:pPr>
        <w:widowControl/>
        <w:spacing w:line="360" w:lineRule="auto"/>
        <w:ind w:firstLine="480" w:firstLineChars="200"/>
        <w:rPr>
          <w:rFonts w:eastAsia="宋体" w:cs="Times New Roman"/>
        </w:rPr>
      </w:pPr>
      <w:r>
        <w:rPr>
          <w:rFonts w:hint="eastAsia" w:eastAsia="宋体" w:cs="Times New Roman"/>
        </w:rPr>
        <w:t>华容河上游入口已堵坝建闸（调弦口闸），下游出口旗杆咀建闸（六门闸）与洞庭湖分隔，华容河成为一条完全人工控制的内河。华容河分布有浮游植物</w:t>
      </w:r>
      <w:r>
        <w:rPr>
          <w:rFonts w:eastAsia="宋体" w:cs="Times New Roman"/>
        </w:rPr>
        <w:t>7</w:t>
      </w:r>
      <w:r>
        <w:rPr>
          <w:rFonts w:hint="eastAsia" w:eastAsia="宋体" w:cs="Times New Roman"/>
        </w:rPr>
        <w:t>门</w:t>
      </w:r>
      <w:r>
        <w:rPr>
          <w:rFonts w:eastAsia="宋体" w:cs="Times New Roman"/>
        </w:rPr>
        <w:t>52</w:t>
      </w:r>
      <w:r>
        <w:rPr>
          <w:rFonts w:hint="eastAsia" w:eastAsia="宋体" w:cs="Times New Roman"/>
        </w:rPr>
        <w:t>种，以绿藻门、蓝藻门和硅藻门居多；有浮游动物</w:t>
      </w:r>
      <w:r>
        <w:rPr>
          <w:rFonts w:eastAsia="宋体" w:cs="Times New Roman"/>
        </w:rPr>
        <w:t>32</w:t>
      </w:r>
      <w:r>
        <w:rPr>
          <w:rFonts w:hint="eastAsia" w:eastAsia="宋体" w:cs="Times New Roman"/>
        </w:rPr>
        <w:t>种；底栖动物</w:t>
      </w:r>
      <w:r>
        <w:rPr>
          <w:rFonts w:eastAsia="宋体" w:cs="Times New Roman"/>
        </w:rPr>
        <w:t>9</w:t>
      </w:r>
      <w:r>
        <w:rPr>
          <w:rFonts w:hint="eastAsia" w:eastAsia="宋体" w:cs="Times New Roman"/>
        </w:rPr>
        <w:t>种；有鱼类</w:t>
      </w:r>
      <w:r>
        <w:rPr>
          <w:rFonts w:eastAsia="宋体" w:cs="Times New Roman"/>
        </w:rPr>
        <w:t>23</w:t>
      </w:r>
      <w:r>
        <w:rPr>
          <w:rFonts w:hint="eastAsia" w:eastAsia="宋体" w:cs="Times New Roman"/>
        </w:rPr>
        <w:t>种，其中鲤形目鱼类有</w:t>
      </w:r>
      <w:r>
        <w:rPr>
          <w:rFonts w:eastAsia="宋体" w:cs="Times New Roman"/>
        </w:rPr>
        <w:t>2</w:t>
      </w:r>
      <w:r>
        <w:rPr>
          <w:rFonts w:hint="eastAsia" w:eastAsia="宋体" w:cs="Times New Roman"/>
        </w:rPr>
        <w:t>科</w:t>
      </w:r>
      <w:r>
        <w:rPr>
          <w:rFonts w:eastAsia="宋体" w:cs="Times New Roman"/>
        </w:rPr>
        <w:t>17</w:t>
      </w:r>
      <w:r>
        <w:rPr>
          <w:rFonts w:hint="eastAsia" w:eastAsia="宋体" w:cs="Times New Roman"/>
        </w:rPr>
        <w:t>种，占到总种类数的</w:t>
      </w:r>
      <w:r>
        <w:rPr>
          <w:rFonts w:eastAsia="宋体" w:cs="Times New Roman"/>
        </w:rPr>
        <w:t>73.9%</w:t>
      </w:r>
      <w:r>
        <w:rPr>
          <w:rFonts w:hint="eastAsia" w:eastAsia="宋体" w:cs="Times New Roman"/>
        </w:rPr>
        <w:t>；其次是鲈形目，有</w:t>
      </w:r>
      <w:r>
        <w:rPr>
          <w:rFonts w:eastAsia="宋体" w:cs="Times New Roman"/>
        </w:rPr>
        <w:t>3</w:t>
      </w:r>
      <w:r>
        <w:rPr>
          <w:rFonts w:hint="eastAsia" w:eastAsia="宋体" w:cs="Times New Roman"/>
        </w:rPr>
        <w:t>科</w:t>
      </w:r>
      <w:r>
        <w:rPr>
          <w:rFonts w:eastAsia="宋体" w:cs="Times New Roman"/>
        </w:rPr>
        <w:t>3</w:t>
      </w:r>
      <w:r>
        <w:rPr>
          <w:rFonts w:hint="eastAsia" w:eastAsia="宋体" w:cs="Times New Roman"/>
        </w:rPr>
        <w:t>种，占</w:t>
      </w:r>
      <w:r>
        <w:rPr>
          <w:rFonts w:eastAsia="宋体" w:cs="Times New Roman"/>
        </w:rPr>
        <w:t>13.1%</w:t>
      </w:r>
      <w:r>
        <w:rPr>
          <w:rFonts w:hint="eastAsia" w:eastAsia="宋体" w:cs="Times New Roman"/>
        </w:rPr>
        <w:t xml:space="preserve">；鲇形目有 </w:t>
      </w:r>
      <w:r>
        <w:rPr>
          <w:rFonts w:eastAsia="宋体" w:cs="Times New Roman"/>
        </w:rPr>
        <w:t>2</w:t>
      </w:r>
      <w:r>
        <w:rPr>
          <w:rFonts w:hint="eastAsia" w:eastAsia="宋体" w:cs="Times New Roman"/>
        </w:rPr>
        <w:t>科</w:t>
      </w:r>
      <w:r>
        <w:rPr>
          <w:rFonts w:eastAsia="宋体" w:cs="Times New Roman"/>
        </w:rPr>
        <w:t>2</w:t>
      </w:r>
      <w:r>
        <w:rPr>
          <w:rFonts w:hint="eastAsia" w:eastAsia="宋体" w:cs="Times New Roman"/>
        </w:rPr>
        <w:t>种，占</w:t>
      </w:r>
      <w:r>
        <w:rPr>
          <w:rFonts w:eastAsia="宋体" w:cs="Times New Roman"/>
        </w:rPr>
        <w:t>8.7%</w:t>
      </w:r>
      <w:r>
        <w:rPr>
          <w:rFonts w:hint="eastAsia" w:eastAsia="宋体" w:cs="Times New Roman"/>
        </w:rPr>
        <w:t>；合鳃目</w:t>
      </w:r>
      <w:r>
        <w:rPr>
          <w:rFonts w:eastAsia="宋体" w:cs="Times New Roman"/>
        </w:rPr>
        <w:t>1</w:t>
      </w:r>
      <w:r>
        <w:rPr>
          <w:rFonts w:hint="eastAsia" w:eastAsia="宋体" w:cs="Times New Roman"/>
        </w:rPr>
        <w:t>科</w:t>
      </w:r>
      <w:r>
        <w:rPr>
          <w:rFonts w:eastAsia="宋体" w:cs="Times New Roman"/>
        </w:rPr>
        <w:t>1</w:t>
      </w:r>
      <w:r>
        <w:rPr>
          <w:rFonts w:hint="eastAsia" w:eastAsia="宋体" w:cs="Times New Roman"/>
        </w:rPr>
        <w:t>种，占</w:t>
      </w:r>
      <w:r>
        <w:rPr>
          <w:rFonts w:eastAsia="宋体" w:cs="Times New Roman"/>
        </w:rPr>
        <w:t>4.3%</w:t>
      </w:r>
      <w:r>
        <w:rPr>
          <w:rFonts w:hint="eastAsia" w:eastAsia="宋体" w:cs="Times New Roman"/>
        </w:rPr>
        <w:t>。根据调查资料和当地渔政部门专家介绍，华容河尚未发现有鱼类集中产卵场和珍稀、濒危水生生物分布。本工程的排污口位于华容县石伏工业园华容河北支，工程实施不改变华容河的河势，工程尾水正常排放对华容河现有水质基本无影响，局部轻微的水质变化对现状水生生境影响不大。</w:t>
      </w:r>
    </w:p>
    <w:p>
      <w:pPr>
        <w:pStyle w:val="6"/>
      </w:pPr>
      <w:r>
        <w:rPr>
          <w:rFonts w:hint="eastAsia"/>
        </w:rPr>
        <w:t>对第三者的影响</w:t>
      </w:r>
    </w:p>
    <w:p>
      <w:pPr>
        <w:widowControl/>
        <w:spacing w:line="360" w:lineRule="auto"/>
        <w:ind w:firstLine="480" w:firstLineChars="200"/>
        <w:rPr>
          <w:rFonts w:eastAsia="宋体" w:cs="Times New Roman"/>
        </w:rPr>
      </w:pPr>
      <w:r>
        <w:rPr>
          <w:rFonts w:eastAsia="宋体" w:cs="Times New Roman"/>
        </w:rPr>
        <w:t xml:space="preserve">根据《华容河污染综合整治工作方案（2016-2019年）》和《岳阳市华容河水体达标方案》，要求全面开展集中治理、整治沿岸零散排污口、取缔沿岸畜禽养殖以及河道内网箱养殖。且经过实地考察可知本项目仅排污口上游大约13公里有一个饮用水备用取水口，下游的论证河段仅有防洪排涝涵闸。所以本项目不涉及第三方权益。 </w:t>
      </w:r>
    </w:p>
    <w:p>
      <w:pPr>
        <w:pStyle w:val="4"/>
      </w:pPr>
      <w:bookmarkStart w:id="114" w:name="_Toc15421"/>
      <w:r>
        <w:t>工程污染源分析</w:t>
      </w:r>
      <w:bookmarkEnd w:id="114"/>
    </w:p>
    <w:p>
      <w:pPr>
        <w:pStyle w:val="5"/>
      </w:pPr>
      <w:r>
        <w:t>施工期污染源分析</w:t>
      </w:r>
    </w:p>
    <w:p>
      <w:pPr>
        <w:spacing w:line="360" w:lineRule="auto"/>
        <w:ind w:firstLine="480" w:firstLineChars="200"/>
        <w:rPr>
          <w:color w:val="000000" w:themeColor="text1"/>
        </w:rPr>
      </w:pPr>
      <w:r>
        <w:rPr>
          <w:rFonts w:hint="eastAsia"/>
          <w:color w:val="000000" w:themeColor="text1"/>
        </w:rPr>
        <w:t>本项目已建成，则本项目不对施工期的环境影响进行影响分析。</w:t>
      </w:r>
    </w:p>
    <w:p>
      <w:pPr>
        <w:pStyle w:val="5"/>
      </w:pPr>
      <w:r>
        <w:t>营运期污染源分析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pPr>
      <w:r>
        <w:rPr>
          <w:rFonts w:hint="eastAsia"/>
        </w:rPr>
        <w:t>本项目工程属于区域污水治理工程，其目的是改善华容河水质，减少污染的排放量，但工程建成后仍存在一定程度的污染物排放。</w:t>
      </w:r>
    </w:p>
    <w:p>
      <w:pPr>
        <w:pStyle w:val="100"/>
        <w:keepNext w:val="0"/>
        <w:keepLines w:val="0"/>
        <w:pageBreakBefore w:val="0"/>
        <w:kinsoku/>
        <w:wordWrap/>
        <w:overflowPunct/>
        <w:topLinePunct w:val="0"/>
        <w:autoSpaceDE/>
        <w:autoSpaceDN/>
        <w:bidi w:val="0"/>
        <w:adjustRightInd w:val="0"/>
        <w:snapToGrid w:val="0"/>
        <w:spacing w:line="360" w:lineRule="auto"/>
        <w:ind w:firstLine="480"/>
        <w:textAlignment w:val="auto"/>
      </w:pPr>
      <w:r>
        <w:t>（1）废水污染源分析</w:t>
      </w:r>
    </w:p>
    <w:p>
      <w:pPr>
        <w:keepNext w:val="0"/>
        <w:keepLines w:val="0"/>
        <w:pageBreakBefore w:val="0"/>
        <w:widowControl/>
        <w:kinsoku/>
        <w:wordWrap/>
        <w:overflowPunct/>
        <w:topLinePunct w:val="0"/>
        <w:autoSpaceDE/>
        <w:autoSpaceDN/>
        <w:bidi w:val="0"/>
        <w:adjustRightInd w:val="0"/>
        <w:snapToGrid w:val="0"/>
        <w:spacing w:line="360" w:lineRule="auto"/>
        <w:ind w:right="120" w:rightChars="50" w:firstLine="480" w:firstLineChars="200"/>
        <w:jc w:val="left"/>
        <w:textAlignment w:val="auto"/>
        <w:rPr>
          <w:rFonts w:cs="Times New Roman"/>
          <w:szCs w:val="24"/>
        </w:rPr>
      </w:pPr>
      <w:r>
        <w:rPr>
          <w:rFonts w:cs="Times New Roman"/>
        </w:rPr>
        <w:t>本项目厂区内实行雨污分流，污水通过雨水管网排入华容河，项目污水主要为接纳的华容县桥东片区的生活污水和石伏工业园的工业废水，</w:t>
      </w:r>
      <w:r>
        <w:rPr>
          <w:rFonts w:cs="Times New Roman"/>
          <w:szCs w:val="24"/>
        </w:rPr>
        <w:t>根据《湖南省地方标准—用水定额》（DB43／T388-2014）中相关标准，本项目劳动定员为40人，其中8人在厂区内食宿，本项目在厂食宿员工用水量为每人145L/m</w:t>
      </w:r>
      <w:r>
        <w:rPr>
          <w:rFonts w:cs="Times New Roman"/>
          <w:szCs w:val="24"/>
          <w:vertAlign w:val="superscript"/>
        </w:rPr>
        <w:t>2</w:t>
      </w:r>
      <w:r>
        <w:rPr>
          <w:rFonts w:cs="Times New Roman"/>
          <w:szCs w:val="24"/>
        </w:rPr>
        <w:t>·d，不在厂食宿员工用水量为每人50L/m</w:t>
      </w:r>
      <w:r>
        <w:rPr>
          <w:rFonts w:cs="Times New Roman"/>
          <w:szCs w:val="24"/>
          <w:vertAlign w:val="superscript"/>
        </w:rPr>
        <w:t>2</w:t>
      </w:r>
      <w:r>
        <w:rPr>
          <w:rFonts w:cs="Times New Roman"/>
          <w:szCs w:val="24"/>
        </w:rPr>
        <w:t>·d，则本项目生活用水量为960.48t/a（2.76m</w:t>
      </w:r>
      <w:r>
        <w:rPr>
          <w:rFonts w:cs="Times New Roman"/>
          <w:szCs w:val="24"/>
          <w:vertAlign w:val="superscript"/>
        </w:rPr>
        <w:t>3</w:t>
      </w:r>
      <w:r>
        <w:rPr>
          <w:rFonts w:cs="Times New Roman"/>
          <w:szCs w:val="24"/>
        </w:rPr>
        <w:t>/d），生活废水的产生量按用水量的80%计，则项目生活废水年产生量为768.38t/a（2.21m</w:t>
      </w:r>
      <w:r>
        <w:rPr>
          <w:rFonts w:cs="Times New Roman"/>
          <w:szCs w:val="24"/>
          <w:vertAlign w:val="superscript"/>
        </w:rPr>
        <w:t>3</w:t>
      </w:r>
      <w:r>
        <w:rPr>
          <w:rFonts w:cs="Times New Roman"/>
          <w:szCs w:val="24"/>
        </w:rPr>
        <w:t>/d），生活废水中主要污染为CODcr、BOD</w:t>
      </w:r>
      <w:r>
        <w:rPr>
          <w:rFonts w:cs="Times New Roman"/>
          <w:szCs w:val="24"/>
          <w:vertAlign w:val="subscript"/>
        </w:rPr>
        <w:t>5</w:t>
      </w:r>
      <w:r>
        <w:rPr>
          <w:rFonts w:cs="Times New Roman"/>
          <w:szCs w:val="24"/>
        </w:rPr>
        <w:t>、SS、NH</w:t>
      </w:r>
      <w:r>
        <w:rPr>
          <w:rFonts w:cs="Times New Roman"/>
          <w:szCs w:val="24"/>
          <w:vertAlign w:val="subscript"/>
        </w:rPr>
        <w:t>3</w:t>
      </w:r>
      <w:r>
        <w:rPr>
          <w:rFonts w:cs="Times New Roman"/>
          <w:szCs w:val="24"/>
        </w:rPr>
        <w:t>-N。本项目生活污水纳入本项目污水处理厂进行处理。</w:t>
      </w:r>
    </w:p>
    <w:p>
      <w:pPr>
        <w:keepNext w:val="0"/>
        <w:keepLines w:val="0"/>
        <w:pageBreakBefore w:val="0"/>
        <w:widowControl/>
        <w:kinsoku/>
        <w:wordWrap/>
        <w:overflowPunct/>
        <w:topLinePunct w:val="0"/>
        <w:autoSpaceDE/>
        <w:autoSpaceDN/>
        <w:bidi w:val="0"/>
        <w:adjustRightInd w:val="0"/>
        <w:snapToGrid w:val="0"/>
        <w:spacing w:line="360" w:lineRule="auto"/>
        <w:ind w:right="120" w:rightChars="50" w:firstLine="480" w:firstLineChars="200"/>
        <w:jc w:val="left"/>
        <w:textAlignment w:val="auto"/>
        <w:rPr>
          <w:rFonts w:cs="Times New Roman"/>
          <w:szCs w:val="24"/>
        </w:rPr>
      </w:pPr>
      <w:r>
        <w:rPr>
          <w:rFonts w:cs="Times New Roman"/>
          <w:szCs w:val="24"/>
        </w:rPr>
        <w:t>本次污水日处理量为2万m</w:t>
      </w:r>
      <w:r>
        <w:rPr>
          <w:rFonts w:cs="Times New Roman"/>
          <w:szCs w:val="24"/>
          <w:vertAlign w:val="superscript"/>
        </w:rPr>
        <w:t>3</w:t>
      </w:r>
      <w:r>
        <w:rPr>
          <w:rFonts w:cs="Times New Roman"/>
          <w:szCs w:val="24"/>
        </w:rPr>
        <w:t>/d（</w:t>
      </w:r>
      <w:r>
        <w:rPr>
          <w:rFonts w:hint="eastAsia" w:cs="Times New Roman"/>
          <w:szCs w:val="24"/>
          <w:lang w:val="en-US" w:eastAsia="zh-CN"/>
        </w:rPr>
        <w:t>730</w:t>
      </w:r>
      <w:r>
        <w:rPr>
          <w:rFonts w:cs="Times New Roman"/>
          <w:szCs w:val="24"/>
        </w:rPr>
        <w:t>万m</w:t>
      </w:r>
      <w:r>
        <w:rPr>
          <w:rFonts w:cs="Times New Roman"/>
          <w:szCs w:val="24"/>
          <w:vertAlign w:val="superscript"/>
        </w:rPr>
        <w:t>3</w:t>
      </w:r>
      <w:r>
        <w:rPr>
          <w:rFonts w:cs="Times New Roman"/>
          <w:szCs w:val="24"/>
        </w:rPr>
        <w:t>/a），其中有6625920t/a的废水经处理达到《城镇污水处理厂污染物排放标准》（GB18918-2002）一级A标准后排入华容河，另外有</w:t>
      </w:r>
      <w:r>
        <w:rPr>
          <w:rFonts w:cs="Times New Roman"/>
        </w:rPr>
        <w:t>334080t/a的</w:t>
      </w:r>
      <w:r>
        <w:rPr>
          <w:rFonts w:cs="Times New Roman"/>
          <w:szCs w:val="24"/>
        </w:rPr>
        <w:t>废水回用于厂区的绿化和消毒。本环评中废水源强均以设计水质水量考虑，</w:t>
      </w:r>
      <w:r>
        <w:rPr>
          <w:rFonts w:hint="eastAsia" w:cs="Times New Roman"/>
          <w:szCs w:val="24"/>
        </w:rPr>
        <w:t>本</w:t>
      </w:r>
      <w:r>
        <w:rPr>
          <w:rFonts w:cs="Times New Roman"/>
          <w:szCs w:val="24"/>
        </w:rPr>
        <w:t>项目工程水污染物排放情况见下表。</w:t>
      </w:r>
    </w:p>
    <w:p>
      <w:pPr>
        <w:pStyle w:val="14"/>
        <w:spacing w:line="240" w:lineRule="auto"/>
        <w:rPr>
          <w:rFonts w:cs="Times New Roman"/>
          <w:szCs w:val="24"/>
        </w:rPr>
      </w:pPr>
      <w:r>
        <w:rPr>
          <w:rFonts w:hint="eastAsia" w:cs="Times New Roman"/>
          <w:szCs w:val="24"/>
        </w:rPr>
        <w:t>表</w:t>
      </w:r>
      <w:r>
        <w:rPr>
          <w:rFonts w:cs="Times New Roman"/>
          <w:szCs w:val="24"/>
        </w:rPr>
        <w:fldChar w:fldCharType="begin"/>
      </w:r>
      <w:r>
        <w:rPr>
          <w:rFonts w:hint="eastAsia" w:cs="Times New Roman"/>
          <w:szCs w:val="24"/>
        </w:rPr>
        <w:instrText xml:space="preserve">STYLEREF 2 \s</w:instrText>
      </w:r>
      <w:r>
        <w:rPr>
          <w:rFonts w:cs="Times New Roman"/>
          <w:szCs w:val="24"/>
        </w:rPr>
        <w:fldChar w:fldCharType="separate"/>
      </w:r>
      <w:r>
        <w:rPr>
          <w:rFonts w:cs="Times New Roman"/>
          <w:szCs w:val="24"/>
        </w:rPr>
        <w:t>2.4</w:t>
      </w:r>
      <w:r>
        <w:rPr>
          <w:rFonts w:cs="Times New Roman"/>
          <w:szCs w:val="24"/>
        </w:rPr>
        <w:fldChar w:fldCharType="end"/>
      </w:r>
      <w:r>
        <w:rPr>
          <w:rFonts w:cs="Times New Roman"/>
          <w:szCs w:val="24"/>
        </w:rPr>
        <w:noBreakHyphen/>
      </w:r>
      <w:r>
        <w:rPr>
          <w:rFonts w:cs="Times New Roman"/>
          <w:szCs w:val="24"/>
        </w:rPr>
        <w:fldChar w:fldCharType="begin"/>
      </w:r>
      <w:r>
        <w:rPr>
          <w:rFonts w:hint="eastAsia" w:cs="Times New Roman"/>
          <w:szCs w:val="24"/>
        </w:rPr>
        <w:instrText xml:space="preserve">SEQ 表 \* ARABIC \s 2</w:instrText>
      </w:r>
      <w:r>
        <w:rPr>
          <w:rFonts w:cs="Times New Roman"/>
          <w:szCs w:val="24"/>
        </w:rPr>
        <w:fldChar w:fldCharType="separate"/>
      </w:r>
      <w:r>
        <w:rPr>
          <w:rFonts w:hint="eastAsia" w:cs="Times New Roman"/>
          <w:szCs w:val="24"/>
        </w:rPr>
        <w:t>1</w:t>
      </w:r>
      <w:r>
        <w:rPr>
          <w:rFonts w:cs="Times New Roman"/>
          <w:szCs w:val="24"/>
        </w:rPr>
        <w:fldChar w:fldCharType="end"/>
      </w:r>
      <w:r>
        <w:rPr>
          <w:rFonts w:hint="eastAsia" w:cs="Times New Roman"/>
          <w:szCs w:val="24"/>
        </w:rPr>
        <w:t xml:space="preserve">  本项目废水产生及排放情况一览表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39"/>
        <w:gridCol w:w="1540"/>
        <w:gridCol w:w="1540"/>
        <w:gridCol w:w="1540"/>
        <w:gridCol w:w="1540"/>
        <w:gridCol w:w="15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项目</w:t>
            </w:r>
          </w:p>
        </w:tc>
        <w:tc>
          <w:tcPr>
            <w:tcW w:w="1540" w:type="dxa"/>
            <w:vAlign w:val="center"/>
          </w:tcPr>
          <w:p>
            <w:pPr>
              <w:pStyle w:val="122"/>
              <w:rPr>
                <w:rFonts w:cs="Times New Roman"/>
                <w:color w:val="000000" w:themeColor="text1"/>
                <w:szCs w:val="21"/>
              </w:rPr>
            </w:pPr>
            <w:r>
              <w:rPr>
                <w:rFonts w:cs="Times New Roman"/>
                <w:color w:val="000000" w:themeColor="text1"/>
                <w:szCs w:val="21"/>
              </w:rPr>
              <w:t>设计进水水质（mg/L）</w:t>
            </w:r>
          </w:p>
        </w:tc>
        <w:tc>
          <w:tcPr>
            <w:tcW w:w="1540" w:type="dxa"/>
            <w:vAlign w:val="center"/>
          </w:tcPr>
          <w:p>
            <w:pPr>
              <w:pStyle w:val="122"/>
              <w:rPr>
                <w:rFonts w:cs="Times New Roman"/>
                <w:color w:val="000000" w:themeColor="text1"/>
                <w:szCs w:val="21"/>
              </w:rPr>
            </w:pPr>
            <w:r>
              <w:rPr>
                <w:rFonts w:cs="Times New Roman"/>
                <w:color w:val="000000" w:themeColor="text1"/>
                <w:szCs w:val="21"/>
              </w:rPr>
              <w:t>设计出水水质（mg/L）</w:t>
            </w:r>
          </w:p>
        </w:tc>
        <w:tc>
          <w:tcPr>
            <w:tcW w:w="1540" w:type="dxa"/>
            <w:vAlign w:val="center"/>
          </w:tcPr>
          <w:p>
            <w:pPr>
              <w:pStyle w:val="122"/>
              <w:rPr>
                <w:rFonts w:cs="Times New Roman"/>
                <w:color w:val="000000" w:themeColor="text1"/>
                <w:szCs w:val="21"/>
              </w:rPr>
            </w:pPr>
            <w:r>
              <w:rPr>
                <w:rFonts w:cs="Times New Roman"/>
                <w:color w:val="000000" w:themeColor="text1"/>
                <w:szCs w:val="21"/>
              </w:rPr>
              <w:t>产生量（t/a）</w:t>
            </w:r>
          </w:p>
        </w:tc>
        <w:tc>
          <w:tcPr>
            <w:tcW w:w="1540" w:type="dxa"/>
            <w:vAlign w:val="center"/>
          </w:tcPr>
          <w:p>
            <w:pPr>
              <w:pStyle w:val="122"/>
              <w:rPr>
                <w:rFonts w:cs="Times New Roman"/>
                <w:color w:val="000000" w:themeColor="text1"/>
                <w:szCs w:val="21"/>
              </w:rPr>
            </w:pPr>
            <w:r>
              <w:rPr>
                <w:rFonts w:cs="Times New Roman"/>
                <w:color w:val="000000" w:themeColor="text1"/>
                <w:szCs w:val="21"/>
              </w:rPr>
              <w:t>排放量（t/a）</w:t>
            </w:r>
          </w:p>
        </w:tc>
        <w:tc>
          <w:tcPr>
            <w:tcW w:w="1543" w:type="dxa"/>
            <w:vAlign w:val="center"/>
          </w:tcPr>
          <w:p>
            <w:pPr>
              <w:pStyle w:val="122"/>
              <w:rPr>
                <w:rFonts w:cs="Times New Roman"/>
                <w:color w:val="000000" w:themeColor="text1"/>
                <w:szCs w:val="21"/>
              </w:rPr>
            </w:pPr>
            <w:r>
              <w:rPr>
                <w:rFonts w:cs="Times New Roman"/>
                <w:color w:val="000000" w:themeColor="text1"/>
                <w:szCs w:val="21"/>
              </w:rPr>
              <w:t>削减量（t/a）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废水量</w:t>
            </w:r>
          </w:p>
        </w:tc>
        <w:tc>
          <w:tcPr>
            <w:tcW w:w="1540" w:type="dxa"/>
            <w:vAlign w:val="center"/>
          </w:tcPr>
          <w:p>
            <w:pPr>
              <w:pStyle w:val="122"/>
              <w:rPr>
                <w:rFonts w:cs="Times New Roman"/>
                <w:color w:val="000000" w:themeColor="text1"/>
                <w:szCs w:val="21"/>
              </w:rPr>
            </w:pPr>
            <w:r>
              <w:rPr>
                <w:rFonts w:cs="Times New Roman"/>
                <w:color w:val="000000" w:themeColor="text1"/>
                <w:szCs w:val="21"/>
              </w:rPr>
              <w:t>/</w:t>
            </w:r>
          </w:p>
        </w:tc>
        <w:tc>
          <w:tcPr>
            <w:tcW w:w="1540" w:type="dxa"/>
            <w:vAlign w:val="center"/>
          </w:tcPr>
          <w:p>
            <w:pPr>
              <w:pStyle w:val="122"/>
              <w:rPr>
                <w:rFonts w:cs="Times New Roman"/>
                <w:color w:val="000000" w:themeColor="text1"/>
                <w:szCs w:val="21"/>
              </w:rPr>
            </w:pPr>
            <w:r>
              <w:rPr>
                <w:rFonts w:cs="Times New Roman"/>
                <w:color w:val="000000" w:themeColor="text1"/>
                <w:szCs w:val="21"/>
              </w:rPr>
              <w:t>/</w:t>
            </w:r>
          </w:p>
        </w:tc>
        <w:tc>
          <w:tcPr>
            <w:tcW w:w="1540"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730</w:t>
            </w:r>
            <w:r>
              <w:rPr>
                <w:rFonts w:cs="Times New Roman"/>
                <w:color w:val="000000" w:themeColor="text1"/>
                <w:szCs w:val="21"/>
              </w:rPr>
              <w:t>0000</w:t>
            </w:r>
          </w:p>
        </w:tc>
        <w:tc>
          <w:tcPr>
            <w:tcW w:w="1540" w:type="dxa"/>
            <w:vAlign w:val="center"/>
          </w:tcPr>
          <w:p>
            <w:pPr>
              <w:jc w:val="center"/>
              <w:rPr>
                <w:rFonts w:hint="default" w:cs="Times New Roman" w:eastAsiaTheme="minorEastAsia"/>
                <w:color w:val="000000" w:themeColor="text1"/>
                <w:sz w:val="21"/>
                <w:lang w:val="en-US" w:eastAsia="zh-CN"/>
              </w:rPr>
            </w:pPr>
            <w:r>
              <w:rPr>
                <w:rFonts w:hint="eastAsia" w:cs="Times New Roman"/>
                <w:color w:val="000000" w:themeColor="text1"/>
                <w:sz w:val="21"/>
                <w:lang w:val="en-US" w:eastAsia="zh-CN"/>
              </w:rPr>
              <w:t>6965920</w:t>
            </w:r>
          </w:p>
        </w:tc>
        <w:tc>
          <w:tcPr>
            <w:tcW w:w="1543" w:type="dxa"/>
            <w:vAlign w:val="center"/>
          </w:tcPr>
          <w:p>
            <w:pPr>
              <w:pStyle w:val="122"/>
              <w:rPr>
                <w:rFonts w:hint="eastAsia" w:eastAsia="宋体" w:cs="Times New Roman"/>
                <w:color w:val="000000" w:themeColor="text1"/>
                <w:szCs w:val="21"/>
                <w:lang w:val="en-US" w:eastAsia="zh-CN"/>
              </w:rPr>
            </w:pPr>
            <w:r>
              <w:rPr>
                <w:rFonts w:hint="eastAsia" w:cs="Times New Roman"/>
                <w:color w:val="000000" w:themeColor="text1"/>
                <w:szCs w:val="21"/>
                <w:lang w:val="en-US" w:eastAsia="zh-CN"/>
              </w:rPr>
              <w:t>334080回用于绿化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CODcr</w:t>
            </w:r>
          </w:p>
        </w:tc>
        <w:tc>
          <w:tcPr>
            <w:tcW w:w="1540" w:type="dxa"/>
            <w:vAlign w:val="center"/>
          </w:tcPr>
          <w:p>
            <w:pPr>
              <w:pStyle w:val="122"/>
              <w:rPr>
                <w:rFonts w:cs="Times New Roman"/>
                <w:color w:val="000000" w:themeColor="text1"/>
                <w:szCs w:val="21"/>
              </w:rPr>
            </w:pPr>
            <w:r>
              <w:rPr>
                <w:rFonts w:cs="Times New Roman"/>
                <w:color w:val="000000" w:themeColor="text1"/>
                <w:szCs w:val="21"/>
              </w:rPr>
              <w:t>420</w:t>
            </w:r>
          </w:p>
        </w:tc>
        <w:tc>
          <w:tcPr>
            <w:tcW w:w="1540" w:type="dxa"/>
            <w:vAlign w:val="center"/>
          </w:tcPr>
          <w:p>
            <w:pPr>
              <w:pStyle w:val="122"/>
              <w:rPr>
                <w:rFonts w:cs="Times New Roman"/>
                <w:color w:val="000000" w:themeColor="text1"/>
                <w:szCs w:val="21"/>
              </w:rPr>
            </w:pPr>
            <w:r>
              <w:rPr>
                <w:rFonts w:cs="Times New Roman"/>
                <w:color w:val="000000" w:themeColor="text1"/>
                <w:szCs w:val="21"/>
              </w:rPr>
              <w:t>50</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3066</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348.3</w:t>
            </w:r>
          </w:p>
        </w:tc>
        <w:tc>
          <w:tcPr>
            <w:tcW w:w="1543"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2717.7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BOD</w:t>
            </w:r>
            <w:r>
              <w:rPr>
                <w:rFonts w:cs="Times New Roman"/>
                <w:color w:val="000000" w:themeColor="text1"/>
                <w:szCs w:val="21"/>
                <w:vertAlign w:val="subscript"/>
              </w:rPr>
              <w:t>5</w:t>
            </w:r>
          </w:p>
        </w:tc>
        <w:tc>
          <w:tcPr>
            <w:tcW w:w="1540" w:type="dxa"/>
            <w:vAlign w:val="center"/>
          </w:tcPr>
          <w:p>
            <w:pPr>
              <w:pStyle w:val="122"/>
              <w:rPr>
                <w:rFonts w:cs="Times New Roman"/>
                <w:color w:val="000000" w:themeColor="text1"/>
                <w:szCs w:val="21"/>
              </w:rPr>
            </w:pPr>
            <w:r>
              <w:rPr>
                <w:rFonts w:cs="Times New Roman"/>
                <w:color w:val="000000" w:themeColor="text1"/>
                <w:szCs w:val="21"/>
              </w:rPr>
              <w:t>150</w:t>
            </w:r>
          </w:p>
        </w:tc>
        <w:tc>
          <w:tcPr>
            <w:tcW w:w="1540" w:type="dxa"/>
            <w:vAlign w:val="center"/>
          </w:tcPr>
          <w:p>
            <w:pPr>
              <w:pStyle w:val="122"/>
              <w:rPr>
                <w:rFonts w:cs="Times New Roman"/>
                <w:color w:val="000000" w:themeColor="text1"/>
                <w:szCs w:val="21"/>
              </w:rPr>
            </w:pPr>
            <w:r>
              <w:rPr>
                <w:rFonts w:cs="Times New Roman"/>
                <w:color w:val="000000" w:themeColor="text1"/>
                <w:szCs w:val="21"/>
              </w:rPr>
              <w:t>10</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1095</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69.7</w:t>
            </w:r>
          </w:p>
        </w:tc>
        <w:tc>
          <w:tcPr>
            <w:tcW w:w="1543"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1025.3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SS</w:t>
            </w:r>
          </w:p>
        </w:tc>
        <w:tc>
          <w:tcPr>
            <w:tcW w:w="1540" w:type="dxa"/>
            <w:vAlign w:val="center"/>
          </w:tcPr>
          <w:p>
            <w:pPr>
              <w:pStyle w:val="122"/>
              <w:rPr>
                <w:rFonts w:cs="Times New Roman"/>
                <w:color w:val="000000" w:themeColor="text1"/>
                <w:szCs w:val="21"/>
              </w:rPr>
            </w:pPr>
            <w:r>
              <w:rPr>
                <w:rFonts w:cs="Times New Roman"/>
                <w:color w:val="000000" w:themeColor="text1"/>
                <w:szCs w:val="21"/>
              </w:rPr>
              <w:t>240</w:t>
            </w:r>
          </w:p>
        </w:tc>
        <w:tc>
          <w:tcPr>
            <w:tcW w:w="1540" w:type="dxa"/>
            <w:vAlign w:val="center"/>
          </w:tcPr>
          <w:p>
            <w:pPr>
              <w:pStyle w:val="122"/>
              <w:rPr>
                <w:rFonts w:cs="Times New Roman"/>
                <w:color w:val="000000" w:themeColor="text1"/>
                <w:szCs w:val="21"/>
              </w:rPr>
            </w:pPr>
            <w:r>
              <w:rPr>
                <w:rFonts w:cs="Times New Roman"/>
                <w:color w:val="000000" w:themeColor="text1"/>
                <w:szCs w:val="21"/>
              </w:rPr>
              <w:t>10</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1752</w:t>
            </w:r>
          </w:p>
        </w:tc>
        <w:tc>
          <w:tcPr>
            <w:tcW w:w="1540"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69.7</w:t>
            </w:r>
          </w:p>
        </w:tc>
        <w:tc>
          <w:tcPr>
            <w:tcW w:w="1543"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1682.3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r>
              <w:rPr>
                <w:rFonts w:cs="Times New Roman"/>
                <w:color w:val="000000" w:themeColor="text1"/>
                <w:szCs w:val="21"/>
              </w:rPr>
              <w:t>-N</w:t>
            </w:r>
          </w:p>
        </w:tc>
        <w:tc>
          <w:tcPr>
            <w:tcW w:w="1540" w:type="dxa"/>
            <w:vAlign w:val="center"/>
          </w:tcPr>
          <w:p>
            <w:pPr>
              <w:pStyle w:val="122"/>
              <w:rPr>
                <w:rFonts w:cs="Times New Roman"/>
                <w:color w:val="000000" w:themeColor="text1"/>
                <w:szCs w:val="21"/>
              </w:rPr>
            </w:pPr>
            <w:r>
              <w:rPr>
                <w:rFonts w:cs="Times New Roman"/>
                <w:color w:val="000000" w:themeColor="text1"/>
                <w:szCs w:val="21"/>
              </w:rPr>
              <w:t>36</w:t>
            </w:r>
          </w:p>
        </w:tc>
        <w:tc>
          <w:tcPr>
            <w:tcW w:w="1540" w:type="dxa"/>
            <w:vAlign w:val="center"/>
          </w:tcPr>
          <w:p>
            <w:pPr>
              <w:pStyle w:val="122"/>
              <w:rPr>
                <w:rFonts w:cs="Times New Roman"/>
                <w:color w:val="000000" w:themeColor="text1"/>
                <w:szCs w:val="21"/>
              </w:rPr>
            </w:pPr>
            <w:r>
              <w:rPr>
                <w:rFonts w:cs="Times New Roman"/>
                <w:color w:val="000000" w:themeColor="text1"/>
                <w:szCs w:val="21"/>
              </w:rPr>
              <w:t>8</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262.8</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55</w:t>
            </w:r>
          </w:p>
        </w:tc>
        <w:tc>
          <w:tcPr>
            <w:tcW w:w="1543"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207.8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TN</w:t>
            </w:r>
          </w:p>
        </w:tc>
        <w:tc>
          <w:tcPr>
            <w:tcW w:w="1540" w:type="dxa"/>
            <w:vAlign w:val="center"/>
          </w:tcPr>
          <w:p>
            <w:pPr>
              <w:pStyle w:val="122"/>
              <w:rPr>
                <w:rFonts w:cs="Times New Roman"/>
                <w:color w:val="000000" w:themeColor="text1"/>
                <w:szCs w:val="21"/>
              </w:rPr>
            </w:pPr>
            <w:r>
              <w:rPr>
                <w:rFonts w:cs="Times New Roman"/>
                <w:color w:val="000000" w:themeColor="text1"/>
                <w:szCs w:val="21"/>
              </w:rPr>
              <w:t>46</w:t>
            </w:r>
          </w:p>
        </w:tc>
        <w:tc>
          <w:tcPr>
            <w:tcW w:w="1540" w:type="dxa"/>
            <w:vAlign w:val="center"/>
          </w:tcPr>
          <w:p>
            <w:pPr>
              <w:pStyle w:val="122"/>
              <w:rPr>
                <w:rFonts w:cs="Times New Roman"/>
                <w:color w:val="000000" w:themeColor="text1"/>
                <w:szCs w:val="21"/>
              </w:rPr>
            </w:pPr>
            <w:r>
              <w:rPr>
                <w:rFonts w:cs="Times New Roman"/>
                <w:color w:val="000000" w:themeColor="text1"/>
                <w:szCs w:val="21"/>
              </w:rPr>
              <w:t>15</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335.8</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104.5</w:t>
            </w:r>
          </w:p>
        </w:tc>
        <w:tc>
          <w:tcPr>
            <w:tcW w:w="1543"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231.3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9" w:type="dxa"/>
            <w:vAlign w:val="center"/>
          </w:tcPr>
          <w:p>
            <w:pPr>
              <w:pStyle w:val="122"/>
              <w:rPr>
                <w:rFonts w:cs="Times New Roman"/>
                <w:color w:val="000000" w:themeColor="text1"/>
                <w:szCs w:val="21"/>
              </w:rPr>
            </w:pPr>
            <w:r>
              <w:rPr>
                <w:rFonts w:cs="Times New Roman"/>
                <w:color w:val="000000" w:themeColor="text1"/>
                <w:szCs w:val="21"/>
              </w:rPr>
              <w:t>TP</w:t>
            </w:r>
          </w:p>
        </w:tc>
        <w:tc>
          <w:tcPr>
            <w:tcW w:w="1540" w:type="dxa"/>
            <w:vAlign w:val="center"/>
          </w:tcPr>
          <w:p>
            <w:pPr>
              <w:pStyle w:val="122"/>
              <w:rPr>
                <w:rFonts w:cs="Times New Roman"/>
                <w:color w:val="000000" w:themeColor="text1"/>
                <w:szCs w:val="21"/>
              </w:rPr>
            </w:pPr>
            <w:r>
              <w:rPr>
                <w:rFonts w:cs="Times New Roman"/>
                <w:color w:val="000000" w:themeColor="text1"/>
                <w:szCs w:val="21"/>
              </w:rPr>
              <w:t>4.6</w:t>
            </w:r>
          </w:p>
        </w:tc>
        <w:tc>
          <w:tcPr>
            <w:tcW w:w="1540" w:type="dxa"/>
            <w:vAlign w:val="center"/>
          </w:tcPr>
          <w:p>
            <w:pPr>
              <w:pStyle w:val="122"/>
              <w:rPr>
                <w:rFonts w:cs="Times New Roman"/>
                <w:color w:val="000000" w:themeColor="text1"/>
                <w:szCs w:val="21"/>
              </w:rPr>
            </w:pPr>
            <w:r>
              <w:rPr>
                <w:rFonts w:cs="Times New Roman"/>
                <w:color w:val="000000" w:themeColor="text1"/>
                <w:szCs w:val="21"/>
              </w:rPr>
              <w:t>0.5</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33.58</w:t>
            </w:r>
          </w:p>
        </w:tc>
        <w:tc>
          <w:tcPr>
            <w:tcW w:w="1540"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3.5</w:t>
            </w:r>
          </w:p>
        </w:tc>
        <w:tc>
          <w:tcPr>
            <w:tcW w:w="1543"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30.08</w:t>
            </w:r>
          </w:p>
        </w:tc>
      </w:tr>
    </w:tbl>
    <w:p>
      <w:pPr>
        <w:widowControl/>
        <w:spacing w:line="360" w:lineRule="auto"/>
        <w:ind w:right="120" w:rightChars="50" w:firstLine="480" w:firstLineChars="200"/>
        <w:jc w:val="left"/>
        <w:rPr>
          <w:rFonts w:cs="Times New Roman"/>
          <w:szCs w:val="24"/>
        </w:rPr>
      </w:pPr>
      <w:r>
        <w:rPr>
          <w:rFonts w:cs="Times New Roman"/>
          <w:szCs w:val="24"/>
        </w:rPr>
        <w:t>（2）废气污染源分析</w:t>
      </w:r>
    </w:p>
    <w:p>
      <w:pPr>
        <w:spacing w:line="360" w:lineRule="auto"/>
        <w:ind w:firstLine="480" w:firstLineChars="200"/>
        <w:rPr>
          <w:rFonts w:cs="Times New Roman"/>
          <w:szCs w:val="22"/>
        </w:rPr>
      </w:pPr>
      <w:r>
        <w:rPr>
          <w:rFonts w:cs="Times New Roman"/>
          <w:szCs w:val="24"/>
        </w:rPr>
        <w:t>污水处理厂的臭气发生源主要是一些污水和污泥处理的</w:t>
      </w:r>
      <w:r>
        <w:rPr>
          <w:rFonts w:cs="Times New Roman"/>
          <w:szCs w:val="22"/>
        </w:rPr>
        <w:t>建、构筑物。如格栅井、旋流沉淀池、污泥泵房和污泥脱水间等</w:t>
      </w:r>
      <w:r>
        <w:rPr>
          <w:rFonts w:hint="eastAsia" w:cs="Times New Roman"/>
          <w:szCs w:val="22"/>
          <w:lang w:eastAsia="zh-CN"/>
        </w:rPr>
        <w:t>，</w:t>
      </w:r>
      <w:r>
        <w:rPr>
          <w:rFonts w:cs="Times New Roman"/>
          <w:szCs w:val="22"/>
        </w:rPr>
        <w:t>主要产生恶臭为</w:t>
      </w:r>
      <w:r>
        <w:rPr>
          <w:rStyle w:val="147"/>
        </w:rPr>
        <w:t>H</w:t>
      </w:r>
      <w:r>
        <w:rPr>
          <w:rStyle w:val="147"/>
          <w:vertAlign w:val="subscript"/>
        </w:rPr>
        <w:t>2</w:t>
      </w:r>
      <w:r>
        <w:rPr>
          <w:rStyle w:val="147"/>
        </w:rPr>
        <w:t>S</w:t>
      </w:r>
      <w:r>
        <w:rPr>
          <w:rStyle w:val="147"/>
          <w:rFonts w:hAnsi="宋体"/>
        </w:rPr>
        <w:t>和</w:t>
      </w:r>
      <w:r>
        <w:rPr>
          <w:rStyle w:val="147"/>
        </w:rPr>
        <w:t>NH</w:t>
      </w:r>
      <w:r>
        <w:rPr>
          <w:rStyle w:val="147"/>
          <w:vertAlign w:val="subscript"/>
        </w:rPr>
        <w:t>3</w:t>
      </w:r>
      <w:r>
        <w:rPr>
          <w:rStyle w:val="147"/>
          <w:rFonts w:hint="eastAsia"/>
          <w:lang w:eastAsia="zh-CN"/>
        </w:rPr>
        <w:t>。</w:t>
      </w:r>
      <w:r>
        <w:rPr>
          <w:rStyle w:val="147"/>
        </w:rPr>
        <w:t>本项目设置食堂，会产生食堂油烟。</w:t>
      </w:r>
    </w:p>
    <w:p>
      <w:pPr>
        <w:adjustRightInd w:val="0"/>
        <w:snapToGrid w:val="0"/>
        <w:spacing w:line="360" w:lineRule="auto"/>
        <w:ind w:firstLine="480" w:firstLineChars="200"/>
        <w:rPr>
          <w:rStyle w:val="147"/>
        </w:rPr>
      </w:pPr>
      <w:r>
        <w:rPr>
          <w:rFonts w:cs="Times New Roman" w:hAnsiTheme="minorEastAsia"/>
          <w:szCs w:val="24"/>
        </w:rPr>
        <w:t>①</w:t>
      </w:r>
      <w:r>
        <w:rPr>
          <w:rStyle w:val="147"/>
        </w:rPr>
        <w:t>恶臭</w:t>
      </w:r>
    </w:p>
    <w:p>
      <w:pPr>
        <w:adjustRightInd w:val="0"/>
        <w:snapToGrid w:val="0"/>
        <w:spacing w:line="360" w:lineRule="auto"/>
        <w:ind w:firstLine="480" w:firstLineChars="200"/>
        <w:rPr>
          <w:rFonts w:cs="Times New Roman"/>
          <w:color w:val="000000"/>
        </w:rPr>
      </w:pPr>
      <w:r>
        <w:rPr>
          <w:rFonts w:cs="Times New Roman"/>
          <w:szCs w:val="24"/>
        </w:rPr>
        <w:t>污水处理厂恶臭物质逸出量受污水量、污泥量、污水中溶解氧量、污泥稳定程度、污泥堆存方式及数量、日照、气温、温度、风速等多种因素影响。恶臭的产生与水温、气候与污水厂运行状况都直接相关，一般水温在</w:t>
      </w:r>
      <w:r>
        <w:rPr>
          <w:rFonts w:cs="Times New Roman"/>
          <w:color w:val="000000"/>
        </w:rPr>
        <w:t>25℃以下的冬季，H</w:t>
      </w:r>
      <w:r>
        <w:rPr>
          <w:rFonts w:cs="Times New Roman"/>
          <w:color w:val="000000"/>
          <w:vertAlign w:val="subscript"/>
        </w:rPr>
        <w:t>2</w:t>
      </w:r>
      <w:r>
        <w:rPr>
          <w:rFonts w:cs="Times New Roman"/>
          <w:color w:val="000000"/>
        </w:rPr>
        <w:t>S和NH</w:t>
      </w:r>
      <w:r>
        <w:rPr>
          <w:rFonts w:cs="Times New Roman"/>
          <w:color w:val="000000"/>
          <w:vertAlign w:val="subscript"/>
        </w:rPr>
        <w:t>3</w:t>
      </w:r>
      <w:r>
        <w:rPr>
          <w:rFonts w:cs="Times New Roman"/>
          <w:color w:val="000000"/>
        </w:rPr>
        <w:t>浓度很低，现有的检测方法检出率很低，恶臭对周边环境影响很小。当水温在25℃以上时，气温高的夏秋季节H</w:t>
      </w:r>
      <w:r>
        <w:rPr>
          <w:rFonts w:cs="Times New Roman"/>
          <w:color w:val="000000"/>
          <w:vertAlign w:val="subscript"/>
        </w:rPr>
        <w:t>2</w:t>
      </w:r>
      <w:r>
        <w:rPr>
          <w:rFonts w:cs="Times New Roman"/>
          <w:color w:val="000000"/>
        </w:rPr>
        <w:t>S和NH</w:t>
      </w:r>
      <w:r>
        <w:rPr>
          <w:rFonts w:cs="Times New Roman"/>
          <w:color w:val="000000"/>
          <w:vertAlign w:val="subscript"/>
        </w:rPr>
        <w:t>3</w:t>
      </w:r>
      <w:r>
        <w:rPr>
          <w:rFonts w:cs="Times New Roman"/>
          <w:color w:val="000000"/>
        </w:rPr>
        <w:t>的检出率均为100%，且浓度较高，这说明污水厂恶臭的主要污染物是H</w:t>
      </w:r>
      <w:r>
        <w:rPr>
          <w:rFonts w:cs="Times New Roman"/>
          <w:color w:val="000000"/>
          <w:vertAlign w:val="subscript"/>
        </w:rPr>
        <w:t>2</w:t>
      </w:r>
      <w:r>
        <w:rPr>
          <w:rFonts w:cs="Times New Roman"/>
          <w:color w:val="000000"/>
        </w:rPr>
        <w:t>S和NH</w:t>
      </w:r>
      <w:r>
        <w:rPr>
          <w:rFonts w:cs="Times New Roman"/>
          <w:color w:val="000000"/>
          <w:vertAlign w:val="subscript"/>
        </w:rPr>
        <w:t>3</w:t>
      </w:r>
      <w:r>
        <w:rPr>
          <w:rFonts w:cs="Times New Roman"/>
          <w:color w:val="000000"/>
        </w:rPr>
        <w:t>。恶臭物质扩散有两种形式的衰减，一种是物理衰减，另一种是恶臭物质在日照、紫外线等作用下的化学衰减。</w:t>
      </w:r>
    </w:p>
    <w:p>
      <w:pPr>
        <w:pStyle w:val="100"/>
        <w:spacing w:line="360" w:lineRule="auto"/>
        <w:ind w:firstLine="480"/>
      </w:pPr>
      <w:r>
        <w:rPr>
          <w:color w:val="000000"/>
        </w:rPr>
        <w:t>本项目粗格栅及提升泵房、细格栅及</w:t>
      </w:r>
      <w:r>
        <w:rPr>
          <w:rFonts w:hint="eastAsia"/>
          <w:color w:val="000000"/>
          <w:lang w:eastAsia="zh-CN"/>
        </w:rPr>
        <w:t>平</w:t>
      </w:r>
      <w:r>
        <w:rPr>
          <w:color w:val="000000"/>
        </w:rPr>
        <w:t>流沉砂池、水解酸化和AAO</w:t>
      </w:r>
      <w:r>
        <w:rPr>
          <w:rFonts w:hAnsi="宋体"/>
        </w:rPr>
        <w:t>生化池以及污泥脱水间等会产生少量的恶臭气体，恶臭污染物主要成分为</w:t>
      </w:r>
      <w:r>
        <w:t>H</w:t>
      </w:r>
      <w:r>
        <w:rPr>
          <w:vertAlign w:val="subscript"/>
        </w:rPr>
        <w:t>2</w:t>
      </w:r>
      <w:r>
        <w:t>S</w:t>
      </w:r>
      <w:r>
        <w:rPr>
          <w:rFonts w:hAnsi="宋体"/>
        </w:rPr>
        <w:t>和</w:t>
      </w:r>
      <w:r>
        <w:t>NH</w:t>
      </w:r>
      <w:r>
        <w:rPr>
          <w:vertAlign w:val="subscript"/>
        </w:rPr>
        <w:t>3</w:t>
      </w:r>
      <w:r>
        <w:rPr>
          <w:rFonts w:hAnsi="宋体"/>
        </w:rPr>
        <w:t>。为减少污水处理过程中产生的恶臭气体对周边环境的影响，本项目拟在臭气产生构筑物粗细格栅、进水提升泵、沉砂池、贮泥池、污泥脱水机房、污泥干化间等构筑物采取加密闭集气罩负压收集臭气，预计构筑物臭气可得到有效收集；收集后的臭气采用生物除臭，处理后经</w:t>
      </w:r>
      <w:r>
        <w:t>15m</w:t>
      </w:r>
      <w:r>
        <w:rPr>
          <w:rFonts w:hAnsi="宋体"/>
        </w:rPr>
        <w:t>高排气筒高空排放。参考采用类似除臭工艺的相关资料，随着生物除臭工艺技术不断完善，城市污水处理厂离子除臭效率得到稳定提高，目前一些生物除臭成套设备生产厂家所提供的技术参数表明，其臭气净化效率均达到</w:t>
      </w:r>
      <w:r>
        <w:t>90%</w:t>
      </w:r>
      <w:r>
        <w:rPr>
          <w:rFonts w:hAnsi="宋体"/>
        </w:rPr>
        <w:t>。</w:t>
      </w:r>
    </w:p>
    <w:p>
      <w:pPr>
        <w:spacing w:line="360" w:lineRule="auto"/>
        <w:ind w:firstLine="480" w:firstLineChars="200"/>
        <w:rPr>
          <w:rFonts w:cs="Times New Roman"/>
          <w:color w:val="000000"/>
        </w:rPr>
      </w:pPr>
      <w:r>
        <w:rPr>
          <w:rFonts w:cs="Times New Roman"/>
          <w:color w:val="000000"/>
        </w:rPr>
        <w:t>根据衡东县污水处理厂恶臭污染物（处理规模2万吨/天，采用同类似的工艺）的监测结果。</w:t>
      </w:r>
    </w:p>
    <w:p>
      <w:pPr>
        <w:jc w:val="center"/>
        <w:rPr>
          <w:b/>
        </w:rPr>
      </w:pPr>
      <w:r>
        <w:rPr>
          <w:rFonts w:hint="eastAsia" w:hAnsi="宋体" w:cs="Times New Roman"/>
          <w:b/>
          <w:color w:val="000000"/>
        </w:rPr>
        <w:t>表</w:t>
      </w:r>
      <w:r>
        <w:rPr>
          <w:rFonts w:hAnsi="宋体" w:cs="Times New Roman"/>
          <w:b/>
          <w:color w:val="000000"/>
        </w:rPr>
        <w:fldChar w:fldCharType="begin"/>
      </w:r>
      <w:r>
        <w:rPr>
          <w:rFonts w:hint="eastAsia" w:hAnsi="宋体" w:cs="Times New Roman"/>
          <w:b/>
          <w:color w:val="000000"/>
        </w:rPr>
        <w:instrText xml:space="preserve">STYLEREF 2 \s</w:instrText>
      </w:r>
      <w:r>
        <w:rPr>
          <w:rFonts w:hAnsi="宋体" w:cs="Times New Roman"/>
          <w:b/>
          <w:color w:val="000000"/>
        </w:rPr>
        <w:fldChar w:fldCharType="separate"/>
      </w:r>
      <w:r>
        <w:rPr>
          <w:rFonts w:hAnsi="宋体" w:cs="Times New Roman"/>
          <w:b/>
          <w:color w:val="000000"/>
        </w:rPr>
        <w:t>2.4</w:t>
      </w:r>
      <w:r>
        <w:rPr>
          <w:rFonts w:hAnsi="宋体" w:cs="Times New Roman"/>
          <w:b/>
          <w:color w:val="000000"/>
        </w:rPr>
        <w:fldChar w:fldCharType="end"/>
      </w:r>
      <w:r>
        <w:rPr>
          <w:rFonts w:hAnsi="宋体" w:cs="Times New Roman"/>
          <w:b/>
          <w:color w:val="000000"/>
        </w:rPr>
        <w:noBreakHyphen/>
      </w:r>
      <w:r>
        <w:rPr>
          <w:rFonts w:hAnsi="宋体" w:cs="Times New Roman"/>
          <w:b/>
          <w:color w:val="000000"/>
        </w:rPr>
        <w:fldChar w:fldCharType="begin"/>
      </w:r>
      <w:r>
        <w:rPr>
          <w:rFonts w:hint="eastAsia" w:hAnsi="宋体" w:cs="Times New Roman"/>
          <w:b/>
          <w:color w:val="000000"/>
        </w:rPr>
        <w:instrText xml:space="preserve">SEQ 表 \* ARABIC \s 2</w:instrText>
      </w:r>
      <w:r>
        <w:rPr>
          <w:rFonts w:hAnsi="宋体" w:cs="Times New Roman"/>
          <w:b/>
          <w:color w:val="000000"/>
        </w:rPr>
        <w:fldChar w:fldCharType="separate"/>
      </w:r>
      <w:r>
        <w:rPr>
          <w:rFonts w:hint="eastAsia" w:hAnsi="宋体" w:cs="Times New Roman"/>
          <w:b/>
          <w:color w:val="000000"/>
        </w:rPr>
        <w:t>2</w:t>
      </w:r>
      <w:r>
        <w:rPr>
          <w:rFonts w:hAnsi="宋体" w:cs="Times New Roman"/>
          <w:b/>
          <w:color w:val="000000"/>
        </w:rPr>
        <w:fldChar w:fldCharType="end"/>
      </w:r>
      <w:r>
        <w:rPr>
          <w:rFonts w:hint="eastAsia" w:hAnsi="宋体" w:cs="Times New Roman"/>
          <w:b/>
          <w:color w:val="000000"/>
        </w:rPr>
        <w:t xml:space="preserve">  污水处理厂构筑物恶臭污染源单位面积排放源（单位：</w:t>
      </w:r>
      <w:r>
        <w:rPr>
          <w:rStyle w:val="147"/>
          <w:rFonts w:hint="eastAsia"/>
          <w:b/>
        </w:rPr>
        <w:t>mg/m</w:t>
      </w:r>
      <w:r>
        <w:rPr>
          <w:rStyle w:val="147"/>
          <w:rFonts w:hint="eastAsia"/>
          <w:b/>
          <w:vertAlign w:val="superscript"/>
        </w:rPr>
        <w:t>2</w:t>
      </w:r>
      <w:r>
        <w:rPr>
          <w:rStyle w:val="147"/>
          <w:b/>
        </w:rPr>
        <w:t>•</w:t>
      </w:r>
      <w:r>
        <w:rPr>
          <w:rStyle w:val="147"/>
          <w:rFonts w:hint="eastAsia"/>
          <w:b/>
        </w:rPr>
        <w:t>s</w:t>
      </w:r>
      <w:r>
        <w:rPr>
          <w:rFonts w:hint="eastAsia" w:hAnsi="宋体" w:cs="Times New Roman"/>
          <w:b/>
          <w:color w:val="000000"/>
        </w:rPr>
        <w:t>）</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71"/>
        <w:gridCol w:w="2974"/>
        <w:gridCol w:w="23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1" w:type="dxa"/>
            <w:vAlign w:val="center"/>
          </w:tcPr>
          <w:p>
            <w:pPr>
              <w:pStyle w:val="122"/>
              <w:rPr>
                <w:rFonts w:cs="Times New Roman"/>
              </w:rPr>
            </w:pPr>
            <w:r>
              <w:rPr>
                <w:rFonts w:hAnsi="宋体" w:cs="Times New Roman"/>
              </w:rPr>
              <w:t>构筑物名称</w:t>
            </w:r>
          </w:p>
        </w:tc>
        <w:tc>
          <w:tcPr>
            <w:tcW w:w="2974" w:type="dxa"/>
            <w:vAlign w:val="center"/>
          </w:tcPr>
          <w:p>
            <w:pPr>
              <w:pStyle w:val="122"/>
              <w:rPr>
                <w:rFonts w:cs="Times New Roman"/>
              </w:rPr>
            </w:pPr>
            <w:r>
              <w:rPr>
                <w:rFonts w:cs="Times New Roman"/>
              </w:rPr>
              <w:t>H</w:t>
            </w:r>
            <w:r>
              <w:rPr>
                <w:rFonts w:cs="Times New Roman"/>
                <w:vertAlign w:val="subscript"/>
              </w:rPr>
              <w:t>2</w:t>
            </w:r>
            <w:r>
              <w:rPr>
                <w:rFonts w:cs="Times New Roman"/>
              </w:rPr>
              <w:t>S</w:t>
            </w:r>
          </w:p>
        </w:tc>
        <w:tc>
          <w:tcPr>
            <w:tcW w:w="2397" w:type="dxa"/>
            <w:vAlign w:val="center"/>
          </w:tcPr>
          <w:p>
            <w:pPr>
              <w:pStyle w:val="122"/>
              <w:rPr>
                <w:rFonts w:cs="Times New Roman"/>
              </w:rPr>
            </w:pPr>
            <w:r>
              <w:rPr>
                <w:rFonts w:cs="Times New Roman"/>
              </w:rPr>
              <w:t>NH</w:t>
            </w:r>
            <w:r>
              <w:rPr>
                <w:rFonts w:cs="Times New Roman"/>
                <w:vertAlign w:val="subscript"/>
              </w:rPr>
              <w:t>3</w:t>
            </w:r>
            <w:r>
              <w:rPr>
                <w:rFonts w:cs="Times New Roman"/>
              </w:rPr>
              <w:t>-N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1" w:type="dxa"/>
            <w:vAlign w:val="center"/>
          </w:tcPr>
          <w:p>
            <w:pPr>
              <w:pStyle w:val="122"/>
              <w:rPr>
                <w:rFonts w:cs="Times New Roman"/>
              </w:rPr>
            </w:pPr>
            <w:bookmarkStart w:id="115" w:name="OLE_LINK10"/>
            <w:r>
              <w:rPr>
                <w:rFonts w:hAnsi="宋体" w:cs="Times New Roman"/>
              </w:rPr>
              <w:t>粗格栅、细格栅、泵站及</w:t>
            </w:r>
            <w:r>
              <w:rPr>
                <w:rFonts w:hint="eastAsia" w:hAnsi="宋体" w:cs="Times New Roman"/>
                <w:lang w:eastAsia="zh-CN"/>
              </w:rPr>
              <w:t>平</w:t>
            </w:r>
            <w:r>
              <w:rPr>
                <w:rFonts w:hAnsi="宋体" w:cs="Times New Roman"/>
              </w:rPr>
              <w:t>流沉砂池</w:t>
            </w:r>
            <w:bookmarkEnd w:id="115"/>
          </w:p>
        </w:tc>
        <w:tc>
          <w:tcPr>
            <w:tcW w:w="2974" w:type="dxa"/>
            <w:vAlign w:val="center"/>
          </w:tcPr>
          <w:p>
            <w:pPr>
              <w:pStyle w:val="122"/>
              <w:rPr>
                <w:rFonts w:cs="Times New Roman"/>
              </w:rPr>
            </w:pPr>
            <w:r>
              <w:rPr>
                <w:rFonts w:cs="Times New Roman"/>
              </w:rPr>
              <w:t>0.0014</w:t>
            </w:r>
          </w:p>
        </w:tc>
        <w:tc>
          <w:tcPr>
            <w:tcW w:w="2397" w:type="dxa"/>
            <w:vAlign w:val="center"/>
          </w:tcPr>
          <w:p>
            <w:pPr>
              <w:pStyle w:val="122"/>
              <w:rPr>
                <w:rFonts w:cs="Times New Roman"/>
              </w:rPr>
            </w:pPr>
            <w:r>
              <w:rPr>
                <w:rFonts w:cs="Times New Roman"/>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1" w:type="dxa"/>
            <w:vAlign w:val="center"/>
          </w:tcPr>
          <w:p>
            <w:pPr>
              <w:pStyle w:val="122"/>
              <w:rPr>
                <w:rFonts w:cs="Times New Roman"/>
              </w:rPr>
            </w:pPr>
            <w:r>
              <w:rPr>
                <w:rFonts w:hAnsi="宋体" w:cs="Times New Roman"/>
              </w:rPr>
              <w:t>生化池</w:t>
            </w:r>
          </w:p>
        </w:tc>
        <w:tc>
          <w:tcPr>
            <w:tcW w:w="2974" w:type="dxa"/>
            <w:vAlign w:val="center"/>
          </w:tcPr>
          <w:p>
            <w:pPr>
              <w:pStyle w:val="122"/>
              <w:rPr>
                <w:rFonts w:cs="Times New Roman"/>
              </w:rPr>
            </w:pPr>
            <w:r>
              <w:rPr>
                <w:rFonts w:cs="Times New Roman"/>
              </w:rPr>
              <w:t>0.00026~0.0012</w:t>
            </w:r>
            <w:r>
              <w:rPr>
                <w:rFonts w:hAnsi="宋体" w:cs="Times New Roman"/>
              </w:rPr>
              <w:t>（</w:t>
            </w:r>
            <w:r>
              <w:rPr>
                <w:rFonts w:cs="Times New Roman"/>
              </w:rPr>
              <w:t>0.0012</w:t>
            </w:r>
            <w:r>
              <w:rPr>
                <w:rFonts w:hAnsi="宋体" w:cs="Times New Roman"/>
              </w:rPr>
              <w:t>）</w:t>
            </w:r>
          </w:p>
        </w:tc>
        <w:tc>
          <w:tcPr>
            <w:tcW w:w="2397" w:type="dxa"/>
            <w:vAlign w:val="center"/>
          </w:tcPr>
          <w:p>
            <w:pPr>
              <w:pStyle w:val="122"/>
              <w:rPr>
                <w:rFonts w:cs="Times New Roman"/>
              </w:rPr>
            </w:pPr>
            <w:r>
              <w:rPr>
                <w:rFonts w:cs="Times New Roman"/>
              </w:rPr>
              <w:t>0.005~0.015</w:t>
            </w:r>
            <w:r>
              <w:rPr>
                <w:rFonts w:hAnsi="宋体" w:cs="Times New Roman"/>
              </w:rPr>
              <w:t>（</w:t>
            </w:r>
            <w:r>
              <w:rPr>
                <w:rFonts w:cs="Times New Roman"/>
              </w:rPr>
              <w:t>0.015</w:t>
            </w:r>
            <w:r>
              <w:rPr>
                <w:rFonts w:hAnsi="宋体" w:cs="Times New Roma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1" w:type="dxa"/>
            <w:vAlign w:val="center"/>
          </w:tcPr>
          <w:p>
            <w:pPr>
              <w:pStyle w:val="122"/>
              <w:rPr>
                <w:rFonts w:cs="Times New Roman"/>
              </w:rPr>
            </w:pPr>
            <w:r>
              <w:rPr>
                <w:rFonts w:hAnsi="宋体" w:cs="Times New Roman"/>
              </w:rPr>
              <w:t>沉淀池、高效沉淀池</w:t>
            </w:r>
          </w:p>
        </w:tc>
        <w:tc>
          <w:tcPr>
            <w:tcW w:w="2974" w:type="dxa"/>
            <w:vAlign w:val="center"/>
          </w:tcPr>
          <w:p>
            <w:pPr>
              <w:pStyle w:val="122"/>
              <w:rPr>
                <w:rFonts w:cs="Times New Roman"/>
              </w:rPr>
            </w:pPr>
            <w:r>
              <w:rPr>
                <w:rFonts w:cs="Times New Roman"/>
              </w:rPr>
              <w:t>0.0002</w:t>
            </w:r>
          </w:p>
        </w:tc>
        <w:tc>
          <w:tcPr>
            <w:tcW w:w="2397" w:type="dxa"/>
            <w:vAlign w:val="center"/>
          </w:tcPr>
          <w:p>
            <w:pPr>
              <w:pStyle w:val="122"/>
              <w:rPr>
                <w:rFonts w:cs="Times New Roman"/>
              </w:rPr>
            </w:pPr>
            <w:r>
              <w:rPr>
                <w:rFonts w:cs="Times New Roman"/>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1" w:type="dxa"/>
            <w:vAlign w:val="center"/>
          </w:tcPr>
          <w:p>
            <w:pPr>
              <w:pStyle w:val="122"/>
              <w:rPr>
                <w:rFonts w:cs="Times New Roman"/>
              </w:rPr>
            </w:pPr>
            <w:r>
              <w:rPr>
                <w:rFonts w:hAnsi="宋体" w:cs="Times New Roman"/>
              </w:rPr>
              <w:t>贮泥池、接触消毒池</w:t>
            </w:r>
          </w:p>
        </w:tc>
        <w:tc>
          <w:tcPr>
            <w:tcW w:w="2974" w:type="dxa"/>
            <w:vAlign w:val="center"/>
          </w:tcPr>
          <w:p>
            <w:pPr>
              <w:pStyle w:val="122"/>
              <w:rPr>
                <w:rFonts w:cs="Times New Roman"/>
              </w:rPr>
            </w:pPr>
            <w:r>
              <w:rPr>
                <w:rFonts w:cs="Times New Roman"/>
              </w:rPr>
              <w:t>0.0072</w:t>
            </w:r>
          </w:p>
        </w:tc>
        <w:tc>
          <w:tcPr>
            <w:tcW w:w="2397" w:type="dxa"/>
            <w:vAlign w:val="center"/>
          </w:tcPr>
          <w:p>
            <w:pPr>
              <w:pStyle w:val="122"/>
              <w:rPr>
                <w:rFonts w:cs="Times New Roman"/>
              </w:rPr>
            </w:pPr>
            <w:r>
              <w:rPr>
                <w:rFonts w:cs="Times New Roma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1" w:type="dxa"/>
            <w:vAlign w:val="center"/>
          </w:tcPr>
          <w:p>
            <w:pPr>
              <w:pStyle w:val="122"/>
              <w:rPr>
                <w:rFonts w:cs="Times New Roman"/>
              </w:rPr>
            </w:pPr>
            <w:r>
              <w:rPr>
                <w:rFonts w:hAnsi="宋体" w:cs="Times New Roman"/>
              </w:rPr>
              <w:t>污泥脱水机房、污泥干化间</w:t>
            </w:r>
          </w:p>
        </w:tc>
        <w:tc>
          <w:tcPr>
            <w:tcW w:w="2974" w:type="dxa"/>
            <w:vAlign w:val="center"/>
          </w:tcPr>
          <w:p>
            <w:pPr>
              <w:pStyle w:val="122"/>
              <w:rPr>
                <w:rFonts w:cs="Times New Roman"/>
              </w:rPr>
            </w:pPr>
            <w:r>
              <w:rPr>
                <w:rFonts w:cs="Times New Roman"/>
              </w:rPr>
              <w:t>0.0003~0.005</w:t>
            </w:r>
            <w:r>
              <w:rPr>
                <w:rFonts w:hAnsi="宋体" w:cs="Times New Roman"/>
              </w:rPr>
              <w:t>（</w:t>
            </w:r>
            <w:r>
              <w:rPr>
                <w:rFonts w:cs="Times New Roman"/>
              </w:rPr>
              <w:t>0.005</w:t>
            </w:r>
            <w:r>
              <w:rPr>
                <w:rFonts w:hAnsi="宋体" w:cs="Times New Roman"/>
              </w:rPr>
              <w:t>）</w:t>
            </w:r>
          </w:p>
        </w:tc>
        <w:tc>
          <w:tcPr>
            <w:tcW w:w="2397" w:type="dxa"/>
            <w:vAlign w:val="center"/>
          </w:tcPr>
          <w:p>
            <w:pPr>
              <w:pStyle w:val="122"/>
              <w:rPr>
                <w:rFonts w:cs="Times New Roman"/>
              </w:rPr>
            </w:pPr>
            <w:r>
              <w:rPr>
                <w:rFonts w:cs="Times New Roman"/>
              </w:rPr>
              <w:t>0.02~0.103</w:t>
            </w:r>
            <w:r>
              <w:rPr>
                <w:rFonts w:hAnsi="宋体" w:cs="Times New Roman"/>
              </w:rPr>
              <w:t>（</w:t>
            </w:r>
            <w:r>
              <w:rPr>
                <w:rFonts w:cs="Times New Roman"/>
              </w:rPr>
              <w:t>0.103</w:t>
            </w:r>
            <w:r>
              <w:rPr>
                <w:rFonts w:hAnsi="宋体" w:cs="Times New Roman"/>
              </w:rPr>
              <w:t>）</w:t>
            </w:r>
          </w:p>
        </w:tc>
      </w:tr>
    </w:tbl>
    <w:p>
      <w:pPr>
        <w:pStyle w:val="153"/>
      </w:pPr>
      <w:r>
        <w:rPr>
          <w:rFonts w:hint="eastAsia"/>
        </w:rPr>
        <w:t>计算结果见下表所示</w:t>
      </w:r>
    </w:p>
    <w:p>
      <w:pPr>
        <w:pStyle w:val="14"/>
        <w:spacing w:line="240" w:lineRule="auto"/>
      </w:pPr>
      <w:r>
        <w:rPr>
          <w:rFonts w:hint="eastAsia"/>
        </w:rPr>
        <w:t>表</w:t>
      </w:r>
      <w:r>
        <w:fldChar w:fldCharType="begin"/>
      </w:r>
      <w:r>
        <w:instrText xml:space="preserve"> STYLEREF 2 \s </w:instrText>
      </w:r>
      <w:r>
        <w:fldChar w:fldCharType="separate"/>
      </w:r>
      <w:r>
        <w:t>2.4</w:t>
      </w:r>
      <w:r>
        <w:fldChar w:fldCharType="end"/>
      </w:r>
      <w:r>
        <w:noBreakHyphen/>
      </w:r>
      <w:r>
        <w:fldChar w:fldCharType="begin"/>
      </w:r>
      <w:r>
        <w:rPr>
          <w:rFonts w:hint="eastAsia"/>
        </w:rPr>
        <w:instrText xml:space="preserve">SEQ 表 \* ARABIC \s 2</w:instrText>
      </w:r>
      <w:r>
        <w:fldChar w:fldCharType="separate"/>
      </w:r>
      <w:r>
        <w:rPr>
          <w:rFonts w:hint="eastAsia"/>
        </w:rPr>
        <w:t>3</w:t>
      </w:r>
      <w:r>
        <w:fldChar w:fldCharType="end"/>
      </w:r>
      <w:r>
        <w:rPr>
          <w:rFonts w:hint="eastAsia" w:hAnsi="宋体" w:cs="Times New Roman"/>
          <w:color w:val="000000"/>
        </w:rPr>
        <w:t>污水处理厂构筑物恶臭污染源计算结果一览表</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17"/>
        <w:gridCol w:w="1930"/>
        <w:gridCol w:w="1699"/>
        <w:gridCol w:w="1549"/>
        <w:gridCol w:w="15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构筑物名称</w:t>
            </w:r>
          </w:p>
        </w:tc>
        <w:tc>
          <w:tcPr>
            <w:tcW w:w="1930" w:type="dxa"/>
            <w:vAlign w:val="center"/>
          </w:tcPr>
          <w:p>
            <w:pPr>
              <w:pStyle w:val="122"/>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S计算参数（</w:t>
            </w:r>
            <w:r>
              <w:rPr>
                <w:rStyle w:val="147"/>
                <w:color w:val="000000" w:themeColor="text1"/>
                <w:sz w:val="21"/>
                <w:szCs w:val="21"/>
              </w:rPr>
              <w:t>mg/m</w:t>
            </w:r>
            <w:r>
              <w:rPr>
                <w:rStyle w:val="147"/>
                <w:color w:val="000000" w:themeColor="text1"/>
                <w:sz w:val="21"/>
                <w:szCs w:val="21"/>
                <w:vertAlign w:val="superscript"/>
              </w:rPr>
              <w:t>2</w:t>
            </w:r>
            <w:r>
              <w:rPr>
                <w:rStyle w:val="147"/>
                <w:color w:val="000000" w:themeColor="text1"/>
                <w:sz w:val="21"/>
                <w:szCs w:val="21"/>
              </w:rPr>
              <w:t>•s</w:t>
            </w:r>
            <w:r>
              <w:rPr>
                <w:rFonts w:cs="Times New Roman"/>
                <w:color w:val="000000" w:themeColor="text1"/>
                <w:szCs w:val="21"/>
              </w:rPr>
              <w:t>）</w:t>
            </w:r>
          </w:p>
        </w:tc>
        <w:tc>
          <w:tcPr>
            <w:tcW w:w="1699"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r>
              <w:rPr>
                <w:rFonts w:cs="Times New Roman"/>
                <w:color w:val="000000" w:themeColor="text1"/>
                <w:szCs w:val="21"/>
              </w:rPr>
              <w:t>计算参数（</w:t>
            </w:r>
            <w:r>
              <w:rPr>
                <w:rStyle w:val="147"/>
                <w:color w:val="000000" w:themeColor="text1"/>
                <w:sz w:val="21"/>
                <w:szCs w:val="21"/>
              </w:rPr>
              <w:t>mg/m</w:t>
            </w:r>
            <w:r>
              <w:rPr>
                <w:rStyle w:val="147"/>
                <w:color w:val="000000" w:themeColor="text1"/>
                <w:sz w:val="21"/>
                <w:szCs w:val="21"/>
                <w:vertAlign w:val="superscript"/>
              </w:rPr>
              <w:t>2</w:t>
            </w:r>
            <w:r>
              <w:rPr>
                <w:rStyle w:val="147"/>
                <w:color w:val="000000" w:themeColor="text1"/>
                <w:sz w:val="21"/>
                <w:szCs w:val="21"/>
              </w:rPr>
              <w:t>•s</w:t>
            </w:r>
            <w:r>
              <w:rPr>
                <w:rFonts w:cs="Times New Roman"/>
                <w:color w:val="000000" w:themeColor="text1"/>
                <w:szCs w:val="21"/>
              </w:rPr>
              <w:t>）</w:t>
            </w:r>
          </w:p>
        </w:tc>
        <w:tc>
          <w:tcPr>
            <w:tcW w:w="1549" w:type="dxa"/>
            <w:vAlign w:val="center"/>
          </w:tcPr>
          <w:p>
            <w:pPr>
              <w:pStyle w:val="122"/>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S排放量</w:t>
            </w:r>
          </w:p>
        </w:tc>
        <w:tc>
          <w:tcPr>
            <w:tcW w:w="1547"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r>
              <w:rPr>
                <w:rFonts w:cs="Times New Roman"/>
                <w:color w:val="000000" w:themeColor="text1"/>
                <w:szCs w:val="21"/>
              </w:rPr>
              <w:t>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粗格栅、细格栅、泵站及</w:t>
            </w:r>
            <w:r>
              <w:rPr>
                <w:rFonts w:hint="eastAsia" w:cs="Times New Roman"/>
                <w:color w:val="000000" w:themeColor="text1"/>
                <w:szCs w:val="21"/>
                <w:lang w:eastAsia="zh-CN"/>
              </w:rPr>
              <w:t>平</w:t>
            </w:r>
            <w:r>
              <w:rPr>
                <w:rFonts w:cs="Times New Roman"/>
                <w:color w:val="000000" w:themeColor="text1"/>
                <w:szCs w:val="21"/>
              </w:rPr>
              <w:t>流沉砂池</w:t>
            </w:r>
          </w:p>
        </w:tc>
        <w:tc>
          <w:tcPr>
            <w:tcW w:w="1930" w:type="dxa"/>
            <w:vAlign w:val="center"/>
          </w:tcPr>
          <w:p>
            <w:pPr>
              <w:pStyle w:val="122"/>
              <w:rPr>
                <w:rFonts w:cs="Times New Roman"/>
                <w:color w:val="000000" w:themeColor="text1"/>
                <w:szCs w:val="21"/>
              </w:rPr>
            </w:pPr>
            <w:r>
              <w:rPr>
                <w:rFonts w:cs="Times New Roman"/>
                <w:color w:val="000000" w:themeColor="text1"/>
                <w:szCs w:val="21"/>
              </w:rPr>
              <w:t>0.0014</w:t>
            </w:r>
          </w:p>
        </w:tc>
        <w:tc>
          <w:tcPr>
            <w:tcW w:w="1699" w:type="dxa"/>
            <w:vAlign w:val="center"/>
          </w:tcPr>
          <w:p>
            <w:pPr>
              <w:pStyle w:val="122"/>
              <w:rPr>
                <w:rFonts w:cs="Times New Roman"/>
                <w:color w:val="000000" w:themeColor="text1"/>
                <w:szCs w:val="21"/>
              </w:rPr>
            </w:pPr>
            <w:r>
              <w:rPr>
                <w:rFonts w:cs="Times New Roman"/>
                <w:color w:val="000000" w:themeColor="text1"/>
                <w:szCs w:val="21"/>
              </w:rPr>
              <w:t>0.3</w:t>
            </w:r>
          </w:p>
        </w:tc>
        <w:tc>
          <w:tcPr>
            <w:tcW w:w="1549" w:type="dxa"/>
            <w:vAlign w:val="center"/>
          </w:tcPr>
          <w:p>
            <w:pPr>
              <w:pStyle w:val="122"/>
              <w:rPr>
                <w:rFonts w:cs="Times New Roman"/>
                <w:color w:val="000000" w:themeColor="text1"/>
                <w:szCs w:val="21"/>
              </w:rPr>
            </w:pPr>
            <w:r>
              <w:rPr>
                <w:rFonts w:hint="eastAsia" w:cs="Times New Roman"/>
                <w:color w:val="000000" w:themeColor="text1"/>
                <w:szCs w:val="21"/>
              </w:rPr>
              <w:t>0.0003kg/h</w:t>
            </w:r>
          </w:p>
        </w:tc>
        <w:tc>
          <w:tcPr>
            <w:tcW w:w="1547" w:type="dxa"/>
            <w:vAlign w:val="center"/>
          </w:tcPr>
          <w:p>
            <w:pPr>
              <w:jc w:val="center"/>
              <w:rPr>
                <w:color w:val="000000" w:themeColor="text1"/>
                <w:sz w:val="21"/>
              </w:rPr>
            </w:pPr>
            <w:r>
              <w:rPr>
                <w:rFonts w:hint="eastAsia" w:cs="Times New Roman"/>
                <w:color w:val="000000" w:themeColor="text1"/>
                <w:sz w:val="21"/>
              </w:rPr>
              <w:t>0.7kg/h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生化池</w:t>
            </w:r>
          </w:p>
        </w:tc>
        <w:tc>
          <w:tcPr>
            <w:tcW w:w="1930" w:type="dxa"/>
            <w:vAlign w:val="center"/>
          </w:tcPr>
          <w:p>
            <w:pPr>
              <w:pStyle w:val="122"/>
              <w:rPr>
                <w:rFonts w:cs="Times New Roman"/>
                <w:color w:val="000000" w:themeColor="text1"/>
                <w:szCs w:val="21"/>
              </w:rPr>
            </w:pPr>
            <w:r>
              <w:rPr>
                <w:rFonts w:cs="Times New Roman"/>
                <w:color w:val="000000" w:themeColor="text1"/>
                <w:szCs w:val="21"/>
              </w:rPr>
              <w:t>0.0012</w:t>
            </w:r>
          </w:p>
        </w:tc>
        <w:tc>
          <w:tcPr>
            <w:tcW w:w="1699" w:type="dxa"/>
            <w:vAlign w:val="center"/>
          </w:tcPr>
          <w:p>
            <w:pPr>
              <w:pStyle w:val="122"/>
              <w:rPr>
                <w:rFonts w:cs="Times New Roman"/>
                <w:color w:val="000000" w:themeColor="text1"/>
                <w:szCs w:val="21"/>
              </w:rPr>
            </w:pPr>
            <w:r>
              <w:rPr>
                <w:rFonts w:cs="Times New Roman"/>
                <w:color w:val="000000" w:themeColor="text1"/>
                <w:szCs w:val="21"/>
              </w:rPr>
              <w:t>0.015</w:t>
            </w:r>
          </w:p>
        </w:tc>
        <w:tc>
          <w:tcPr>
            <w:tcW w:w="1549" w:type="dxa"/>
            <w:vAlign w:val="center"/>
          </w:tcPr>
          <w:p>
            <w:pPr>
              <w:jc w:val="center"/>
              <w:rPr>
                <w:color w:val="000000" w:themeColor="text1"/>
                <w:sz w:val="21"/>
              </w:rPr>
            </w:pPr>
            <w:r>
              <w:rPr>
                <w:rFonts w:hint="eastAsia" w:cs="Times New Roman"/>
                <w:color w:val="000000" w:themeColor="text1"/>
                <w:sz w:val="21"/>
              </w:rPr>
              <w:t>0.002kg/h</w:t>
            </w:r>
          </w:p>
        </w:tc>
        <w:tc>
          <w:tcPr>
            <w:tcW w:w="1547" w:type="dxa"/>
            <w:vAlign w:val="center"/>
          </w:tcPr>
          <w:p>
            <w:pPr>
              <w:jc w:val="center"/>
              <w:rPr>
                <w:color w:val="000000" w:themeColor="text1"/>
                <w:sz w:val="21"/>
              </w:rPr>
            </w:pPr>
            <w:r>
              <w:rPr>
                <w:rFonts w:hint="eastAsia" w:cs="Times New Roman"/>
                <w:color w:val="000000" w:themeColor="text1"/>
                <w:sz w:val="21"/>
              </w:rPr>
              <w:t>0.027kg/h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沉淀池、高效沉淀池</w:t>
            </w:r>
          </w:p>
        </w:tc>
        <w:tc>
          <w:tcPr>
            <w:tcW w:w="1930" w:type="dxa"/>
            <w:vAlign w:val="center"/>
          </w:tcPr>
          <w:p>
            <w:pPr>
              <w:pStyle w:val="122"/>
              <w:rPr>
                <w:rFonts w:cs="Times New Roman"/>
                <w:color w:val="000000" w:themeColor="text1"/>
                <w:szCs w:val="21"/>
              </w:rPr>
            </w:pPr>
            <w:r>
              <w:rPr>
                <w:rFonts w:cs="Times New Roman"/>
                <w:color w:val="000000" w:themeColor="text1"/>
                <w:szCs w:val="21"/>
              </w:rPr>
              <w:t>0.0002</w:t>
            </w:r>
          </w:p>
        </w:tc>
        <w:tc>
          <w:tcPr>
            <w:tcW w:w="1699" w:type="dxa"/>
            <w:vAlign w:val="center"/>
          </w:tcPr>
          <w:p>
            <w:pPr>
              <w:pStyle w:val="122"/>
              <w:rPr>
                <w:rFonts w:cs="Times New Roman"/>
                <w:color w:val="000000" w:themeColor="text1"/>
                <w:szCs w:val="21"/>
              </w:rPr>
            </w:pPr>
            <w:r>
              <w:rPr>
                <w:rFonts w:cs="Times New Roman"/>
                <w:color w:val="000000" w:themeColor="text1"/>
                <w:szCs w:val="21"/>
              </w:rPr>
              <w:t>0.002</w:t>
            </w:r>
          </w:p>
        </w:tc>
        <w:tc>
          <w:tcPr>
            <w:tcW w:w="1549" w:type="dxa"/>
            <w:vAlign w:val="center"/>
          </w:tcPr>
          <w:p>
            <w:pPr>
              <w:jc w:val="center"/>
              <w:rPr>
                <w:color w:val="000000" w:themeColor="text1"/>
                <w:sz w:val="21"/>
              </w:rPr>
            </w:pPr>
            <w:r>
              <w:rPr>
                <w:rFonts w:hint="eastAsia" w:cs="Times New Roman"/>
                <w:color w:val="000000" w:themeColor="text1"/>
                <w:sz w:val="21"/>
              </w:rPr>
              <w:t>0.0004kg/h</w:t>
            </w:r>
          </w:p>
        </w:tc>
        <w:tc>
          <w:tcPr>
            <w:tcW w:w="1547" w:type="dxa"/>
            <w:vAlign w:val="center"/>
          </w:tcPr>
          <w:p>
            <w:pPr>
              <w:jc w:val="center"/>
              <w:rPr>
                <w:color w:val="000000" w:themeColor="text1"/>
                <w:sz w:val="21"/>
              </w:rPr>
            </w:pPr>
            <w:r>
              <w:rPr>
                <w:rFonts w:hint="eastAsia" w:cs="Times New Roman"/>
                <w:color w:val="000000" w:themeColor="text1"/>
                <w:sz w:val="21"/>
              </w:rPr>
              <w:t>0.004kg/h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贮泥池、接触消毒池</w:t>
            </w:r>
          </w:p>
        </w:tc>
        <w:tc>
          <w:tcPr>
            <w:tcW w:w="1930" w:type="dxa"/>
            <w:vAlign w:val="center"/>
          </w:tcPr>
          <w:p>
            <w:pPr>
              <w:pStyle w:val="122"/>
              <w:rPr>
                <w:rFonts w:cs="Times New Roman"/>
                <w:color w:val="000000" w:themeColor="text1"/>
                <w:szCs w:val="21"/>
              </w:rPr>
            </w:pPr>
            <w:r>
              <w:rPr>
                <w:rFonts w:cs="Times New Roman"/>
                <w:color w:val="000000" w:themeColor="text1"/>
                <w:szCs w:val="21"/>
              </w:rPr>
              <w:t>0.0072</w:t>
            </w:r>
          </w:p>
        </w:tc>
        <w:tc>
          <w:tcPr>
            <w:tcW w:w="1699" w:type="dxa"/>
            <w:vAlign w:val="center"/>
          </w:tcPr>
          <w:p>
            <w:pPr>
              <w:pStyle w:val="122"/>
              <w:rPr>
                <w:rFonts w:cs="Times New Roman"/>
                <w:color w:val="000000" w:themeColor="text1"/>
                <w:szCs w:val="21"/>
              </w:rPr>
            </w:pPr>
            <w:r>
              <w:rPr>
                <w:rFonts w:cs="Times New Roman"/>
                <w:color w:val="000000" w:themeColor="text1"/>
                <w:szCs w:val="21"/>
              </w:rPr>
              <w:t>0.1</w:t>
            </w:r>
          </w:p>
        </w:tc>
        <w:tc>
          <w:tcPr>
            <w:tcW w:w="1549" w:type="dxa"/>
            <w:vAlign w:val="center"/>
          </w:tcPr>
          <w:p>
            <w:pPr>
              <w:jc w:val="center"/>
              <w:rPr>
                <w:color w:val="000000" w:themeColor="text1"/>
                <w:sz w:val="21"/>
              </w:rPr>
            </w:pPr>
            <w:r>
              <w:rPr>
                <w:rFonts w:hint="eastAsia" w:cs="Times New Roman"/>
                <w:color w:val="000000" w:themeColor="text1"/>
                <w:sz w:val="21"/>
              </w:rPr>
              <w:t>0.008kg/h</w:t>
            </w:r>
          </w:p>
        </w:tc>
        <w:tc>
          <w:tcPr>
            <w:tcW w:w="1547" w:type="dxa"/>
            <w:vAlign w:val="center"/>
          </w:tcPr>
          <w:p>
            <w:pPr>
              <w:jc w:val="center"/>
              <w:rPr>
                <w:color w:val="000000" w:themeColor="text1"/>
                <w:sz w:val="21"/>
              </w:rPr>
            </w:pPr>
            <w:r>
              <w:rPr>
                <w:rFonts w:hint="eastAsia" w:cs="Times New Roman"/>
                <w:color w:val="000000" w:themeColor="text1"/>
                <w:sz w:val="21"/>
              </w:rPr>
              <w:t>0.108kg/h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污泥脱水机房、污泥干化间</w:t>
            </w:r>
          </w:p>
        </w:tc>
        <w:tc>
          <w:tcPr>
            <w:tcW w:w="1930" w:type="dxa"/>
            <w:vAlign w:val="center"/>
          </w:tcPr>
          <w:p>
            <w:pPr>
              <w:pStyle w:val="122"/>
              <w:rPr>
                <w:rFonts w:cs="Times New Roman"/>
                <w:color w:val="000000" w:themeColor="text1"/>
                <w:szCs w:val="21"/>
              </w:rPr>
            </w:pPr>
            <w:r>
              <w:rPr>
                <w:rFonts w:cs="Times New Roman"/>
                <w:color w:val="000000" w:themeColor="text1"/>
                <w:szCs w:val="21"/>
              </w:rPr>
              <w:t>0.005</w:t>
            </w:r>
          </w:p>
        </w:tc>
        <w:tc>
          <w:tcPr>
            <w:tcW w:w="1699" w:type="dxa"/>
            <w:vAlign w:val="center"/>
          </w:tcPr>
          <w:p>
            <w:pPr>
              <w:pStyle w:val="122"/>
              <w:rPr>
                <w:rFonts w:cs="Times New Roman"/>
                <w:color w:val="000000" w:themeColor="text1"/>
                <w:szCs w:val="21"/>
              </w:rPr>
            </w:pPr>
            <w:r>
              <w:rPr>
                <w:rFonts w:cs="Times New Roman"/>
                <w:color w:val="000000" w:themeColor="text1"/>
                <w:szCs w:val="21"/>
              </w:rPr>
              <w:t>0.103</w:t>
            </w:r>
          </w:p>
        </w:tc>
        <w:tc>
          <w:tcPr>
            <w:tcW w:w="1549" w:type="dxa"/>
            <w:vAlign w:val="center"/>
          </w:tcPr>
          <w:p>
            <w:pPr>
              <w:jc w:val="center"/>
              <w:rPr>
                <w:color w:val="000000" w:themeColor="text1"/>
                <w:sz w:val="21"/>
              </w:rPr>
            </w:pPr>
            <w:r>
              <w:rPr>
                <w:rFonts w:hint="eastAsia" w:cs="Times New Roman"/>
                <w:color w:val="000000" w:themeColor="text1"/>
                <w:sz w:val="21"/>
              </w:rPr>
              <w:t>0.0004kg/h</w:t>
            </w:r>
          </w:p>
        </w:tc>
        <w:tc>
          <w:tcPr>
            <w:tcW w:w="1547" w:type="dxa"/>
            <w:vAlign w:val="center"/>
          </w:tcPr>
          <w:p>
            <w:pPr>
              <w:jc w:val="center"/>
              <w:rPr>
                <w:color w:val="000000" w:themeColor="text1"/>
                <w:sz w:val="21"/>
              </w:rPr>
            </w:pPr>
            <w:r>
              <w:rPr>
                <w:rFonts w:hint="eastAsia" w:cs="Times New Roman"/>
                <w:color w:val="000000" w:themeColor="text1"/>
                <w:sz w:val="21"/>
              </w:rPr>
              <w:t>0.09kg/h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7" w:type="dxa"/>
            <w:vAlign w:val="center"/>
          </w:tcPr>
          <w:p>
            <w:pPr>
              <w:pStyle w:val="122"/>
              <w:rPr>
                <w:rFonts w:cs="Times New Roman"/>
                <w:color w:val="000000" w:themeColor="text1"/>
                <w:szCs w:val="21"/>
              </w:rPr>
            </w:pPr>
            <w:r>
              <w:rPr>
                <w:rFonts w:cs="Times New Roman"/>
                <w:color w:val="000000" w:themeColor="text1"/>
                <w:szCs w:val="21"/>
              </w:rPr>
              <w:t>合计</w:t>
            </w:r>
          </w:p>
        </w:tc>
        <w:tc>
          <w:tcPr>
            <w:tcW w:w="1930" w:type="dxa"/>
            <w:vAlign w:val="center"/>
          </w:tcPr>
          <w:p>
            <w:pPr>
              <w:pStyle w:val="122"/>
              <w:rPr>
                <w:rFonts w:cs="Times New Roman"/>
                <w:color w:val="000000" w:themeColor="text1"/>
                <w:szCs w:val="21"/>
              </w:rPr>
            </w:pPr>
            <w:r>
              <w:rPr>
                <w:rFonts w:hint="eastAsia" w:cs="Times New Roman"/>
                <w:color w:val="000000" w:themeColor="text1"/>
                <w:szCs w:val="21"/>
              </w:rPr>
              <w:t>/</w:t>
            </w:r>
          </w:p>
        </w:tc>
        <w:tc>
          <w:tcPr>
            <w:tcW w:w="1699" w:type="dxa"/>
            <w:vAlign w:val="center"/>
          </w:tcPr>
          <w:p>
            <w:pPr>
              <w:pStyle w:val="122"/>
              <w:rPr>
                <w:rFonts w:cs="Times New Roman"/>
                <w:color w:val="000000" w:themeColor="text1"/>
                <w:szCs w:val="21"/>
              </w:rPr>
            </w:pPr>
            <w:r>
              <w:rPr>
                <w:rFonts w:hint="eastAsia" w:cs="Times New Roman"/>
                <w:color w:val="000000" w:themeColor="text1"/>
                <w:szCs w:val="21"/>
              </w:rPr>
              <w:t>/</w:t>
            </w:r>
          </w:p>
        </w:tc>
        <w:tc>
          <w:tcPr>
            <w:tcW w:w="1549" w:type="dxa"/>
            <w:vAlign w:val="center"/>
          </w:tcPr>
          <w:p>
            <w:pPr>
              <w:jc w:val="center"/>
              <w:rPr>
                <w:color w:val="000000" w:themeColor="text1"/>
                <w:sz w:val="21"/>
              </w:rPr>
            </w:pPr>
            <w:r>
              <w:rPr>
                <w:rFonts w:hint="eastAsia" w:cs="Times New Roman"/>
                <w:color w:val="000000" w:themeColor="text1"/>
                <w:sz w:val="21"/>
              </w:rPr>
              <w:t>0.011kg/h</w:t>
            </w:r>
          </w:p>
        </w:tc>
        <w:tc>
          <w:tcPr>
            <w:tcW w:w="1547" w:type="dxa"/>
            <w:vAlign w:val="center"/>
          </w:tcPr>
          <w:p>
            <w:pPr>
              <w:jc w:val="center"/>
              <w:rPr>
                <w:color w:val="000000" w:themeColor="text1"/>
                <w:sz w:val="21"/>
              </w:rPr>
            </w:pPr>
            <w:r>
              <w:rPr>
                <w:rFonts w:hint="eastAsia" w:cs="Times New Roman"/>
                <w:color w:val="000000" w:themeColor="text1"/>
                <w:sz w:val="21"/>
              </w:rPr>
              <w:t>0.929kg/h</w:t>
            </w:r>
          </w:p>
        </w:tc>
      </w:tr>
    </w:tbl>
    <w:p>
      <w:pPr>
        <w:pStyle w:val="153"/>
        <w:spacing w:line="360" w:lineRule="auto"/>
        <w:ind w:firstLine="480" w:firstLineChars="200"/>
        <w:rPr>
          <w:color w:val="000000" w:themeColor="text1"/>
          <w:sz w:val="24"/>
          <w:szCs w:val="24"/>
        </w:rPr>
      </w:pPr>
      <w:r>
        <w:rPr>
          <w:color w:val="000000" w:themeColor="text1"/>
          <w:sz w:val="24"/>
          <w:szCs w:val="24"/>
        </w:rPr>
        <w:t>由上表可知，项目废气污染物的产生量分别为：NH</w:t>
      </w:r>
      <w:r>
        <w:rPr>
          <w:color w:val="000000" w:themeColor="text1"/>
          <w:sz w:val="24"/>
          <w:szCs w:val="24"/>
          <w:vertAlign w:val="subscript"/>
        </w:rPr>
        <w:t>3</w:t>
      </w:r>
      <w:r>
        <w:rPr>
          <w:rFonts w:hAnsi="宋体"/>
          <w:color w:val="000000" w:themeColor="text1"/>
          <w:sz w:val="24"/>
          <w:szCs w:val="24"/>
        </w:rPr>
        <w:t>：</w:t>
      </w:r>
      <w:r>
        <w:rPr>
          <w:rFonts w:hint="eastAsia"/>
          <w:color w:val="000000" w:themeColor="text1"/>
          <w:sz w:val="24"/>
          <w:szCs w:val="24"/>
        </w:rPr>
        <w:t>0.929</w:t>
      </w:r>
      <w:r>
        <w:rPr>
          <w:color w:val="000000" w:themeColor="text1"/>
          <w:sz w:val="24"/>
          <w:szCs w:val="24"/>
        </w:rPr>
        <w:t>kg/h，H</w:t>
      </w:r>
      <w:r>
        <w:rPr>
          <w:color w:val="000000" w:themeColor="text1"/>
          <w:sz w:val="24"/>
          <w:szCs w:val="24"/>
          <w:vertAlign w:val="subscript"/>
        </w:rPr>
        <w:t>2</w:t>
      </w:r>
      <w:r>
        <w:rPr>
          <w:color w:val="000000" w:themeColor="text1"/>
          <w:sz w:val="24"/>
          <w:szCs w:val="24"/>
        </w:rPr>
        <w:t>S：</w:t>
      </w:r>
      <w:r>
        <w:rPr>
          <w:rFonts w:hint="eastAsia"/>
          <w:color w:val="000000" w:themeColor="text1"/>
          <w:sz w:val="24"/>
          <w:szCs w:val="24"/>
        </w:rPr>
        <w:t>0.011</w:t>
      </w:r>
      <w:r>
        <w:rPr>
          <w:color w:val="000000" w:themeColor="text1"/>
          <w:sz w:val="24"/>
          <w:szCs w:val="24"/>
        </w:rPr>
        <w:t>kg/h，臭气收集效率为90%</w:t>
      </w:r>
      <w:r>
        <w:rPr>
          <w:rFonts w:hAnsi="宋体"/>
          <w:color w:val="000000" w:themeColor="text1"/>
          <w:sz w:val="24"/>
          <w:szCs w:val="24"/>
        </w:rPr>
        <w:t>，则收集的</w:t>
      </w:r>
      <w:r>
        <w:rPr>
          <w:color w:val="000000" w:themeColor="text1"/>
          <w:sz w:val="24"/>
          <w:szCs w:val="24"/>
        </w:rPr>
        <w:t>NH</w:t>
      </w:r>
      <w:r>
        <w:rPr>
          <w:color w:val="000000" w:themeColor="text1"/>
          <w:sz w:val="24"/>
          <w:szCs w:val="24"/>
          <w:vertAlign w:val="subscript"/>
        </w:rPr>
        <w:t>3</w:t>
      </w:r>
      <w:r>
        <w:rPr>
          <w:rFonts w:hint="eastAsia" w:hAnsi="宋体"/>
          <w:color w:val="000000" w:themeColor="text1"/>
          <w:sz w:val="24"/>
          <w:szCs w:val="24"/>
        </w:rPr>
        <w:t>：0.836</w:t>
      </w:r>
      <w:r>
        <w:rPr>
          <w:color w:val="000000" w:themeColor="text1"/>
          <w:sz w:val="24"/>
          <w:szCs w:val="24"/>
        </w:rPr>
        <w:t>kg/h</w:t>
      </w:r>
      <w:r>
        <w:rPr>
          <w:rFonts w:hAnsi="宋体"/>
          <w:color w:val="000000" w:themeColor="text1"/>
          <w:sz w:val="24"/>
          <w:szCs w:val="24"/>
        </w:rPr>
        <w:t>；</w:t>
      </w:r>
      <w:r>
        <w:rPr>
          <w:color w:val="000000" w:themeColor="text1"/>
          <w:sz w:val="24"/>
          <w:szCs w:val="24"/>
        </w:rPr>
        <w:t>H</w:t>
      </w:r>
      <w:r>
        <w:rPr>
          <w:color w:val="000000" w:themeColor="text1"/>
          <w:sz w:val="24"/>
          <w:szCs w:val="24"/>
          <w:vertAlign w:val="subscript"/>
        </w:rPr>
        <w:t>2</w:t>
      </w:r>
      <w:r>
        <w:rPr>
          <w:color w:val="000000" w:themeColor="text1"/>
          <w:sz w:val="24"/>
          <w:szCs w:val="24"/>
        </w:rPr>
        <w:t>S</w:t>
      </w:r>
      <w:r>
        <w:rPr>
          <w:rFonts w:hAnsi="宋体"/>
          <w:color w:val="000000" w:themeColor="text1"/>
          <w:sz w:val="24"/>
          <w:szCs w:val="24"/>
        </w:rPr>
        <w:t>：</w:t>
      </w:r>
      <w:r>
        <w:rPr>
          <w:rFonts w:hint="eastAsia"/>
          <w:color w:val="000000" w:themeColor="text1"/>
          <w:sz w:val="24"/>
          <w:szCs w:val="24"/>
        </w:rPr>
        <w:t>0.0099</w:t>
      </w:r>
      <w:r>
        <w:rPr>
          <w:color w:val="000000" w:themeColor="text1"/>
          <w:sz w:val="24"/>
          <w:szCs w:val="24"/>
        </w:rPr>
        <w:t>kg/h</w:t>
      </w:r>
      <w:r>
        <w:rPr>
          <w:rFonts w:hAnsi="宋体"/>
          <w:color w:val="000000" w:themeColor="text1"/>
          <w:sz w:val="24"/>
          <w:szCs w:val="24"/>
        </w:rPr>
        <w:t>，无组织排放的</w:t>
      </w:r>
      <w:r>
        <w:rPr>
          <w:color w:val="000000" w:themeColor="text1"/>
          <w:sz w:val="24"/>
          <w:szCs w:val="24"/>
        </w:rPr>
        <w:t>NH</w:t>
      </w:r>
      <w:r>
        <w:rPr>
          <w:color w:val="000000" w:themeColor="text1"/>
          <w:sz w:val="24"/>
          <w:szCs w:val="24"/>
          <w:vertAlign w:val="subscript"/>
        </w:rPr>
        <w:t>3</w:t>
      </w:r>
      <w:r>
        <w:rPr>
          <w:color w:val="000000" w:themeColor="text1"/>
          <w:sz w:val="24"/>
          <w:szCs w:val="24"/>
        </w:rPr>
        <w:t>:</w:t>
      </w:r>
      <w:r>
        <w:rPr>
          <w:rFonts w:hint="eastAsia"/>
          <w:color w:val="000000" w:themeColor="text1"/>
          <w:sz w:val="24"/>
          <w:szCs w:val="24"/>
        </w:rPr>
        <w:t>0.093</w:t>
      </w:r>
      <w:r>
        <w:rPr>
          <w:color w:val="000000" w:themeColor="text1"/>
          <w:sz w:val="24"/>
          <w:szCs w:val="24"/>
        </w:rPr>
        <w:t>kg/h</w:t>
      </w:r>
      <w:r>
        <w:rPr>
          <w:rFonts w:hAnsi="宋体"/>
          <w:color w:val="000000" w:themeColor="text1"/>
          <w:sz w:val="24"/>
          <w:szCs w:val="24"/>
        </w:rPr>
        <w:t>，</w:t>
      </w:r>
      <w:r>
        <w:rPr>
          <w:color w:val="000000" w:themeColor="text1"/>
          <w:sz w:val="24"/>
          <w:szCs w:val="24"/>
        </w:rPr>
        <w:t>H</w:t>
      </w:r>
      <w:r>
        <w:rPr>
          <w:color w:val="000000" w:themeColor="text1"/>
          <w:sz w:val="24"/>
          <w:szCs w:val="24"/>
          <w:vertAlign w:val="subscript"/>
        </w:rPr>
        <w:t>2</w:t>
      </w:r>
      <w:r>
        <w:rPr>
          <w:color w:val="000000" w:themeColor="text1"/>
          <w:sz w:val="24"/>
          <w:szCs w:val="24"/>
        </w:rPr>
        <w:t>S:</w:t>
      </w:r>
      <w:r>
        <w:rPr>
          <w:rFonts w:hint="eastAsia"/>
          <w:color w:val="000000" w:themeColor="text1"/>
          <w:sz w:val="24"/>
          <w:szCs w:val="24"/>
        </w:rPr>
        <w:t>0.0011</w:t>
      </w:r>
      <w:r>
        <w:rPr>
          <w:color w:val="000000" w:themeColor="text1"/>
          <w:sz w:val="24"/>
          <w:szCs w:val="24"/>
        </w:rPr>
        <w:t xml:space="preserve"> kg/h</w:t>
      </w:r>
      <w:r>
        <w:rPr>
          <w:rFonts w:hint="eastAsia" w:hAnsi="宋体"/>
          <w:color w:val="000000" w:themeColor="text1"/>
          <w:sz w:val="24"/>
          <w:szCs w:val="24"/>
        </w:rPr>
        <w:t>。</w:t>
      </w:r>
    </w:p>
    <w:p>
      <w:pPr>
        <w:pStyle w:val="153"/>
        <w:spacing w:line="360" w:lineRule="auto"/>
        <w:ind w:firstLine="480" w:firstLineChars="200"/>
        <w:rPr>
          <w:color w:val="000000" w:themeColor="text1"/>
          <w:sz w:val="24"/>
          <w:szCs w:val="24"/>
        </w:rPr>
      </w:pPr>
      <w:r>
        <w:rPr>
          <w:color w:val="000000" w:themeColor="text1"/>
          <w:sz w:val="24"/>
          <w:szCs w:val="24"/>
        </w:rPr>
        <w:t>本项目臭气的去除效率为</w:t>
      </w:r>
      <w:r>
        <w:rPr>
          <w:rFonts w:hint="eastAsia"/>
          <w:color w:val="000000" w:themeColor="text1"/>
          <w:sz w:val="24"/>
          <w:szCs w:val="24"/>
        </w:rPr>
        <w:t>85</w:t>
      </w:r>
      <w:r>
        <w:rPr>
          <w:color w:val="000000" w:themeColor="text1"/>
          <w:sz w:val="24"/>
          <w:szCs w:val="24"/>
        </w:rPr>
        <w:t>%，总收集风量约为30000Nm</w:t>
      </w:r>
      <w:r>
        <w:rPr>
          <w:color w:val="000000" w:themeColor="text1"/>
          <w:sz w:val="24"/>
          <w:szCs w:val="24"/>
          <w:vertAlign w:val="superscript"/>
        </w:rPr>
        <w:t>3</w:t>
      </w:r>
      <w:r>
        <w:rPr>
          <w:color w:val="000000" w:themeColor="text1"/>
          <w:sz w:val="24"/>
          <w:szCs w:val="24"/>
        </w:rPr>
        <w:t>/h</w:t>
      </w:r>
      <w:r>
        <w:rPr>
          <w:rFonts w:hAnsi="宋体"/>
          <w:color w:val="000000" w:themeColor="text1"/>
          <w:sz w:val="24"/>
          <w:szCs w:val="24"/>
        </w:rPr>
        <w:t>，则有组织</w:t>
      </w:r>
      <w:r>
        <w:rPr>
          <w:color w:val="000000" w:themeColor="text1"/>
          <w:sz w:val="24"/>
          <w:szCs w:val="24"/>
        </w:rPr>
        <w:t>NH</w:t>
      </w:r>
      <w:r>
        <w:rPr>
          <w:color w:val="000000" w:themeColor="text1"/>
          <w:sz w:val="24"/>
          <w:szCs w:val="24"/>
          <w:vertAlign w:val="subscript"/>
        </w:rPr>
        <w:t>3</w:t>
      </w:r>
      <w:r>
        <w:rPr>
          <w:color w:val="000000" w:themeColor="text1"/>
          <w:sz w:val="24"/>
          <w:szCs w:val="24"/>
        </w:rPr>
        <w:t>的</w:t>
      </w:r>
      <w:r>
        <w:rPr>
          <w:rFonts w:hint="eastAsia"/>
          <w:color w:val="000000" w:themeColor="text1"/>
          <w:sz w:val="24"/>
          <w:szCs w:val="24"/>
        </w:rPr>
        <w:t>排放速率为0.139</w:t>
      </w:r>
      <w:r>
        <w:rPr>
          <w:color w:val="000000" w:themeColor="text1"/>
          <w:sz w:val="24"/>
          <w:szCs w:val="24"/>
        </w:rPr>
        <w:t>kg/h</w:t>
      </w:r>
      <w:r>
        <w:rPr>
          <w:rFonts w:hint="eastAsia"/>
          <w:color w:val="000000" w:themeColor="text1"/>
          <w:sz w:val="24"/>
          <w:szCs w:val="24"/>
        </w:rPr>
        <w:t>，</w:t>
      </w:r>
      <w:r>
        <w:rPr>
          <w:color w:val="000000" w:themeColor="text1"/>
          <w:sz w:val="24"/>
          <w:szCs w:val="24"/>
        </w:rPr>
        <w:t>NH</w:t>
      </w:r>
      <w:r>
        <w:rPr>
          <w:color w:val="000000" w:themeColor="text1"/>
          <w:sz w:val="24"/>
          <w:szCs w:val="24"/>
          <w:vertAlign w:val="subscript"/>
        </w:rPr>
        <w:t>3</w:t>
      </w:r>
      <w:r>
        <w:rPr>
          <w:color w:val="000000" w:themeColor="text1"/>
          <w:sz w:val="24"/>
          <w:szCs w:val="24"/>
        </w:rPr>
        <w:t>的排放浓度为</w:t>
      </w:r>
      <w:r>
        <w:rPr>
          <w:rFonts w:hint="eastAsia"/>
          <w:color w:val="000000" w:themeColor="text1"/>
          <w:sz w:val="24"/>
          <w:szCs w:val="24"/>
        </w:rPr>
        <w:t>4.63mg/m</w:t>
      </w:r>
      <w:r>
        <w:rPr>
          <w:rFonts w:hint="eastAsia"/>
          <w:color w:val="000000" w:themeColor="text1"/>
          <w:sz w:val="24"/>
          <w:szCs w:val="24"/>
          <w:vertAlign w:val="superscript"/>
        </w:rPr>
        <w:t>3</w:t>
      </w:r>
      <w:r>
        <w:rPr>
          <w:rFonts w:hint="eastAsia" w:hAnsi="宋体"/>
          <w:color w:val="000000" w:themeColor="text1"/>
          <w:sz w:val="24"/>
          <w:szCs w:val="24"/>
        </w:rPr>
        <w:t>；</w:t>
      </w:r>
      <w:r>
        <w:rPr>
          <w:color w:val="000000" w:themeColor="text1"/>
          <w:sz w:val="24"/>
          <w:szCs w:val="24"/>
        </w:rPr>
        <w:t xml:space="preserve"> H</w:t>
      </w:r>
      <w:r>
        <w:rPr>
          <w:color w:val="000000" w:themeColor="text1"/>
          <w:sz w:val="24"/>
          <w:szCs w:val="24"/>
          <w:vertAlign w:val="subscript"/>
        </w:rPr>
        <w:t>2</w:t>
      </w:r>
      <w:r>
        <w:rPr>
          <w:color w:val="000000" w:themeColor="text1"/>
          <w:sz w:val="24"/>
          <w:szCs w:val="24"/>
        </w:rPr>
        <w:t>S的</w:t>
      </w:r>
      <w:r>
        <w:rPr>
          <w:rFonts w:hint="eastAsia"/>
          <w:color w:val="000000" w:themeColor="text1"/>
          <w:sz w:val="24"/>
          <w:szCs w:val="24"/>
        </w:rPr>
        <w:t>的排放速率为0.0002</w:t>
      </w:r>
      <w:r>
        <w:rPr>
          <w:color w:val="000000" w:themeColor="text1"/>
          <w:sz w:val="24"/>
          <w:szCs w:val="24"/>
        </w:rPr>
        <w:t>kg/h</w:t>
      </w:r>
      <w:r>
        <w:rPr>
          <w:rFonts w:hint="eastAsia"/>
          <w:color w:val="000000" w:themeColor="text1"/>
          <w:sz w:val="24"/>
          <w:szCs w:val="24"/>
        </w:rPr>
        <w:t>，</w:t>
      </w:r>
      <w:r>
        <w:rPr>
          <w:color w:val="000000" w:themeColor="text1"/>
          <w:sz w:val="24"/>
          <w:szCs w:val="24"/>
        </w:rPr>
        <w:t>H</w:t>
      </w:r>
      <w:r>
        <w:rPr>
          <w:color w:val="000000" w:themeColor="text1"/>
          <w:sz w:val="24"/>
          <w:szCs w:val="24"/>
          <w:vertAlign w:val="subscript"/>
        </w:rPr>
        <w:t>2</w:t>
      </w:r>
      <w:r>
        <w:rPr>
          <w:color w:val="000000" w:themeColor="text1"/>
          <w:sz w:val="24"/>
          <w:szCs w:val="24"/>
        </w:rPr>
        <w:t>S的排放浓度为</w:t>
      </w:r>
      <w:r>
        <w:rPr>
          <w:rFonts w:hint="eastAsia"/>
          <w:color w:val="000000" w:themeColor="text1"/>
          <w:sz w:val="24"/>
          <w:szCs w:val="24"/>
        </w:rPr>
        <w:t>0.006mg/m</w:t>
      </w:r>
      <w:r>
        <w:rPr>
          <w:rFonts w:hint="eastAsia"/>
          <w:color w:val="000000" w:themeColor="text1"/>
          <w:sz w:val="24"/>
          <w:szCs w:val="24"/>
          <w:vertAlign w:val="superscript"/>
        </w:rPr>
        <w:t>3</w:t>
      </w:r>
      <w:r>
        <w:rPr>
          <w:rFonts w:hint="eastAsia"/>
          <w:color w:val="000000" w:themeColor="text1"/>
          <w:sz w:val="24"/>
          <w:szCs w:val="24"/>
        </w:rPr>
        <w:t>。本项目周边有绿化，去除臭气的效果为25%，则无组织的</w:t>
      </w:r>
      <w:r>
        <w:rPr>
          <w:color w:val="000000" w:themeColor="text1"/>
          <w:sz w:val="24"/>
          <w:szCs w:val="24"/>
        </w:rPr>
        <w:t>NH</w:t>
      </w:r>
      <w:r>
        <w:rPr>
          <w:color w:val="000000" w:themeColor="text1"/>
          <w:sz w:val="24"/>
          <w:szCs w:val="24"/>
          <w:vertAlign w:val="subscript"/>
        </w:rPr>
        <w:t>3</w:t>
      </w:r>
      <w:r>
        <w:rPr>
          <w:color w:val="000000" w:themeColor="text1"/>
          <w:sz w:val="24"/>
          <w:szCs w:val="24"/>
        </w:rPr>
        <w:t>的排放速率为</w:t>
      </w:r>
      <w:r>
        <w:rPr>
          <w:rFonts w:hint="eastAsia"/>
          <w:color w:val="000000" w:themeColor="text1"/>
          <w:sz w:val="24"/>
          <w:szCs w:val="24"/>
        </w:rPr>
        <w:t>0.069</w:t>
      </w:r>
      <w:r>
        <w:rPr>
          <w:color w:val="000000" w:themeColor="text1"/>
          <w:sz w:val="24"/>
          <w:szCs w:val="24"/>
        </w:rPr>
        <w:t>kg/h</w:t>
      </w:r>
      <w:r>
        <w:rPr>
          <w:rFonts w:hint="eastAsia" w:hAnsi="宋体"/>
          <w:color w:val="000000" w:themeColor="text1"/>
          <w:sz w:val="24"/>
          <w:szCs w:val="24"/>
        </w:rPr>
        <w:t>，</w:t>
      </w:r>
      <w:r>
        <w:rPr>
          <w:color w:val="000000" w:themeColor="text1"/>
          <w:sz w:val="24"/>
          <w:szCs w:val="24"/>
        </w:rPr>
        <w:t xml:space="preserve"> H</w:t>
      </w:r>
      <w:r>
        <w:rPr>
          <w:color w:val="000000" w:themeColor="text1"/>
          <w:sz w:val="24"/>
          <w:szCs w:val="24"/>
          <w:vertAlign w:val="subscript"/>
        </w:rPr>
        <w:t>2</w:t>
      </w:r>
      <w:r>
        <w:rPr>
          <w:color w:val="000000" w:themeColor="text1"/>
          <w:sz w:val="24"/>
          <w:szCs w:val="24"/>
        </w:rPr>
        <w:t>S</w:t>
      </w:r>
      <w:r>
        <w:rPr>
          <w:rFonts w:hint="eastAsia"/>
          <w:color w:val="000000" w:themeColor="text1"/>
          <w:sz w:val="24"/>
          <w:szCs w:val="24"/>
        </w:rPr>
        <w:t>的排放速率为0.0008</w:t>
      </w:r>
      <w:r>
        <w:rPr>
          <w:color w:val="000000" w:themeColor="text1"/>
          <w:sz w:val="24"/>
          <w:szCs w:val="24"/>
        </w:rPr>
        <w:t>kg/h</w:t>
      </w:r>
      <w:r>
        <w:rPr>
          <w:rFonts w:hAnsi="宋体"/>
          <w:color w:val="000000" w:themeColor="text1"/>
          <w:sz w:val="24"/>
          <w:szCs w:val="24"/>
        </w:rPr>
        <w:t>。</w:t>
      </w:r>
    </w:p>
    <w:p>
      <w:pPr>
        <w:widowControl/>
        <w:spacing w:line="360" w:lineRule="auto"/>
        <w:ind w:right="120" w:rightChars="50" w:firstLine="480" w:firstLineChars="200"/>
        <w:jc w:val="left"/>
        <w:rPr>
          <w:rStyle w:val="147"/>
        </w:rPr>
      </w:pPr>
      <w:r>
        <w:rPr>
          <w:rFonts w:hint="eastAsia" w:cs="Times New Roman" w:asciiTheme="minorEastAsia" w:hAnsiTheme="minorEastAsia"/>
          <w:szCs w:val="24"/>
        </w:rPr>
        <w:t>②</w:t>
      </w:r>
      <w:r>
        <w:rPr>
          <w:rStyle w:val="147"/>
          <w:rFonts w:hint="eastAsia"/>
        </w:rPr>
        <w:t>食堂油烟</w:t>
      </w:r>
    </w:p>
    <w:p>
      <w:pPr>
        <w:widowControl/>
        <w:spacing w:line="360" w:lineRule="auto"/>
        <w:ind w:right="120" w:rightChars="50" w:firstLine="480" w:firstLineChars="200"/>
        <w:jc w:val="left"/>
        <w:rPr>
          <w:rFonts w:hAnsi="宋体"/>
        </w:rPr>
      </w:pPr>
      <w:r>
        <w:t>根据建设方提供的资料，</w:t>
      </w:r>
      <w:r>
        <w:rPr>
          <w:rFonts w:hint="eastAsia"/>
        </w:rPr>
        <w:t>本项目在厂内就餐职工8人，产生的废气主要是厨房油烟废气，其主要成分是动植物油烟。据统计，目前</w:t>
      </w:r>
      <w:r>
        <w:t>居民人均食用油日用量约30g/人·d，一般油烟挥发量占总耗油量的2-4%</w:t>
      </w:r>
      <w:r>
        <w:rPr>
          <w:rFonts w:hint="eastAsia"/>
        </w:rPr>
        <w:t>，</w:t>
      </w:r>
      <w:r>
        <w:t>取</w:t>
      </w:r>
      <w:r>
        <w:rPr>
          <w:rFonts w:hint="eastAsia"/>
        </w:rPr>
        <w:t>（最大值）4%计算，</w:t>
      </w:r>
      <w:r>
        <w:t>则</w:t>
      </w:r>
      <w:r>
        <w:rPr>
          <w:rFonts w:hint="eastAsia"/>
        </w:rPr>
        <w:t>食堂</w:t>
      </w:r>
      <w:r>
        <w:t>油烟日产生量为</w:t>
      </w:r>
      <w:r>
        <w:rPr>
          <w:rFonts w:hint="eastAsia"/>
        </w:rPr>
        <w:t>0.0096</w:t>
      </w:r>
      <w:r>
        <w:t>kg，年产生量为</w:t>
      </w:r>
      <w:r>
        <w:rPr>
          <w:rFonts w:hint="eastAsia"/>
        </w:rPr>
        <w:t>3.34</w:t>
      </w:r>
      <w:r>
        <w:t>kg</w:t>
      </w:r>
      <w:r>
        <w:rPr>
          <w:rFonts w:hint="eastAsia"/>
        </w:rPr>
        <w:t>。</w:t>
      </w:r>
      <w:r>
        <w:rPr>
          <w:rFonts w:hAnsi="宋体"/>
          <w:kern w:val="0"/>
        </w:rPr>
        <w:t>设</w:t>
      </w:r>
      <w:r>
        <w:rPr>
          <w:rFonts w:hint="eastAsia"/>
          <w:kern w:val="0"/>
        </w:rPr>
        <w:t>2</w:t>
      </w:r>
      <w:r>
        <w:rPr>
          <w:rFonts w:hAnsi="宋体"/>
          <w:kern w:val="0"/>
        </w:rPr>
        <w:t>个基准灶头，</w:t>
      </w:r>
      <w:r>
        <w:rPr>
          <w:rFonts w:hint="eastAsia" w:hAnsi="宋体"/>
          <w:kern w:val="0"/>
        </w:rPr>
        <w:t>集气罩</w:t>
      </w:r>
      <w:r>
        <w:rPr>
          <w:rFonts w:hAnsi="宋体"/>
          <w:kern w:val="0"/>
        </w:rPr>
        <w:t>总风量</w:t>
      </w:r>
      <w:r>
        <w:rPr>
          <w:rFonts w:hint="eastAsia"/>
          <w:kern w:val="0"/>
        </w:rPr>
        <w:t>3000</w:t>
      </w:r>
      <w:r>
        <w:rPr>
          <w:kern w:val="0"/>
        </w:rPr>
        <w:t>m</w:t>
      </w:r>
      <w:r>
        <w:rPr>
          <w:kern w:val="0"/>
          <w:vertAlign w:val="superscript"/>
        </w:rPr>
        <w:t>3</w:t>
      </w:r>
      <w:r>
        <w:rPr>
          <w:kern w:val="0"/>
        </w:rPr>
        <w:t>/h</w:t>
      </w:r>
      <w:r>
        <w:rPr>
          <w:rFonts w:hAnsi="宋体"/>
          <w:kern w:val="0"/>
        </w:rPr>
        <w:t>，</w:t>
      </w:r>
      <w:r>
        <w:rPr>
          <w:rFonts w:hAnsi="宋体"/>
        </w:rPr>
        <w:t>每天</w:t>
      </w:r>
      <w:r>
        <w:rPr>
          <w:rFonts w:hint="eastAsia" w:hAnsi="宋体"/>
        </w:rPr>
        <w:t>工</w:t>
      </w:r>
      <w:r>
        <w:rPr>
          <w:rFonts w:hAnsi="宋体"/>
        </w:rPr>
        <w:t>作时间按</w:t>
      </w:r>
      <w:r>
        <w:rPr>
          <w:rFonts w:hint="eastAsia"/>
        </w:rPr>
        <w:t>4</w:t>
      </w:r>
      <w:r>
        <w:rPr>
          <w:rFonts w:hAnsi="宋体"/>
        </w:rPr>
        <w:t>小时计，则油烟产生浓度为</w:t>
      </w:r>
      <w:r>
        <w:rPr>
          <w:rFonts w:hint="eastAsia"/>
        </w:rPr>
        <w:t>0.8</w:t>
      </w:r>
      <w:r>
        <w:t>mg/m</w:t>
      </w:r>
      <w:r>
        <w:rPr>
          <w:vertAlign w:val="superscript"/>
        </w:rPr>
        <w:t>3</w:t>
      </w:r>
      <w:r>
        <w:rPr>
          <w:rFonts w:hAnsi="宋体"/>
        </w:rPr>
        <w:t>。</w:t>
      </w:r>
      <w:r>
        <w:rPr>
          <w:rFonts w:hAnsi="宋体"/>
          <w:kern w:val="0"/>
        </w:rPr>
        <w:t>油烟废气收集后经油烟净化器处理达标后</w:t>
      </w:r>
      <w:r>
        <w:rPr>
          <w:rFonts w:hint="eastAsia" w:hAnsi="宋体"/>
          <w:kern w:val="0"/>
        </w:rPr>
        <w:t>引至楼顶</w:t>
      </w:r>
      <w:r>
        <w:rPr>
          <w:rFonts w:hAnsi="宋体"/>
          <w:kern w:val="0"/>
        </w:rPr>
        <w:t>排放，油烟净化器处理效率</w:t>
      </w:r>
      <w:r>
        <w:rPr>
          <w:rFonts w:hAnsi="宋体"/>
        </w:rPr>
        <w:t>不</w:t>
      </w:r>
      <w:r>
        <w:rPr>
          <w:rFonts w:hint="eastAsia" w:hAnsi="宋体"/>
        </w:rPr>
        <w:t>得</w:t>
      </w:r>
      <w:r>
        <w:rPr>
          <w:rFonts w:hAnsi="宋体"/>
        </w:rPr>
        <w:t>低于</w:t>
      </w:r>
      <w:r>
        <w:rPr>
          <w:rFonts w:hint="eastAsia"/>
        </w:rPr>
        <w:t>85</w:t>
      </w:r>
      <w:r>
        <w:t>%</w:t>
      </w:r>
      <w:r>
        <w:rPr>
          <w:rFonts w:hAnsi="宋体"/>
        </w:rPr>
        <w:t>（按</w:t>
      </w:r>
      <w:r>
        <w:rPr>
          <w:rFonts w:hint="eastAsia"/>
        </w:rPr>
        <w:t>85</w:t>
      </w:r>
      <w:r>
        <w:t>%</w:t>
      </w:r>
      <w:r>
        <w:rPr>
          <w:rFonts w:hAnsi="宋体"/>
        </w:rPr>
        <w:t>计）</w:t>
      </w:r>
      <w:r>
        <w:rPr>
          <w:rFonts w:hAnsi="宋体"/>
          <w:kern w:val="0"/>
        </w:rPr>
        <w:t>，则油烟排放量</w:t>
      </w:r>
      <w:r>
        <w:rPr>
          <w:rFonts w:hint="eastAsia" w:hAnsi="宋体"/>
          <w:kern w:val="0"/>
        </w:rPr>
        <w:t>为</w:t>
      </w:r>
      <w:r>
        <w:rPr>
          <w:rFonts w:hint="eastAsia"/>
          <w:kern w:val="0"/>
        </w:rPr>
        <w:t>0.5kg</w:t>
      </w:r>
      <w:r>
        <w:rPr>
          <w:kern w:val="0"/>
        </w:rPr>
        <w:t>/a</w:t>
      </w:r>
      <w:r>
        <w:rPr>
          <w:rFonts w:hAnsi="宋体"/>
          <w:kern w:val="0"/>
        </w:rPr>
        <w:t>，</w:t>
      </w:r>
      <w:r>
        <w:rPr>
          <w:rFonts w:hAnsi="宋体"/>
        </w:rPr>
        <w:t>排放浓度</w:t>
      </w:r>
      <w:r>
        <w:rPr>
          <w:rFonts w:hint="eastAsia"/>
        </w:rPr>
        <w:t>0.12</w:t>
      </w:r>
      <w:r>
        <w:t>mg/m</w:t>
      </w:r>
      <w:r>
        <w:rPr>
          <w:vertAlign w:val="superscript"/>
        </w:rPr>
        <w:t>3</w:t>
      </w:r>
      <w:r>
        <w:rPr>
          <w:rFonts w:hint="eastAsia" w:ascii="宋体" w:hAnsi="宋体"/>
        </w:rPr>
        <w:t>，</w:t>
      </w:r>
      <w:r>
        <w:t>小于2mg/m</w:t>
      </w:r>
      <w:r>
        <w:rPr>
          <w:vertAlign w:val="superscript"/>
        </w:rPr>
        <w:t>3</w:t>
      </w:r>
      <w:r>
        <w:t>，</w:t>
      </w:r>
      <w:r>
        <w:rPr>
          <w:rFonts w:hAnsi="宋体"/>
        </w:rPr>
        <w:t>达到《饮食业油烟排放标准》（试行）（</w:t>
      </w:r>
      <w:r>
        <w:t>GB18483-2001</w:t>
      </w:r>
      <w:r>
        <w:rPr>
          <w:rFonts w:hAnsi="宋体"/>
        </w:rPr>
        <w:t>）</w:t>
      </w:r>
      <w:r>
        <w:rPr>
          <w:rFonts w:hint="eastAsia" w:hAnsi="宋体"/>
        </w:rPr>
        <w:t>的要求</w:t>
      </w:r>
      <w:r>
        <w:rPr>
          <w:rFonts w:hAnsi="宋体"/>
        </w:rPr>
        <w:t>。</w:t>
      </w:r>
    </w:p>
    <w:p>
      <w:pPr>
        <w:widowControl/>
        <w:spacing w:line="360" w:lineRule="auto"/>
        <w:ind w:right="120" w:rightChars="50" w:firstLine="480" w:firstLineChars="200"/>
        <w:jc w:val="left"/>
      </w:pPr>
      <w:r>
        <w:rPr>
          <w:rFonts w:hint="eastAsia"/>
        </w:rPr>
        <w:t>综合上述废气分析可知，本工程运营期内</w:t>
      </w:r>
      <w:r>
        <w:t>废</w:t>
      </w:r>
      <w:r>
        <w:rPr>
          <w:rFonts w:hint="eastAsia"/>
        </w:rPr>
        <w:t>气产排</w:t>
      </w:r>
      <w:r>
        <w:t>情况</w:t>
      </w:r>
      <w:r>
        <w:rPr>
          <w:rFonts w:hint="eastAsia"/>
        </w:rPr>
        <w:t>分析</w:t>
      </w:r>
      <w:r>
        <w:t>详见下</w:t>
      </w:r>
      <w:r>
        <w:fldChar w:fldCharType="begin"/>
      </w:r>
      <w:r>
        <w:instrText xml:space="preserve"> REF _Ref19523029 \h </w:instrText>
      </w:r>
      <w:r>
        <w:fldChar w:fldCharType="separate"/>
      </w:r>
      <w:r>
        <w:rPr>
          <w:rFonts w:hAnsi="宋体" w:cs="Times New Roman"/>
          <w:szCs w:val="24"/>
        </w:rPr>
        <w:t>表</w:t>
      </w:r>
      <w:r>
        <w:rPr>
          <w:rFonts w:hAnsi="宋体" w:cs="Times New Roman"/>
          <w:szCs w:val="24"/>
        </w:rPr>
        <w:fldChar w:fldCharType="begin"/>
      </w:r>
      <w:r>
        <w:rPr>
          <w:rFonts w:hAnsi="宋体" w:cs="Times New Roman"/>
          <w:szCs w:val="24"/>
        </w:rPr>
        <w:instrText xml:space="preserve"> STYLEREF 2 \s </w:instrText>
      </w:r>
      <w:r>
        <w:rPr>
          <w:rFonts w:hAnsi="宋体" w:cs="Times New Roman"/>
          <w:szCs w:val="24"/>
        </w:rPr>
        <w:fldChar w:fldCharType="separate"/>
      </w:r>
      <w:r>
        <w:rPr>
          <w:rFonts w:hAnsi="宋体" w:cs="Times New Roman"/>
          <w:szCs w:val="24"/>
        </w:rPr>
        <w:t>2.4</w:t>
      </w:r>
      <w:r>
        <w:rPr>
          <w:rFonts w:hAnsi="宋体" w:cs="Times New Roman"/>
          <w:szCs w:val="24"/>
        </w:rPr>
        <w:fldChar w:fldCharType="end"/>
      </w:r>
      <w:r>
        <w:rPr>
          <w:rFonts w:hAnsi="宋体" w:cs="Times New Roman"/>
          <w:szCs w:val="24"/>
        </w:rPr>
        <w:noBreakHyphen/>
      </w:r>
      <w:r>
        <w:rPr>
          <w:rFonts w:hAnsi="宋体" w:cs="Times New Roman"/>
          <w:szCs w:val="24"/>
        </w:rPr>
        <w:t>4</w:t>
      </w:r>
      <w:r>
        <w:fldChar w:fldCharType="end"/>
      </w:r>
      <w:r>
        <w:rPr>
          <w:rFonts w:hint="eastAsia"/>
        </w:rPr>
        <w:t>。</w:t>
      </w:r>
    </w:p>
    <w:p>
      <w:pPr>
        <w:pStyle w:val="14"/>
        <w:spacing w:line="240" w:lineRule="auto"/>
        <w:rPr>
          <w:rFonts w:hAnsi="宋体" w:cs="Times New Roman"/>
          <w:szCs w:val="24"/>
        </w:rPr>
      </w:pPr>
      <w:bookmarkStart w:id="116" w:name="_Ref19523029"/>
      <w:r>
        <w:rPr>
          <w:rFonts w:hAnsi="宋体" w:cs="Times New Roman"/>
          <w:szCs w:val="24"/>
        </w:rPr>
        <w:t>表</w:t>
      </w:r>
      <w:r>
        <w:rPr>
          <w:rFonts w:hAnsi="宋体" w:cs="Times New Roman"/>
          <w:szCs w:val="24"/>
        </w:rPr>
        <w:fldChar w:fldCharType="begin"/>
      </w:r>
      <w:r>
        <w:rPr>
          <w:rFonts w:hAnsi="宋体" w:cs="Times New Roman"/>
          <w:szCs w:val="24"/>
        </w:rPr>
        <w:instrText xml:space="preserve"> STYLEREF 2 \s </w:instrText>
      </w:r>
      <w:r>
        <w:rPr>
          <w:rFonts w:hAnsi="宋体" w:cs="Times New Roman"/>
          <w:szCs w:val="24"/>
        </w:rPr>
        <w:fldChar w:fldCharType="separate"/>
      </w:r>
      <w:r>
        <w:rPr>
          <w:rFonts w:hAnsi="宋体" w:cs="Times New Roman"/>
          <w:szCs w:val="24"/>
        </w:rPr>
        <w:t>2.4</w:t>
      </w:r>
      <w:r>
        <w:rPr>
          <w:rFonts w:hAnsi="宋体" w:cs="Times New Roman"/>
          <w:szCs w:val="24"/>
        </w:rPr>
        <w:fldChar w:fldCharType="end"/>
      </w:r>
      <w:r>
        <w:rPr>
          <w:rFonts w:hAnsi="宋体" w:cs="Times New Roman"/>
          <w:szCs w:val="24"/>
        </w:rPr>
        <w:noBreakHyphen/>
      </w:r>
      <w:r>
        <w:rPr>
          <w:rFonts w:hAnsi="宋体" w:cs="Times New Roman"/>
          <w:szCs w:val="24"/>
        </w:rPr>
        <w:fldChar w:fldCharType="begin"/>
      </w:r>
      <w:r>
        <w:rPr>
          <w:rFonts w:hAnsi="宋体" w:cs="Times New Roman"/>
          <w:szCs w:val="24"/>
        </w:rPr>
        <w:instrText xml:space="preserve"> SEQ 表 \* ARABIC \s 2 </w:instrText>
      </w:r>
      <w:r>
        <w:rPr>
          <w:rFonts w:hAnsi="宋体" w:cs="Times New Roman"/>
          <w:szCs w:val="24"/>
        </w:rPr>
        <w:fldChar w:fldCharType="separate"/>
      </w:r>
      <w:r>
        <w:rPr>
          <w:rFonts w:hAnsi="宋体" w:cs="Times New Roman"/>
          <w:szCs w:val="24"/>
        </w:rPr>
        <w:t>4</w:t>
      </w:r>
      <w:r>
        <w:rPr>
          <w:rFonts w:hAnsi="宋体" w:cs="Times New Roman"/>
          <w:szCs w:val="24"/>
        </w:rPr>
        <w:fldChar w:fldCharType="end"/>
      </w:r>
      <w:bookmarkEnd w:id="116"/>
      <w:r>
        <w:rPr>
          <w:rFonts w:hint="eastAsia" w:hAnsi="宋体" w:cs="Times New Roman"/>
          <w:szCs w:val="24"/>
        </w:rPr>
        <w:t xml:space="preserve">  本项目营运期废气产排情况分析一览表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63"/>
        <w:gridCol w:w="1689"/>
        <w:gridCol w:w="4052"/>
        <w:gridCol w:w="1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Align w:val="center"/>
          </w:tcPr>
          <w:p>
            <w:pPr>
              <w:pStyle w:val="122"/>
              <w:rPr>
                <w:rFonts w:cs="Times New Roman"/>
                <w:color w:val="000000" w:themeColor="text1"/>
                <w:szCs w:val="21"/>
              </w:rPr>
            </w:pPr>
            <w:r>
              <w:rPr>
                <w:rFonts w:cs="Times New Roman"/>
                <w:color w:val="000000" w:themeColor="text1"/>
                <w:szCs w:val="21"/>
              </w:rPr>
              <w:t>类别</w:t>
            </w:r>
          </w:p>
        </w:tc>
        <w:tc>
          <w:tcPr>
            <w:tcW w:w="763" w:type="dxa"/>
            <w:vAlign w:val="center"/>
          </w:tcPr>
          <w:p>
            <w:pPr>
              <w:pStyle w:val="122"/>
              <w:rPr>
                <w:rFonts w:cs="Times New Roman"/>
                <w:color w:val="000000" w:themeColor="text1"/>
                <w:szCs w:val="21"/>
              </w:rPr>
            </w:pPr>
            <w:r>
              <w:rPr>
                <w:rFonts w:cs="Times New Roman"/>
                <w:color w:val="000000" w:themeColor="text1"/>
                <w:szCs w:val="21"/>
              </w:rPr>
              <w:t>污染源</w:t>
            </w:r>
          </w:p>
        </w:tc>
        <w:tc>
          <w:tcPr>
            <w:tcW w:w="1689" w:type="dxa"/>
            <w:vAlign w:val="center"/>
          </w:tcPr>
          <w:p>
            <w:pPr>
              <w:pStyle w:val="122"/>
              <w:rPr>
                <w:rFonts w:cs="Times New Roman"/>
                <w:color w:val="000000" w:themeColor="text1"/>
                <w:szCs w:val="21"/>
              </w:rPr>
            </w:pPr>
            <w:r>
              <w:rPr>
                <w:rFonts w:cs="Times New Roman"/>
                <w:color w:val="000000" w:themeColor="text1"/>
                <w:szCs w:val="21"/>
              </w:rPr>
              <w:t>产生情况</w:t>
            </w:r>
          </w:p>
        </w:tc>
        <w:tc>
          <w:tcPr>
            <w:tcW w:w="4052" w:type="dxa"/>
            <w:vAlign w:val="center"/>
          </w:tcPr>
          <w:p>
            <w:pPr>
              <w:pStyle w:val="122"/>
              <w:rPr>
                <w:rFonts w:cs="Times New Roman"/>
                <w:color w:val="000000" w:themeColor="text1"/>
                <w:szCs w:val="21"/>
              </w:rPr>
            </w:pPr>
            <w:r>
              <w:rPr>
                <w:rFonts w:cs="Times New Roman"/>
                <w:color w:val="000000" w:themeColor="text1"/>
                <w:szCs w:val="21"/>
              </w:rPr>
              <w:t>排放方式</w:t>
            </w:r>
          </w:p>
        </w:tc>
        <w:tc>
          <w:tcPr>
            <w:tcW w:w="1974" w:type="dxa"/>
            <w:vAlign w:val="center"/>
          </w:tcPr>
          <w:p>
            <w:pPr>
              <w:pStyle w:val="122"/>
              <w:rPr>
                <w:rFonts w:cs="Times New Roman"/>
                <w:color w:val="000000" w:themeColor="text1"/>
                <w:szCs w:val="21"/>
              </w:rPr>
            </w:pPr>
            <w:r>
              <w:rPr>
                <w:rFonts w:cs="Times New Roman"/>
                <w:color w:val="000000" w:themeColor="text1"/>
                <w:szCs w:val="21"/>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64" w:type="dxa"/>
            <w:vMerge w:val="restart"/>
            <w:vAlign w:val="center"/>
          </w:tcPr>
          <w:p>
            <w:pPr>
              <w:pStyle w:val="122"/>
              <w:rPr>
                <w:rFonts w:cs="Times New Roman"/>
                <w:color w:val="000000" w:themeColor="text1"/>
                <w:szCs w:val="21"/>
              </w:rPr>
            </w:pPr>
            <w:r>
              <w:rPr>
                <w:rFonts w:cs="Times New Roman"/>
                <w:color w:val="000000" w:themeColor="text1"/>
                <w:szCs w:val="21"/>
              </w:rPr>
              <w:t>有组织排放</w:t>
            </w:r>
          </w:p>
        </w:tc>
        <w:tc>
          <w:tcPr>
            <w:tcW w:w="763"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p>
        </w:tc>
        <w:tc>
          <w:tcPr>
            <w:tcW w:w="1689" w:type="dxa"/>
            <w:vAlign w:val="center"/>
          </w:tcPr>
          <w:p>
            <w:pPr>
              <w:pStyle w:val="122"/>
              <w:rPr>
                <w:rFonts w:cs="Times New Roman"/>
                <w:color w:val="000000" w:themeColor="text1"/>
                <w:szCs w:val="21"/>
              </w:rPr>
            </w:pPr>
            <w:r>
              <w:rPr>
                <w:rFonts w:cs="Times New Roman"/>
                <w:color w:val="000000" w:themeColor="text1"/>
                <w:szCs w:val="21"/>
              </w:rPr>
              <w:t xml:space="preserve">0.929kg/h </w:t>
            </w:r>
          </w:p>
        </w:tc>
        <w:tc>
          <w:tcPr>
            <w:tcW w:w="4052" w:type="dxa"/>
            <w:vMerge w:val="restart"/>
            <w:vAlign w:val="center"/>
          </w:tcPr>
          <w:p>
            <w:pPr>
              <w:pStyle w:val="122"/>
              <w:rPr>
                <w:rFonts w:cs="Times New Roman"/>
                <w:color w:val="000000" w:themeColor="text1"/>
                <w:szCs w:val="21"/>
              </w:rPr>
            </w:pPr>
            <w:r>
              <w:rPr>
                <w:rFonts w:cs="Times New Roman"/>
                <w:color w:val="000000" w:themeColor="text1"/>
                <w:szCs w:val="21"/>
              </w:rPr>
              <w:t>通过加盖后管道收集，进入除臭装置经15m高的排气筒外排</w:t>
            </w:r>
          </w:p>
        </w:tc>
        <w:tc>
          <w:tcPr>
            <w:tcW w:w="1974" w:type="dxa"/>
            <w:vAlign w:val="center"/>
          </w:tcPr>
          <w:p>
            <w:pPr>
              <w:pStyle w:val="122"/>
              <w:rPr>
                <w:rFonts w:cs="Times New Roman"/>
                <w:color w:val="000000" w:themeColor="text1"/>
                <w:szCs w:val="21"/>
              </w:rPr>
            </w:pPr>
            <w:r>
              <w:rPr>
                <w:rFonts w:cs="Times New Roman"/>
                <w:color w:val="000000" w:themeColor="text1"/>
                <w:szCs w:val="21"/>
              </w:rPr>
              <w:t>0.139kg/h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vAlign w:val="center"/>
          </w:tcPr>
          <w:p>
            <w:pPr>
              <w:widowControl/>
              <w:jc w:val="left"/>
              <w:rPr>
                <w:rFonts w:eastAsia="宋体" w:cs="Times New Roman"/>
                <w:color w:val="000000" w:themeColor="text1"/>
                <w:kern w:val="0"/>
                <w:sz w:val="21"/>
              </w:rPr>
            </w:pPr>
          </w:p>
        </w:tc>
        <w:tc>
          <w:tcPr>
            <w:tcW w:w="763" w:type="dxa"/>
            <w:vAlign w:val="center"/>
          </w:tcPr>
          <w:p>
            <w:pPr>
              <w:pStyle w:val="122"/>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w:t>
            </w:r>
          </w:p>
        </w:tc>
        <w:tc>
          <w:tcPr>
            <w:tcW w:w="1689" w:type="dxa"/>
            <w:vAlign w:val="center"/>
          </w:tcPr>
          <w:p>
            <w:pPr>
              <w:pStyle w:val="122"/>
              <w:rPr>
                <w:rFonts w:cs="Times New Roman"/>
                <w:color w:val="000000" w:themeColor="text1"/>
                <w:szCs w:val="21"/>
              </w:rPr>
            </w:pPr>
            <w:r>
              <w:rPr>
                <w:rFonts w:cs="Times New Roman"/>
                <w:color w:val="000000" w:themeColor="text1"/>
                <w:szCs w:val="21"/>
              </w:rPr>
              <w:t>0.011kg/h</w:t>
            </w:r>
          </w:p>
        </w:tc>
        <w:tc>
          <w:tcPr>
            <w:tcW w:w="4052" w:type="dxa"/>
            <w:vMerge w:val="continue"/>
            <w:vAlign w:val="center"/>
          </w:tcPr>
          <w:p>
            <w:pPr>
              <w:widowControl/>
              <w:jc w:val="left"/>
              <w:rPr>
                <w:rFonts w:eastAsia="宋体" w:cs="Times New Roman"/>
                <w:color w:val="000000" w:themeColor="text1"/>
                <w:kern w:val="0"/>
                <w:sz w:val="21"/>
              </w:rPr>
            </w:pPr>
          </w:p>
        </w:tc>
        <w:tc>
          <w:tcPr>
            <w:tcW w:w="1974" w:type="dxa"/>
            <w:vAlign w:val="center"/>
          </w:tcPr>
          <w:p>
            <w:pPr>
              <w:pStyle w:val="122"/>
              <w:rPr>
                <w:rFonts w:cs="Times New Roman"/>
                <w:color w:val="000000" w:themeColor="text1"/>
                <w:szCs w:val="21"/>
              </w:rPr>
            </w:pPr>
            <w:r>
              <w:rPr>
                <w:rFonts w:cs="Times New Roman"/>
                <w:color w:val="000000" w:themeColor="text1"/>
                <w:szCs w:val="21"/>
              </w:rPr>
              <w:t>0.0002kg/h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restart"/>
            <w:vAlign w:val="center"/>
          </w:tcPr>
          <w:p>
            <w:pPr>
              <w:pStyle w:val="122"/>
              <w:rPr>
                <w:rFonts w:cs="Times New Roman"/>
                <w:color w:val="000000" w:themeColor="text1"/>
                <w:szCs w:val="21"/>
              </w:rPr>
            </w:pPr>
            <w:r>
              <w:rPr>
                <w:rFonts w:cs="Times New Roman"/>
                <w:color w:val="000000" w:themeColor="text1"/>
                <w:szCs w:val="21"/>
              </w:rPr>
              <w:t>无组织排放</w:t>
            </w:r>
          </w:p>
        </w:tc>
        <w:tc>
          <w:tcPr>
            <w:tcW w:w="763"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p>
        </w:tc>
        <w:tc>
          <w:tcPr>
            <w:tcW w:w="1689" w:type="dxa"/>
            <w:vAlign w:val="center"/>
          </w:tcPr>
          <w:p>
            <w:pPr>
              <w:pStyle w:val="122"/>
              <w:rPr>
                <w:rFonts w:cs="Times New Roman"/>
                <w:color w:val="000000" w:themeColor="text1"/>
                <w:szCs w:val="21"/>
              </w:rPr>
            </w:pPr>
            <w:r>
              <w:rPr>
                <w:rFonts w:cs="Times New Roman"/>
                <w:color w:val="000000" w:themeColor="text1"/>
                <w:szCs w:val="21"/>
              </w:rPr>
              <w:t>0.093kg/h</w:t>
            </w:r>
          </w:p>
        </w:tc>
        <w:tc>
          <w:tcPr>
            <w:tcW w:w="4052" w:type="dxa"/>
            <w:vMerge w:val="restart"/>
            <w:vAlign w:val="center"/>
          </w:tcPr>
          <w:p>
            <w:pPr>
              <w:pStyle w:val="122"/>
              <w:rPr>
                <w:rFonts w:hint="eastAsia" w:eastAsia="宋体" w:cs="Times New Roman"/>
                <w:color w:val="000000" w:themeColor="text1"/>
                <w:szCs w:val="21"/>
                <w:lang w:eastAsia="zh-CN"/>
              </w:rPr>
            </w:pPr>
            <w:r>
              <w:rPr>
                <w:rFonts w:hint="eastAsia" w:cs="Times New Roman"/>
                <w:color w:val="000000" w:themeColor="text1"/>
                <w:szCs w:val="21"/>
                <w:lang w:eastAsia="zh-CN"/>
              </w:rPr>
              <w:t>有效的确保有组织的收集效率，污水处理站周围种植树木</w:t>
            </w:r>
          </w:p>
        </w:tc>
        <w:tc>
          <w:tcPr>
            <w:tcW w:w="1974" w:type="dxa"/>
            <w:vAlign w:val="center"/>
          </w:tcPr>
          <w:p>
            <w:pPr>
              <w:pStyle w:val="122"/>
              <w:rPr>
                <w:rFonts w:cs="Times New Roman"/>
                <w:color w:val="000000" w:themeColor="text1"/>
                <w:szCs w:val="21"/>
              </w:rPr>
            </w:pPr>
            <w:r>
              <w:rPr>
                <w:rFonts w:cs="Times New Roman"/>
                <w:color w:val="000000" w:themeColor="text1"/>
                <w:szCs w:val="21"/>
              </w:rPr>
              <w:t>0.069kg/h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Merge w:val="continue"/>
            <w:vAlign w:val="center"/>
          </w:tcPr>
          <w:p>
            <w:pPr>
              <w:widowControl/>
              <w:jc w:val="left"/>
              <w:rPr>
                <w:rFonts w:eastAsia="宋体" w:cs="Times New Roman"/>
                <w:color w:val="000000" w:themeColor="text1"/>
                <w:kern w:val="0"/>
                <w:sz w:val="21"/>
              </w:rPr>
            </w:pPr>
          </w:p>
        </w:tc>
        <w:tc>
          <w:tcPr>
            <w:tcW w:w="763" w:type="dxa"/>
            <w:vAlign w:val="center"/>
          </w:tcPr>
          <w:p>
            <w:pPr>
              <w:pStyle w:val="122"/>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w:t>
            </w:r>
          </w:p>
        </w:tc>
        <w:tc>
          <w:tcPr>
            <w:tcW w:w="1689" w:type="dxa"/>
            <w:vAlign w:val="center"/>
          </w:tcPr>
          <w:p>
            <w:pPr>
              <w:pStyle w:val="122"/>
              <w:rPr>
                <w:rFonts w:cs="Times New Roman"/>
                <w:color w:val="000000" w:themeColor="text1"/>
                <w:szCs w:val="21"/>
              </w:rPr>
            </w:pPr>
            <w:r>
              <w:rPr>
                <w:rFonts w:cs="Times New Roman"/>
                <w:color w:val="000000" w:themeColor="text1"/>
                <w:szCs w:val="21"/>
              </w:rPr>
              <w:t>0.0011 kg/h</w:t>
            </w:r>
          </w:p>
        </w:tc>
        <w:tc>
          <w:tcPr>
            <w:tcW w:w="4052" w:type="dxa"/>
            <w:vMerge w:val="continue"/>
            <w:vAlign w:val="center"/>
          </w:tcPr>
          <w:p>
            <w:pPr>
              <w:widowControl/>
              <w:jc w:val="left"/>
              <w:rPr>
                <w:rFonts w:eastAsia="宋体" w:cs="Times New Roman"/>
                <w:color w:val="000000" w:themeColor="text1"/>
                <w:kern w:val="0"/>
                <w:sz w:val="21"/>
              </w:rPr>
            </w:pPr>
          </w:p>
        </w:tc>
        <w:tc>
          <w:tcPr>
            <w:tcW w:w="1974" w:type="dxa"/>
            <w:vAlign w:val="center"/>
          </w:tcPr>
          <w:p>
            <w:pPr>
              <w:pStyle w:val="122"/>
              <w:rPr>
                <w:rFonts w:cs="Times New Roman"/>
                <w:color w:val="000000" w:themeColor="text1"/>
                <w:szCs w:val="21"/>
              </w:rPr>
            </w:pPr>
            <w:r>
              <w:rPr>
                <w:rFonts w:cs="Times New Roman"/>
                <w:color w:val="000000" w:themeColor="text1"/>
                <w:szCs w:val="21"/>
              </w:rPr>
              <w:t>0.0008kg/h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Align w:val="center"/>
          </w:tcPr>
          <w:p>
            <w:pPr>
              <w:pStyle w:val="122"/>
              <w:rPr>
                <w:rFonts w:cs="Times New Roman"/>
                <w:color w:val="000000" w:themeColor="text1"/>
                <w:szCs w:val="21"/>
              </w:rPr>
            </w:pPr>
            <w:r>
              <w:rPr>
                <w:rFonts w:cs="Times New Roman"/>
                <w:color w:val="000000" w:themeColor="text1"/>
                <w:kern w:val="2"/>
                <w:szCs w:val="21"/>
              </w:rPr>
              <w:t>食堂</w:t>
            </w:r>
          </w:p>
        </w:tc>
        <w:tc>
          <w:tcPr>
            <w:tcW w:w="763" w:type="dxa"/>
            <w:vAlign w:val="center"/>
          </w:tcPr>
          <w:p>
            <w:pPr>
              <w:pStyle w:val="122"/>
              <w:rPr>
                <w:rFonts w:cs="Times New Roman"/>
                <w:color w:val="000000" w:themeColor="text1"/>
                <w:szCs w:val="21"/>
              </w:rPr>
            </w:pPr>
            <w:r>
              <w:rPr>
                <w:rFonts w:cs="Times New Roman"/>
                <w:color w:val="000000" w:themeColor="text1"/>
                <w:kern w:val="2"/>
                <w:szCs w:val="21"/>
              </w:rPr>
              <w:t>油烟</w:t>
            </w:r>
          </w:p>
        </w:tc>
        <w:tc>
          <w:tcPr>
            <w:tcW w:w="1689" w:type="dxa"/>
            <w:vAlign w:val="center"/>
          </w:tcPr>
          <w:p>
            <w:pPr>
              <w:pStyle w:val="122"/>
              <w:rPr>
                <w:rFonts w:cs="Times New Roman"/>
                <w:color w:val="000000" w:themeColor="text1"/>
                <w:szCs w:val="21"/>
              </w:rPr>
            </w:pPr>
            <w:r>
              <w:rPr>
                <w:rFonts w:cs="Times New Roman"/>
                <w:color w:val="000000" w:themeColor="text1"/>
                <w:kern w:val="2"/>
                <w:szCs w:val="21"/>
              </w:rPr>
              <w:t>3.34kg/a</w:t>
            </w:r>
          </w:p>
        </w:tc>
        <w:tc>
          <w:tcPr>
            <w:tcW w:w="4052" w:type="dxa"/>
            <w:vAlign w:val="center"/>
          </w:tcPr>
          <w:p>
            <w:pPr>
              <w:pStyle w:val="122"/>
              <w:rPr>
                <w:rFonts w:cs="Times New Roman"/>
                <w:color w:val="000000" w:themeColor="text1"/>
                <w:szCs w:val="21"/>
              </w:rPr>
            </w:pPr>
            <w:r>
              <w:rPr>
                <w:rFonts w:cs="Times New Roman"/>
                <w:color w:val="000000" w:themeColor="text1"/>
                <w:kern w:val="2"/>
                <w:szCs w:val="21"/>
              </w:rPr>
              <w:t>油烟净化器</w:t>
            </w:r>
          </w:p>
        </w:tc>
        <w:tc>
          <w:tcPr>
            <w:tcW w:w="1974" w:type="dxa"/>
            <w:vAlign w:val="center"/>
          </w:tcPr>
          <w:p>
            <w:pPr>
              <w:pStyle w:val="122"/>
              <w:rPr>
                <w:rFonts w:cs="Times New Roman"/>
                <w:color w:val="000000" w:themeColor="text1"/>
                <w:szCs w:val="21"/>
              </w:rPr>
            </w:pPr>
            <w:r>
              <w:rPr>
                <w:rFonts w:cs="Times New Roman"/>
                <w:color w:val="000000" w:themeColor="text1"/>
                <w:kern w:val="2"/>
                <w:szCs w:val="21"/>
              </w:rPr>
              <w:t>0.5kg/a</w:t>
            </w:r>
          </w:p>
        </w:tc>
      </w:tr>
    </w:tbl>
    <w:p>
      <w:pPr>
        <w:widowControl/>
        <w:spacing w:line="360" w:lineRule="auto"/>
        <w:ind w:right="120" w:rightChars="50" w:firstLine="480" w:firstLineChars="200"/>
        <w:jc w:val="left"/>
        <w:rPr>
          <w:rFonts w:hAnsi="宋体" w:cs="Times New Roman"/>
          <w:szCs w:val="24"/>
        </w:rPr>
      </w:pPr>
      <w:r>
        <w:rPr>
          <w:rFonts w:hint="eastAsia" w:hAnsi="宋体" w:cs="Times New Roman"/>
          <w:szCs w:val="24"/>
        </w:rPr>
        <w:t>（3）噪声污染源分析</w:t>
      </w:r>
    </w:p>
    <w:p>
      <w:pPr>
        <w:widowControl/>
        <w:spacing w:line="360" w:lineRule="auto"/>
        <w:ind w:right="120" w:rightChars="50" w:firstLine="480" w:firstLineChars="200"/>
        <w:jc w:val="left"/>
        <w:rPr>
          <w:rFonts w:hAnsi="宋体" w:cs="Times New Roman"/>
          <w:szCs w:val="24"/>
        </w:rPr>
      </w:pPr>
      <w:r>
        <w:rPr>
          <w:rFonts w:hint="eastAsia" w:hAnsi="宋体" w:cs="Times New Roman"/>
          <w:szCs w:val="24"/>
        </w:rPr>
        <w:t>本工程主要噪声源为各类泵类设备、搅拌机组、空压机、风机以及污泥脱水机等机械动力噪声，声压级一般为75~100dB，主要噪声设备噪声值见下表所示。</w:t>
      </w:r>
    </w:p>
    <w:p>
      <w:pPr>
        <w:pStyle w:val="14"/>
        <w:spacing w:line="240" w:lineRule="auto"/>
        <w:rPr>
          <w:rFonts w:hAnsi="宋体" w:cs="Times New Roman"/>
          <w:szCs w:val="24"/>
        </w:rPr>
      </w:pPr>
      <w:r>
        <w:rPr>
          <w:rFonts w:hint="eastAsia" w:hAnsi="宋体" w:cs="Times New Roman"/>
          <w:szCs w:val="24"/>
        </w:rPr>
        <w:t>表</w:t>
      </w:r>
      <w:r>
        <w:rPr>
          <w:rFonts w:hAnsi="宋体" w:cs="Times New Roman"/>
          <w:szCs w:val="24"/>
        </w:rPr>
        <w:fldChar w:fldCharType="begin"/>
      </w:r>
      <w:r>
        <w:rPr>
          <w:rFonts w:hint="eastAsia" w:hAnsi="宋体" w:cs="Times New Roman"/>
          <w:szCs w:val="24"/>
        </w:rPr>
        <w:instrText xml:space="preserve">STYLEREF 2 \s</w:instrText>
      </w:r>
      <w:r>
        <w:rPr>
          <w:rFonts w:hAnsi="宋体" w:cs="Times New Roman"/>
          <w:szCs w:val="24"/>
        </w:rPr>
        <w:fldChar w:fldCharType="separate"/>
      </w:r>
      <w:r>
        <w:rPr>
          <w:rFonts w:hAnsi="宋体" w:cs="Times New Roman"/>
          <w:szCs w:val="24"/>
        </w:rPr>
        <w:t>2.4</w:t>
      </w:r>
      <w:r>
        <w:rPr>
          <w:rFonts w:hAnsi="宋体" w:cs="Times New Roman"/>
          <w:szCs w:val="24"/>
        </w:rPr>
        <w:fldChar w:fldCharType="end"/>
      </w:r>
      <w:r>
        <w:rPr>
          <w:rFonts w:hAnsi="宋体" w:cs="Times New Roman"/>
          <w:szCs w:val="24"/>
        </w:rPr>
        <w:noBreakHyphen/>
      </w:r>
      <w:r>
        <w:rPr>
          <w:rFonts w:hAnsi="宋体" w:cs="Times New Roman"/>
          <w:szCs w:val="24"/>
        </w:rPr>
        <w:fldChar w:fldCharType="begin"/>
      </w:r>
      <w:r>
        <w:rPr>
          <w:rFonts w:hint="eastAsia" w:hAnsi="宋体" w:cs="Times New Roman"/>
          <w:szCs w:val="24"/>
        </w:rPr>
        <w:instrText xml:space="preserve">SEQ 表 \* ARABIC \s 2</w:instrText>
      </w:r>
      <w:r>
        <w:rPr>
          <w:rFonts w:hAnsi="宋体" w:cs="Times New Roman"/>
          <w:szCs w:val="24"/>
        </w:rPr>
        <w:fldChar w:fldCharType="separate"/>
      </w:r>
      <w:r>
        <w:rPr>
          <w:rFonts w:hint="eastAsia" w:hAnsi="宋体" w:cs="Times New Roman"/>
          <w:szCs w:val="24"/>
        </w:rPr>
        <w:t>5</w:t>
      </w:r>
      <w:r>
        <w:rPr>
          <w:rFonts w:hAnsi="宋体" w:cs="Times New Roman"/>
          <w:szCs w:val="24"/>
        </w:rPr>
        <w:fldChar w:fldCharType="end"/>
      </w:r>
      <w:r>
        <w:rPr>
          <w:rFonts w:hint="eastAsia" w:hAnsi="宋体" w:cs="Times New Roman"/>
          <w:szCs w:val="24"/>
        </w:rPr>
        <w:t xml:space="preserve">  项目主要噪声源强标准  单位：dB（A）</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15"/>
        <w:gridCol w:w="884"/>
        <w:gridCol w:w="908"/>
        <w:gridCol w:w="1660"/>
        <w:gridCol w:w="2065"/>
        <w:gridCol w:w="1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序号</w:t>
            </w:r>
          </w:p>
        </w:tc>
        <w:tc>
          <w:tcPr>
            <w:tcW w:w="1515"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设备名称</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噪声源强</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数量</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地点</w:t>
            </w:r>
          </w:p>
        </w:tc>
        <w:tc>
          <w:tcPr>
            <w:tcW w:w="2065"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降噪措施</w:t>
            </w:r>
          </w:p>
        </w:tc>
        <w:tc>
          <w:tcPr>
            <w:tcW w:w="149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降噪后噪声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1</w:t>
            </w:r>
          </w:p>
        </w:tc>
        <w:tc>
          <w:tcPr>
            <w:tcW w:w="1515" w:type="dxa"/>
            <w:tcBorders>
              <w:tl2br w:val="nil"/>
              <w:tr2bl w:val="nil"/>
            </w:tcBorders>
            <w:vAlign w:val="center"/>
          </w:tcPr>
          <w:p>
            <w:pPr>
              <w:pStyle w:val="122"/>
              <w:adjustRightInd w:val="0"/>
              <w:snapToGrid w:val="0"/>
              <w:rPr>
                <w:rFonts w:cs="Times New Roman"/>
                <w:color w:val="FF0000"/>
              </w:rPr>
            </w:pPr>
            <w:r>
              <w:rPr>
                <w:rFonts w:hAnsi="宋体" w:cs="Times New Roman"/>
                <w:color w:val="000000" w:themeColor="text1"/>
              </w:rPr>
              <w:t>皮带输送机</w:t>
            </w:r>
          </w:p>
        </w:tc>
        <w:tc>
          <w:tcPr>
            <w:tcW w:w="884" w:type="dxa"/>
            <w:tcBorders>
              <w:tl2br w:val="nil"/>
              <w:tr2bl w:val="nil"/>
            </w:tcBorders>
            <w:vAlign w:val="center"/>
          </w:tcPr>
          <w:p>
            <w:pPr>
              <w:pStyle w:val="122"/>
              <w:adjustRightInd w:val="0"/>
              <w:snapToGrid w:val="0"/>
              <w:rPr>
                <w:rFonts w:cs="Times New Roman"/>
                <w:color w:val="FF0000"/>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FF0000"/>
              </w:rPr>
            </w:pPr>
            <w:r>
              <w:rPr>
                <w:rFonts w:hint="eastAsia" w:cs="Times New Roman"/>
                <w:color w:val="000000" w:themeColor="text1"/>
              </w:rPr>
              <w:t>1台</w:t>
            </w:r>
          </w:p>
        </w:tc>
        <w:tc>
          <w:tcPr>
            <w:tcW w:w="1660" w:type="dxa"/>
            <w:tcBorders>
              <w:tl2br w:val="nil"/>
              <w:tr2bl w:val="nil"/>
            </w:tcBorders>
            <w:vAlign w:val="center"/>
          </w:tcPr>
          <w:p>
            <w:pPr>
              <w:pStyle w:val="122"/>
              <w:adjustRightInd w:val="0"/>
              <w:snapToGrid w:val="0"/>
              <w:rPr>
                <w:rFonts w:cs="Times New Roman"/>
                <w:color w:val="FF0000"/>
              </w:rPr>
            </w:pPr>
            <w:r>
              <w:rPr>
                <w:rFonts w:hAnsi="宋体" w:cs="Times New Roman"/>
                <w:bCs/>
                <w:color w:val="000000" w:themeColor="text1"/>
              </w:rPr>
              <w:t>粗格栅及提升泵站</w:t>
            </w:r>
          </w:p>
        </w:tc>
        <w:tc>
          <w:tcPr>
            <w:tcW w:w="2065" w:type="dxa"/>
            <w:vMerge w:val="restart"/>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机房隔音、配消音器，基础减震、</w:t>
            </w:r>
            <w:r>
              <w:rPr>
                <w:rFonts w:cs="Times New Roman"/>
                <w:color w:val="000000" w:themeColor="text1"/>
              </w:rPr>
              <w:t>加强</w:t>
            </w:r>
            <w:r>
              <w:rPr>
                <w:rFonts w:hAnsi="宋体" w:cs="Times New Roman"/>
                <w:color w:val="000000" w:themeColor="text1"/>
              </w:rPr>
              <w:t>厂区</w:t>
            </w:r>
            <w:r>
              <w:rPr>
                <w:rFonts w:cs="Times New Roman"/>
                <w:color w:val="000000" w:themeColor="text1"/>
              </w:rPr>
              <w:t>绿化等</w:t>
            </w: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2</w:t>
            </w:r>
          </w:p>
        </w:tc>
        <w:tc>
          <w:tcPr>
            <w:tcW w:w="1515" w:type="dxa"/>
            <w:tcBorders>
              <w:tl2br w:val="nil"/>
              <w:tr2bl w:val="nil"/>
            </w:tcBorders>
            <w:vAlign w:val="center"/>
          </w:tcPr>
          <w:p>
            <w:pPr>
              <w:pStyle w:val="122"/>
              <w:adjustRightInd w:val="0"/>
              <w:snapToGrid w:val="0"/>
              <w:rPr>
                <w:rFonts w:cs="Times New Roman"/>
                <w:color w:val="FF0000"/>
              </w:rPr>
            </w:pPr>
            <w:r>
              <w:rPr>
                <w:rFonts w:hAnsi="宋体" w:cs="Times New Roman"/>
                <w:color w:val="000000" w:themeColor="text1"/>
              </w:rPr>
              <w:t>轴流风机</w:t>
            </w:r>
          </w:p>
        </w:tc>
        <w:tc>
          <w:tcPr>
            <w:tcW w:w="884" w:type="dxa"/>
            <w:tcBorders>
              <w:tl2br w:val="nil"/>
              <w:tr2bl w:val="nil"/>
            </w:tcBorders>
            <w:vAlign w:val="center"/>
          </w:tcPr>
          <w:p>
            <w:pPr>
              <w:pStyle w:val="122"/>
              <w:adjustRightInd w:val="0"/>
              <w:snapToGrid w:val="0"/>
              <w:rPr>
                <w:rFonts w:cs="Times New Roman"/>
                <w:color w:val="FF0000"/>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FF0000"/>
              </w:rPr>
            </w:pPr>
            <w:r>
              <w:rPr>
                <w:rFonts w:hint="eastAsia" w:cs="Times New Roman"/>
                <w:color w:val="000000" w:themeColor="text1"/>
              </w:rPr>
              <w:t>8</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FF0000"/>
              </w:rPr>
            </w:pPr>
            <w:r>
              <w:rPr>
                <w:rFonts w:hAnsi="宋体" w:cs="Times New Roman"/>
                <w:color w:val="000000" w:themeColor="text1"/>
              </w:rPr>
              <w:t>鼓风机房</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w:t>
            </w:r>
            <w:r>
              <w:rPr>
                <w:rFonts w:hint="eastAsia" w:cs="Times New Roman"/>
                <w:color w:val="000000" w:themeColor="text1"/>
                <w:lang w:val="en-US" w:eastAsia="zh-CN"/>
              </w:rPr>
              <w:t>5</w:t>
            </w:r>
            <w:r>
              <w:rPr>
                <w:rFonts w:cs="Times New Roman"/>
                <w:color w:val="000000" w:themeColor="text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3</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rFonts w:cs="Times New Roman"/>
                <w:color w:val="000000" w:themeColor="text1"/>
              </w:rPr>
              <w:t>空气悬浮鼓风机</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90~95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鼓风机房</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16" w:type="dxa"/>
            <w:vMerge w:val="restart"/>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4</w:t>
            </w:r>
          </w:p>
        </w:tc>
        <w:tc>
          <w:tcPr>
            <w:tcW w:w="1515" w:type="dxa"/>
            <w:vMerge w:val="restart"/>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潜水泵</w:t>
            </w:r>
          </w:p>
        </w:tc>
        <w:tc>
          <w:tcPr>
            <w:tcW w:w="884" w:type="dxa"/>
            <w:vMerge w:val="restart"/>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粗格栅及提升泵站</w:t>
            </w:r>
          </w:p>
        </w:tc>
        <w:tc>
          <w:tcPr>
            <w:tcW w:w="2065" w:type="dxa"/>
            <w:vMerge w:val="restart"/>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水下布置、</w:t>
            </w:r>
            <w:r>
              <w:rPr>
                <w:rFonts w:cs="Times New Roman"/>
                <w:color w:val="000000" w:themeColor="text1"/>
              </w:rPr>
              <w:t>选用低噪声设备、</w:t>
            </w:r>
            <w:r>
              <w:rPr>
                <w:rFonts w:hAnsi="宋体" w:cs="Times New Roman"/>
                <w:color w:val="000000" w:themeColor="text1"/>
              </w:rPr>
              <w:t>基础减震、</w:t>
            </w:r>
            <w:r>
              <w:rPr>
                <w:rFonts w:cs="Times New Roman"/>
                <w:color w:val="000000" w:themeColor="text1"/>
              </w:rPr>
              <w:t>加强</w:t>
            </w:r>
            <w:r>
              <w:rPr>
                <w:rFonts w:hAnsi="宋体" w:cs="Times New Roman"/>
                <w:color w:val="000000" w:themeColor="text1"/>
              </w:rPr>
              <w:t>厂区</w:t>
            </w:r>
            <w:r>
              <w:rPr>
                <w:rFonts w:cs="Times New Roman"/>
                <w:color w:val="000000" w:themeColor="text1"/>
              </w:rPr>
              <w:t>绿化等</w:t>
            </w:r>
          </w:p>
        </w:tc>
        <w:tc>
          <w:tcPr>
            <w:tcW w:w="1494" w:type="dxa"/>
            <w:vMerge w:val="restart"/>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vAlign w:val="center"/>
          </w:tcPr>
          <w:p>
            <w:pPr>
              <w:pStyle w:val="122"/>
              <w:adjustRightInd w:val="0"/>
              <w:snapToGrid w:val="0"/>
              <w:rPr>
                <w:rFonts w:cs="Times New Roman"/>
                <w:color w:val="000000" w:themeColor="text1"/>
              </w:rPr>
            </w:pPr>
          </w:p>
        </w:tc>
        <w:tc>
          <w:tcPr>
            <w:tcW w:w="1515" w:type="dxa"/>
            <w:vMerge w:val="continue"/>
            <w:tcBorders>
              <w:tl2br w:val="nil"/>
              <w:tr2bl w:val="nil"/>
            </w:tcBorders>
            <w:vAlign w:val="center"/>
          </w:tcPr>
          <w:p>
            <w:pPr>
              <w:pStyle w:val="122"/>
              <w:adjustRightInd w:val="0"/>
              <w:snapToGrid w:val="0"/>
              <w:rPr>
                <w:rFonts w:hAnsi="宋体" w:cs="Times New Roman"/>
                <w:color w:val="000000" w:themeColor="text1"/>
              </w:rPr>
            </w:pPr>
          </w:p>
        </w:tc>
        <w:tc>
          <w:tcPr>
            <w:tcW w:w="884" w:type="dxa"/>
            <w:vMerge w:val="continue"/>
            <w:tcBorders>
              <w:tl2br w:val="nil"/>
              <w:tr2bl w:val="nil"/>
            </w:tcBorders>
            <w:vAlign w:val="center"/>
          </w:tcPr>
          <w:p>
            <w:pPr>
              <w:pStyle w:val="122"/>
              <w:adjustRightInd w:val="0"/>
              <w:snapToGrid w:val="0"/>
              <w:rPr>
                <w:rFonts w:cs="Times New Roman"/>
                <w:color w:val="000000" w:themeColor="text1"/>
              </w:rPr>
            </w:pP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2台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接触消毒池</w:t>
            </w:r>
          </w:p>
        </w:tc>
        <w:tc>
          <w:tcPr>
            <w:tcW w:w="2065" w:type="dxa"/>
            <w:vMerge w:val="continue"/>
            <w:tcBorders>
              <w:tl2br w:val="nil"/>
              <w:tr2bl w:val="nil"/>
            </w:tcBorders>
            <w:vAlign w:val="center"/>
          </w:tcPr>
          <w:p>
            <w:pPr>
              <w:pStyle w:val="122"/>
              <w:adjustRightInd w:val="0"/>
              <w:snapToGrid w:val="0"/>
              <w:rPr>
                <w:rFonts w:hAnsi="宋体" w:cs="Times New Roman"/>
                <w:color w:val="000000" w:themeColor="text1"/>
              </w:rPr>
            </w:pPr>
          </w:p>
        </w:tc>
        <w:tc>
          <w:tcPr>
            <w:tcW w:w="1494" w:type="dxa"/>
            <w:vMerge w:val="continue"/>
            <w:tcBorders>
              <w:tl2br w:val="nil"/>
              <w:tr2bl w:val="nil"/>
            </w:tcBorders>
            <w:vAlign w:val="center"/>
          </w:tcPr>
          <w:p>
            <w:pPr>
              <w:pStyle w:val="122"/>
              <w:adjustRightInd w:val="0"/>
              <w:snapToGrid w:val="0"/>
              <w:rPr>
                <w:rFonts w:cs="Times New Roman"/>
                <w:color w:val="000000" w:themeColor="text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5</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内回流</w:t>
            </w:r>
            <w:r>
              <w:rPr>
                <w:rFonts w:cs="Times New Roman"/>
                <w:color w:val="000000" w:themeColor="text1"/>
              </w:rPr>
              <w:t>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2</w:t>
            </w:r>
            <w:r>
              <w:rPr>
                <w:rFonts w:hAnsi="宋体"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组合池</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6</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反洗水泵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4</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int="eastAsia" w:hAnsi="宋体" w:cs="Times New Roman"/>
                <w:color w:val="000000" w:themeColor="text1"/>
              </w:rPr>
              <w:t>滤布</w:t>
            </w:r>
            <w:r>
              <w:rPr>
                <w:rFonts w:hAnsi="宋体" w:cs="Times New Roman"/>
                <w:color w:val="000000" w:themeColor="text1"/>
              </w:rPr>
              <w:t>滤池</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7</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rFonts w:hint="eastAsia" w:hAnsi="宋体" w:cs="Times New Roman"/>
                <w:color w:val="000000" w:themeColor="text1"/>
              </w:rPr>
              <w:t>潜水轴流泵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接触消毒池</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cs="Times New Roman"/>
                <w:color w:val="000000" w:themeColor="text1"/>
              </w:rPr>
              <w:t>≤6</w:t>
            </w:r>
            <w:r>
              <w:rPr>
                <w:rFonts w:hint="eastAsia" w:cs="Times New Roman"/>
                <w:color w:val="000000" w:themeColor="text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8</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循环水泵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2台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除臭系统</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9</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int="eastAsia" w:hAnsi="宋体" w:cs="Times New Roman"/>
                <w:color w:val="000000" w:themeColor="text1"/>
              </w:rPr>
              <w:t>泥饼</w:t>
            </w:r>
            <w:r>
              <w:rPr>
                <w:rFonts w:hAnsi="宋体" w:cs="Times New Roman"/>
                <w:color w:val="000000" w:themeColor="text1"/>
              </w:rPr>
              <w:t>输送系统</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70-75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4套</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污泥浓缩池</w:t>
            </w:r>
          </w:p>
        </w:tc>
        <w:tc>
          <w:tcPr>
            <w:tcW w:w="2065" w:type="dxa"/>
            <w:vMerge w:val="restart"/>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选用低噪声设备、机房隔音、基础减振、合理布局、加强绿化等</w:t>
            </w: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hint="eastAsia" w:cs="Times New Roman"/>
                <w:color w:val="000000" w:themeColor="text1"/>
                <w:lang w:val="en-US" w:eastAsia="zh-CN"/>
              </w:rPr>
              <w:t>10</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color w:val="000000" w:themeColor="text1"/>
              </w:rPr>
              <w:t>压滤机进料泵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污泥浓缩池</w:t>
            </w:r>
          </w:p>
        </w:tc>
        <w:tc>
          <w:tcPr>
            <w:tcW w:w="2065" w:type="dxa"/>
            <w:vMerge w:val="continue"/>
            <w:tcBorders>
              <w:tl2br w:val="nil"/>
              <w:tr2bl w:val="nil"/>
            </w:tcBorders>
            <w:vAlign w:val="center"/>
          </w:tcPr>
          <w:p>
            <w:pPr>
              <w:pStyle w:val="122"/>
              <w:adjustRightInd w:val="0"/>
              <w:snapToGrid w:val="0"/>
              <w:rPr>
                <w:rFonts w:cs="Times New Roman"/>
                <w:color w:val="000000" w:themeColor="text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hint="eastAsia" w:cs="Times New Roman"/>
                <w:color w:val="000000" w:themeColor="text1"/>
                <w:lang w:val="en-US" w:eastAsia="zh-CN"/>
              </w:rPr>
              <w:t>11</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color w:val="000000" w:themeColor="text1"/>
              </w:rPr>
              <w:t>改性罐进料泵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2台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污泥浓缩池</w:t>
            </w:r>
          </w:p>
        </w:tc>
        <w:tc>
          <w:tcPr>
            <w:tcW w:w="2065" w:type="dxa"/>
            <w:vMerge w:val="continue"/>
            <w:tcBorders>
              <w:tl2br w:val="nil"/>
              <w:tr2bl w:val="nil"/>
            </w:tcBorders>
            <w:vAlign w:val="center"/>
          </w:tcPr>
          <w:p>
            <w:pPr>
              <w:pStyle w:val="122"/>
              <w:adjustRightInd w:val="0"/>
              <w:snapToGrid w:val="0"/>
              <w:rPr>
                <w:rFonts w:cs="Times New Roman"/>
                <w:color w:val="000000" w:themeColor="text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hint="eastAsia" w:cs="Times New Roman"/>
                <w:color w:val="000000" w:themeColor="text1"/>
                <w:lang w:val="en-US" w:eastAsia="zh-CN"/>
              </w:rPr>
              <w:t>12</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潜污泵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2台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滤布滤池</w:t>
            </w:r>
          </w:p>
        </w:tc>
        <w:tc>
          <w:tcPr>
            <w:tcW w:w="206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设于提升泵站内、</w:t>
            </w:r>
            <w:r>
              <w:rPr>
                <w:rFonts w:cs="Times New Roman"/>
                <w:color w:val="000000" w:themeColor="text1"/>
              </w:rPr>
              <w:t>选用低噪声设备、</w:t>
            </w:r>
            <w:r>
              <w:rPr>
                <w:rFonts w:hAnsi="宋体" w:cs="Times New Roman"/>
                <w:color w:val="000000" w:themeColor="text1"/>
              </w:rPr>
              <w:t>基础减震等</w:t>
            </w: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45</w:t>
            </w:r>
          </w:p>
        </w:tc>
      </w:tr>
    </w:tbl>
    <w:p>
      <w:pPr>
        <w:widowControl/>
        <w:spacing w:line="360" w:lineRule="auto"/>
        <w:ind w:right="120" w:rightChars="50" w:firstLine="480" w:firstLineChars="200"/>
        <w:jc w:val="left"/>
      </w:pPr>
      <w:r>
        <w:rPr>
          <w:rFonts w:hint="eastAsia"/>
        </w:rPr>
        <w:t>（4）固体废物污染源分析</w:t>
      </w:r>
    </w:p>
    <w:p>
      <w:pPr>
        <w:widowControl/>
        <w:spacing w:line="360" w:lineRule="auto"/>
        <w:ind w:right="120" w:rightChars="50" w:firstLine="480" w:firstLineChars="200"/>
        <w:jc w:val="left"/>
        <w:rPr>
          <w:rFonts w:cs="Times New Roman"/>
          <w:szCs w:val="24"/>
          <w:u w:val="none"/>
        </w:rPr>
      </w:pPr>
      <w:r>
        <w:rPr>
          <w:rFonts w:cs="Times New Roman"/>
          <w:szCs w:val="24"/>
          <w:u w:val="none"/>
        </w:rPr>
        <w:t>本项目处理过程中的固体废物主要包括</w:t>
      </w:r>
      <w:r>
        <w:rPr>
          <w:rFonts w:hint="eastAsia" w:cs="Times New Roman"/>
          <w:szCs w:val="24"/>
          <w:u w:val="none"/>
        </w:rPr>
        <w:t>：</w:t>
      </w:r>
      <w:r>
        <w:rPr>
          <w:rFonts w:cs="Times New Roman"/>
          <w:szCs w:val="24"/>
          <w:u w:val="none"/>
        </w:rPr>
        <w:t>生活垃圾</w:t>
      </w:r>
      <w:r>
        <w:rPr>
          <w:rFonts w:hint="eastAsia" w:cs="Times New Roman"/>
          <w:szCs w:val="24"/>
          <w:u w:val="none"/>
          <w:lang w:eastAsia="zh-CN"/>
        </w:rPr>
        <w:t>、</w:t>
      </w:r>
      <w:r>
        <w:rPr>
          <w:rFonts w:cs="Times New Roman"/>
          <w:szCs w:val="24"/>
          <w:u w:val="none"/>
        </w:rPr>
        <w:t>污水处理固废</w:t>
      </w:r>
      <w:r>
        <w:rPr>
          <w:rFonts w:hint="eastAsia" w:cs="Times New Roman"/>
          <w:szCs w:val="24"/>
          <w:u w:val="none"/>
          <w:lang w:eastAsia="zh-CN"/>
        </w:rPr>
        <w:t>和除臭装置中更换的废生物填料</w:t>
      </w:r>
      <w:r>
        <w:rPr>
          <w:rFonts w:hint="eastAsia" w:cs="Times New Roman"/>
          <w:szCs w:val="24"/>
          <w:u w:val="none"/>
        </w:rPr>
        <w:t>。</w:t>
      </w:r>
    </w:p>
    <w:p>
      <w:pPr>
        <w:widowControl/>
        <w:spacing w:line="360" w:lineRule="auto"/>
        <w:ind w:right="120" w:rightChars="50" w:firstLine="480" w:firstLineChars="200"/>
        <w:jc w:val="left"/>
        <w:rPr>
          <w:rFonts w:cs="Times New Roman"/>
          <w:szCs w:val="24"/>
          <w:u w:val="none"/>
        </w:rPr>
      </w:pPr>
      <w:r>
        <w:rPr>
          <w:rFonts w:hint="eastAsia" w:cs="Times New Roman" w:asciiTheme="minorEastAsia" w:hAnsiTheme="minorEastAsia"/>
          <w:szCs w:val="24"/>
          <w:u w:val="none"/>
        </w:rPr>
        <w:t>①</w:t>
      </w:r>
      <w:r>
        <w:rPr>
          <w:rFonts w:hint="eastAsia" w:cs="Times New Roman"/>
          <w:szCs w:val="24"/>
          <w:u w:val="none"/>
        </w:rPr>
        <w:t>生活垃圾</w:t>
      </w:r>
    </w:p>
    <w:p>
      <w:pPr>
        <w:widowControl/>
        <w:spacing w:line="360" w:lineRule="auto"/>
        <w:ind w:right="120" w:rightChars="50" w:firstLine="480" w:firstLineChars="200"/>
        <w:jc w:val="left"/>
        <w:rPr>
          <w:u w:val="none"/>
        </w:rPr>
      </w:pPr>
      <w:r>
        <w:rPr>
          <w:rFonts w:hint="eastAsia" w:cs="Times New Roman"/>
          <w:szCs w:val="24"/>
          <w:u w:val="none"/>
        </w:rPr>
        <w:t>本项目劳动定员40人，年工作时间以348天计算，生活垃圾产生量若按每人每天日0.5kg计，则生活垃圾产生量为</w:t>
      </w:r>
      <w:r>
        <w:rPr>
          <w:rFonts w:hint="eastAsia"/>
          <w:u w:val="none"/>
        </w:rPr>
        <w:t>6.96</w:t>
      </w:r>
      <w:r>
        <w:rPr>
          <w:u w:val="none"/>
        </w:rPr>
        <w:t>t/a。</w:t>
      </w:r>
    </w:p>
    <w:p>
      <w:pPr>
        <w:widowControl/>
        <w:spacing w:line="360" w:lineRule="auto"/>
        <w:ind w:right="120" w:rightChars="50" w:firstLine="480" w:firstLineChars="200"/>
        <w:jc w:val="left"/>
        <w:rPr>
          <w:u w:val="none"/>
        </w:rPr>
      </w:pPr>
      <w:r>
        <w:rPr>
          <w:rFonts w:hint="eastAsia" w:asciiTheme="minorEastAsia" w:hAnsiTheme="minorEastAsia"/>
          <w:u w:val="none"/>
        </w:rPr>
        <w:t>②</w:t>
      </w:r>
      <w:r>
        <w:rPr>
          <w:rFonts w:hint="eastAsia"/>
          <w:u w:val="none"/>
        </w:rPr>
        <w:t>污水处理固废</w:t>
      </w:r>
    </w:p>
    <w:p>
      <w:pPr>
        <w:widowControl/>
        <w:spacing w:line="360" w:lineRule="auto"/>
        <w:ind w:right="120" w:rightChars="50" w:firstLine="480" w:firstLineChars="200"/>
        <w:jc w:val="left"/>
        <w:rPr>
          <w:rFonts w:cs="Times New Roman"/>
          <w:color w:val="000000" w:themeColor="text1"/>
          <w:u w:val="none"/>
          <w14:textFill>
            <w14:solidFill>
              <w14:schemeClr w14:val="tx1"/>
            </w14:solidFill>
          </w14:textFill>
        </w:rPr>
      </w:pPr>
      <w:r>
        <w:rPr>
          <w:rFonts w:cs="Times New Roman"/>
          <w:color w:val="000000" w:themeColor="text1"/>
          <w:szCs w:val="24"/>
          <w:u w:val="none"/>
          <w14:textFill>
            <w14:solidFill>
              <w14:schemeClr w14:val="tx1"/>
            </w14:solidFill>
          </w14:textFill>
        </w:rPr>
        <w:t>本项目污水处理过程中产生的固体废物主要有</w:t>
      </w:r>
      <w:r>
        <w:rPr>
          <w:rFonts w:cs="Times New Roman"/>
          <w:color w:val="000000" w:themeColor="text1"/>
          <w:u w:val="none"/>
          <w14:textFill>
            <w14:solidFill>
              <w14:schemeClr w14:val="tx1"/>
            </w14:solidFill>
          </w14:textFill>
        </w:rPr>
        <w:t>栅渣、沉砂和脱水污泥。</w:t>
      </w:r>
    </w:p>
    <w:p>
      <w:pPr>
        <w:widowControl/>
        <w:spacing w:line="360" w:lineRule="auto"/>
        <w:ind w:right="120" w:rightChars="50" w:firstLine="480" w:firstLineChars="200"/>
        <w:jc w:val="left"/>
        <w:rPr>
          <w:rFonts w:cs="Times New Roman"/>
          <w:color w:val="000000" w:themeColor="text1"/>
          <w:u w:val="none"/>
          <w14:textFill>
            <w14:solidFill>
              <w14:schemeClr w14:val="tx1"/>
            </w14:solidFill>
          </w14:textFill>
        </w:rPr>
      </w:pPr>
      <w:r>
        <w:rPr>
          <w:rFonts w:cs="Times New Roman" w:hAnsiTheme="minorEastAsia"/>
          <w:color w:val="000000" w:themeColor="text1"/>
          <w:u w:val="none"/>
          <w14:textFill>
            <w14:solidFill>
              <w14:schemeClr w14:val="tx1"/>
            </w14:solidFill>
          </w14:textFill>
        </w:rPr>
        <w:t>栅渣：根据现有实际运行情况及《排水工程》（建筑工业出版社），项目粗格栅的平均截留栅渣为</w:t>
      </w:r>
      <w:r>
        <w:rPr>
          <w:rFonts w:cs="Times New Roman"/>
          <w:color w:val="000000" w:themeColor="text1"/>
          <w:u w:val="none"/>
          <w14:textFill>
            <w14:solidFill>
              <w14:schemeClr w14:val="tx1"/>
            </w14:solidFill>
          </w14:textFill>
        </w:rPr>
        <w:t>0.03m</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/10</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m</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污水，细格栅的平均截留栅渣量为0.07m</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/10</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m</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污水，经计算，栅渣产生量为2t/d。</w:t>
      </w:r>
    </w:p>
    <w:p>
      <w:pPr>
        <w:widowControl/>
        <w:spacing w:line="360" w:lineRule="auto"/>
        <w:ind w:right="120" w:rightChars="50" w:firstLine="480" w:firstLineChars="200"/>
        <w:jc w:val="left"/>
        <w:rPr>
          <w:rFonts w:cs="Times New Roman"/>
          <w:color w:val="000000" w:themeColor="text1"/>
          <w:u w:val="none"/>
          <w14:textFill>
            <w14:solidFill>
              <w14:schemeClr w14:val="tx1"/>
            </w14:solidFill>
          </w14:textFill>
        </w:rPr>
      </w:pPr>
      <w:r>
        <w:rPr>
          <w:rFonts w:cs="Times New Roman" w:hAnsiTheme="minorEastAsia"/>
          <w:color w:val="000000" w:themeColor="text1"/>
          <w:u w:val="none"/>
          <w14:textFill>
            <w14:solidFill>
              <w14:schemeClr w14:val="tx1"/>
            </w14:solidFill>
          </w14:textFill>
        </w:rPr>
        <w:t>沉砂：根据现有项目实际运行情况及《室外排水设计规范》</w:t>
      </w:r>
      <w:r>
        <w:rPr>
          <w:rFonts w:cs="Times New Roman"/>
          <w:color w:val="000000" w:themeColor="text1"/>
          <w:u w:val="none"/>
          <w14:textFill>
            <w14:solidFill>
              <w14:schemeClr w14:val="tx1"/>
            </w14:solidFill>
          </w14:textFill>
        </w:rPr>
        <w:t>（GB50014-2006），沉砂产生量按每0.03m</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/1000m</w:t>
      </w:r>
      <w:r>
        <w:rPr>
          <w:rFonts w:cs="Times New Roman"/>
          <w:color w:val="000000" w:themeColor="text1"/>
          <w:u w:val="none"/>
          <w:vertAlign w:val="superscript"/>
          <w14:textFill>
            <w14:solidFill>
              <w14:schemeClr w14:val="tx1"/>
            </w14:solidFill>
          </w14:textFill>
        </w:rPr>
        <w:t>3</w:t>
      </w:r>
      <w:r>
        <w:rPr>
          <w:rFonts w:cs="Times New Roman"/>
          <w:color w:val="000000" w:themeColor="text1"/>
          <w:u w:val="none"/>
          <w14:textFill>
            <w14:solidFill>
              <w14:schemeClr w14:val="tx1"/>
            </w14:solidFill>
          </w14:textFill>
        </w:rPr>
        <w:t>污水计算，项目改扩建后沉砂产生量为0.6 t/d。</w:t>
      </w:r>
    </w:p>
    <w:p>
      <w:pPr>
        <w:widowControl/>
        <w:spacing w:line="360" w:lineRule="auto"/>
        <w:ind w:right="120" w:rightChars="50" w:firstLine="480" w:firstLineChars="200"/>
        <w:jc w:val="left"/>
        <w:rPr>
          <w:rFonts w:cs="Times New Roman"/>
          <w:color w:val="000000" w:themeColor="text1"/>
          <w:u w:val="none"/>
          <w14:textFill>
            <w14:solidFill>
              <w14:schemeClr w14:val="tx1"/>
            </w14:solidFill>
          </w14:textFill>
        </w:rPr>
      </w:pPr>
      <w:r>
        <w:rPr>
          <w:rFonts w:cs="Times New Roman" w:hAnsiTheme="minorEastAsia"/>
          <w:color w:val="000000" w:themeColor="text1"/>
          <w:u w:val="none"/>
          <w14:textFill>
            <w14:solidFill>
              <w14:schemeClr w14:val="tx1"/>
            </w14:solidFill>
          </w14:textFill>
        </w:rPr>
        <w:t>污泥：</w:t>
      </w:r>
      <w:r>
        <w:rPr>
          <w:rFonts w:cs="Times New Roman"/>
          <w:color w:val="000000" w:themeColor="text1"/>
          <w:u w:val="none"/>
          <w14:textFill>
            <w14:solidFill>
              <w14:schemeClr w14:val="tx1"/>
            </w14:solidFill>
          </w14:textFill>
        </w:rPr>
        <w:t>本项目污泥产生量参考《集中式污染治理设施产排污系数手册》（2010年修订）计算，本项目为工业废水集中处理设施，结合本项目的工艺，采用手册的公式（3）进行计算，公式如下：</w:t>
      </w:r>
    </w:p>
    <w:p>
      <w:pPr>
        <w:pStyle w:val="14"/>
        <w:rPr>
          <w:rFonts w:cs="Times New Roman"/>
          <w:color w:val="000000" w:themeColor="text1"/>
          <w:u w:val="none"/>
          <w14:textFill>
            <w14:solidFill>
              <w14:schemeClr w14:val="tx1"/>
            </w14:solidFill>
          </w14:textFill>
        </w:rPr>
      </w:pPr>
      <m:oMathPara>
        <m:oMath>
          <m:r>
            <m:rPr>
              <m:sty m:val="b"/>
            </m:rPr>
            <w:rPr>
              <w:rFonts w:hint="default" w:ascii="Cambria Math" w:hAnsi="Cambria Math" w:cs="Times New Roman"/>
              <w:color w:val="000000" w:themeColor="text1"/>
              <w:u w:val="none"/>
              <w14:textFill>
                <w14:solidFill>
                  <w14:schemeClr w14:val="tx1"/>
                </w14:solidFill>
              </w14:textFill>
            </w:rPr>
            <m:t>s=r</m:t>
          </m:r>
          <m:sSub>
            <m:sSubPr>
              <m:ctrlPr>
                <w:rPr>
                  <w:rFonts w:hint="default" w:ascii="Cambria Math" w:hAnsi="Cambria Math" w:cs="Times New Roman"/>
                  <w:color w:val="000000" w:themeColor="text1"/>
                  <w:u w:val="none"/>
                  <w14:textFill>
                    <w14:solidFill>
                      <w14:schemeClr w14:val="tx1"/>
                    </w14:solidFill>
                  </w14:textFill>
                </w:rPr>
              </m:ctrlPr>
            </m:sSubPr>
            <m:e>
              <m:r>
                <m:rPr>
                  <m:sty m:val="b"/>
                </m:rPr>
                <w:rPr>
                  <w:rFonts w:hint="default" w:ascii="Cambria Math" w:hAnsi="Cambria Math" w:cs="Times New Roman"/>
                  <w:color w:val="000000" w:themeColor="text1"/>
                  <w:u w:val="none"/>
                  <w14:textFill>
                    <w14:solidFill>
                      <w14:schemeClr w14:val="tx1"/>
                    </w14:solidFill>
                  </w14:textFill>
                </w:rPr>
                <m:t>k</m:t>
              </m:r>
              <m:ctrlPr>
                <w:rPr>
                  <w:rFonts w:hint="default" w:ascii="Cambria Math" w:hAnsi="Cambria Math" w:cs="Times New Roman"/>
                  <w:color w:val="000000" w:themeColor="text1"/>
                  <w:u w:val="none"/>
                  <w14:textFill>
                    <w14:solidFill>
                      <w14:schemeClr w14:val="tx1"/>
                    </w14:solidFill>
                  </w14:textFill>
                </w:rPr>
              </m:ctrlPr>
            </m:e>
            <m:sub>
              <m:r>
                <m:rPr>
                  <m:sty m:val="b"/>
                </m:rPr>
                <w:rPr>
                  <w:rFonts w:hint="default" w:ascii="Cambria Math" w:hAnsi="Cambria Math" w:cs="Times New Roman"/>
                  <w:color w:val="000000" w:themeColor="text1"/>
                  <w:u w:val="none"/>
                  <w14:textFill>
                    <w14:solidFill>
                      <w14:schemeClr w14:val="tx1"/>
                    </w14:solidFill>
                  </w14:textFill>
                </w:rPr>
                <m:t>2</m:t>
              </m:r>
              <m:ctrlPr>
                <w:rPr>
                  <w:rFonts w:hint="default" w:ascii="Cambria Math" w:hAnsi="Cambria Math" w:cs="Times New Roman"/>
                  <w:color w:val="000000" w:themeColor="text1"/>
                  <w:u w:val="none"/>
                  <w14:textFill>
                    <w14:solidFill>
                      <w14:schemeClr w14:val="tx1"/>
                    </w14:solidFill>
                  </w14:textFill>
                </w:rPr>
              </m:ctrlPr>
            </m:sub>
          </m:sSub>
          <m:r>
            <m:rPr>
              <m:sty m:val="b"/>
            </m:rPr>
            <w:rPr>
              <w:rFonts w:hint="default" w:ascii="Cambria Math" w:hAnsi="Cambria Math" w:cs="Times New Roman"/>
              <w:color w:val="000000" w:themeColor="text1"/>
              <w:u w:val="none"/>
              <w14:textFill>
                <w14:solidFill>
                  <w14:schemeClr w14:val="tx1"/>
                </w14:solidFill>
              </w14:textFill>
            </w:rPr>
            <m:t>p+</m:t>
          </m:r>
          <m:sSub>
            <m:sSubPr>
              <m:ctrlPr>
                <w:rPr>
                  <w:rFonts w:hint="default" w:ascii="Cambria Math" w:hAnsi="Cambria Math" w:cs="Times New Roman"/>
                  <w:color w:val="000000" w:themeColor="text1"/>
                  <w:u w:val="none"/>
                  <w14:textFill>
                    <w14:solidFill>
                      <w14:schemeClr w14:val="tx1"/>
                    </w14:solidFill>
                  </w14:textFill>
                </w:rPr>
              </m:ctrlPr>
            </m:sSubPr>
            <m:e>
              <m:r>
                <m:rPr>
                  <m:sty m:val="b"/>
                </m:rPr>
                <w:rPr>
                  <w:rFonts w:hint="default" w:ascii="Cambria Math" w:hAnsi="Cambria Math" w:cs="Times New Roman"/>
                  <w:color w:val="000000" w:themeColor="text1"/>
                  <w:u w:val="none"/>
                  <w14:textFill>
                    <w14:solidFill>
                      <w14:schemeClr w14:val="tx1"/>
                    </w14:solidFill>
                  </w14:textFill>
                </w:rPr>
                <m:t>k</m:t>
              </m:r>
              <m:ctrlPr>
                <w:rPr>
                  <w:rFonts w:hint="default" w:ascii="Cambria Math" w:hAnsi="Cambria Math" w:cs="Times New Roman"/>
                  <w:color w:val="000000" w:themeColor="text1"/>
                  <w:u w:val="none"/>
                  <w14:textFill>
                    <w14:solidFill>
                      <w14:schemeClr w14:val="tx1"/>
                    </w14:solidFill>
                  </w14:textFill>
                </w:rPr>
              </m:ctrlPr>
            </m:e>
            <m:sub>
              <m:r>
                <m:rPr>
                  <m:sty m:val="b"/>
                </m:rPr>
                <w:rPr>
                  <w:rFonts w:hint="default" w:ascii="Cambria Math" w:hAnsi="Cambria Math" w:cs="Times New Roman"/>
                  <w:color w:val="000000" w:themeColor="text1"/>
                  <w:u w:val="none"/>
                  <w14:textFill>
                    <w14:solidFill>
                      <w14:schemeClr w14:val="tx1"/>
                    </w14:solidFill>
                  </w14:textFill>
                </w:rPr>
                <m:t>3</m:t>
              </m:r>
              <m:ctrlPr>
                <w:rPr>
                  <w:rFonts w:hint="default" w:ascii="Cambria Math" w:hAnsi="Cambria Math" w:cs="Times New Roman"/>
                  <w:color w:val="000000" w:themeColor="text1"/>
                  <w:u w:val="none"/>
                  <w14:textFill>
                    <w14:solidFill>
                      <w14:schemeClr w14:val="tx1"/>
                    </w14:solidFill>
                  </w14:textFill>
                </w:rPr>
              </m:ctrlPr>
            </m:sub>
          </m:sSub>
          <m:r>
            <m:rPr>
              <m:sty m:val="b"/>
            </m:rPr>
            <w:rPr>
              <w:rFonts w:hint="default" w:ascii="Cambria Math" w:hAnsi="Cambria Math" w:cs="Times New Roman"/>
              <w:color w:val="000000" w:themeColor="text1"/>
              <w:u w:val="none"/>
              <w14:textFill>
                <w14:solidFill>
                  <w14:schemeClr w14:val="tx1"/>
                </w14:solidFill>
              </w14:textFill>
            </w:rPr>
            <m:t>C</m:t>
          </m:r>
        </m:oMath>
      </m:oMathPara>
    </w:p>
    <w:p>
      <w:pPr>
        <w:spacing w:line="360" w:lineRule="auto"/>
        <w:ind w:firstLine="480" w:firstLineChars="200"/>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其中：S——污水处理厂含水率的污泥产生量，吨/年；</w:t>
      </w:r>
    </w:p>
    <w:p>
      <w:pPr>
        <w:spacing w:line="360" w:lineRule="auto"/>
        <w:ind w:firstLine="1200" w:firstLineChars="500"/>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k</w:t>
      </w:r>
      <w:r>
        <w:rPr>
          <w:rFonts w:cs="Times New Roman"/>
          <w:color w:val="000000" w:themeColor="text1"/>
          <w:u w:val="none"/>
          <w:vertAlign w:val="subscript"/>
          <w14:textFill>
            <w14:solidFill>
              <w14:schemeClr w14:val="tx1"/>
            </w14:solidFill>
          </w14:textFill>
        </w:rPr>
        <w:t>2</w:t>
      </w:r>
      <w:r>
        <w:rPr>
          <w:rFonts w:cs="Times New Roman"/>
          <w:color w:val="000000" w:themeColor="text1"/>
          <w:u w:val="none"/>
          <w14:textFill>
            <w14:solidFill>
              <w14:schemeClr w14:val="tx1"/>
            </w14:solidFill>
          </w14:textFill>
        </w:rPr>
        <w:t>——城镇污水处理厂的生化污泥产生系数，吨/吨-化学需氧量去除量，本项目无污泥消化，废水处理为A</w:t>
      </w:r>
      <w:r>
        <w:rPr>
          <w:rFonts w:hint="eastAsia" w:cs="Times New Roman"/>
          <w:color w:val="000000" w:themeColor="text1"/>
          <w:u w:val="none"/>
          <w14:textFill>
            <w14:solidFill>
              <w14:schemeClr w14:val="tx1"/>
            </w14:solidFill>
          </w14:textFill>
        </w:rPr>
        <w:t>A</w:t>
      </w:r>
      <w:r>
        <w:rPr>
          <w:rFonts w:cs="Times New Roman"/>
          <w:color w:val="000000" w:themeColor="text1"/>
          <w:u w:val="none"/>
          <w14:textFill>
            <w14:solidFill>
              <w14:schemeClr w14:val="tx1"/>
            </w14:solidFill>
          </w14:textFill>
        </w:rPr>
        <w:t>O工艺，取值1.45；</w:t>
      </w:r>
    </w:p>
    <w:p>
      <w:pPr>
        <w:spacing w:line="360" w:lineRule="auto"/>
        <w:ind w:firstLine="1080" w:firstLineChars="450"/>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k</w:t>
      </w:r>
      <w:r>
        <w:rPr>
          <w:rFonts w:cs="Times New Roman"/>
          <w:color w:val="000000" w:themeColor="text1"/>
          <w:u w:val="none"/>
          <w:vertAlign w:val="subscript"/>
          <w14:textFill>
            <w14:solidFill>
              <w14:schemeClr w14:val="tx1"/>
            </w14:solidFill>
          </w14:textFill>
        </w:rPr>
        <w:t>3</w:t>
      </w:r>
      <w:r>
        <w:rPr>
          <w:rFonts w:cs="Times New Roman"/>
          <w:color w:val="000000" w:themeColor="text1"/>
          <w:u w:val="none"/>
          <w14:textFill>
            <w14:solidFill>
              <w14:schemeClr w14:val="tx1"/>
            </w14:solidFill>
          </w14:textFill>
        </w:rPr>
        <w:t xml:space="preserve">：城镇污水处理厂或工业废水集中处理设施的化学污泥产生系数，吨/吨-絮凝剂使用量，取值4.53； </w:t>
      </w:r>
    </w:p>
    <w:p>
      <w:pPr>
        <w:spacing w:line="360" w:lineRule="auto"/>
        <w:ind w:firstLine="1080" w:firstLineChars="450"/>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P：城镇污水处理厂的化学需氧量去除总量，吨/年，本项目为2575.2吨/年；</w:t>
      </w:r>
    </w:p>
    <w:p>
      <w:pPr>
        <w:spacing w:line="360" w:lineRule="auto"/>
        <w:ind w:firstLine="1080" w:firstLineChars="450"/>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 xml:space="preserve">C：污水处理厂的无机絮凝剂使用总量，吨/年，本项目为2.92吨/年； </w:t>
      </w:r>
    </w:p>
    <w:p>
      <w:pPr>
        <w:spacing w:line="360" w:lineRule="auto"/>
        <w:ind w:firstLine="1080" w:firstLineChars="450"/>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r：进水悬浮物浓度修正系数，无量纲，项目进水浓度为240mg/L，取值为1.6。</w:t>
      </w:r>
    </w:p>
    <w:p>
      <w:pPr>
        <w:spacing w:line="360" w:lineRule="auto"/>
        <w:ind w:firstLine="480" w:firstLineChars="200"/>
        <w:rPr>
          <w:rFonts w:hint="eastAsia"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经过以上公式计算，本项目污水处理厂的含水率为污泥为:5987.2吨/年</w:t>
      </w:r>
      <w:r>
        <w:rPr>
          <w:rFonts w:hint="eastAsia" w:cs="Times New Roman"/>
          <w:color w:val="000000" w:themeColor="text1"/>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pPr>
      <w:r>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根据环保部《关于污（废）水处理设施产生污泥危险特性鉴别有关意见的函》（环函【2010】129号），“三、以处理生活污水为主要功能的公共污水处理厂，若接收、处理工业废水、且该工业废水在排入公共污水处理系统前能稳定达到国家或地方规定的污染物排放标准，公共污水处理厂的污泥可按照第一条的规定进行管理。（第一条、单纯用于处理城镇生活污水的公共污水处理厂，其产生的污泥通常情况下不具有危险特征，可作为一般固体废物管理）”，因为本项目桥东污水处理厂主要接纳城东8.4km范围内居民生活废水和石伏工业园工业废水，其中桥东片区的生活污水约占80%，石伏工业园的工业废水约占20%。石伏工业园目前已排入桥东污水处理厂处理的企业有湖南喜多多食品有限公司、华润雪花啤酒（湖南）有限公司、岳阳宝丽纺织有限公司和华容大宏生猪交易有限公司根据表2.3-4可知，排放的废水的污染因子中无有毒有害成分。石伏工业园区的企业也主要以棉花加工的纺织产业为主（服装不含水洗工序），配套发展服装等下游产业，并选择现代物流等子行业为发展的重点，不涉及对环境有严重污染的企业。</w:t>
      </w:r>
      <w:r>
        <w:rPr>
          <w:rFonts w:hint="eastAsia"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并且已</w:t>
      </w:r>
      <w:r>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规定本桥东污水处理厂不得接入印染类的企业废水和涉及重金属排放的企业废水</w:t>
      </w:r>
      <w:r>
        <w:rPr>
          <w:rFonts w:hint="eastAsia"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。根据表4.1-11桥东污水处理厂出口达标情况分析一览表可知，桥东污水处理厂出口水质可满足《城镇污水处理厂污染物排放标准》（GB18918-2002）一级A标准限值要求。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pPr>
      <w:r>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所以本项目符合</w:t>
      </w:r>
      <w:r>
        <w:rPr>
          <w:rFonts w:hint="default" w:ascii="Times New Roman" w:hAnsi="Times New Roman" w:cs="Times New Roman"/>
          <w:color w:val="0070C0"/>
          <w:u w:val="single"/>
          <w:lang w:val="en-US" w:eastAsia="zh-CN"/>
        </w:rPr>
        <w:t>环保部《关于污（废）水处理设施产生污泥危险特性鉴别有关意见的函》（环函【2010】129号）的第三条规范要求。</w:t>
      </w:r>
      <w:r>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则桥东污水处理厂产生的污泥和栅渣可不需要进行污泥浸出毒性实验，对其污泥可作为一般固体废物管理。如</w:t>
      </w:r>
      <w:r>
        <w:rPr>
          <w:rFonts w:hint="eastAsia"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以后</w:t>
      </w:r>
      <w:r>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桥东污水处理厂以后有接收工业企业排放的废水有涉及有毒有害成分的，则需对其污泥按照《国家危险废物名录》、国家环境保护标准《危险废物鉴别技术规范》（HJ/T298-2007）和危险废物鉴别标准的规定，建设单位需请具有危险废物鉴别资质的单位对污泥、格栅进行鉴别，根据鉴别结果：</w:t>
      </w:r>
      <w:r>
        <w:rPr>
          <w:rFonts w:hint="default" w:ascii="Times New Roman" w:hAnsi="Times New Roman" w:eastAsia="宋体" w:cs="Times New Roman"/>
          <w:color w:val="0070C0"/>
          <w:u w:val="single"/>
          <w:lang w:val="en-US" w:eastAsia="zh-CN"/>
          <w14:textFill>
            <w14:gradFill>
              <w14:gsLst>
                <w14:gs w14:pos="0">
                  <w14:srgbClr w14:val="007BD3"/>
                </w14:gs>
                <w14:gs w14:pos="100000">
                  <w14:srgbClr w14:val="034373"/>
                </w14:gs>
              </w14:gsLst>
              <w14:lin w14:scaled="0"/>
            </w14:gradFill>
          </w14:textFill>
        </w:rPr>
        <w:t>①</w:t>
      </w:r>
      <w:r>
        <w:rPr>
          <w:rFonts w:hint="default" w:ascii="Times New Roman" w:hAnsi="Times New Roman" w:cs="Times New Roman"/>
          <w:color w:val="0070C0"/>
          <w:u w:val="single"/>
          <w:lang w:val="en-US" w:eastAsia="zh-CN"/>
          <w14:textFill>
            <w14:gradFill>
              <w14:gsLst>
                <w14:gs w14:pos="0">
                  <w14:srgbClr w14:val="007BD3"/>
                </w14:gs>
                <w14:gs w14:pos="100000">
                  <w14:srgbClr w14:val="034373"/>
                </w14:gs>
              </w14:gsLst>
              <w14:lin w14:scaled="0"/>
            </w14:gradFill>
          </w14:textFill>
        </w:rPr>
        <w:t>如不属于危险废物，可按照一般固废处置方式对污泥进行处理处置，可交由当地环卫部门在满足填埋条件后安全填埋。</w:t>
      </w:r>
      <w:r>
        <w:rPr>
          <w:rFonts w:hint="default" w:ascii="Times New Roman" w:hAnsi="Times New Roman" w:eastAsia="宋体" w:cs="Times New Roman"/>
          <w:color w:val="0070C0"/>
          <w:u w:val="single"/>
          <w:lang w:val="en-US" w:eastAsia="zh-CN"/>
          <w14:textFill>
            <w14:gradFill>
              <w14:gsLst>
                <w14:gs w14:pos="0">
                  <w14:srgbClr w14:val="007BD3"/>
                </w14:gs>
                <w14:gs w14:pos="100000">
                  <w14:srgbClr w14:val="034373"/>
                </w14:gs>
              </w14:gsLst>
              <w14:lin w14:scaled="0"/>
            </w14:gradFill>
          </w14:textFill>
        </w:rPr>
        <w:t>②如经检测属于危险废物，则需将污泥交由相应处理处置危险废物资质的单位处理处置。根据《关于加强城镇污水处理厂污泥污染防治工作的通知》（环办【2010】157号）中相关规定：污水处理厂以贮存（即不处理处置）为目的将污泥运出厂界的，必须将污泥脱水至含水率50%以下。</w:t>
      </w:r>
    </w:p>
    <w:p>
      <w:pPr>
        <w:keepNext w:val="0"/>
        <w:keepLines w:val="0"/>
        <w:pageBreakBefore w:val="0"/>
        <w:widowControl/>
        <w:kinsoku/>
        <w:wordWrap/>
        <w:overflowPunct/>
        <w:topLinePunct w:val="0"/>
        <w:autoSpaceDE/>
        <w:autoSpaceDN/>
        <w:bidi w:val="0"/>
        <w:adjustRightInd/>
        <w:snapToGrid/>
        <w:spacing w:line="360" w:lineRule="auto"/>
        <w:ind w:right="120" w:rightChars="50" w:firstLine="480" w:firstLineChars="200"/>
        <w:jc w:val="left"/>
        <w:textAlignment w:val="auto"/>
        <w:rPr>
          <w:rFonts w:hint="eastAsia" w:asciiTheme="minorEastAsia" w:hAnsiTheme="minorEastAsia"/>
          <w:u w:val="single"/>
          <w:lang w:eastAsia="zh-CN"/>
        </w:rPr>
      </w:pPr>
      <w:r>
        <w:rPr>
          <w:rFonts w:hint="eastAsia" w:asciiTheme="minorEastAsia" w:hAnsiTheme="minorEastAsia"/>
          <w:u w:val="single"/>
        </w:rPr>
        <w:t>③</w:t>
      </w:r>
      <w:r>
        <w:rPr>
          <w:rFonts w:hint="eastAsia" w:cs="Times New Roman"/>
          <w:szCs w:val="24"/>
          <w:u w:val="single"/>
          <w:lang w:eastAsia="zh-CN"/>
        </w:rPr>
        <w:t>废生物填料</w:t>
      </w:r>
      <w:bookmarkStart w:id="348" w:name="_GoBack"/>
      <w:bookmarkEnd w:id="348"/>
    </w:p>
    <w:p>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eastAsiaTheme="minorEastAsia"/>
          <w:b w:val="0"/>
          <w:bCs w:val="0"/>
          <w:color w:val="000000" w:themeColor="text1"/>
          <w:kern w:val="2"/>
          <w:sz w:val="24"/>
          <w:szCs w:val="21"/>
          <w:u w:val="single"/>
          <w:lang w:val="en-US" w:eastAsia="zh-CN" w:bidi="ar-SA"/>
        </w:rPr>
      </w:pPr>
      <w:r>
        <w:rPr>
          <w:rFonts w:hint="eastAsia" w:cs="Times New Roman" w:eastAsiaTheme="minorEastAsia"/>
          <w:b w:val="0"/>
          <w:bCs w:val="0"/>
          <w:color w:val="000000" w:themeColor="text1"/>
          <w:kern w:val="2"/>
          <w:sz w:val="24"/>
          <w:szCs w:val="21"/>
          <w:u w:val="single"/>
          <w:lang w:val="en-US" w:eastAsia="zh-CN" w:bidi="ar-SA"/>
        </w:rPr>
        <w:t>根据业主提供的资料可知，废气除臭装置中的废生物填料每年更换1t，更换之后的废生物填料根污泥一起委托有资质的单位进行处理。</w:t>
      </w:r>
    </w:p>
    <w:p>
      <w:pPr>
        <w:pStyle w:val="14"/>
        <w:spacing w:line="240" w:lineRule="auto"/>
        <w:rPr>
          <w:rFonts w:cs="Times New Roman"/>
          <w:color w:val="000000" w:themeColor="text1"/>
          <w:szCs w:val="24"/>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2.4</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6</w:t>
      </w:r>
      <w:r>
        <w:rPr>
          <w:color w:val="000000" w:themeColor="text1"/>
        </w:rPr>
        <w:fldChar w:fldCharType="end"/>
      </w:r>
      <w:r>
        <w:rPr>
          <w:rFonts w:hint="eastAsia" w:cs="Times New Roman"/>
          <w:color w:val="000000" w:themeColor="text1"/>
          <w:szCs w:val="24"/>
        </w:rPr>
        <w:t xml:space="preserve">  本项目固体废物产生处置情况表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518"/>
        <w:gridCol w:w="1447"/>
        <w:gridCol w:w="2943"/>
        <w:gridCol w:w="1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0" w:type="dxa"/>
            <w:tcBorders>
              <w:tl2br w:val="nil"/>
              <w:tr2bl w:val="nil"/>
            </w:tcBorders>
            <w:vAlign w:val="center"/>
          </w:tcPr>
          <w:p>
            <w:pPr>
              <w:pStyle w:val="122"/>
              <w:rPr>
                <w:color w:val="000000"/>
                <w:u w:val="single"/>
              </w:rPr>
            </w:pPr>
            <w:r>
              <w:rPr>
                <w:color w:val="000000"/>
                <w:u w:val="single"/>
              </w:rPr>
              <w:t>固废类型</w:t>
            </w:r>
          </w:p>
        </w:tc>
        <w:tc>
          <w:tcPr>
            <w:tcW w:w="1518" w:type="dxa"/>
            <w:tcBorders>
              <w:tl2br w:val="nil"/>
              <w:tr2bl w:val="nil"/>
            </w:tcBorders>
            <w:vAlign w:val="center"/>
          </w:tcPr>
          <w:p>
            <w:pPr>
              <w:pStyle w:val="122"/>
              <w:rPr>
                <w:color w:val="000000"/>
                <w:u w:val="single"/>
              </w:rPr>
            </w:pPr>
            <w:r>
              <w:rPr>
                <w:color w:val="000000"/>
                <w:u w:val="single"/>
              </w:rPr>
              <w:t>性质</w:t>
            </w:r>
          </w:p>
        </w:tc>
        <w:tc>
          <w:tcPr>
            <w:tcW w:w="1447" w:type="dxa"/>
            <w:tcBorders>
              <w:tl2br w:val="nil"/>
              <w:tr2bl w:val="nil"/>
            </w:tcBorders>
            <w:vAlign w:val="center"/>
          </w:tcPr>
          <w:p>
            <w:pPr>
              <w:pStyle w:val="122"/>
              <w:rPr>
                <w:color w:val="000000"/>
                <w:u w:val="single"/>
              </w:rPr>
            </w:pPr>
            <w:r>
              <w:rPr>
                <w:color w:val="000000"/>
                <w:u w:val="single"/>
              </w:rPr>
              <w:t>产生量</w:t>
            </w:r>
          </w:p>
        </w:tc>
        <w:tc>
          <w:tcPr>
            <w:tcW w:w="2943" w:type="dxa"/>
            <w:tcBorders>
              <w:tl2br w:val="nil"/>
              <w:tr2bl w:val="nil"/>
            </w:tcBorders>
            <w:vAlign w:val="center"/>
          </w:tcPr>
          <w:p>
            <w:pPr>
              <w:pStyle w:val="122"/>
              <w:rPr>
                <w:color w:val="000000"/>
                <w:u w:val="single"/>
              </w:rPr>
            </w:pPr>
            <w:r>
              <w:rPr>
                <w:color w:val="000000"/>
                <w:u w:val="single"/>
              </w:rPr>
              <w:t>处置措施</w:t>
            </w:r>
          </w:p>
        </w:tc>
        <w:tc>
          <w:tcPr>
            <w:tcW w:w="1164" w:type="dxa"/>
            <w:tcBorders>
              <w:tl2br w:val="nil"/>
              <w:tr2bl w:val="nil"/>
            </w:tcBorders>
            <w:vAlign w:val="center"/>
          </w:tcPr>
          <w:p>
            <w:pPr>
              <w:pStyle w:val="122"/>
              <w:rPr>
                <w:color w:val="000000"/>
                <w:u w:val="single"/>
              </w:rPr>
            </w:pPr>
            <w:r>
              <w:rPr>
                <w:color w:val="000000"/>
                <w:u w:val="singl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170" w:type="dxa"/>
            <w:tcBorders>
              <w:tl2br w:val="nil"/>
              <w:tr2bl w:val="nil"/>
            </w:tcBorders>
            <w:vAlign w:val="center"/>
          </w:tcPr>
          <w:p>
            <w:pPr>
              <w:pStyle w:val="122"/>
              <w:rPr>
                <w:color w:val="000000"/>
                <w:u w:val="single"/>
              </w:rPr>
            </w:pPr>
            <w:r>
              <w:rPr>
                <w:rFonts w:hint="eastAsia"/>
                <w:color w:val="000000"/>
                <w:u w:val="single"/>
              </w:rPr>
              <w:t>沉砂</w:t>
            </w:r>
          </w:p>
        </w:tc>
        <w:tc>
          <w:tcPr>
            <w:tcW w:w="1518" w:type="dxa"/>
            <w:tcBorders>
              <w:tl2br w:val="nil"/>
              <w:tr2bl w:val="nil"/>
            </w:tcBorders>
            <w:vAlign w:val="center"/>
          </w:tcPr>
          <w:p>
            <w:pPr>
              <w:pStyle w:val="122"/>
              <w:rPr>
                <w:color w:val="000000"/>
                <w:u w:val="single"/>
              </w:rPr>
            </w:pPr>
            <w:r>
              <w:rPr>
                <w:color w:val="000000"/>
                <w:u w:val="single"/>
              </w:rPr>
              <w:t>一般固废</w:t>
            </w:r>
          </w:p>
        </w:tc>
        <w:tc>
          <w:tcPr>
            <w:tcW w:w="1447" w:type="dxa"/>
            <w:tcBorders>
              <w:tl2br w:val="nil"/>
              <w:tr2bl w:val="nil"/>
            </w:tcBorders>
            <w:vAlign w:val="center"/>
          </w:tcPr>
          <w:p>
            <w:pPr>
              <w:pStyle w:val="122"/>
              <w:rPr>
                <w:color w:val="000000"/>
                <w:u w:val="single"/>
              </w:rPr>
            </w:pPr>
            <w:r>
              <w:rPr>
                <w:rFonts w:hint="eastAsia"/>
                <w:color w:val="000000"/>
                <w:u w:val="single"/>
              </w:rPr>
              <w:t>0.6t/a</w:t>
            </w:r>
          </w:p>
        </w:tc>
        <w:tc>
          <w:tcPr>
            <w:tcW w:w="2943" w:type="dxa"/>
            <w:vMerge w:val="restart"/>
            <w:tcBorders>
              <w:tl2br w:val="nil"/>
              <w:tr2bl w:val="nil"/>
            </w:tcBorders>
            <w:vAlign w:val="center"/>
          </w:tcPr>
          <w:p>
            <w:pPr>
              <w:pStyle w:val="122"/>
              <w:rPr>
                <w:rFonts w:hint="eastAsia" w:eastAsia="宋体"/>
                <w:color w:val="000000"/>
                <w:u w:val="single"/>
                <w:lang w:eastAsia="zh-CN"/>
              </w:rPr>
            </w:pPr>
            <w:r>
              <w:rPr>
                <w:rFonts w:hint="eastAsia"/>
                <w:u w:val="single"/>
              </w:rPr>
              <w:t>通过高压板框压榨机脱水处理后（含水率</w:t>
            </w:r>
            <w:r>
              <w:rPr>
                <w:u w:val="single"/>
              </w:rPr>
              <w:t>≤60</w:t>
            </w:r>
            <w:r>
              <w:rPr>
                <w:rFonts w:hint="eastAsia"/>
                <w:u w:val="single"/>
              </w:rPr>
              <w:t>%），收集后委托资质单位处理</w:t>
            </w:r>
            <w:r>
              <w:rPr>
                <w:rFonts w:hint="eastAsia"/>
                <w:u w:val="single"/>
                <w:lang w:eastAsia="zh-CN"/>
              </w:rPr>
              <w:t>。</w:t>
            </w:r>
          </w:p>
        </w:tc>
        <w:tc>
          <w:tcPr>
            <w:tcW w:w="1164" w:type="dxa"/>
            <w:vMerge w:val="restart"/>
            <w:tcBorders>
              <w:tl2br w:val="nil"/>
              <w:tr2bl w:val="nil"/>
            </w:tcBorders>
            <w:vAlign w:val="center"/>
          </w:tcPr>
          <w:p>
            <w:pPr>
              <w:pStyle w:val="122"/>
              <w:rPr>
                <w:color w:val="000000"/>
                <w:u w:val="single"/>
              </w:rPr>
            </w:pPr>
            <w:r>
              <w:rPr>
                <w:color w:val="000000"/>
                <w:u w:val="single"/>
              </w:rPr>
              <w:t>无害化处置达到环保要求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2170" w:type="dxa"/>
            <w:tcBorders>
              <w:tl2br w:val="nil"/>
              <w:tr2bl w:val="nil"/>
            </w:tcBorders>
            <w:vAlign w:val="center"/>
          </w:tcPr>
          <w:p>
            <w:pPr>
              <w:pStyle w:val="122"/>
              <w:rPr>
                <w:color w:val="000000"/>
                <w:u w:val="single"/>
              </w:rPr>
            </w:pPr>
            <w:r>
              <w:rPr>
                <w:rFonts w:hint="eastAsia"/>
                <w:color w:val="000000"/>
                <w:u w:val="single"/>
              </w:rPr>
              <w:t>污泥</w:t>
            </w:r>
          </w:p>
        </w:tc>
        <w:tc>
          <w:tcPr>
            <w:tcW w:w="1518" w:type="dxa"/>
            <w:tcBorders>
              <w:tl2br w:val="nil"/>
              <w:tr2bl w:val="nil"/>
            </w:tcBorders>
            <w:vAlign w:val="center"/>
          </w:tcPr>
          <w:p>
            <w:pPr>
              <w:pStyle w:val="122"/>
              <w:rPr>
                <w:color w:val="000000"/>
                <w:u w:val="single"/>
              </w:rPr>
            </w:pPr>
            <w:r>
              <w:rPr>
                <w:color w:val="000000"/>
                <w:u w:val="single"/>
              </w:rPr>
              <w:t>一般固废</w:t>
            </w:r>
          </w:p>
        </w:tc>
        <w:tc>
          <w:tcPr>
            <w:tcW w:w="1447" w:type="dxa"/>
            <w:tcBorders>
              <w:tl2br w:val="nil"/>
              <w:tr2bl w:val="nil"/>
            </w:tcBorders>
            <w:vAlign w:val="center"/>
          </w:tcPr>
          <w:p>
            <w:pPr>
              <w:pStyle w:val="122"/>
              <w:rPr>
                <w:color w:val="000000"/>
                <w:u w:val="single"/>
              </w:rPr>
            </w:pPr>
            <w:r>
              <w:rPr>
                <w:rFonts w:hint="eastAsia"/>
                <w:color w:val="000000"/>
                <w:u w:val="single"/>
              </w:rPr>
              <w:t>5987.2</w:t>
            </w:r>
            <w:r>
              <w:rPr>
                <w:color w:val="000000"/>
                <w:u w:val="single"/>
              </w:rPr>
              <w:t>t/a</w:t>
            </w:r>
          </w:p>
        </w:tc>
        <w:tc>
          <w:tcPr>
            <w:tcW w:w="2943" w:type="dxa"/>
            <w:vMerge w:val="continue"/>
            <w:tcBorders>
              <w:tl2br w:val="nil"/>
              <w:tr2bl w:val="nil"/>
            </w:tcBorders>
            <w:vAlign w:val="center"/>
          </w:tcPr>
          <w:p>
            <w:pPr>
              <w:pStyle w:val="122"/>
              <w:rPr>
                <w:color w:val="000000"/>
                <w:u w:val="single"/>
              </w:rPr>
            </w:pPr>
          </w:p>
        </w:tc>
        <w:tc>
          <w:tcPr>
            <w:tcW w:w="1164" w:type="dxa"/>
            <w:vMerge w:val="continue"/>
            <w:tcBorders>
              <w:tl2br w:val="nil"/>
              <w:tr2bl w:val="nil"/>
            </w:tcBorders>
            <w:vAlign w:val="center"/>
          </w:tcPr>
          <w:p>
            <w:pPr>
              <w:snapToGrid w:val="0"/>
              <w:spacing w:before="62" w:after="109"/>
              <w:rPr>
                <w:color w:val="00000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170" w:type="dxa"/>
            <w:tcBorders>
              <w:tl2br w:val="nil"/>
              <w:tr2bl w:val="nil"/>
            </w:tcBorders>
            <w:vAlign w:val="center"/>
          </w:tcPr>
          <w:p>
            <w:pPr>
              <w:pStyle w:val="122"/>
              <w:rPr>
                <w:color w:val="000000"/>
                <w:u w:val="single"/>
              </w:rPr>
            </w:pPr>
            <w:r>
              <w:rPr>
                <w:rFonts w:hint="eastAsia"/>
                <w:color w:val="000000"/>
                <w:u w:val="single"/>
              </w:rPr>
              <w:t>栅渣</w:t>
            </w:r>
          </w:p>
        </w:tc>
        <w:tc>
          <w:tcPr>
            <w:tcW w:w="1518" w:type="dxa"/>
            <w:tcBorders>
              <w:tl2br w:val="nil"/>
              <w:tr2bl w:val="nil"/>
            </w:tcBorders>
            <w:vAlign w:val="center"/>
          </w:tcPr>
          <w:p>
            <w:pPr>
              <w:pStyle w:val="122"/>
              <w:rPr>
                <w:color w:val="000000"/>
                <w:u w:val="single"/>
              </w:rPr>
            </w:pPr>
            <w:r>
              <w:rPr>
                <w:color w:val="000000"/>
                <w:u w:val="single"/>
              </w:rPr>
              <w:t>一般固废</w:t>
            </w:r>
          </w:p>
        </w:tc>
        <w:tc>
          <w:tcPr>
            <w:tcW w:w="1447" w:type="dxa"/>
            <w:tcBorders>
              <w:tl2br w:val="nil"/>
              <w:tr2bl w:val="nil"/>
            </w:tcBorders>
            <w:vAlign w:val="center"/>
          </w:tcPr>
          <w:p>
            <w:pPr>
              <w:pStyle w:val="122"/>
              <w:rPr>
                <w:color w:val="000000"/>
                <w:u w:val="single"/>
              </w:rPr>
            </w:pPr>
            <w:r>
              <w:rPr>
                <w:rFonts w:hint="eastAsia"/>
                <w:u w:val="single"/>
              </w:rPr>
              <w:t>2</w:t>
            </w:r>
            <w:r>
              <w:rPr>
                <w:u w:val="single"/>
              </w:rPr>
              <w:t>t/a</w:t>
            </w:r>
          </w:p>
        </w:tc>
        <w:tc>
          <w:tcPr>
            <w:tcW w:w="2943" w:type="dxa"/>
            <w:vMerge w:val="continue"/>
            <w:tcBorders>
              <w:tl2br w:val="nil"/>
              <w:tr2bl w:val="nil"/>
            </w:tcBorders>
            <w:vAlign w:val="center"/>
          </w:tcPr>
          <w:p>
            <w:pPr>
              <w:pStyle w:val="122"/>
              <w:rPr>
                <w:color w:val="000000"/>
                <w:u w:val="single"/>
              </w:rPr>
            </w:pPr>
          </w:p>
        </w:tc>
        <w:tc>
          <w:tcPr>
            <w:tcW w:w="1164" w:type="dxa"/>
            <w:vMerge w:val="continue"/>
            <w:tcBorders>
              <w:tl2br w:val="nil"/>
              <w:tr2bl w:val="nil"/>
            </w:tcBorders>
            <w:vAlign w:val="center"/>
          </w:tcPr>
          <w:p>
            <w:pPr>
              <w:snapToGrid w:val="0"/>
              <w:spacing w:before="62" w:after="109"/>
              <w:rPr>
                <w:color w:val="00000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170" w:type="dxa"/>
            <w:tcBorders>
              <w:tl2br w:val="nil"/>
              <w:tr2bl w:val="nil"/>
            </w:tcBorders>
            <w:vAlign w:val="center"/>
          </w:tcPr>
          <w:p>
            <w:pPr>
              <w:pStyle w:val="122"/>
              <w:rPr>
                <w:rFonts w:hint="eastAsia" w:eastAsia="宋体"/>
                <w:color w:val="000000"/>
                <w:u w:val="single"/>
                <w:lang w:eastAsia="zh-CN"/>
              </w:rPr>
            </w:pPr>
            <w:r>
              <w:rPr>
                <w:rFonts w:hint="eastAsia"/>
                <w:color w:val="000000"/>
                <w:u w:val="single"/>
                <w:lang w:eastAsia="zh-CN"/>
              </w:rPr>
              <w:t>废生物除臭填料</w:t>
            </w:r>
          </w:p>
        </w:tc>
        <w:tc>
          <w:tcPr>
            <w:tcW w:w="1518" w:type="dxa"/>
            <w:tcBorders>
              <w:tl2br w:val="nil"/>
              <w:tr2bl w:val="nil"/>
            </w:tcBorders>
            <w:vAlign w:val="center"/>
          </w:tcPr>
          <w:p>
            <w:pPr>
              <w:pStyle w:val="122"/>
              <w:rPr>
                <w:color w:val="000000"/>
                <w:u w:val="single"/>
              </w:rPr>
            </w:pPr>
            <w:r>
              <w:rPr>
                <w:color w:val="000000"/>
                <w:u w:val="single"/>
              </w:rPr>
              <w:t>一般固废</w:t>
            </w:r>
          </w:p>
        </w:tc>
        <w:tc>
          <w:tcPr>
            <w:tcW w:w="1447" w:type="dxa"/>
            <w:tcBorders>
              <w:tl2br w:val="nil"/>
              <w:tr2bl w:val="nil"/>
            </w:tcBorders>
            <w:vAlign w:val="center"/>
          </w:tcPr>
          <w:p>
            <w:pPr>
              <w:pStyle w:val="122"/>
              <w:rPr>
                <w:rFonts w:hint="default" w:eastAsia="宋体"/>
                <w:u w:val="single"/>
                <w:lang w:val="en-US" w:eastAsia="zh-CN"/>
              </w:rPr>
            </w:pPr>
            <w:r>
              <w:rPr>
                <w:rFonts w:hint="eastAsia"/>
                <w:u w:val="single"/>
                <w:lang w:val="en-US" w:eastAsia="zh-CN"/>
              </w:rPr>
              <w:t>1t/a</w:t>
            </w:r>
          </w:p>
        </w:tc>
        <w:tc>
          <w:tcPr>
            <w:tcW w:w="2943" w:type="dxa"/>
            <w:vMerge w:val="continue"/>
            <w:tcBorders>
              <w:tl2br w:val="nil"/>
              <w:tr2bl w:val="nil"/>
            </w:tcBorders>
            <w:vAlign w:val="center"/>
          </w:tcPr>
          <w:p>
            <w:pPr>
              <w:pStyle w:val="122"/>
              <w:rPr>
                <w:color w:val="000000"/>
                <w:u w:val="single"/>
              </w:rPr>
            </w:pPr>
          </w:p>
        </w:tc>
        <w:tc>
          <w:tcPr>
            <w:tcW w:w="1164" w:type="dxa"/>
            <w:vMerge w:val="continue"/>
            <w:tcBorders>
              <w:tl2br w:val="nil"/>
              <w:tr2bl w:val="nil"/>
            </w:tcBorders>
            <w:vAlign w:val="center"/>
          </w:tcPr>
          <w:p>
            <w:pPr>
              <w:snapToGrid w:val="0"/>
              <w:spacing w:before="62" w:after="109"/>
              <w:rPr>
                <w:color w:val="00000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0" w:type="dxa"/>
            <w:tcBorders>
              <w:tl2br w:val="nil"/>
              <w:tr2bl w:val="nil"/>
            </w:tcBorders>
            <w:vAlign w:val="center"/>
          </w:tcPr>
          <w:p>
            <w:pPr>
              <w:pStyle w:val="122"/>
              <w:rPr>
                <w:color w:val="000000"/>
                <w:u w:val="single"/>
              </w:rPr>
            </w:pPr>
            <w:r>
              <w:rPr>
                <w:color w:val="000000"/>
                <w:u w:val="single"/>
              </w:rPr>
              <w:t>生活垃圾</w:t>
            </w:r>
          </w:p>
        </w:tc>
        <w:tc>
          <w:tcPr>
            <w:tcW w:w="1518" w:type="dxa"/>
            <w:tcBorders>
              <w:tl2br w:val="nil"/>
              <w:tr2bl w:val="nil"/>
            </w:tcBorders>
            <w:vAlign w:val="center"/>
          </w:tcPr>
          <w:p>
            <w:pPr>
              <w:pStyle w:val="122"/>
              <w:rPr>
                <w:color w:val="000000"/>
                <w:u w:val="single"/>
              </w:rPr>
            </w:pPr>
            <w:r>
              <w:rPr>
                <w:color w:val="000000"/>
                <w:u w:val="single"/>
              </w:rPr>
              <w:t>一般固废</w:t>
            </w:r>
          </w:p>
        </w:tc>
        <w:tc>
          <w:tcPr>
            <w:tcW w:w="1447" w:type="dxa"/>
            <w:tcBorders>
              <w:tl2br w:val="nil"/>
              <w:tr2bl w:val="nil"/>
            </w:tcBorders>
            <w:vAlign w:val="center"/>
          </w:tcPr>
          <w:p>
            <w:pPr>
              <w:pStyle w:val="122"/>
              <w:rPr>
                <w:color w:val="000000"/>
                <w:u w:val="single"/>
              </w:rPr>
            </w:pPr>
            <w:r>
              <w:rPr>
                <w:rFonts w:hint="eastAsia"/>
                <w:color w:val="000000"/>
                <w:u w:val="single"/>
              </w:rPr>
              <w:t>6.96</w:t>
            </w:r>
            <w:r>
              <w:rPr>
                <w:color w:val="000000"/>
                <w:u w:val="single"/>
              </w:rPr>
              <w:t>t/a</w:t>
            </w:r>
          </w:p>
        </w:tc>
        <w:tc>
          <w:tcPr>
            <w:tcW w:w="2943" w:type="dxa"/>
            <w:tcBorders>
              <w:tl2br w:val="nil"/>
              <w:tr2bl w:val="nil"/>
            </w:tcBorders>
            <w:vAlign w:val="center"/>
          </w:tcPr>
          <w:p>
            <w:pPr>
              <w:pStyle w:val="122"/>
              <w:rPr>
                <w:color w:val="000000"/>
                <w:u w:val="single"/>
              </w:rPr>
            </w:pPr>
            <w:r>
              <w:rPr>
                <w:color w:val="000000"/>
                <w:u w:val="single"/>
              </w:rPr>
              <w:t>定期交由环卫处理</w:t>
            </w:r>
          </w:p>
        </w:tc>
        <w:tc>
          <w:tcPr>
            <w:tcW w:w="1164" w:type="dxa"/>
            <w:vMerge w:val="continue"/>
            <w:tcBorders>
              <w:tl2br w:val="nil"/>
              <w:tr2bl w:val="nil"/>
            </w:tcBorders>
            <w:vAlign w:val="center"/>
          </w:tcPr>
          <w:p>
            <w:pPr>
              <w:snapToGrid w:val="0"/>
              <w:spacing w:before="62" w:after="109"/>
              <w:rPr>
                <w:color w:val="000000"/>
                <w:sz w:val="21"/>
              </w:rPr>
            </w:pPr>
          </w:p>
        </w:tc>
      </w:tr>
    </w:tbl>
    <w:p>
      <w:pPr>
        <w:pStyle w:val="5"/>
      </w:pPr>
      <w:r>
        <w:rPr>
          <w:rFonts w:hint="eastAsia"/>
        </w:rPr>
        <w:t>管网营运期污染物排放情况</w:t>
      </w:r>
    </w:p>
    <w:p>
      <w:pPr>
        <w:spacing w:line="360" w:lineRule="auto"/>
        <w:ind w:firstLine="480" w:firstLineChars="200"/>
      </w:pPr>
      <w:r>
        <w:rPr>
          <w:rFonts w:hint="eastAsia"/>
        </w:rPr>
        <w:t>管网营运期无废水、废气、噪声、固体废物产生，因此本报告不对其进行分析。</w:t>
      </w:r>
    </w:p>
    <w:p>
      <w:pPr>
        <w:pStyle w:val="5"/>
      </w:pPr>
      <w:r>
        <w:t>污染源强统计</w:t>
      </w:r>
    </w:p>
    <w:p>
      <w:pPr>
        <w:spacing w:line="360" w:lineRule="auto"/>
        <w:ind w:firstLine="480" w:firstLineChars="200"/>
      </w:pPr>
      <w:r>
        <w:rPr>
          <w:rFonts w:hint="eastAsia"/>
        </w:rPr>
        <w:t>本项目运营期污染源排放汇总详见下表所示。</w:t>
      </w:r>
    </w:p>
    <w:p>
      <w:pPr>
        <w:jc w:val="center"/>
        <w:rPr>
          <w:b/>
        </w:rPr>
      </w:pPr>
      <w:r>
        <w:rPr>
          <w:rFonts w:hint="eastAsia"/>
          <w:b/>
        </w:rPr>
        <w:t>表</w:t>
      </w:r>
      <w:r>
        <w:rPr>
          <w:b/>
        </w:rPr>
        <w:fldChar w:fldCharType="begin"/>
      </w:r>
      <w:r>
        <w:rPr>
          <w:rFonts w:hint="eastAsia"/>
          <w:b/>
        </w:rPr>
        <w:instrText xml:space="preserve">STYLEREF 2 \s</w:instrText>
      </w:r>
      <w:r>
        <w:rPr>
          <w:b/>
        </w:rPr>
        <w:fldChar w:fldCharType="separate"/>
      </w:r>
      <w:r>
        <w:rPr>
          <w:b/>
        </w:rPr>
        <w:t>2.4</w:t>
      </w:r>
      <w:r>
        <w:rPr>
          <w:b/>
        </w:rPr>
        <w:fldChar w:fldCharType="end"/>
      </w:r>
      <w:r>
        <w:rPr>
          <w:b/>
        </w:rPr>
        <w:noBreakHyphen/>
      </w:r>
      <w:r>
        <w:rPr>
          <w:b/>
        </w:rPr>
        <w:fldChar w:fldCharType="begin"/>
      </w:r>
      <w:r>
        <w:rPr>
          <w:rFonts w:hint="eastAsia"/>
          <w:b/>
        </w:rPr>
        <w:instrText xml:space="preserve">SEQ 表 \* ARABIC \s 2</w:instrText>
      </w:r>
      <w:r>
        <w:rPr>
          <w:b/>
        </w:rPr>
        <w:fldChar w:fldCharType="separate"/>
      </w:r>
      <w:r>
        <w:rPr>
          <w:rFonts w:hint="eastAsia"/>
          <w:b/>
        </w:rPr>
        <w:t>7</w:t>
      </w:r>
      <w:r>
        <w:rPr>
          <w:b/>
        </w:rPr>
        <w:fldChar w:fldCharType="end"/>
      </w:r>
      <w:r>
        <w:rPr>
          <w:rFonts w:hint="eastAsia"/>
          <w:b/>
        </w:rPr>
        <w:t xml:space="preserve">  污染物排放情况汇总表   </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954"/>
        <w:gridCol w:w="895"/>
        <w:gridCol w:w="1848"/>
        <w:gridCol w:w="1848"/>
        <w:gridCol w:w="1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jc w:val="center"/>
              <w:rPr>
                <w:rFonts w:eastAsia="宋体" w:cs="Times New Roman"/>
                <w:color w:val="000000" w:themeColor="text1"/>
                <w:sz w:val="21"/>
              </w:rPr>
            </w:pPr>
            <w:r>
              <w:rPr>
                <w:rFonts w:eastAsia="宋体" w:cs="Times New Roman"/>
                <w:color w:val="000000" w:themeColor="text1"/>
                <w:sz w:val="21"/>
              </w:rPr>
              <w:t>污染类别</w:t>
            </w:r>
          </w:p>
        </w:tc>
        <w:tc>
          <w:tcPr>
            <w:tcW w:w="1849" w:type="dxa"/>
            <w:gridSpan w:val="2"/>
            <w:vAlign w:val="center"/>
          </w:tcPr>
          <w:p>
            <w:pPr>
              <w:jc w:val="center"/>
              <w:rPr>
                <w:rFonts w:eastAsia="宋体" w:cs="Times New Roman"/>
                <w:color w:val="000000" w:themeColor="text1"/>
                <w:sz w:val="21"/>
              </w:rPr>
            </w:pPr>
            <w:r>
              <w:rPr>
                <w:rFonts w:eastAsia="宋体" w:cs="Times New Roman"/>
                <w:color w:val="000000" w:themeColor="text1"/>
                <w:sz w:val="21"/>
              </w:rPr>
              <w:t>污染物名称</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产生量</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削减量</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restart"/>
            <w:vAlign w:val="center"/>
          </w:tcPr>
          <w:p>
            <w:pPr>
              <w:jc w:val="center"/>
              <w:rPr>
                <w:rFonts w:eastAsia="宋体" w:cs="Times New Roman"/>
                <w:color w:val="000000" w:themeColor="text1"/>
                <w:sz w:val="21"/>
              </w:rPr>
            </w:pPr>
            <w:r>
              <w:rPr>
                <w:rFonts w:eastAsia="宋体" w:cs="Times New Roman"/>
                <w:color w:val="000000" w:themeColor="text1"/>
                <w:sz w:val="21"/>
              </w:rPr>
              <w:t>废水</w:t>
            </w: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废水量</w:t>
            </w:r>
          </w:p>
        </w:tc>
        <w:tc>
          <w:tcPr>
            <w:tcW w:w="1848" w:type="dxa"/>
            <w:vAlign w:val="center"/>
          </w:tcPr>
          <w:p>
            <w:pPr>
              <w:pStyle w:val="122"/>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730</w:t>
            </w:r>
            <w:r>
              <w:rPr>
                <w:rFonts w:cs="Times New Roman"/>
                <w:color w:val="000000" w:themeColor="text1"/>
                <w:szCs w:val="21"/>
              </w:rPr>
              <w:t>0000</w:t>
            </w:r>
            <w:r>
              <w:rPr>
                <w:rFonts w:hint="eastAsia" w:cs="Times New Roman"/>
                <w:color w:val="000000" w:themeColor="text1"/>
                <w:szCs w:val="21"/>
                <w:lang w:val="en-US" w:eastAsia="zh-CN"/>
              </w:rPr>
              <w:t>t/a</w:t>
            </w:r>
          </w:p>
        </w:tc>
        <w:tc>
          <w:tcPr>
            <w:tcW w:w="1848" w:type="dxa"/>
            <w:vAlign w:val="center"/>
          </w:tcPr>
          <w:p>
            <w:pPr>
              <w:jc w:val="center"/>
              <w:rPr>
                <w:rFonts w:eastAsia="宋体" w:cs="Times New Roman"/>
                <w:color w:val="000000" w:themeColor="text1"/>
                <w:sz w:val="21"/>
              </w:rPr>
            </w:pPr>
            <w:r>
              <w:rPr>
                <w:rFonts w:hint="eastAsia" w:cs="Times New Roman"/>
                <w:color w:val="000000" w:themeColor="text1"/>
                <w:sz w:val="21"/>
                <w:lang w:val="en-US" w:eastAsia="zh-CN"/>
              </w:rPr>
              <w:t>6965920</w:t>
            </w:r>
            <w:r>
              <w:rPr>
                <w:rFonts w:hint="eastAsia" w:cs="Times New Roman"/>
                <w:color w:val="000000" w:themeColor="text1"/>
                <w:szCs w:val="21"/>
                <w:lang w:val="en-US" w:eastAsia="zh-CN"/>
              </w:rPr>
              <w:t>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334080回用于绿化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CODcr</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3066t/a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348.3t/a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2717.7t/a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BOD</w:t>
            </w:r>
            <w:r>
              <w:rPr>
                <w:rFonts w:cs="Times New Roman"/>
                <w:color w:val="000000" w:themeColor="text1"/>
                <w:szCs w:val="21"/>
                <w:vertAlign w:val="subscript"/>
              </w:rPr>
              <w:t>5</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1095t/a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69.7t/a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1025.3t/a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SS</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1752t/a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69.7t/a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1682.3t/a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r>
              <w:rPr>
                <w:rFonts w:cs="Times New Roman"/>
                <w:color w:val="000000" w:themeColor="text1"/>
                <w:szCs w:val="21"/>
              </w:rPr>
              <w:t>-N</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262.8t/a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55t/a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207.8t/a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TN</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335.8t/a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104.5t/a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231.3t/a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TP</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33.58t/a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3.5t/a</w:t>
            </w:r>
          </w:p>
        </w:tc>
        <w:tc>
          <w:tcPr>
            <w:tcW w:w="1848" w:type="dxa"/>
            <w:vAlign w:val="center"/>
          </w:tcPr>
          <w:p>
            <w:pPr>
              <w:pStyle w:val="122"/>
              <w:rPr>
                <w:rFonts w:hint="default" w:cs="Times New Roman"/>
                <w:color w:val="000000" w:themeColor="text1"/>
                <w:szCs w:val="21"/>
                <w:lang w:val="en-US"/>
              </w:rPr>
            </w:pPr>
            <w:r>
              <w:rPr>
                <w:rFonts w:hint="eastAsia" w:cs="Times New Roman"/>
                <w:color w:val="000000" w:themeColor="text1"/>
                <w:szCs w:val="21"/>
                <w:lang w:val="en-US" w:eastAsia="zh-CN"/>
              </w:rPr>
              <w:t xml:space="preserve">30.08t/a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restart"/>
            <w:vAlign w:val="center"/>
          </w:tcPr>
          <w:p>
            <w:pPr>
              <w:jc w:val="center"/>
              <w:rPr>
                <w:rFonts w:eastAsia="宋体" w:cs="Times New Roman"/>
                <w:color w:val="000000" w:themeColor="text1"/>
                <w:sz w:val="21"/>
              </w:rPr>
            </w:pPr>
            <w:r>
              <w:rPr>
                <w:rFonts w:eastAsia="宋体" w:cs="Times New Roman"/>
                <w:color w:val="000000" w:themeColor="text1"/>
                <w:sz w:val="21"/>
              </w:rPr>
              <w:t>废气</w:t>
            </w:r>
          </w:p>
        </w:tc>
        <w:tc>
          <w:tcPr>
            <w:tcW w:w="954" w:type="dxa"/>
            <w:vMerge w:val="restart"/>
            <w:vAlign w:val="center"/>
          </w:tcPr>
          <w:p>
            <w:pPr>
              <w:pStyle w:val="122"/>
              <w:rPr>
                <w:rFonts w:cs="Times New Roman"/>
                <w:color w:val="000000" w:themeColor="text1"/>
                <w:szCs w:val="21"/>
              </w:rPr>
            </w:pPr>
            <w:r>
              <w:rPr>
                <w:rFonts w:cs="Times New Roman"/>
                <w:color w:val="000000" w:themeColor="text1"/>
                <w:szCs w:val="21"/>
              </w:rPr>
              <w:t>有组织</w:t>
            </w:r>
          </w:p>
        </w:tc>
        <w:tc>
          <w:tcPr>
            <w:tcW w:w="895"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p>
        </w:tc>
        <w:tc>
          <w:tcPr>
            <w:tcW w:w="1848" w:type="dxa"/>
            <w:vAlign w:val="center"/>
          </w:tcPr>
          <w:p>
            <w:pPr>
              <w:pStyle w:val="122"/>
              <w:rPr>
                <w:rFonts w:cs="Times New Roman"/>
                <w:color w:val="000000" w:themeColor="text1"/>
                <w:szCs w:val="21"/>
              </w:rPr>
            </w:pPr>
            <w:r>
              <w:rPr>
                <w:rFonts w:cs="Times New Roman"/>
                <w:color w:val="000000" w:themeColor="text1"/>
                <w:szCs w:val="21"/>
              </w:rPr>
              <w:t xml:space="preserve">0.929kg/h </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0.79kg/h</w:t>
            </w:r>
          </w:p>
        </w:tc>
        <w:tc>
          <w:tcPr>
            <w:tcW w:w="1848" w:type="dxa"/>
            <w:vAlign w:val="center"/>
          </w:tcPr>
          <w:p>
            <w:pPr>
              <w:pStyle w:val="122"/>
              <w:rPr>
                <w:rFonts w:cs="Times New Roman"/>
                <w:color w:val="000000" w:themeColor="text1"/>
                <w:szCs w:val="21"/>
              </w:rPr>
            </w:pPr>
            <w:r>
              <w:rPr>
                <w:rFonts w:cs="Times New Roman"/>
                <w:color w:val="000000" w:themeColor="text1"/>
                <w:szCs w:val="21"/>
              </w:rPr>
              <w:t>0.139kg/h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954" w:type="dxa"/>
            <w:vMerge w:val="continue"/>
            <w:vAlign w:val="center"/>
          </w:tcPr>
          <w:p>
            <w:pPr>
              <w:pStyle w:val="122"/>
              <w:rPr>
                <w:rFonts w:cs="Times New Roman"/>
                <w:color w:val="000000" w:themeColor="text1"/>
                <w:szCs w:val="21"/>
              </w:rPr>
            </w:pPr>
          </w:p>
        </w:tc>
        <w:tc>
          <w:tcPr>
            <w:tcW w:w="895" w:type="dxa"/>
            <w:vAlign w:val="center"/>
          </w:tcPr>
          <w:p>
            <w:pPr>
              <w:pStyle w:val="122"/>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w:t>
            </w:r>
          </w:p>
        </w:tc>
        <w:tc>
          <w:tcPr>
            <w:tcW w:w="1848" w:type="dxa"/>
            <w:vAlign w:val="center"/>
          </w:tcPr>
          <w:p>
            <w:pPr>
              <w:pStyle w:val="122"/>
              <w:rPr>
                <w:rFonts w:cs="Times New Roman"/>
                <w:color w:val="000000" w:themeColor="text1"/>
                <w:szCs w:val="21"/>
              </w:rPr>
            </w:pPr>
            <w:r>
              <w:rPr>
                <w:rFonts w:cs="Times New Roman"/>
                <w:color w:val="000000" w:themeColor="text1"/>
                <w:szCs w:val="21"/>
              </w:rPr>
              <w:t>0.011kg/h</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0.0108kg/h</w:t>
            </w:r>
          </w:p>
        </w:tc>
        <w:tc>
          <w:tcPr>
            <w:tcW w:w="1848" w:type="dxa"/>
            <w:vAlign w:val="center"/>
          </w:tcPr>
          <w:p>
            <w:pPr>
              <w:pStyle w:val="122"/>
              <w:rPr>
                <w:rFonts w:cs="Times New Roman"/>
                <w:color w:val="000000" w:themeColor="text1"/>
                <w:szCs w:val="21"/>
              </w:rPr>
            </w:pPr>
            <w:r>
              <w:rPr>
                <w:rFonts w:cs="Times New Roman"/>
                <w:color w:val="000000" w:themeColor="text1"/>
                <w:szCs w:val="21"/>
              </w:rPr>
              <w:t>0.0002kg/h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954" w:type="dxa"/>
            <w:vMerge w:val="restart"/>
            <w:vAlign w:val="center"/>
          </w:tcPr>
          <w:p>
            <w:pPr>
              <w:pStyle w:val="122"/>
              <w:rPr>
                <w:rFonts w:cs="Times New Roman"/>
                <w:color w:val="000000" w:themeColor="text1"/>
                <w:szCs w:val="21"/>
              </w:rPr>
            </w:pPr>
            <w:r>
              <w:rPr>
                <w:rFonts w:cs="Times New Roman"/>
                <w:color w:val="000000" w:themeColor="text1"/>
                <w:szCs w:val="21"/>
              </w:rPr>
              <w:t>无组织</w:t>
            </w:r>
          </w:p>
        </w:tc>
        <w:tc>
          <w:tcPr>
            <w:tcW w:w="895" w:type="dxa"/>
            <w:vAlign w:val="center"/>
          </w:tcPr>
          <w:p>
            <w:pPr>
              <w:pStyle w:val="122"/>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p>
        </w:tc>
        <w:tc>
          <w:tcPr>
            <w:tcW w:w="1848" w:type="dxa"/>
            <w:vAlign w:val="center"/>
          </w:tcPr>
          <w:p>
            <w:pPr>
              <w:pStyle w:val="122"/>
              <w:rPr>
                <w:rFonts w:cs="Times New Roman"/>
                <w:color w:val="000000" w:themeColor="text1"/>
                <w:szCs w:val="21"/>
              </w:rPr>
            </w:pPr>
            <w:r>
              <w:rPr>
                <w:rFonts w:cs="Times New Roman"/>
                <w:color w:val="000000" w:themeColor="text1"/>
                <w:szCs w:val="21"/>
              </w:rPr>
              <w:t>0.093kg/h</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0.024kg/h</w:t>
            </w:r>
          </w:p>
        </w:tc>
        <w:tc>
          <w:tcPr>
            <w:tcW w:w="1848" w:type="dxa"/>
            <w:vAlign w:val="center"/>
          </w:tcPr>
          <w:p>
            <w:pPr>
              <w:pStyle w:val="122"/>
              <w:rPr>
                <w:rFonts w:cs="Times New Roman"/>
                <w:color w:val="000000" w:themeColor="text1"/>
                <w:szCs w:val="21"/>
              </w:rPr>
            </w:pPr>
            <w:r>
              <w:rPr>
                <w:rFonts w:cs="Times New Roman"/>
                <w:color w:val="000000" w:themeColor="text1"/>
                <w:szCs w:val="21"/>
              </w:rPr>
              <w:t>0.069kg/h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954" w:type="dxa"/>
            <w:vMerge w:val="continue"/>
            <w:vAlign w:val="center"/>
          </w:tcPr>
          <w:p>
            <w:pPr>
              <w:pStyle w:val="122"/>
              <w:rPr>
                <w:rFonts w:cs="Times New Roman"/>
                <w:color w:val="000000" w:themeColor="text1"/>
                <w:szCs w:val="21"/>
              </w:rPr>
            </w:pPr>
          </w:p>
        </w:tc>
        <w:tc>
          <w:tcPr>
            <w:tcW w:w="895" w:type="dxa"/>
            <w:vAlign w:val="center"/>
          </w:tcPr>
          <w:p>
            <w:pPr>
              <w:pStyle w:val="122"/>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w:t>
            </w:r>
          </w:p>
        </w:tc>
        <w:tc>
          <w:tcPr>
            <w:tcW w:w="1848" w:type="dxa"/>
            <w:vAlign w:val="center"/>
          </w:tcPr>
          <w:p>
            <w:pPr>
              <w:pStyle w:val="122"/>
              <w:rPr>
                <w:rFonts w:cs="Times New Roman"/>
                <w:color w:val="000000" w:themeColor="text1"/>
                <w:szCs w:val="21"/>
              </w:rPr>
            </w:pPr>
            <w:r>
              <w:rPr>
                <w:rFonts w:cs="Times New Roman"/>
                <w:color w:val="000000" w:themeColor="text1"/>
                <w:szCs w:val="21"/>
              </w:rPr>
              <w:t>0.0011kg/h</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0.0003kg/h</w:t>
            </w:r>
          </w:p>
        </w:tc>
        <w:tc>
          <w:tcPr>
            <w:tcW w:w="1848" w:type="dxa"/>
            <w:vAlign w:val="center"/>
          </w:tcPr>
          <w:p>
            <w:pPr>
              <w:pStyle w:val="122"/>
              <w:rPr>
                <w:rFonts w:cs="Times New Roman"/>
                <w:color w:val="000000" w:themeColor="text1"/>
                <w:szCs w:val="21"/>
              </w:rPr>
            </w:pPr>
            <w:r>
              <w:rPr>
                <w:rFonts w:cs="Times New Roman"/>
                <w:color w:val="000000" w:themeColor="text1"/>
                <w:szCs w:val="21"/>
              </w:rPr>
              <w:t>0.0008kg/h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jc w:val="center"/>
              <w:rPr>
                <w:rFonts w:eastAsia="宋体" w:cs="Times New Roman"/>
                <w:color w:val="000000" w:themeColor="text1"/>
                <w:sz w:val="21"/>
              </w:rPr>
            </w:pPr>
            <w:r>
              <w:rPr>
                <w:rFonts w:eastAsia="宋体" w:cs="Times New Roman"/>
                <w:color w:val="000000" w:themeColor="text1"/>
                <w:sz w:val="21"/>
              </w:rPr>
              <w:t>油烟</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3.34kg/a</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2.84kg/a</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0.5kg/a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restart"/>
            <w:vAlign w:val="center"/>
          </w:tcPr>
          <w:p>
            <w:pPr>
              <w:jc w:val="center"/>
              <w:rPr>
                <w:rFonts w:eastAsia="宋体" w:cs="Times New Roman"/>
                <w:color w:val="000000" w:themeColor="text1"/>
                <w:sz w:val="21"/>
              </w:rPr>
            </w:pPr>
            <w:r>
              <w:rPr>
                <w:rFonts w:eastAsia="宋体" w:cs="Times New Roman"/>
                <w:color w:val="000000" w:themeColor="text1"/>
                <w:sz w:val="21"/>
              </w:rPr>
              <w:t>固废</w:t>
            </w: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栅渣</w:t>
            </w:r>
          </w:p>
        </w:tc>
        <w:tc>
          <w:tcPr>
            <w:tcW w:w="1848" w:type="dxa"/>
            <w:vAlign w:val="center"/>
          </w:tcPr>
          <w:p>
            <w:pPr>
              <w:pStyle w:val="122"/>
              <w:rPr>
                <w:rFonts w:cs="Times New Roman"/>
                <w:color w:val="000000" w:themeColor="text1"/>
                <w:szCs w:val="21"/>
              </w:rPr>
            </w:pPr>
            <w:r>
              <w:rPr>
                <w:rFonts w:cs="Times New Roman"/>
                <w:color w:val="000000" w:themeColor="text1"/>
                <w:szCs w:val="21"/>
              </w:rPr>
              <w:t>2t/a</w:t>
            </w:r>
          </w:p>
        </w:tc>
        <w:tc>
          <w:tcPr>
            <w:tcW w:w="1848" w:type="dxa"/>
            <w:vAlign w:val="center"/>
          </w:tcPr>
          <w:p>
            <w:pPr>
              <w:pStyle w:val="122"/>
              <w:rPr>
                <w:rFonts w:cs="Times New Roman"/>
                <w:color w:val="000000" w:themeColor="text1"/>
                <w:szCs w:val="21"/>
              </w:rPr>
            </w:pPr>
            <w:r>
              <w:rPr>
                <w:rFonts w:cs="Times New Roman"/>
                <w:color w:val="000000" w:themeColor="text1"/>
                <w:szCs w:val="21"/>
              </w:rPr>
              <w:t>2t/a</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沉砂</w:t>
            </w:r>
          </w:p>
        </w:tc>
        <w:tc>
          <w:tcPr>
            <w:tcW w:w="1848" w:type="dxa"/>
            <w:vAlign w:val="center"/>
          </w:tcPr>
          <w:p>
            <w:pPr>
              <w:pStyle w:val="122"/>
              <w:rPr>
                <w:rFonts w:cs="Times New Roman"/>
                <w:color w:val="000000" w:themeColor="text1"/>
                <w:szCs w:val="21"/>
              </w:rPr>
            </w:pPr>
            <w:r>
              <w:rPr>
                <w:rFonts w:cs="Times New Roman"/>
                <w:color w:val="000000" w:themeColor="text1"/>
                <w:szCs w:val="21"/>
              </w:rPr>
              <w:t>0.6t/a</w:t>
            </w:r>
          </w:p>
        </w:tc>
        <w:tc>
          <w:tcPr>
            <w:tcW w:w="1848" w:type="dxa"/>
            <w:vAlign w:val="center"/>
          </w:tcPr>
          <w:p>
            <w:pPr>
              <w:pStyle w:val="122"/>
              <w:rPr>
                <w:rFonts w:cs="Times New Roman"/>
                <w:color w:val="000000" w:themeColor="text1"/>
                <w:szCs w:val="21"/>
              </w:rPr>
            </w:pPr>
            <w:r>
              <w:rPr>
                <w:rFonts w:cs="Times New Roman"/>
                <w:color w:val="000000" w:themeColor="text1"/>
                <w:szCs w:val="21"/>
              </w:rPr>
              <w:t>0.6t/a</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污泥</w:t>
            </w:r>
          </w:p>
        </w:tc>
        <w:tc>
          <w:tcPr>
            <w:tcW w:w="1848" w:type="dxa"/>
            <w:vAlign w:val="center"/>
          </w:tcPr>
          <w:p>
            <w:pPr>
              <w:pStyle w:val="122"/>
              <w:rPr>
                <w:rFonts w:cs="Times New Roman"/>
                <w:color w:val="000000" w:themeColor="text1"/>
                <w:szCs w:val="21"/>
              </w:rPr>
            </w:pPr>
            <w:r>
              <w:rPr>
                <w:rFonts w:cs="Times New Roman"/>
                <w:color w:val="000000" w:themeColor="text1"/>
                <w:szCs w:val="21"/>
              </w:rPr>
              <w:t>5987.2t/a</w:t>
            </w:r>
          </w:p>
        </w:tc>
        <w:tc>
          <w:tcPr>
            <w:tcW w:w="1848" w:type="dxa"/>
            <w:vAlign w:val="center"/>
          </w:tcPr>
          <w:p>
            <w:pPr>
              <w:pStyle w:val="122"/>
              <w:rPr>
                <w:rFonts w:cs="Times New Roman"/>
                <w:color w:val="000000" w:themeColor="text1"/>
                <w:szCs w:val="21"/>
              </w:rPr>
            </w:pPr>
            <w:r>
              <w:rPr>
                <w:rFonts w:cs="Times New Roman"/>
                <w:color w:val="000000" w:themeColor="text1"/>
                <w:szCs w:val="21"/>
              </w:rPr>
              <w:t>5987.2t/a</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cs="Times New Roman"/>
                <w:color w:val="000000" w:themeColor="text1"/>
                <w:szCs w:val="21"/>
              </w:rPr>
            </w:pPr>
            <w:r>
              <w:rPr>
                <w:rFonts w:cs="Times New Roman"/>
                <w:color w:val="000000" w:themeColor="text1"/>
                <w:szCs w:val="21"/>
              </w:rPr>
              <w:t>生活垃圾</w:t>
            </w:r>
          </w:p>
        </w:tc>
        <w:tc>
          <w:tcPr>
            <w:tcW w:w="1848" w:type="dxa"/>
            <w:vAlign w:val="center"/>
          </w:tcPr>
          <w:p>
            <w:pPr>
              <w:pStyle w:val="122"/>
              <w:rPr>
                <w:rFonts w:cs="Times New Roman"/>
                <w:color w:val="000000" w:themeColor="text1"/>
                <w:szCs w:val="21"/>
              </w:rPr>
            </w:pPr>
            <w:r>
              <w:rPr>
                <w:rFonts w:cs="Times New Roman"/>
                <w:color w:val="000000" w:themeColor="text1"/>
                <w:szCs w:val="21"/>
              </w:rPr>
              <w:t>6.96t/a</w:t>
            </w:r>
          </w:p>
        </w:tc>
        <w:tc>
          <w:tcPr>
            <w:tcW w:w="1848" w:type="dxa"/>
            <w:vAlign w:val="center"/>
          </w:tcPr>
          <w:p>
            <w:pPr>
              <w:pStyle w:val="122"/>
              <w:rPr>
                <w:rFonts w:cs="Times New Roman"/>
                <w:color w:val="000000" w:themeColor="text1"/>
                <w:szCs w:val="21"/>
              </w:rPr>
            </w:pPr>
            <w:r>
              <w:rPr>
                <w:rFonts w:cs="Times New Roman"/>
                <w:color w:val="000000" w:themeColor="text1"/>
                <w:szCs w:val="21"/>
              </w:rPr>
              <w:t>6.96t/a</w:t>
            </w:r>
          </w:p>
        </w:tc>
        <w:tc>
          <w:tcPr>
            <w:tcW w:w="1848" w:type="dxa"/>
            <w:vAlign w:val="center"/>
          </w:tcPr>
          <w:p>
            <w:pPr>
              <w:jc w:val="center"/>
              <w:rPr>
                <w:rFonts w:eastAsia="宋体" w:cs="Times New Roman"/>
                <w:color w:val="000000" w:themeColor="text1"/>
                <w:sz w:val="21"/>
              </w:rPr>
            </w:pPr>
            <w:r>
              <w:rPr>
                <w:rFonts w:eastAsia="宋体" w:cs="Times New Roman"/>
                <w:color w:val="000000" w:themeColor="text1"/>
                <w:sz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9" w:type="dxa"/>
            <w:vMerge w:val="continue"/>
            <w:vAlign w:val="center"/>
          </w:tcPr>
          <w:p>
            <w:pPr>
              <w:jc w:val="center"/>
              <w:rPr>
                <w:rFonts w:eastAsia="宋体" w:cs="Times New Roman"/>
                <w:color w:val="000000" w:themeColor="text1"/>
                <w:sz w:val="21"/>
              </w:rPr>
            </w:pPr>
          </w:p>
        </w:tc>
        <w:tc>
          <w:tcPr>
            <w:tcW w:w="1849" w:type="dxa"/>
            <w:gridSpan w:val="2"/>
            <w:vAlign w:val="center"/>
          </w:tcPr>
          <w:p>
            <w:pPr>
              <w:pStyle w:val="122"/>
              <w:rPr>
                <w:rFonts w:hint="eastAsia" w:eastAsia="宋体" w:cs="Times New Roman"/>
                <w:color w:val="000000" w:themeColor="text1"/>
                <w:szCs w:val="21"/>
                <w:lang w:eastAsia="zh-CN"/>
              </w:rPr>
            </w:pPr>
            <w:r>
              <w:rPr>
                <w:rFonts w:hint="eastAsia" w:cs="Times New Roman"/>
                <w:color w:val="000000" w:themeColor="text1"/>
                <w:szCs w:val="21"/>
                <w:lang w:eastAsia="zh-CN"/>
              </w:rPr>
              <w:t>废生物垫料</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w:t>
            </w:r>
            <w:r>
              <w:rPr>
                <w:rFonts w:cs="Times New Roman"/>
                <w:color w:val="000000" w:themeColor="text1"/>
                <w:szCs w:val="21"/>
              </w:rPr>
              <w:t>t/a</w:t>
            </w:r>
          </w:p>
        </w:tc>
        <w:tc>
          <w:tcPr>
            <w:tcW w:w="1848" w:type="dxa"/>
            <w:vAlign w:val="center"/>
          </w:tcPr>
          <w:p>
            <w:pPr>
              <w:pStyle w:val="122"/>
              <w:rPr>
                <w:rFonts w:cs="Times New Roman"/>
                <w:color w:val="000000" w:themeColor="text1"/>
                <w:szCs w:val="21"/>
              </w:rPr>
            </w:pPr>
            <w:r>
              <w:rPr>
                <w:rFonts w:hint="eastAsia" w:cs="Times New Roman"/>
                <w:color w:val="000000" w:themeColor="text1"/>
                <w:szCs w:val="21"/>
                <w:lang w:val="en-US" w:eastAsia="zh-CN"/>
              </w:rPr>
              <w:t>1</w:t>
            </w:r>
            <w:r>
              <w:rPr>
                <w:rFonts w:cs="Times New Roman"/>
                <w:color w:val="000000" w:themeColor="text1"/>
                <w:szCs w:val="21"/>
              </w:rPr>
              <w:t>t/a</w:t>
            </w:r>
          </w:p>
        </w:tc>
        <w:tc>
          <w:tcPr>
            <w:tcW w:w="1848" w:type="dxa"/>
            <w:vAlign w:val="center"/>
          </w:tcPr>
          <w:p>
            <w:pPr>
              <w:jc w:val="center"/>
              <w:rPr>
                <w:rFonts w:hint="default" w:eastAsia="宋体" w:cs="Times New Roman"/>
                <w:color w:val="000000" w:themeColor="text1"/>
                <w:sz w:val="21"/>
                <w:lang w:val="en-US" w:eastAsia="zh-CN"/>
              </w:rPr>
            </w:pPr>
            <w:r>
              <w:rPr>
                <w:rFonts w:hint="eastAsia" w:eastAsia="宋体" w:cs="Times New Roman"/>
                <w:color w:val="000000" w:themeColor="text1"/>
                <w:sz w:val="21"/>
                <w:lang w:val="en-US" w:eastAsia="zh-CN"/>
              </w:rPr>
              <w:t>0</w:t>
            </w:r>
          </w:p>
        </w:tc>
      </w:tr>
    </w:tbl>
    <w:p>
      <w:pPr>
        <w:pStyle w:val="4"/>
      </w:pPr>
      <w:bookmarkStart w:id="117" w:name="_Toc808"/>
      <w:r>
        <w:rPr>
          <w:rFonts w:hint="eastAsia"/>
        </w:rPr>
        <w:t>现有工程“三废”排放情况监测统计</w:t>
      </w:r>
      <w:bookmarkEnd w:id="117"/>
    </w:p>
    <w:p>
      <w:pPr>
        <w:spacing w:line="360" w:lineRule="auto"/>
        <w:ind w:firstLine="480" w:firstLineChars="200"/>
      </w:pPr>
      <w:r>
        <w:rPr>
          <w:rFonts w:hint="eastAsia"/>
        </w:rPr>
        <w:t>本项目于2019年3月7号委托</w:t>
      </w:r>
      <w:r>
        <w:rPr>
          <w:rFonts w:hint="eastAsia" w:ascii="Times New Roman" w:hAnsi="Times New Roman" w:eastAsiaTheme="minorEastAsia" w:cstheme="minorBidi"/>
          <w:kern w:val="2"/>
          <w:sz w:val="24"/>
          <w:szCs w:val="21"/>
          <w:lang w:val="en-US" w:eastAsia="zh-CN" w:bidi="ar-SA"/>
        </w:rPr>
        <w:t>湖南昌源环境科技有限公司</w:t>
      </w:r>
      <w:r>
        <w:rPr>
          <w:rFonts w:hint="eastAsia"/>
        </w:rPr>
        <w:t>对现有工程的废气、废水、噪声、污泥等进行了检测；本环评还收集了华容国祯惠华环保科技有限责任公司委托岳阳市衡润检测有限公司监测的监测报告，现有污染源排放情况如下：</w:t>
      </w:r>
    </w:p>
    <w:p>
      <w:pPr>
        <w:pStyle w:val="5"/>
      </w:pPr>
      <w:r>
        <w:t>废气现状调查与评价</w:t>
      </w:r>
    </w:p>
    <w:p>
      <w:pPr>
        <w:numPr>
          <w:ilvl w:val="0"/>
          <w:numId w:val="8"/>
        </w:numPr>
        <w:spacing w:line="360" w:lineRule="auto"/>
        <w:ind w:firstLine="480" w:firstLineChars="200"/>
        <w:rPr>
          <w:rFonts w:hint="eastAsia"/>
          <w:u w:val="single"/>
          <w:lang w:val="en-US" w:eastAsia="zh-CN"/>
        </w:rPr>
      </w:pPr>
      <w:r>
        <w:rPr>
          <w:rFonts w:hint="eastAsia"/>
          <w:u w:val="single"/>
          <w:lang w:val="en-US" w:eastAsia="zh-CN"/>
        </w:rPr>
        <w:t>有组织废气</w:t>
      </w:r>
    </w:p>
    <w:p>
      <w:pPr>
        <w:pStyle w:val="43"/>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eastAsiaTheme="minorEastAsia" w:cstheme="minorBidi"/>
          <w:kern w:val="2"/>
          <w:sz w:val="24"/>
          <w:szCs w:val="21"/>
          <w:u w:val="single"/>
          <w:lang w:val="en-US" w:eastAsia="zh-CN" w:bidi="ar-SA"/>
        </w:rPr>
      </w:pPr>
      <w:r>
        <w:rPr>
          <w:rFonts w:hint="eastAsia" w:ascii="Times New Roman" w:eastAsiaTheme="minorEastAsia" w:cstheme="minorBidi"/>
          <w:kern w:val="2"/>
          <w:sz w:val="24"/>
          <w:szCs w:val="21"/>
          <w:u w:val="single"/>
          <w:lang w:val="en-US" w:eastAsia="zh-CN" w:bidi="ar-SA"/>
        </w:rPr>
        <w:t>本项目</w:t>
      </w:r>
      <w:r>
        <w:rPr>
          <w:rFonts w:hint="eastAsia" w:ascii="Times New Roman" w:hAnsi="Times New Roman" w:eastAsiaTheme="minorEastAsia" w:cstheme="minorBidi"/>
          <w:kern w:val="2"/>
          <w:sz w:val="24"/>
          <w:szCs w:val="21"/>
          <w:u w:val="single"/>
          <w:lang w:val="en-US" w:eastAsia="zh-CN" w:bidi="ar-SA"/>
        </w:rPr>
        <w:t>委托湖南昌源环境科技有限公司</w:t>
      </w:r>
      <w:r>
        <w:rPr>
          <w:rFonts w:hint="eastAsia" w:ascii="Times New Roman" w:eastAsiaTheme="minorEastAsia" w:cstheme="minorBidi"/>
          <w:kern w:val="2"/>
          <w:sz w:val="24"/>
          <w:szCs w:val="21"/>
          <w:u w:val="single"/>
          <w:lang w:val="en-US" w:eastAsia="zh-CN" w:bidi="ar-SA"/>
        </w:rPr>
        <w:t>于2019.12.26-12.27对有组织废气进行现场监测，监测结果见下表所示。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eastAsia="宋体" w:cstheme="minorBidi"/>
          <w:kern w:val="2"/>
          <w:sz w:val="24"/>
          <w:szCs w:val="21"/>
          <w:u w:val="single"/>
          <w:lang w:val="en-US" w:eastAsia="zh-CN" w:bidi="ar-SA"/>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2</w:t>
      </w:r>
      <w:r>
        <w:rPr>
          <w:rFonts w:hint="eastAsia"/>
          <w:u w:val="single"/>
          <w:lang w:val="en-US" w:eastAsia="zh-CN"/>
        </w:rPr>
        <w:t>.</w:t>
      </w:r>
      <w:r>
        <w:rPr>
          <w:u w:val="single"/>
        </w:rPr>
        <w:t>5</w:t>
      </w:r>
      <w:r>
        <w:rPr>
          <w:u w:val="single"/>
        </w:rPr>
        <w:fldChar w:fldCharType="end"/>
      </w:r>
      <w:r>
        <w:rPr>
          <w:rFonts w:hint="eastAsia"/>
          <w:u w:val="single"/>
          <w:lang w:eastAsia="zh-CN"/>
        </w:rPr>
        <w:t>-</w:t>
      </w:r>
      <w:r>
        <w:rPr>
          <w:u w:val="single"/>
        </w:rPr>
        <w:fldChar w:fldCharType="begin"/>
      </w:r>
      <w:r>
        <w:rPr>
          <w:u w:val="single"/>
        </w:rPr>
        <w:instrText xml:space="preserve"> SEQ 表 \* ARABIC \s 2 </w:instrText>
      </w:r>
      <w:r>
        <w:rPr>
          <w:u w:val="single"/>
        </w:rPr>
        <w:fldChar w:fldCharType="separate"/>
      </w:r>
      <w:r>
        <w:rPr>
          <w:u w:val="single"/>
        </w:rPr>
        <w:t>1</w:t>
      </w:r>
      <w:r>
        <w:rPr>
          <w:u w:val="single"/>
        </w:rPr>
        <w:fldChar w:fldCharType="end"/>
      </w:r>
      <w:r>
        <w:rPr>
          <w:rFonts w:hint="eastAsia"/>
          <w:u w:val="single"/>
          <w:lang w:val="en-US" w:eastAsia="zh-CN"/>
        </w:rPr>
        <w:t xml:space="preserve">  </w:t>
      </w:r>
      <w:r>
        <w:rPr>
          <w:rFonts w:hint="eastAsia"/>
          <w:u w:val="single"/>
          <w:lang w:eastAsia="zh-CN"/>
        </w:rPr>
        <w:t>有组织</w:t>
      </w:r>
      <w:r>
        <w:rPr>
          <w:rFonts w:hint="eastAsia"/>
          <w:u w:val="single"/>
        </w:rPr>
        <w:t>废气监测结果一览表</w:t>
      </w:r>
      <w:r>
        <w:rPr>
          <w:rFonts w:hint="eastAsia"/>
          <w:u w:val="single"/>
          <w:lang w:val="en-US" w:eastAsia="zh-CN"/>
        </w:rPr>
        <w:t xml:space="preserve"> </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936"/>
        <w:gridCol w:w="1087"/>
        <w:gridCol w:w="1085"/>
        <w:gridCol w:w="1082"/>
        <w:gridCol w:w="1085"/>
        <w:gridCol w:w="1084"/>
        <w:gridCol w:w="1084"/>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386" w:type="pct"/>
            <w:tcBorders>
              <w:tl2br w:val="nil"/>
              <w:tr2bl w:val="nil"/>
            </w:tcBorders>
            <w:vAlign w:val="center"/>
          </w:tcPr>
          <w:p>
            <w:pPr>
              <w:pStyle w:val="143"/>
              <w:jc w:val="center"/>
              <w:rPr>
                <w:rFonts w:ascii="Times New Roman" w:hAnsi="Times New Roman" w:eastAsiaTheme="majorEastAsia"/>
                <w:sz w:val="21"/>
                <w:szCs w:val="21"/>
                <w:u w:val="single"/>
              </w:rPr>
            </w:pPr>
            <w:r>
              <w:rPr>
                <w:rFonts w:ascii="Times New Roman" w:hAnsi="Times New Roman"/>
                <w:sz w:val="21"/>
                <w:szCs w:val="21"/>
                <w:u w:val="single"/>
              </w:rPr>
              <w:t>检测指标</w:t>
            </w:r>
          </w:p>
        </w:tc>
        <w:tc>
          <w:tcPr>
            <w:tcW w:w="1094" w:type="pct"/>
            <w:gridSpan w:val="2"/>
            <w:tcBorders>
              <w:tl2br w:val="nil"/>
              <w:tr2bl w:val="nil"/>
            </w:tcBorders>
            <w:vAlign w:val="center"/>
          </w:tcPr>
          <w:p>
            <w:pPr>
              <w:jc w:val="center"/>
              <w:rPr>
                <w:rFonts w:cs="Times New Roman"/>
                <w:sz w:val="21"/>
                <w:szCs w:val="21"/>
                <w:u w:val="single"/>
              </w:rPr>
            </w:pPr>
            <w:r>
              <w:rPr>
                <w:rFonts w:ascii="Times New Roman" w:hAnsi="Times New Roman"/>
                <w:sz w:val="21"/>
                <w:szCs w:val="21"/>
                <w:u w:val="single"/>
              </w:rPr>
              <w:t>采样日期</w:t>
            </w:r>
          </w:p>
        </w:tc>
        <w:tc>
          <w:tcPr>
            <w:tcW w:w="587" w:type="pct"/>
            <w:tcBorders>
              <w:tl2br w:val="nil"/>
              <w:tr2bl w:val="nil"/>
            </w:tcBorders>
            <w:vAlign w:val="center"/>
          </w:tcPr>
          <w:p>
            <w:pPr>
              <w:jc w:val="center"/>
              <w:rPr>
                <w:rFonts w:cs="Times New Roman"/>
                <w:color w:val="000000"/>
                <w:sz w:val="21"/>
                <w:szCs w:val="21"/>
                <w:u w:val="single"/>
              </w:rPr>
            </w:pPr>
            <w:r>
              <w:rPr>
                <w:rFonts w:cs="Times New Roman"/>
                <w:sz w:val="21"/>
                <w:szCs w:val="21"/>
                <w:u w:val="single"/>
              </w:rPr>
              <w:t>G1</w:t>
            </w:r>
          </w:p>
        </w:tc>
        <w:tc>
          <w:tcPr>
            <w:tcW w:w="585" w:type="pct"/>
            <w:tcBorders>
              <w:tl2br w:val="nil"/>
              <w:tr2bl w:val="nil"/>
            </w:tcBorders>
            <w:vAlign w:val="center"/>
          </w:tcPr>
          <w:p>
            <w:pPr>
              <w:jc w:val="center"/>
              <w:rPr>
                <w:rFonts w:cs="Times New Roman"/>
                <w:color w:val="000000" w:themeColor="text1"/>
                <w:sz w:val="21"/>
                <w:szCs w:val="21"/>
                <w:u w:val="single"/>
              </w:rPr>
            </w:pPr>
            <w:r>
              <w:rPr>
                <w:rFonts w:cs="Times New Roman"/>
                <w:sz w:val="21"/>
                <w:szCs w:val="21"/>
                <w:u w:val="single"/>
              </w:rPr>
              <w:t>G</w:t>
            </w:r>
            <w:r>
              <w:rPr>
                <w:rFonts w:hint="eastAsia" w:cs="Times New Roman"/>
                <w:sz w:val="21"/>
                <w:szCs w:val="21"/>
                <w:u w:val="single"/>
              </w:rPr>
              <w:t>2</w:t>
            </w:r>
          </w:p>
        </w:tc>
        <w:tc>
          <w:tcPr>
            <w:tcW w:w="587" w:type="pct"/>
            <w:tcBorders>
              <w:tl2br w:val="nil"/>
              <w:tr2bl w:val="nil"/>
            </w:tcBorders>
            <w:vAlign w:val="center"/>
          </w:tcPr>
          <w:p>
            <w:pPr>
              <w:jc w:val="center"/>
              <w:rPr>
                <w:rFonts w:cs="Times New Roman"/>
                <w:sz w:val="21"/>
                <w:szCs w:val="21"/>
                <w:u w:val="single"/>
              </w:rPr>
            </w:pPr>
            <w:r>
              <w:rPr>
                <w:rFonts w:cs="Times New Roman"/>
                <w:sz w:val="21"/>
                <w:szCs w:val="21"/>
                <w:u w:val="single"/>
              </w:rPr>
              <w:t>G</w:t>
            </w:r>
            <w:r>
              <w:rPr>
                <w:rFonts w:hint="eastAsia" w:cs="Times New Roman"/>
                <w:sz w:val="21"/>
                <w:szCs w:val="21"/>
                <w:u w:val="single"/>
              </w:rPr>
              <w:t>3</w:t>
            </w:r>
          </w:p>
        </w:tc>
        <w:tc>
          <w:tcPr>
            <w:tcW w:w="586" w:type="pct"/>
            <w:tcBorders>
              <w:tl2br w:val="nil"/>
              <w:tr2bl w:val="nil"/>
            </w:tcBorders>
            <w:vAlign w:val="center"/>
          </w:tcPr>
          <w:p>
            <w:pPr>
              <w:jc w:val="center"/>
              <w:rPr>
                <w:rFonts w:cs="Times New Roman"/>
                <w:sz w:val="21"/>
                <w:szCs w:val="21"/>
                <w:u w:val="single"/>
              </w:rPr>
            </w:pPr>
            <w:r>
              <w:rPr>
                <w:rFonts w:cs="Times New Roman"/>
                <w:sz w:val="21"/>
                <w:szCs w:val="21"/>
                <w:u w:val="single"/>
              </w:rPr>
              <w:t>G</w:t>
            </w:r>
            <w:r>
              <w:rPr>
                <w:rFonts w:hint="eastAsia" w:cs="Times New Roman"/>
                <w:sz w:val="21"/>
                <w:szCs w:val="21"/>
                <w:u w:val="single"/>
              </w:rPr>
              <w:t>4</w:t>
            </w:r>
          </w:p>
        </w:tc>
        <w:tc>
          <w:tcPr>
            <w:tcW w:w="586" w:type="pct"/>
            <w:tcBorders>
              <w:tl2br w:val="nil"/>
              <w:tr2bl w:val="nil"/>
            </w:tcBorders>
            <w:vAlign w:val="center"/>
          </w:tcPr>
          <w:p>
            <w:pPr>
              <w:pStyle w:val="14"/>
              <w:spacing w:line="240" w:lineRule="auto"/>
              <w:jc w:val="center"/>
              <w:rPr>
                <w:b w:val="0"/>
                <w:sz w:val="21"/>
                <w:szCs w:val="21"/>
                <w:u w:val="single"/>
              </w:rPr>
            </w:pPr>
            <w:r>
              <w:rPr>
                <w:b w:val="0"/>
                <w:sz w:val="21"/>
                <w:szCs w:val="21"/>
                <w:u w:val="single"/>
              </w:rPr>
              <w:t>标准</w:t>
            </w:r>
          </w:p>
        </w:tc>
        <w:tc>
          <w:tcPr>
            <w:tcW w:w="584" w:type="pct"/>
            <w:tcBorders>
              <w:tl2br w:val="nil"/>
              <w:tr2bl w:val="nil"/>
            </w:tcBorders>
            <w:vAlign w:val="center"/>
          </w:tcPr>
          <w:p>
            <w:pPr>
              <w:pStyle w:val="14"/>
              <w:spacing w:line="240" w:lineRule="auto"/>
              <w:jc w:val="center"/>
              <w:rPr>
                <w:b w:val="0"/>
                <w:sz w:val="21"/>
                <w:szCs w:val="21"/>
                <w:u w:val="single"/>
              </w:rPr>
            </w:pPr>
            <w:r>
              <w:rPr>
                <w:rFonts w:hint="eastAsia"/>
                <w:b w:val="0"/>
                <w:sz w:val="21"/>
                <w:szCs w:val="21"/>
                <w:u w:val="singl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restart"/>
            <w:tcBorders>
              <w:tl2br w:val="nil"/>
              <w:tr2bl w:val="nil"/>
            </w:tcBorders>
            <w:vAlign w:val="center"/>
          </w:tcPr>
          <w:p>
            <w:pPr>
              <w:pStyle w:val="143"/>
              <w:jc w:val="center"/>
              <w:rPr>
                <w:rFonts w:ascii="Times New Roman" w:hAnsi="Times New Roman" w:eastAsiaTheme="majorEastAsia"/>
                <w:sz w:val="21"/>
                <w:szCs w:val="21"/>
                <w:u w:val="single"/>
              </w:rPr>
            </w:pPr>
            <w:r>
              <w:rPr>
                <w:rFonts w:hint="eastAsia" w:ascii="Times New Roman" w:hAnsi="Times New Roman" w:eastAsiaTheme="majorEastAsia"/>
                <w:sz w:val="21"/>
                <w:szCs w:val="21"/>
                <w:u w:val="single"/>
              </w:rPr>
              <w:t>氨</w:t>
            </w:r>
          </w:p>
        </w:tc>
        <w:tc>
          <w:tcPr>
            <w:tcW w:w="506" w:type="pct"/>
            <w:vMerge w:val="restart"/>
            <w:tcBorders>
              <w:tl2br w:val="nil"/>
              <w:tr2bl w:val="nil"/>
            </w:tcBorders>
            <w:vAlign w:val="center"/>
          </w:tcPr>
          <w:p>
            <w:pPr>
              <w:pStyle w:val="143"/>
              <w:jc w:val="center"/>
              <w:rPr>
                <w:rFonts w:ascii="Times New Roman" w:hAnsi="Times New Roman"/>
                <w:sz w:val="21"/>
                <w:szCs w:val="21"/>
                <w:u w:val="single"/>
              </w:rPr>
            </w:pPr>
            <w:r>
              <w:rPr>
                <w:rFonts w:hint="eastAsia" w:ascii="Times New Roman" w:hAnsi="Times New Roman"/>
                <w:sz w:val="21"/>
                <w:szCs w:val="21"/>
                <w:u w:val="single"/>
                <w:lang w:val="en-US" w:eastAsia="zh-CN"/>
              </w:rPr>
              <w:t>12</w:t>
            </w:r>
            <w:r>
              <w:rPr>
                <w:rFonts w:hint="eastAsia" w:ascii="Times New Roman" w:hAnsi="Times New Roman"/>
                <w:sz w:val="21"/>
                <w:szCs w:val="21"/>
                <w:u w:val="single"/>
              </w:rPr>
              <w:t>月</w:t>
            </w:r>
            <w:r>
              <w:rPr>
                <w:rFonts w:hint="eastAsia" w:ascii="Times New Roman" w:hAnsi="Times New Roman"/>
                <w:sz w:val="21"/>
                <w:szCs w:val="21"/>
                <w:u w:val="single"/>
                <w:lang w:val="en-US" w:eastAsia="zh-CN"/>
              </w:rPr>
              <w:t>26</w:t>
            </w:r>
            <w:r>
              <w:rPr>
                <w:rFonts w:hint="eastAsia" w:ascii="Times New Roman" w:hAnsi="Times New Roman"/>
                <w:sz w:val="21"/>
                <w:szCs w:val="21"/>
                <w:u w:val="single"/>
              </w:rPr>
              <w:t>日</w:t>
            </w:r>
          </w:p>
        </w:tc>
        <w:tc>
          <w:tcPr>
            <w:tcW w:w="587"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cs="Times New Roman"/>
                <w:b w:val="0"/>
                <w:color w:val="000000"/>
                <w:kern w:val="2"/>
                <w:sz w:val="21"/>
                <w:szCs w:val="21"/>
                <w:u w:val="single"/>
                <w:lang w:val="en-US" w:eastAsia="zh-CN" w:bidi="ar-SA"/>
              </w:rPr>
              <w:t>排放浓度</w:t>
            </w:r>
          </w:p>
        </w:tc>
        <w:tc>
          <w:tcPr>
            <w:tcW w:w="587"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eastAsia="宋体" w:cs="Times New Roman"/>
                <w:color w:val="000000"/>
                <w:sz w:val="21"/>
                <w:szCs w:val="21"/>
                <w:u w:val="single"/>
                <w:lang w:val="en-US" w:eastAsia="zh-CN"/>
              </w:rPr>
              <w:t>0.45</w:t>
            </w:r>
          </w:p>
        </w:tc>
        <w:tc>
          <w:tcPr>
            <w:tcW w:w="585"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eastAsia="宋体" w:cs="Times New Roman"/>
                <w:color w:val="000000"/>
                <w:sz w:val="21"/>
                <w:szCs w:val="21"/>
                <w:u w:val="single"/>
                <w:lang w:val="en-US" w:eastAsia="zh-CN"/>
              </w:rPr>
              <w:t>0.48</w:t>
            </w:r>
          </w:p>
        </w:tc>
        <w:tc>
          <w:tcPr>
            <w:tcW w:w="587"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eastAsia="宋体" w:cs="Times New Roman"/>
                <w:color w:val="000000"/>
                <w:sz w:val="21"/>
                <w:szCs w:val="21"/>
                <w:u w:val="single"/>
                <w:lang w:val="en-US" w:eastAsia="zh-CN"/>
              </w:rPr>
              <w:t>0.60</w:t>
            </w:r>
          </w:p>
        </w:tc>
        <w:tc>
          <w:tcPr>
            <w:tcW w:w="586"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eastAsia="宋体" w:cs="Times New Roman"/>
                <w:color w:val="000000"/>
                <w:sz w:val="21"/>
                <w:szCs w:val="21"/>
                <w:u w:val="single"/>
                <w:lang w:val="en-US" w:eastAsia="zh-CN"/>
              </w:rPr>
              <w:t>0.60</w:t>
            </w:r>
          </w:p>
        </w:tc>
        <w:tc>
          <w:tcPr>
            <w:tcW w:w="586" w:type="pct"/>
            <w:tcBorders>
              <w:tl2br w:val="nil"/>
              <w:tr2bl w:val="nil"/>
            </w:tcBorders>
            <w:vAlign w:val="center"/>
          </w:tcPr>
          <w:p>
            <w:pPr>
              <w:jc w:val="center"/>
              <w:rPr>
                <w:rFonts w:hint="eastAsia"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w:t>
            </w:r>
          </w:p>
        </w:tc>
        <w:tc>
          <w:tcPr>
            <w:tcW w:w="584" w:type="pct"/>
            <w:tcBorders>
              <w:tl2br w:val="nil"/>
              <w:tr2bl w:val="nil"/>
            </w:tcBorders>
            <w:vAlign w:val="center"/>
          </w:tcPr>
          <w:p>
            <w:pPr>
              <w:jc w:val="center"/>
              <w:rPr>
                <w:rFonts w:cs="Times New Roman"/>
                <w:color w:val="000000"/>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continue"/>
            <w:tcBorders>
              <w:tl2br w:val="nil"/>
              <w:tr2bl w:val="nil"/>
            </w:tcBorders>
            <w:vAlign w:val="center"/>
          </w:tcPr>
          <w:p>
            <w:pPr>
              <w:pStyle w:val="143"/>
              <w:jc w:val="center"/>
              <w:rPr>
                <w:rFonts w:ascii="Times New Roman" w:hAnsi="Times New Roman" w:eastAsiaTheme="majorEastAsia"/>
                <w:sz w:val="21"/>
                <w:szCs w:val="21"/>
                <w:u w:val="single"/>
              </w:rPr>
            </w:pPr>
          </w:p>
        </w:tc>
        <w:tc>
          <w:tcPr>
            <w:tcW w:w="506" w:type="pct"/>
            <w:vMerge w:val="continue"/>
            <w:tcBorders>
              <w:tl2br w:val="nil"/>
              <w:tr2bl w:val="nil"/>
            </w:tcBorders>
            <w:vAlign w:val="center"/>
          </w:tcPr>
          <w:p>
            <w:pPr>
              <w:jc w:val="center"/>
              <w:rPr>
                <w:rFonts w:cs="Times New Roman"/>
                <w:sz w:val="21"/>
                <w:szCs w:val="21"/>
                <w:u w:val="single"/>
              </w:rPr>
            </w:pPr>
          </w:p>
        </w:tc>
        <w:tc>
          <w:tcPr>
            <w:tcW w:w="587" w:type="pct"/>
            <w:tcBorders>
              <w:tl2br w:val="nil"/>
              <w:tr2bl w:val="nil"/>
            </w:tcBorders>
            <w:vAlign w:val="center"/>
          </w:tcPr>
          <w:p>
            <w:pPr>
              <w:jc w:val="center"/>
              <w:rPr>
                <w:rFonts w:cs="Times New Roman"/>
                <w:color w:val="000000"/>
                <w:sz w:val="21"/>
                <w:szCs w:val="21"/>
                <w:u w:val="single"/>
              </w:rPr>
            </w:pPr>
            <w:r>
              <w:rPr>
                <w:rFonts w:hint="eastAsia" w:cs="Times New Roman"/>
                <w:color w:val="000000"/>
                <w:sz w:val="21"/>
                <w:szCs w:val="21"/>
                <w:u w:val="single"/>
                <w:lang w:eastAsia="zh-CN"/>
              </w:rPr>
              <w:t>排放速率</w:t>
            </w:r>
            <w:r>
              <w:rPr>
                <w:rFonts w:hint="eastAsia"/>
                <w:b w:val="0"/>
                <w:sz w:val="21"/>
                <w:szCs w:val="21"/>
                <w:u w:val="single"/>
              </w:rPr>
              <w:t>（kg/h）</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0.147</w:t>
            </w:r>
          </w:p>
        </w:tc>
        <w:tc>
          <w:tcPr>
            <w:tcW w:w="585"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0.157</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0.197</w:t>
            </w:r>
          </w:p>
        </w:tc>
        <w:tc>
          <w:tcPr>
            <w:tcW w:w="586"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0.197</w:t>
            </w:r>
          </w:p>
        </w:tc>
        <w:tc>
          <w:tcPr>
            <w:tcW w:w="586" w:type="pct"/>
            <w:tcBorders>
              <w:tl2br w:val="nil"/>
              <w:tr2bl w:val="nil"/>
            </w:tcBorders>
            <w:vAlign w:val="center"/>
          </w:tcPr>
          <w:p>
            <w:pPr>
              <w:jc w:val="center"/>
              <w:rPr>
                <w:rFonts w:hint="default" w:eastAsiaTheme="minorEastAsia"/>
                <w:sz w:val="21"/>
                <w:szCs w:val="21"/>
                <w:u w:val="single"/>
                <w:lang w:val="en-US" w:eastAsia="zh-CN"/>
              </w:rPr>
            </w:pPr>
            <w:r>
              <w:rPr>
                <w:rFonts w:hint="eastAsia" w:ascii="Times New Roman" w:hAnsi="Times New Roman" w:eastAsia="宋体" w:cs="Times New Roman"/>
                <w:color w:val="000000"/>
                <w:sz w:val="21"/>
                <w:szCs w:val="21"/>
                <w:u w:val="single"/>
                <w:lang w:val="en-US" w:eastAsia="zh-CN"/>
              </w:rPr>
              <w:t>4.9</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continue"/>
            <w:tcBorders>
              <w:tl2br w:val="nil"/>
              <w:tr2bl w:val="nil"/>
            </w:tcBorders>
            <w:vAlign w:val="center"/>
          </w:tcPr>
          <w:p>
            <w:pPr>
              <w:pStyle w:val="143"/>
              <w:jc w:val="center"/>
              <w:rPr>
                <w:rFonts w:ascii="Times New Roman" w:hAnsi="Times New Roman" w:eastAsiaTheme="majorEastAsia"/>
                <w:sz w:val="21"/>
                <w:szCs w:val="21"/>
                <w:u w:val="single"/>
              </w:rPr>
            </w:pPr>
          </w:p>
        </w:tc>
        <w:tc>
          <w:tcPr>
            <w:tcW w:w="506" w:type="pct"/>
            <w:vMerge w:val="restart"/>
            <w:tcBorders>
              <w:tl2br w:val="nil"/>
              <w:tr2bl w:val="nil"/>
            </w:tcBorders>
            <w:vAlign w:val="center"/>
          </w:tcPr>
          <w:p>
            <w:pPr>
              <w:jc w:val="center"/>
              <w:rPr>
                <w:rFonts w:cs="Times New Roman"/>
                <w:color w:val="000000"/>
                <w:sz w:val="21"/>
                <w:szCs w:val="21"/>
                <w:u w:val="single"/>
              </w:rPr>
            </w:pPr>
            <w:r>
              <w:rPr>
                <w:rFonts w:hint="eastAsia" w:cs="Times New Roman"/>
                <w:color w:val="000000"/>
                <w:sz w:val="21"/>
                <w:szCs w:val="21"/>
                <w:u w:val="single"/>
                <w:lang w:val="en-US" w:eastAsia="zh-CN"/>
              </w:rPr>
              <w:t>12</w:t>
            </w:r>
            <w:r>
              <w:rPr>
                <w:rFonts w:hint="eastAsia" w:cs="Times New Roman"/>
                <w:color w:val="000000"/>
                <w:sz w:val="21"/>
                <w:szCs w:val="21"/>
                <w:u w:val="single"/>
              </w:rPr>
              <w:t>月2</w:t>
            </w:r>
            <w:r>
              <w:rPr>
                <w:rFonts w:hint="eastAsia" w:cs="Times New Roman"/>
                <w:color w:val="000000"/>
                <w:sz w:val="21"/>
                <w:szCs w:val="21"/>
                <w:u w:val="single"/>
                <w:lang w:val="en-US" w:eastAsia="zh-CN"/>
              </w:rPr>
              <w:t>7</w:t>
            </w:r>
            <w:r>
              <w:rPr>
                <w:rFonts w:hint="eastAsia" w:cs="Times New Roman"/>
                <w:color w:val="000000"/>
                <w:sz w:val="21"/>
                <w:szCs w:val="21"/>
                <w:u w:val="single"/>
              </w:rPr>
              <w:t>日</w:t>
            </w:r>
          </w:p>
        </w:tc>
        <w:tc>
          <w:tcPr>
            <w:tcW w:w="587"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cs="Times New Roman"/>
                <w:b w:val="0"/>
                <w:color w:val="000000"/>
                <w:kern w:val="2"/>
                <w:sz w:val="21"/>
                <w:szCs w:val="21"/>
                <w:u w:val="single"/>
                <w:lang w:val="en-US" w:eastAsia="zh-CN" w:bidi="ar-SA"/>
              </w:rPr>
              <w:t>排放浓度</w:t>
            </w:r>
          </w:p>
        </w:tc>
        <w:tc>
          <w:tcPr>
            <w:tcW w:w="587"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cs="Times New Roman"/>
                <w:b w:val="0"/>
                <w:color w:val="000000"/>
                <w:kern w:val="2"/>
                <w:sz w:val="21"/>
                <w:szCs w:val="21"/>
                <w:u w:val="single"/>
                <w:lang w:val="en-US" w:eastAsia="zh-CN" w:bidi="ar-SA"/>
              </w:rPr>
              <w:t>0.63</w:t>
            </w:r>
          </w:p>
        </w:tc>
        <w:tc>
          <w:tcPr>
            <w:tcW w:w="585"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cs="Times New Roman"/>
                <w:b w:val="0"/>
                <w:color w:val="000000"/>
                <w:kern w:val="2"/>
                <w:sz w:val="21"/>
                <w:szCs w:val="21"/>
                <w:u w:val="single"/>
                <w:lang w:val="en-US" w:eastAsia="zh-CN" w:bidi="ar-SA"/>
              </w:rPr>
              <w:t>0.65</w:t>
            </w:r>
          </w:p>
        </w:tc>
        <w:tc>
          <w:tcPr>
            <w:tcW w:w="587"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cs="Times New Roman"/>
                <w:b w:val="0"/>
                <w:color w:val="000000"/>
                <w:kern w:val="2"/>
                <w:sz w:val="21"/>
                <w:szCs w:val="21"/>
                <w:u w:val="single"/>
                <w:lang w:val="en-US" w:eastAsia="zh-CN" w:bidi="ar-SA"/>
              </w:rPr>
              <w:t>0.53</w:t>
            </w:r>
          </w:p>
        </w:tc>
        <w:tc>
          <w:tcPr>
            <w:tcW w:w="586"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cs="Times New Roman"/>
                <w:b w:val="0"/>
                <w:color w:val="000000"/>
                <w:kern w:val="2"/>
                <w:sz w:val="21"/>
                <w:szCs w:val="21"/>
                <w:u w:val="single"/>
                <w:lang w:val="en-US" w:eastAsia="zh-CN" w:bidi="ar-SA"/>
              </w:rPr>
              <w:t>0.50</w:t>
            </w:r>
          </w:p>
        </w:tc>
        <w:tc>
          <w:tcPr>
            <w:tcW w:w="586" w:type="pct"/>
            <w:tcBorders>
              <w:tl2br w:val="nil"/>
              <w:tr2bl w:val="nil"/>
            </w:tcBorders>
            <w:vAlign w:val="center"/>
          </w:tcPr>
          <w:p>
            <w:pPr>
              <w:jc w:val="center"/>
              <w:rPr>
                <w:rFonts w:hint="eastAsia" w:eastAsiaTheme="minorEastAsia"/>
                <w:sz w:val="21"/>
                <w:szCs w:val="21"/>
                <w:u w:val="single"/>
                <w:lang w:val="en-US" w:eastAsia="zh-CN"/>
              </w:rPr>
            </w:pPr>
            <w:r>
              <w:rPr>
                <w:rFonts w:hint="eastAsia"/>
                <w:sz w:val="21"/>
                <w:szCs w:val="21"/>
                <w:u w:val="single"/>
                <w:lang w:val="en-US" w:eastAsia="zh-CN"/>
              </w:rPr>
              <w:t>/</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86" w:type="pct"/>
            <w:vMerge w:val="continue"/>
            <w:tcBorders>
              <w:tl2br w:val="nil"/>
              <w:tr2bl w:val="nil"/>
            </w:tcBorders>
            <w:vAlign w:val="center"/>
          </w:tcPr>
          <w:p>
            <w:pPr>
              <w:pStyle w:val="143"/>
              <w:jc w:val="center"/>
              <w:rPr>
                <w:rFonts w:ascii="Times New Roman" w:hAnsi="Times New Roman" w:eastAsiaTheme="majorEastAsia"/>
                <w:sz w:val="21"/>
                <w:szCs w:val="21"/>
                <w:u w:val="single"/>
              </w:rPr>
            </w:pPr>
          </w:p>
        </w:tc>
        <w:tc>
          <w:tcPr>
            <w:tcW w:w="506" w:type="pct"/>
            <w:vMerge w:val="continue"/>
            <w:tcBorders>
              <w:tl2br w:val="nil"/>
              <w:tr2bl w:val="nil"/>
            </w:tcBorders>
            <w:vAlign w:val="center"/>
          </w:tcPr>
          <w:p>
            <w:pPr>
              <w:jc w:val="center"/>
              <w:rPr>
                <w:rFonts w:cs="Times New Roman"/>
                <w:color w:val="000000"/>
                <w:sz w:val="21"/>
                <w:szCs w:val="21"/>
                <w:u w:val="single"/>
              </w:rPr>
            </w:pPr>
          </w:p>
        </w:tc>
        <w:tc>
          <w:tcPr>
            <w:tcW w:w="587" w:type="pct"/>
            <w:tcBorders>
              <w:tl2br w:val="nil"/>
              <w:tr2bl w:val="nil"/>
            </w:tcBorders>
            <w:vAlign w:val="center"/>
          </w:tcPr>
          <w:p>
            <w:pPr>
              <w:jc w:val="center"/>
              <w:rPr>
                <w:rFonts w:cs="Times New Roman"/>
                <w:color w:val="000000"/>
                <w:sz w:val="21"/>
                <w:szCs w:val="21"/>
                <w:u w:val="single"/>
              </w:rPr>
            </w:pPr>
            <w:r>
              <w:rPr>
                <w:rFonts w:hint="eastAsia" w:cs="Times New Roman"/>
                <w:color w:val="000000"/>
                <w:sz w:val="21"/>
                <w:szCs w:val="21"/>
                <w:u w:val="single"/>
                <w:lang w:eastAsia="zh-CN"/>
              </w:rPr>
              <w:t>排放速率</w:t>
            </w:r>
            <w:r>
              <w:rPr>
                <w:rFonts w:hint="eastAsia"/>
                <w:b w:val="0"/>
                <w:sz w:val="21"/>
                <w:szCs w:val="21"/>
                <w:u w:val="single"/>
              </w:rPr>
              <w:t>（kg/h）</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0.2</w:t>
            </w:r>
          </w:p>
        </w:tc>
        <w:tc>
          <w:tcPr>
            <w:tcW w:w="585"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0.216</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0.175</w:t>
            </w:r>
          </w:p>
        </w:tc>
        <w:tc>
          <w:tcPr>
            <w:tcW w:w="586"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0.165</w:t>
            </w:r>
          </w:p>
        </w:tc>
        <w:tc>
          <w:tcPr>
            <w:tcW w:w="586" w:type="pct"/>
            <w:tcBorders>
              <w:tl2br w:val="nil"/>
              <w:tr2bl w:val="nil"/>
            </w:tcBorders>
            <w:vAlign w:val="center"/>
          </w:tcPr>
          <w:p>
            <w:pPr>
              <w:jc w:val="center"/>
              <w:rPr>
                <w:sz w:val="21"/>
                <w:szCs w:val="21"/>
                <w:u w:val="single"/>
              </w:rPr>
            </w:pPr>
            <w:r>
              <w:rPr>
                <w:rFonts w:hint="eastAsia" w:ascii="Times New Roman" w:hAnsi="Times New Roman" w:eastAsia="宋体" w:cs="Times New Roman"/>
                <w:color w:val="000000"/>
                <w:sz w:val="21"/>
                <w:szCs w:val="21"/>
                <w:u w:val="single"/>
                <w:lang w:val="en-US" w:eastAsia="zh-CN"/>
              </w:rPr>
              <w:t>4.9</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restart"/>
            <w:tcBorders>
              <w:tl2br w:val="nil"/>
              <w:tr2bl w:val="nil"/>
            </w:tcBorders>
            <w:vAlign w:val="center"/>
          </w:tcPr>
          <w:p>
            <w:pPr>
              <w:pStyle w:val="143"/>
              <w:jc w:val="center"/>
              <w:rPr>
                <w:rFonts w:ascii="Times New Roman" w:hAnsi="Times New Roman" w:eastAsiaTheme="majorEastAsia"/>
                <w:sz w:val="21"/>
                <w:szCs w:val="21"/>
                <w:u w:val="single"/>
              </w:rPr>
            </w:pPr>
            <w:r>
              <w:rPr>
                <w:rFonts w:hint="eastAsia" w:ascii="Times New Roman" w:hAnsi="Times New Roman" w:eastAsiaTheme="majorEastAsia"/>
                <w:sz w:val="21"/>
                <w:szCs w:val="21"/>
                <w:u w:val="single"/>
              </w:rPr>
              <w:t>硫化氢</w:t>
            </w:r>
          </w:p>
          <w:p>
            <w:pPr>
              <w:pStyle w:val="143"/>
              <w:jc w:val="center"/>
              <w:rPr>
                <w:rFonts w:ascii="Times New Roman" w:hAnsi="Times New Roman" w:eastAsiaTheme="majorEastAsia"/>
                <w:sz w:val="21"/>
                <w:szCs w:val="21"/>
                <w:u w:val="single"/>
              </w:rPr>
            </w:pPr>
          </w:p>
        </w:tc>
        <w:tc>
          <w:tcPr>
            <w:tcW w:w="506" w:type="pct"/>
            <w:vMerge w:val="restart"/>
            <w:tcBorders>
              <w:tl2br w:val="nil"/>
              <w:tr2bl w:val="nil"/>
            </w:tcBorders>
            <w:vAlign w:val="center"/>
          </w:tcPr>
          <w:p>
            <w:pPr>
              <w:pStyle w:val="143"/>
              <w:jc w:val="center"/>
              <w:rPr>
                <w:rFonts w:ascii="Times New Roman" w:hAnsi="Times New Roman"/>
                <w:sz w:val="21"/>
                <w:szCs w:val="21"/>
                <w:u w:val="single"/>
              </w:rPr>
            </w:pPr>
            <w:r>
              <w:rPr>
                <w:rFonts w:hint="eastAsia" w:ascii="Times New Roman" w:hAnsi="Times New Roman"/>
                <w:sz w:val="21"/>
                <w:szCs w:val="21"/>
                <w:u w:val="single"/>
                <w:lang w:val="en-US" w:eastAsia="zh-CN"/>
              </w:rPr>
              <w:t>12</w:t>
            </w:r>
            <w:r>
              <w:rPr>
                <w:rFonts w:hint="eastAsia" w:ascii="Times New Roman" w:hAnsi="Times New Roman"/>
                <w:sz w:val="21"/>
                <w:szCs w:val="21"/>
                <w:u w:val="single"/>
              </w:rPr>
              <w:t>月</w:t>
            </w:r>
            <w:r>
              <w:rPr>
                <w:rFonts w:hint="eastAsia" w:ascii="Times New Roman" w:hAnsi="Times New Roman"/>
                <w:sz w:val="21"/>
                <w:szCs w:val="21"/>
                <w:u w:val="single"/>
                <w:lang w:val="en-US" w:eastAsia="zh-CN"/>
              </w:rPr>
              <w:t>26</w:t>
            </w:r>
            <w:r>
              <w:rPr>
                <w:rFonts w:hint="eastAsia" w:ascii="Times New Roman" w:hAnsi="Times New Roman"/>
                <w:sz w:val="21"/>
                <w:szCs w:val="21"/>
                <w:u w:val="single"/>
              </w:rPr>
              <w:t>日</w:t>
            </w:r>
          </w:p>
        </w:tc>
        <w:tc>
          <w:tcPr>
            <w:tcW w:w="587" w:type="pct"/>
            <w:tcBorders>
              <w:tl2br w:val="nil"/>
              <w:tr2bl w:val="nil"/>
            </w:tcBorders>
            <w:vAlign w:val="center"/>
          </w:tcPr>
          <w:p>
            <w:pPr>
              <w:jc w:val="center"/>
              <w:rPr>
                <w:rFonts w:hint="default" w:ascii="Times New Roman" w:hAnsi="Times New Roman" w:cs="Times New Roman"/>
                <w:b w:val="0"/>
                <w:color w:val="000000"/>
                <w:kern w:val="2"/>
                <w:sz w:val="21"/>
                <w:szCs w:val="21"/>
                <w:u w:val="single"/>
                <w:lang w:val="en-US" w:eastAsia="zh-CN" w:bidi="ar-SA"/>
              </w:rPr>
            </w:pPr>
            <w:r>
              <w:rPr>
                <w:rFonts w:hint="eastAsia" w:ascii="Times New Roman" w:hAnsi="Times New Roman" w:cs="Times New Roman"/>
                <w:b w:val="0"/>
                <w:color w:val="000000"/>
                <w:kern w:val="2"/>
                <w:sz w:val="21"/>
                <w:szCs w:val="21"/>
                <w:u w:val="single"/>
                <w:lang w:val="en-US" w:eastAsia="zh-CN" w:bidi="ar-SA"/>
              </w:rPr>
              <w:t>排放浓度</w:t>
            </w:r>
          </w:p>
        </w:tc>
        <w:tc>
          <w:tcPr>
            <w:tcW w:w="587"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cs="Times New Roman"/>
                <w:b w:val="0"/>
                <w:color w:val="000000"/>
                <w:kern w:val="2"/>
                <w:sz w:val="21"/>
                <w:szCs w:val="21"/>
                <w:u w:val="single"/>
                <w:lang w:val="en-US" w:eastAsia="zh-CN" w:bidi="ar-SA"/>
              </w:rPr>
              <w:t>0.029</w:t>
            </w:r>
          </w:p>
        </w:tc>
        <w:tc>
          <w:tcPr>
            <w:tcW w:w="585"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cs="Times New Roman"/>
                <w:b w:val="0"/>
                <w:color w:val="000000"/>
                <w:kern w:val="2"/>
                <w:sz w:val="21"/>
                <w:szCs w:val="21"/>
                <w:u w:val="single"/>
                <w:lang w:val="en-US" w:eastAsia="zh-CN" w:bidi="ar-SA"/>
              </w:rPr>
              <w:t>0.027</w:t>
            </w:r>
          </w:p>
        </w:tc>
        <w:tc>
          <w:tcPr>
            <w:tcW w:w="587"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cs="Times New Roman"/>
                <w:b w:val="0"/>
                <w:color w:val="000000"/>
                <w:kern w:val="2"/>
                <w:sz w:val="21"/>
                <w:szCs w:val="21"/>
                <w:u w:val="single"/>
                <w:lang w:val="en-US" w:eastAsia="zh-CN" w:bidi="ar-SA"/>
              </w:rPr>
              <w:t>0.033</w:t>
            </w:r>
          </w:p>
        </w:tc>
        <w:tc>
          <w:tcPr>
            <w:tcW w:w="586" w:type="pct"/>
            <w:tcBorders>
              <w:tl2br w:val="nil"/>
              <w:tr2bl w:val="nil"/>
            </w:tcBorders>
            <w:vAlign w:val="center"/>
          </w:tcPr>
          <w:p>
            <w:pPr>
              <w:jc w:val="center"/>
              <w:rPr>
                <w:rFonts w:cs="Times New Roman"/>
                <w:color w:val="000000"/>
                <w:sz w:val="21"/>
                <w:szCs w:val="21"/>
                <w:u w:val="single"/>
              </w:rPr>
            </w:pPr>
            <w:r>
              <w:rPr>
                <w:rFonts w:hint="default" w:ascii="Times New Roman" w:hAnsi="Times New Roman" w:cs="Times New Roman"/>
                <w:b w:val="0"/>
                <w:color w:val="000000"/>
                <w:kern w:val="2"/>
                <w:sz w:val="21"/>
                <w:szCs w:val="21"/>
                <w:u w:val="single"/>
                <w:lang w:val="en-US" w:eastAsia="zh-CN" w:bidi="ar-SA"/>
              </w:rPr>
              <w:t>0.022</w:t>
            </w:r>
          </w:p>
        </w:tc>
        <w:tc>
          <w:tcPr>
            <w:tcW w:w="586" w:type="pct"/>
            <w:tcBorders>
              <w:tl2br w:val="nil"/>
              <w:tr2bl w:val="nil"/>
            </w:tcBorders>
            <w:vAlign w:val="center"/>
          </w:tcPr>
          <w:p>
            <w:pPr>
              <w:jc w:val="center"/>
              <w:rPr>
                <w:rFonts w:hint="eastAsia" w:eastAsiaTheme="minorEastAsia"/>
                <w:sz w:val="21"/>
                <w:szCs w:val="21"/>
                <w:u w:val="single"/>
                <w:lang w:val="en-US" w:eastAsia="zh-CN"/>
              </w:rPr>
            </w:pPr>
            <w:r>
              <w:rPr>
                <w:rFonts w:hint="eastAsia"/>
                <w:sz w:val="21"/>
                <w:szCs w:val="21"/>
                <w:u w:val="single"/>
                <w:lang w:val="en-US" w:eastAsia="zh-CN"/>
              </w:rPr>
              <w:t>/</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continue"/>
            <w:tcBorders>
              <w:tl2br w:val="nil"/>
              <w:tr2bl w:val="nil"/>
            </w:tcBorders>
            <w:vAlign w:val="center"/>
          </w:tcPr>
          <w:p>
            <w:pPr>
              <w:pStyle w:val="143"/>
              <w:jc w:val="center"/>
              <w:rPr>
                <w:rFonts w:ascii="Times New Roman" w:hAnsi="Times New Roman" w:eastAsiaTheme="majorEastAsia"/>
                <w:sz w:val="21"/>
                <w:szCs w:val="21"/>
                <w:u w:val="single"/>
              </w:rPr>
            </w:pPr>
          </w:p>
        </w:tc>
        <w:tc>
          <w:tcPr>
            <w:tcW w:w="506" w:type="pct"/>
            <w:vMerge w:val="continue"/>
            <w:tcBorders>
              <w:tl2br w:val="nil"/>
              <w:tr2bl w:val="nil"/>
            </w:tcBorders>
            <w:vAlign w:val="center"/>
          </w:tcPr>
          <w:p>
            <w:pPr>
              <w:jc w:val="center"/>
              <w:rPr>
                <w:rFonts w:cs="Times New Roman"/>
                <w:color w:val="000000"/>
                <w:sz w:val="21"/>
                <w:szCs w:val="21"/>
                <w:u w:val="single"/>
              </w:rPr>
            </w:pPr>
          </w:p>
        </w:tc>
        <w:tc>
          <w:tcPr>
            <w:tcW w:w="587" w:type="pct"/>
            <w:tcBorders>
              <w:tl2br w:val="nil"/>
              <w:tr2bl w:val="nil"/>
            </w:tcBorders>
            <w:vAlign w:val="center"/>
          </w:tcPr>
          <w:p>
            <w:pPr>
              <w:jc w:val="center"/>
              <w:rPr>
                <w:rFonts w:hint="eastAsia" w:cs="Times New Roman" w:eastAsiaTheme="minorEastAsia"/>
                <w:color w:val="000000"/>
                <w:sz w:val="21"/>
                <w:szCs w:val="21"/>
                <w:u w:val="single"/>
                <w:lang w:eastAsia="zh-CN"/>
              </w:rPr>
            </w:pPr>
            <w:r>
              <w:rPr>
                <w:rFonts w:hint="eastAsia" w:cs="Times New Roman"/>
                <w:color w:val="000000"/>
                <w:sz w:val="21"/>
                <w:szCs w:val="21"/>
                <w:u w:val="single"/>
                <w:lang w:eastAsia="zh-CN"/>
              </w:rPr>
              <w:t>排放速率</w:t>
            </w:r>
            <w:r>
              <w:rPr>
                <w:rFonts w:hint="eastAsia"/>
                <w:b w:val="0"/>
                <w:sz w:val="21"/>
                <w:szCs w:val="21"/>
                <w:u w:val="single"/>
              </w:rPr>
              <w:t>（kg/h）</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0.0095</w:t>
            </w:r>
          </w:p>
        </w:tc>
        <w:tc>
          <w:tcPr>
            <w:tcW w:w="585"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0.0086</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0.01</w:t>
            </w:r>
          </w:p>
        </w:tc>
        <w:tc>
          <w:tcPr>
            <w:tcW w:w="586"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0.0069</w:t>
            </w:r>
          </w:p>
        </w:tc>
        <w:tc>
          <w:tcPr>
            <w:tcW w:w="586" w:type="pct"/>
            <w:tcBorders>
              <w:tl2br w:val="nil"/>
              <w:tr2bl w:val="nil"/>
            </w:tcBorders>
            <w:vAlign w:val="center"/>
          </w:tcPr>
          <w:p>
            <w:pPr>
              <w:jc w:val="center"/>
              <w:rPr>
                <w:rFonts w:hint="default" w:eastAsiaTheme="minorEastAsia"/>
                <w:sz w:val="21"/>
                <w:szCs w:val="21"/>
                <w:u w:val="single"/>
                <w:lang w:val="en-US" w:eastAsia="zh-CN"/>
              </w:rPr>
            </w:pPr>
            <w:r>
              <w:rPr>
                <w:rFonts w:hint="eastAsia"/>
                <w:sz w:val="21"/>
                <w:szCs w:val="21"/>
                <w:u w:val="single"/>
                <w:lang w:val="en-US" w:eastAsia="zh-CN"/>
              </w:rPr>
              <w:t>0.33</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continue"/>
            <w:tcBorders>
              <w:tl2br w:val="nil"/>
              <w:tr2bl w:val="nil"/>
            </w:tcBorders>
            <w:vAlign w:val="center"/>
          </w:tcPr>
          <w:p>
            <w:pPr>
              <w:pStyle w:val="143"/>
              <w:jc w:val="center"/>
              <w:rPr>
                <w:rFonts w:ascii="Times New Roman" w:hAnsi="Times New Roman" w:eastAsiaTheme="majorEastAsia"/>
                <w:sz w:val="21"/>
                <w:szCs w:val="21"/>
                <w:u w:val="single"/>
              </w:rPr>
            </w:pPr>
          </w:p>
        </w:tc>
        <w:tc>
          <w:tcPr>
            <w:tcW w:w="506" w:type="pct"/>
            <w:vMerge w:val="restart"/>
            <w:tcBorders>
              <w:tl2br w:val="nil"/>
              <w:tr2bl w:val="nil"/>
            </w:tcBorders>
            <w:vAlign w:val="center"/>
          </w:tcPr>
          <w:p>
            <w:pPr>
              <w:jc w:val="center"/>
              <w:rPr>
                <w:rFonts w:cs="Times New Roman"/>
                <w:color w:val="000000"/>
                <w:sz w:val="21"/>
                <w:szCs w:val="21"/>
                <w:u w:val="single"/>
              </w:rPr>
            </w:pPr>
            <w:r>
              <w:rPr>
                <w:rFonts w:hint="eastAsia" w:cs="Times New Roman"/>
                <w:color w:val="000000"/>
                <w:sz w:val="21"/>
                <w:szCs w:val="21"/>
                <w:u w:val="single"/>
                <w:lang w:val="en-US" w:eastAsia="zh-CN"/>
              </w:rPr>
              <w:t>12</w:t>
            </w:r>
            <w:r>
              <w:rPr>
                <w:rFonts w:hint="eastAsia" w:cs="Times New Roman"/>
                <w:color w:val="000000"/>
                <w:sz w:val="21"/>
                <w:szCs w:val="21"/>
                <w:u w:val="single"/>
              </w:rPr>
              <w:t>月2</w:t>
            </w:r>
            <w:r>
              <w:rPr>
                <w:rFonts w:hint="eastAsia" w:cs="Times New Roman"/>
                <w:color w:val="000000"/>
                <w:sz w:val="21"/>
                <w:szCs w:val="21"/>
                <w:u w:val="single"/>
                <w:lang w:val="en-US" w:eastAsia="zh-CN"/>
              </w:rPr>
              <w:t>7</w:t>
            </w:r>
            <w:r>
              <w:rPr>
                <w:rFonts w:hint="eastAsia" w:cs="Times New Roman"/>
                <w:color w:val="000000"/>
                <w:sz w:val="21"/>
                <w:szCs w:val="21"/>
                <w:u w:val="single"/>
              </w:rPr>
              <w:t>日</w:t>
            </w:r>
          </w:p>
        </w:tc>
        <w:tc>
          <w:tcPr>
            <w:tcW w:w="587" w:type="pct"/>
            <w:tcBorders>
              <w:tl2br w:val="nil"/>
              <w:tr2bl w:val="nil"/>
            </w:tcBorders>
            <w:vAlign w:val="center"/>
          </w:tcPr>
          <w:p>
            <w:pPr>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b w:val="0"/>
                <w:color w:val="000000"/>
                <w:kern w:val="2"/>
                <w:sz w:val="21"/>
                <w:szCs w:val="21"/>
                <w:u w:val="single"/>
                <w:lang w:val="en-US" w:eastAsia="zh-CN" w:bidi="ar-SA"/>
              </w:rPr>
              <w:t>排放浓度</w:t>
            </w:r>
          </w:p>
        </w:tc>
        <w:tc>
          <w:tcPr>
            <w:tcW w:w="587"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0.031</w:t>
            </w:r>
          </w:p>
        </w:tc>
        <w:tc>
          <w:tcPr>
            <w:tcW w:w="585"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0.027</w:t>
            </w:r>
          </w:p>
        </w:tc>
        <w:tc>
          <w:tcPr>
            <w:tcW w:w="587"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0.022</w:t>
            </w:r>
          </w:p>
        </w:tc>
        <w:tc>
          <w:tcPr>
            <w:tcW w:w="586" w:type="pct"/>
            <w:tcBorders>
              <w:tl2br w:val="nil"/>
              <w:tr2bl w:val="nil"/>
            </w:tcBorders>
            <w:vAlign w:val="center"/>
          </w:tcPr>
          <w:p>
            <w:pPr>
              <w:jc w:val="center"/>
              <w:rPr>
                <w:rFonts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0.029</w:t>
            </w:r>
          </w:p>
        </w:tc>
        <w:tc>
          <w:tcPr>
            <w:tcW w:w="586" w:type="pct"/>
            <w:tcBorders>
              <w:tl2br w:val="nil"/>
              <w:tr2bl w:val="nil"/>
            </w:tcBorders>
            <w:vAlign w:val="center"/>
          </w:tcPr>
          <w:p>
            <w:pPr>
              <w:jc w:val="center"/>
              <w:rPr>
                <w:rFonts w:hint="eastAsia" w:eastAsiaTheme="minorEastAsia"/>
                <w:sz w:val="21"/>
                <w:szCs w:val="21"/>
                <w:u w:val="single"/>
                <w:lang w:val="en-US" w:eastAsia="zh-CN"/>
              </w:rPr>
            </w:pPr>
            <w:r>
              <w:rPr>
                <w:rFonts w:hint="eastAsia"/>
                <w:sz w:val="21"/>
                <w:szCs w:val="21"/>
                <w:u w:val="single"/>
                <w:lang w:val="en-US" w:eastAsia="zh-CN"/>
              </w:rPr>
              <w:t>/</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6" w:type="pct"/>
            <w:vMerge w:val="continue"/>
            <w:tcBorders>
              <w:tl2br w:val="nil"/>
              <w:tr2bl w:val="nil"/>
            </w:tcBorders>
            <w:vAlign w:val="center"/>
          </w:tcPr>
          <w:p>
            <w:pPr>
              <w:pStyle w:val="143"/>
              <w:jc w:val="center"/>
              <w:rPr>
                <w:rFonts w:ascii="Times New Roman" w:hAnsi="Times New Roman" w:eastAsiaTheme="majorEastAsia"/>
                <w:sz w:val="21"/>
                <w:szCs w:val="21"/>
                <w:u w:val="single"/>
              </w:rPr>
            </w:pPr>
          </w:p>
        </w:tc>
        <w:tc>
          <w:tcPr>
            <w:tcW w:w="506" w:type="pct"/>
            <w:vMerge w:val="continue"/>
            <w:tcBorders>
              <w:tl2br w:val="nil"/>
              <w:tr2bl w:val="nil"/>
            </w:tcBorders>
            <w:vAlign w:val="center"/>
          </w:tcPr>
          <w:p>
            <w:pPr>
              <w:jc w:val="center"/>
              <w:rPr>
                <w:rFonts w:cs="Times New Roman"/>
                <w:color w:val="000000"/>
                <w:sz w:val="21"/>
                <w:szCs w:val="21"/>
                <w:u w:val="single"/>
              </w:rPr>
            </w:pPr>
          </w:p>
        </w:tc>
        <w:tc>
          <w:tcPr>
            <w:tcW w:w="587" w:type="pct"/>
            <w:tcBorders>
              <w:tl2br w:val="nil"/>
              <w:tr2bl w:val="nil"/>
            </w:tcBorders>
            <w:vAlign w:val="center"/>
          </w:tcPr>
          <w:p>
            <w:pPr>
              <w:jc w:val="center"/>
              <w:rPr>
                <w:rFonts w:cs="Times New Roman"/>
                <w:color w:val="000000"/>
                <w:sz w:val="21"/>
                <w:szCs w:val="21"/>
                <w:u w:val="single"/>
              </w:rPr>
            </w:pPr>
            <w:r>
              <w:rPr>
                <w:rFonts w:hint="eastAsia" w:cs="Times New Roman"/>
                <w:color w:val="000000"/>
                <w:sz w:val="21"/>
                <w:szCs w:val="21"/>
                <w:u w:val="single"/>
                <w:lang w:eastAsia="zh-CN"/>
              </w:rPr>
              <w:t>排放速率</w:t>
            </w:r>
            <w:r>
              <w:rPr>
                <w:rFonts w:hint="eastAsia"/>
                <w:b w:val="0"/>
                <w:sz w:val="21"/>
                <w:szCs w:val="21"/>
                <w:u w:val="single"/>
              </w:rPr>
              <w:t>（kg/h）</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0.008</w:t>
            </w:r>
          </w:p>
        </w:tc>
        <w:tc>
          <w:tcPr>
            <w:tcW w:w="585"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0.008</w:t>
            </w:r>
          </w:p>
        </w:tc>
        <w:tc>
          <w:tcPr>
            <w:tcW w:w="587"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0.007</w:t>
            </w:r>
          </w:p>
        </w:tc>
        <w:tc>
          <w:tcPr>
            <w:tcW w:w="586" w:type="pct"/>
            <w:tcBorders>
              <w:tl2br w:val="nil"/>
              <w:tr2bl w:val="nil"/>
            </w:tcBorders>
            <w:vAlign w:val="center"/>
          </w:tcPr>
          <w:p>
            <w:pPr>
              <w:jc w:val="center"/>
              <w:rPr>
                <w:rFonts w:hint="default" w:cs="Times New Roman" w:eastAsiaTheme="minorEastAsia"/>
                <w:color w:val="000000"/>
                <w:sz w:val="21"/>
                <w:szCs w:val="21"/>
                <w:u w:val="single"/>
                <w:lang w:val="en-US" w:eastAsia="zh-CN"/>
              </w:rPr>
            </w:pPr>
            <w:r>
              <w:rPr>
                <w:rFonts w:hint="eastAsia" w:cs="Times New Roman"/>
                <w:color w:val="000000"/>
                <w:sz w:val="21"/>
                <w:szCs w:val="21"/>
                <w:u w:val="single"/>
                <w:lang w:val="en-US" w:eastAsia="zh-CN"/>
              </w:rPr>
              <w:t>0.008</w:t>
            </w:r>
          </w:p>
        </w:tc>
        <w:tc>
          <w:tcPr>
            <w:tcW w:w="586" w:type="pct"/>
            <w:tcBorders>
              <w:tl2br w:val="nil"/>
              <w:tr2bl w:val="nil"/>
            </w:tcBorders>
            <w:vAlign w:val="center"/>
          </w:tcPr>
          <w:p>
            <w:pPr>
              <w:jc w:val="center"/>
              <w:rPr>
                <w:sz w:val="21"/>
                <w:szCs w:val="21"/>
                <w:u w:val="single"/>
              </w:rPr>
            </w:pPr>
            <w:r>
              <w:rPr>
                <w:rFonts w:hint="eastAsia"/>
                <w:sz w:val="21"/>
                <w:szCs w:val="21"/>
                <w:u w:val="single"/>
                <w:lang w:val="en-US" w:eastAsia="zh-CN"/>
              </w:rPr>
              <w:t>0.33</w:t>
            </w:r>
          </w:p>
        </w:tc>
        <w:tc>
          <w:tcPr>
            <w:tcW w:w="584" w:type="pct"/>
            <w:tcBorders>
              <w:tl2br w:val="nil"/>
              <w:tr2bl w:val="nil"/>
            </w:tcBorders>
            <w:vAlign w:val="center"/>
          </w:tcPr>
          <w:p>
            <w:pPr>
              <w:jc w:val="center"/>
              <w:rPr>
                <w:sz w:val="21"/>
                <w:szCs w:val="21"/>
                <w:u w:val="single"/>
              </w:rPr>
            </w:pPr>
            <w:r>
              <w:rPr>
                <w:rFonts w:hint="eastAsia" w:cs="Times New Roman"/>
                <w:color w:val="000000"/>
                <w:sz w:val="21"/>
                <w:szCs w:val="21"/>
                <w:u w:val="single"/>
              </w:rPr>
              <w:t>达标</w:t>
            </w:r>
          </w:p>
        </w:tc>
      </w:tr>
    </w:tbl>
    <w:p>
      <w:pPr>
        <w:pStyle w:val="14"/>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eastAsia="宋体" w:cstheme="minorBidi"/>
          <w:kern w:val="2"/>
          <w:sz w:val="24"/>
          <w:szCs w:val="21"/>
          <w:u w:val="single"/>
          <w:lang w:val="en-US" w:eastAsia="zh-CN" w:bidi="ar-SA"/>
        </w:rPr>
      </w:pPr>
      <w:r>
        <w:rPr>
          <w:rFonts w:hint="eastAsia"/>
          <w:b w:val="0"/>
          <w:szCs w:val="24"/>
          <w:u w:val="single"/>
        </w:rPr>
        <w:t>由上表监测结果可知，</w:t>
      </w:r>
      <w:r>
        <w:rPr>
          <w:rFonts w:hint="eastAsia"/>
          <w:b w:val="0"/>
          <w:szCs w:val="24"/>
          <w:u w:val="single"/>
          <w:lang w:eastAsia="zh-CN"/>
        </w:rPr>
        <w:t>有组织排放的硫化氢和氨气可满足《恶臭污染物排放标准》（GB14554-93）的标准限值的要求。</w:t>
      </w:r>
    </w:p>
    <w:p>
      <w:pPr>
        <w:numPr>
          <w:ilvl w:val="0"/>
          <w:numId w:val="8"/>
        </w:numPr>
        <w:spacing w:line="360" w:lineRule="auto"/>
        <w:ind w:firstLine="480" w:firstLineChars="200"/>
        <w:rPr>
          <w:rFonts w:hint="default"/>
          <w:u w:val="single"/>
          <w:lang w:val="en-US" w:eastAsia="zh-CN"/>
        </w:rPr>
      </w:pPr>
      <w:r>
        <w:rPr>
          <w:rFonts w:hint="eastAsia"/>
          <w:u w:val="single"/>
          <w:lang w:val="en-US" w:eastAsia="zh-CN"/>
        </w:rPr>
        <w:t>无组织废气</w:t>
      </w:r>
    </w:p>
    <w:p>
      <w:pPr>
        <w:spacing w:line="360" w:lineRule="auto"/>
        <w:ind w:firstLine="480" w:firstLineChars="200"/>
        <w:rPr>
          <w:u w:val="single"/>
        </w:rPr>
      </w:pPr>
      <w:r>
        <w:rPr>
          <w:rFonts w:hint="eastAsia"/>
          <w:u w:val="single"/>
        </w:rPr>
        <w:t>现有厂界</w:t>
      </w:r>
      <w:r>
        <w:rPr>
          <w:rFonts w:hint="eastAsia"/>
          <w:u w:val="single"/>
          <w:lang w:eastAsia="zh-CN"/>
        </w:rPr>
        <w:t>无组织废气</w:t>
      </w:r>
      <w:r>
        <w:rPr>
          <w:rFonts w:hint="eastAsia"/>
          <w:u w:val="single"/>
        </w:rPr>
        <w:t>委托</w:t>
      </w:r>
      <w:r>
        <w:rPr>
          <w:rFonts w:hint="eastAsia" w:ascii="Times New Roman" w:hAnsi="Times New Roman" w:eastAsiaTheme="minorEastAsia" w:cstheme="minorBidi"/>
          <w:kern w:val="2"/>
          <w:sz w:val="24"/>
          <w:szCs w:val="21"/>
          <w:u w:val="single"/>
          <w:lang w:val="en-US" w:eastAsia="zh-CN" w:bidi="ar-SA"/>
        </w:rPr>
        <w:t>湖南昌源环境科技有限公司</w:t>
      </w:r>
      <w:r>
        <w:rPr>
          <w:rFonts w:hint="eastAsia"/>
          <w:u w:val="single"/>
        </w:rPr>
        <w:t>于2019年5月20-21日对现场厂界进行监测，监测结果见下表所示。</w:t>
      </w:r>
    </w:p>
    <w:p>
      <w:pPr>
        <w:pStyle w:val="14"/>
        <w:spacing w:line="240" w:lineRule="auto"/>
        <w:rPr>
          <w:rFonts w:hint="eastAsia" w:eastAsia="宋体"/>
          <w:u w:val="single"/>
          <w:lang w:val="en-US" w:eastAsia="zh-CN"/>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2.5</w:t>
      </w:r>
      <w:r>
        <w:rPr>
          <w:u w:val="single"/>
        </w:rPr>
        <w:fldChar w:fldCharType="end"/>
      </w:r>
      <w:r>
        <w:rPr>
          <w:u w:val="single"/>
        </w:rPr>
        <w:noBreakHyphen/>
      </w:r>
      <w:r>
        <w:rPr>
          <w:u w:val="single"/>
        </w:rPr>
        <w:fldChar w:fldCharType="begin"/>
      </w:r>
      <w:r>
        <w:rPr>
          <w:rFonts w:hint="eastAsia"/>
          <w:u w:val="single"/>
        </w:rPr>
        <w:instrText xml:space="preserve">SEQ 表 \* ARABIC \s 2</w:instrText>
      </w:r>
      <w:r>
        <w:rPr>
          <w:u w:val="single"/>
        </w:rPr>
        <w:fldChar w:fldCharType="separate"/>
      </w:r>
      <w:r>
        <w:rPr>
          <w:rFonts w:hint="eastAsia"/>
          <w:u w:val="single"/>
        </w:rPr>
        <w:t>2</w:t>
      </w:r>
      <w:r>
        <w:rPr>
          <w:u w:val="single"/>
        </w:rPr>
        <w:fldChar w:fldCharType="end"/>
      </w:r>
      <w:r>
        <w:rPr>
          <w:rFonts w:hint="eastAsia"/>
          <w:u w:val="single"/>
        </w:rPr>
        <w:t xml:space="preserve"> </w:t>
      </w:r>
      <w:r>
        <w:rPr>
          <w:rFonts w:hint="eastAsia"/>
          <w:u w:val="single"/>
          <w:lang w:val="en-US" w:eastAsia="zh-CN"/>
        </w:rPr>
        <w:t xml:space="preserve"> </w:t>
      </w:r>
      <w:r>
        <w:rPr>
          <w:rFonts w:hint="eastAsia"/>
          <w:u w:val="single"/>
          <w:lang w:eastAsia="zh-CN"/>
        </w:rPr>
        <w:t>无组织</w:t>
      </w:r>
      <w:r>
        <w:rPr>
          <w:rFonts w:hint="eastAsia"/>
          <w:u w:val="single"/>
        </w:rPr>
        <w:t>废气监测结果一览表</w:t>
      </w:r>
      <w:r>
        <w:rPr>
          <w:rFonts w:hint="eastAsia"/>
          <w:u w:val="single"/>
          <w:lang w:val="en-US" w:eastAsia="zh-CN"/>
        </w:rPr>
        <w:t xml:space="preserve">   单位：（mg/m</w:t>
      </w:r>
      <w:r>
        <w:rPr>
          <w:rFonts w:hint="eastAsia"/>
          <w:u w:val="single"/>
          <w:vertAlign w:val="superscript"/>
          <w:lang w:val="en-US" w:eastAsia="zh-CN"/>
        </w:rPr>
        <w:t>3</w:t>
      </w:r>
      <w:r>
        <w:rPr>
          <w:rFonts w:hint="eastAsia"/>
          <w:u w:val="single"/>
          <w:lang w:val="en-US" w:eastAsia="zh-CN"/>
        </w:rPr>
        <w:t>）</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61"/>
        <w:gridCol w:w="1231"/>
        <w:gridCol w:w="1227"/>
        <w:gridCol w:w="1231"/>
        <w:gridCol w:w="1229"/>
        <w:gridCol w:w="1229"/>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0" w:type="dxa"/>
            <w:vAlign w:val="center"/>
          </w:tcPr>
          <w:p>
            <w:pPr>
              <w:pStyle w:val="143"/>
              <w:rPr>
                <w:rFonts w:ascii="Times New Roman" w:hAnsi="Times New Roman" w:eastAsiaTheme="majorEastAsia"/>
                <w:u w:val="single"/>
              </w:rPr>
            </w:pPr>
            <w:r>
              <w:rPr>
                <w:rFonts w:ascii="Times New Roman" w:hAnsi="Times New Roman"/>
                <w:u w:val="single"/>
              </w:rPr>
              <w:t>检测指标</w:t>
            </w:r>
          </w:p>
        </w:tc>
        <w:tc>
          <w:tcPr>
            <w:tcW w:w="1061" w:type="dxa"/>
            <w:vAlign w:val="center"/>
          </w:tcPr>
          <w:p>
            <w:pPr>
              <w:pStyle w:val="143"/>
              <w:rPr>
                <w:rFonts w:ascii="Times New Roman" w:hAnsi="Times New Roman"/>
                <w:color w:val="auto"/>
                <w:u w:val="single"/>
              </w:rPr>
            </w:pPr>
            <w:r>
              <w:rPr>
                <w:rFonts w:ascii="Times New Roman" w:hAnsi="Times New Roman"/>
                <w:u w:val="single"/>
              </w:rPr>
              <w:t>采样日期</w:t>
            </w:r>
          </w:p>
        </w:tc>
        <w:tc>
          <w:tcPr>
            <w:tcW w:w="1231" w:type="dxa"/>
            <w:vAlign w:val="center"/>
          </w:tcPr>
          <w:p>
            <w:pPr>
              <w:jc w:val="center"/>
              <w:rPr>
                <w:rFonts w:cs="Times New Roman"/>
                <w:color w:val="000000"/>
                <w:sz w:val="21"/>
                <w:u w:val="single"/>
              </w:rPr>
            </w:pPr>
            <w:r>
              <w:rPr>
                <w:rFonts w:cs="Times New Roman"/>
                <w:sz w:val="21"/>
                <w:u w:val="single"/>
              </w:rPr>
              <w:t>G1</w:t>
            </w:r>
          </w:p>
        </w:tc>
        <w:tc>
          <w:tcPr>
            <w:tcW w:w="1227" w:type="dxa"/>
            <w:vAlign w:val="center"/>
          </w:tcPr>
          <w:p>
            <w:pPr>
              <w:jc w:val="center"/>
              <w:rPr>
                <w:rFonts w:cs="Times New Roman"/>
                <w:color w:val="000000" w:themeColor="text1"/>
                <w:sz w:val="21"/>
                <w:u w:val="single"/>
              </w:rPr>
            </w:pPr>
            <w:r>
              <w:rPr>
                <w:rFonts w:cs="Times New Roman"/>
                <w:sz w:val="21"/>
                <w:u w:val="single"/>
              </w:rPr>
              <w:t>G</w:t>
            </w:r>
            <w:r>
              <w:rPr>
                <w:rFonts w:hint="eastAsia" w:cs="Times New Roman"/>
                <w:sz w:val="21"/>
                <w:u w:val="single"/>
              </w:rPr>
              <w:t>2</w:t>
            </w:r>
          </w:p>
        </w:tc>
        <w:tc>
          <w:tcPr>
            <w:tcW w:w="1231" w:type="dxa"/>
            <w:vAlign w:val="center"/>
          </w:tcPr>
          <w:p>
            <w:pPr>
              <w:jc w:val="center"/>
              <w:rPr>
                <w:rFonts w:cs="Times New Roman"/>
                <w:sz w:val="21"/>
                <w:u w:val="single"/>
              </w:rPr>
            </w:pPr>
            <w:r>
              <w:rPr>
                <w:rFonts w:cs="Times New Roman"/>
                <w:sz w:val="21"/>
                <w:u w:val="single"/>
              </w:rPr>
              <w:t>G</w:t>
            </w:r>
            <w:r>
              <w:rPr>
                <w:rFonts w:hint="eastAsia" w:cs="Times New Roman"/>
                <w:sz w:val="21"/>
                <w:u w:val="single"/>
              </w:rPr>
              <w:t>3</w:t>
            </w:r>
          </w:p>
        </w:tc>
        <w:tc>
          <w:tcPr>
            <w:tcW w:w="1229" w:type="dxa"/>
            <w:vAlign w:val="center"/>
          </w:tcPr>
          <w:p>
            <w:pPr>
              <w:jc w:val="center"/>
              <w:rPr>
                <w:rFonts w:cs="Times New Roman"/>
                <w:sz w:val="21"/>
                <w:u w:val="single"/>
              </w:rPr>
            </w:pPr>
            <w:r>
              <w:rPr>
                <w:rFonts w:cs="Times New Roman"/>
                <w:sz w:val="21"/>
                <w:u w:val="single"/>
              </w:rPr>
              <w:t>G</w:t>
            </w:r>
            <w:r>
              <w:rPr>
                <w:rFonts w:hint="eastAsia" w:cs="Times New Roman"/>
                <w:sz w:val="21"/>
                <w:u w:val="single"/>
              </w:rPr>
              <w:t>4</w:t>
            </w:r>
          </w:p>
        </w:tc>
        <w:tc>
          <w:tcPr>
            <w:tcW w:w="1229" w:type="dxa"/>
            <w:vAlign w:val="center"/>
          </w:tcPr>
          <w:p>
            <w:pPr>
              <w:pStyle w:val="14"/>
              <w:spacing w:line="240" w:lineRule="auto"/>
              <w:rPr>
                <w:b w:val="0"/>
                <w:sz w:val="21"/>
                <w:szCs w:val="21"/>
                <w:u w:val="single"/>
              </w:rPr>
            </w:pPr>
            <w:r>
              <w:rPr>
                <w:b w:val="0"/>
                <w:sz w:val="21"/>
                <w:szCs w:val="21"/>
                <w:u w:val="single"/>
              </w:rPr>
              <w:t>标准</w:t>
            </w:r>
          </w:p>
        </w:tc>
        <w:tc>
          <w:tcPr>
            <w:tcW w:w="1224" w:type="dxa"/>
            <w:vAlign w:val="center"/>
          </w:tcPr>
          <w:p>
            <w:pPr>
              <w:pStyle w:val="14"/>
              <w:spacing w:line="240" w:lineRule="auto"/>
              <w:rPr>
                <w:b w:val="0"/>
                <w:sz w:val="21"/>
                <w:szCs w:val="21"/>
                <w:u w:val="single"/>
              </w:rPr>
            </w:pPr>
            <w:r>
              <w:rPr>
                <w:rFonts w:hint="eastAsia"/>
                <w:b w:val="0"/>
                <w:sz w:val="21"/>
                <w:szCs w:val="21"/>
                <w:u w:val="singl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restart"/>
            <w:vAlign w:val="center"/>
          </w:tcPr>
          <w:p>
            <w:pPr>
              <w:pStyle w:val="143"/>
              <w:rPr>
                <w:rFonts w:ascii="Times New Roman" w:hAnsi="Times New Roman" w:eastAsiaTheme="majorEastAsia"/>
                <w:u w:val="single"/>
              </w:rPr>
            </w:pPr>
            <w:r>
              <w:rPr>
                <w:rFonts w:hint="eastAsia" w:ascii="Times New Roman" w:hAnsi="Times New Roman" w:eastAsiaTheme="majorEastAsia"/>
                <w:u w:val="single"/>
              </w:rPr>
              <w:t>氨</w:t>
            </w:r>
          </w:p>
        </w:tc>
        <w:tc>
          <w:tcPr>
            <w:tcW w:w="1061" w:type="dxa"/>
            <w:vMerge w:val="restart"/>
            <w:vAlign w:val="center"/>
          </w:tcPr>
          <w:p>
            <w:pPr>
              <w:pStyle w:val="143"/>
              <w:rPr>
                <w:rFonts w:ascii="Times New Roman" w:hAnsi="Times New Roman"/>
                <w:u w:val="single"/>
              </w:rPr>
            </w:pPr>
            <w:r>
              <w:rPr>
                <w:rFonts w:hint="eastAsia" w:ascii="Times New Roman" w:hAnsi="Times New Roman"/>
                <w:u w:val="single"/>
              </w:rPr>
              <w:t>5月21日</w:t>
            </w:r>
          </w:p>
        </w:tc>
        <w:tc>
          <w:tcPr>
            <w:tcW w:w="1231" w:type="dxa"/>
            <w:vAlign w:val="center"/>
          </w:tcPr>
          <w:p>
            <w:pPr>
              <w:jc w:val="center"/>
              <w:rPr>
                <w:rFonts w:cs="Times New Roman"/>
                <w:color w:val="000000"/>
                <w:sz w:val="21"/>
                <w:u w:val="single"/>
              </w:rPr>
            </w:pPr>
            <w:r>
              <w:rPr>
                <w:rFonts w:hint="eastAsia" w:cs="Times New Roman"/>
                <w:color w:val="000000"/>
                <w:sz w:val="21"/>
                <w:u w:val="single"/>
              </w:rPr>
              <w:t>0.16</w:t>
            </w:r>
          </w:p>
        </w:tc>
        <w:tc>
          <w:tcPr>
            <w:tcW w:w="1227" w:type="dxa"/>
            <w:vAlign w:val="center"/>
          </w:tcPr>
          <w:p>
            <w:pPr>
              <w:jc w:val="center"/>
              <w:rPr>
                <w:rFonts w:cs="Times New Roman"/>
                <w:color w:val="000000"/>
                <w:sz w:val="21"/>
                <w:u w:val="single"/>
              </w:rPr>
            </w:pPr>
            <w:r>
              <w:rPr>
                <w:rFonts w:hint="eastAsia" w:cs="Times New Roman"/>
                <w:color w:val="000000"/>
                <w:sz w:val="21"/>
                <w:u w:val="single"/>
              </w:rPr>
              <w:t>0.18</w:t>
            </w:r>
          </w:p>
        </w:tc>
        <w:tc>
          <w:tcPr>
            <w:tcW w:w="1231" w:type="dxa"/>
            <w:vAlign w:val="center"/>
          </w:tcPr>
          <w:p>
            <w:pPr>
              <w:jc w:val="center"/>
              <w:rPr>
                <w:rFonts w:cs="Times New Roman"/>
                <w:color w:val="000000"/>
                <w:sz w:val="21"/>
                <w:u w:val="single"/>
              </w:rPr>
            </w:pPr>
            <w:r>
              <w:rPr>
                <w:rFonts w:hint="eastAsia" w:cs="Times New Roman"/>
                <w:color w:val="000000"/>
                <w:sz w:val="21"/>
                <w:u w:val="single"/>
              </w:rPr>
              <w:t>0.13</w:t>
            </w:r>
          </w:p>
        </w:tc>
        <w:tc>
          <w:tcPr>
            <w:tcW w:w="12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cs="Times New Roman"/>
                <w:color w:val="000000"/>
                <w:sz w:val="21"/>
                <w:u w:val="single"/>
              </w:rPr>
            </w:pPr>
            <w:r>
              <w:rPr>
                <w:rFonts w:hint="eastAsia" w:cs="Times New Roman"/>
                <w:color w:val="000000"/>
                <w:sz w:val="21"/>
                <w:u w:val="single"/>
              </w:rPr>
              <w:t>0.15</w:t>
            </w:r>
          </w:p>
        </w:tc>
        <w:tc>
          <w:tcPr>
            <w:tcW w:w="1229" w:type="dxa"/>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eastAsiaTheme="minorEastAsia"/>
                <w:color w:val="000000"/>
                <w:sz w:val="21"/>
                <w:u w:val="single"/>
                <w:lang w:val="en-US" w:eastAsia="zh-CN"/>
              </w:rPr>
            </w:pPr>
            <w:r>
              <w:rPr>
                <w:rFonts w:hint="eastAsia" w:ascii="Times New Roman" w:hAnsi="Times New Roman" w:cs="Times New Roman"/>
                <w:color w:val="000000"/>
                <w:sz w:val="21"/>
                <w:u w:val="single"/>
                <w:lang w:val="en-US" w:eastAsia="zh-CN"/>
              </w:rPr>
              <w:t>1.5</w:t>
            </w:r>
          </w:p>
        </w:tc>
        <w:tc>
          <w:tcPr>
            <w:tcW w:w="1224" w:type="dxa"/>
          </w:tcPr>
          <w:p>
            <w:pPr>
              <w:jc w:val="center"/>
              <w:rPr>
                <w:rFonts w:cs="Times New Roman"/>
                <w:color w:val="000000"/>
                <w:sz w:val="21"/>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0.12</w:t>
            </w:r>
          </w:p>
        </w:tc>
        <w:tc>
          <w:tcPr>
            <w:tcW w:w="1227" w:type="dxa"/>
            <w:vAlign w:val="center"/>
          </w:tcPr>
          <w:p>
            <w:pPr>
              <w:jc w:val="center"/>
              <w:rPr>
                <w:rFonts w:cs="Times New Roman"/>
                <w:color w:val="000000"/>
                <w:sz w:val="21"/>
                <w:u w:val="single"/>
              </w:rPr>
            </w:pPr>
            <w:r>
              <w:rPr>
                <w:rFonts w:hint="eastAsia" w:cs="Times New Roman"/>
                <w:color w:val="000000"/>
                <w:sz w:val="21"/>
                <w:u w:val="single"/>
              </w:rPr>
              <w:t>0.17</w:t>
            </w:r>
          </w:p>
        </w:tc>
        <w:tc>
          <w:tcPr>
            <w:tcW w:w="1231" w:type="dxa"/>
            <w:vAlign w:val="center"/>
          </w:tcPr>
          <w:p>
            <w:pPr>
              <w:jc w:val="center"/>
              <w:rPr>
                <w:rFonts w:cs="Times New Roman"/>
                <w:color w:val="000000"/>
                <w:sz w:val="21"/>
                <w:u w:val="single"/>
              </w:rPr>
            </w:pPr>
            <w:r>
              <w:rPr>
                <w:rFonts w:hint="eastAsia" w:cs="Times New Roman"/>
                <w:color w:val="000000"/>
                <w:sz w:val="21"/>
                <w:u w:val="single"/>
              </w:rPr>
              <w:t>0.16</w:t>
            </w:r>
          </w:p>
        </w:tc>
        <w:tc>
          <w:tcPr>
            <w:tcW w:w="12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cs="Times New Roman"/>
                <w:color w:val="000000"/>
                <w:sz w:val="21"/>
                <w:u w:val="single"/>
              </w:rPr>
            </w:pPr>
            <w:r>
              <w:rPr>
                <w:rFonts w:hint="eastAsia" w:cs="Times New Roman"/>
                <w:color w:val="000000"/>
                <w:sz w:val="21"/>
                <w:u w:val="single"/>
              </w:rPr>
              <w:t>0.10</w:t>
            </w:r>
          </w:p>
        </w:tc>
        <w:tc>
          <w:tcPr>
            <w:tcW w:w="1229" w:type="dxa"/>
          </w:tcPr>
          <w:p>
            <w:pPr>
              <w:keepNext w:val="0"/>
              <w:keepLines w:val="0"/>
              <w:pageBreakBefore w:val="0"/>
              <w:widowControl w:val="0"/>
              <w:kinsoku/>
              <w:wordWrap/>
              <w:overflowPunct/>
              <w:topLinePunct w:val="0"/>
              <w:autoSpaceDE/>
              <w:autoSpaceDN/>
              <w:bidi w:val="0"/>
              <w:adjustRightInd w:val="0"/>
              <w:snapToGrid w:val="0"/>
              <w:jc w:val="center"/>
              <w:textAlignment w:val="auto"/>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0.14</w:t>
            </w:r>
          </w:p>
        </w:tc>
        <w:tc>
          <w:tcPr>
            <w:tcW w:w="1227" w:type="dxa"/>
            <w:vAlign w:val="center"/>
          </w:tcPr>
          <w:p>
            <w:pPr>
              <w:jc w:val="center"/>
              <w:rPr>
                <w:rFonts w:cs="Times New Roman"/>
                <w:color w:val="000000"/>
                <w:sz w:val="21"/>
                <w:u w:val="single"/>
              </w:rPr>
            </w:pPr>
            <w:r>
              <w:rPr>
                <w:rFonts w:hint="eastAsia" w:cs="Times New Roman"/>
                <w:color w:val="000000"/>
                <w:sz w:val="21"/>
                <w:u w:val="single"/>
              </w:rPr>
              <w:t>0.17</w:t>
            </w:r>
          </w:p>
        </w:tc>
        <w:tc>
          <w:tcPr>
            <w:tcW w:w="1231" w:type="dxa"/>
            <w:vAlign w:val="center"/>
          </w:tcPr>
          <w:p>
            <w:pPr>
              <w:jc w:val="center"/>
              <w:rPr>
                <w:rFonts w:cs="Times New Roman"/>
                <w:color w:val="000000"/>
                <w:sz w:val="21"/>
                <w:u w:val="single"/>
              </w:rPr>
            </w:pPr>
            <w:r>
              <w:rPr>
                <w:rFonts w:hint="eastAsia" w:cs="Times New Roman"/>
                <w:color w:val="000000"/>
                <w:sz w:val="21"/>
                <w:u w:val="single"/>
              </w:rPr>
              <w:t>0.12</w:t>
            </w:r>
          </w:p>
        </w:tc>
        <w:tc>
          <w:tcPr>
            <w:tcW w:w="12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cs="Times New Roman"/>
                <w:color w:val="000000"/>
                <w:sz w:val="21"/>
                <w:u w:val="single"/>
              </w:rPr>
            </w:pPr>
            <w:r>
              <w:rPr>
                <w:rFonts w:hint="eastAsia" w:cs="Times New Roman"/>
                <w:color w:val="000000"/>
                <w:sz w:val="21"/>
                <w:u w:val="single"/>
              </w:rPr>
              <w:t>0.10</w:t>
            </w:r>
          </w:p>
        </w:tc>
        <w:tc>
          <w:tcPr>
            <w:tcW w:w="1229" w:type="dxa"/>
          </w:tcPr>
          <w:p>
            <w:pPr>
              <w:keepNext w:val="0"/>
              <w:keepLines w:val="0"/>
              <w:pageBreakBefore w:val="0"/>
              <w:widowControl w:val="0"/>
              <w:kinsoku/>
              <w:wordWrap/>
              <w:overflowPunct/>
              <w:topLinePunct w:val="0"/>
              <w:autoSpaceDE/>
              <w:autoSpaceDN/>
              <w:bidi w:val="0"/>
              <w:adjustRightInd w:val="0"/>
              <w:snapToGrid w:val="0"/>
              <w:jc w:val="center"/>
              <w:textAlignment w:val="auto"/>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0.10</w:t>
            </w:r>
          </w:p>
        </w:tc>
        <w:tc>
          <w:tcPr>
            <w:tcW w:w="1227" w:type="dxa"/>
            <w:vAlign w:val="center"/>
          </w:tcPr>
          <w:p>
            <w:pPr>
              <w:jc w:val="center"/>
              <w:rPr>
                <w:rFonts w:cs="Times New Roman"/>
                <w:color w:val="000000"/>
                <w:sz w:val="21"/>
                <w:u w:val="single"/>
              </w:rPr>
            </w:pPr>
            <w:r>
              <w:rPr>
                <w:rFonts w:hint="eastAsia" w:cs="Times New Roman"/>
                <w:color w:val="000000"/>
                <w:sz w:val="21"/>
                <w:u w:val="single"/>
              </w:rPr>
              <w:t>0.16</w:t>
            </w:r>
          </w:p>
        </w:tc>
        <w:tc>
          <w:tcPr>
            <w:tcW w:w="1231" w:type="dxa"/>
            <w:vAlign w:val="center"/>
          </w:tcPr>
          <w:p>
            <w:pPr>
              <w:jc w:val="center"/>
              <w:rPr>
                <w:rFonts w:cs="Times New Roman"/>
                <w:color w:val="000000"/>
                <w:sz w:val="21"/>
                <w:u w:val="single"/>
              </w:rPr>
            </w:pPr>
            <w:r>
              <w:rPr>
                <w:rFonts w:hint="eastAsia" w:cs="Times New Roman"/>
                <w:color w:val="000000"/>
                <w:sz w:val="21"/>
                <w:u w:val="single"/>
              </w:rPr>
              <w:t>0.17</w:t>
            </w:r>
          </w:p>
        </w:tc>
        <w:tc>
          <w:tcPr>
            <w:tcW w:w="122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cs="Times New Roman"/>
                <w:color w:val="000000"/>
                <w:sz w:val="21"/>
                <w:u w:val="single"/>
              </w:rPr>
            </w:pPr>
            <w:r>
              <w:rPr>
                <w:rFonts w:hint="eastAsia" w:cs="Times New Roman"/>
                <w:color w:val="000000"/>
                <w:sz w:val="21"/>
                <w:u w:val="single"/>
              </w:rPr>
              <w:t>0.18</w:t>
            </w:r>
          </w:p>
        </w:tc>
        <w:tc>
          <w:tcPr>
            <w:tcW w:w="1229" w:type="dxa"/>
          </w:tcPr>
          <w:p>
            <w:pPr>
              <w:keepNext w:val="0"/>
              <w:keepLines w:val="0"/>
              <w:pageBreakBefore w:val="0"/>
              <w:widowControl w:val="0"/>
              <w:kinsoku/>
              <w:wordWrap/>
              <w:overflowPunct/>
              <w:topLinePunct w:val="0"/>
              <w:autoSpaceDE/>
              <w:autoSpaceDN/>
              <w:bidi w:val="0"/>
              <w:adjustRightInd w:val="0"/>
              <w:snapToGrid w:val="0"/>
              <w:jc w:val="center"/>
              <w:textAlignment w:val="auto"/>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restart"/>
            <w:vAlign w:val="center"/>
          </w:tcPr>
          <w:p>
            <w:pPr>
              <w:jc w:val="center"/>
              <w:rPr>
                <w:rFonts w:cs="Times New Roman"/>
                <w:color w:val="000000"/>
                <w:sz w:val="21"/>
                <w:u w:val="single"/>
              </w:rPr>
            </w:pPr>
            <w:r>
              <w:rPr>
                <w:rFonts w:hint="eastAsia" w:cs="Times New Roman"/>
                <w:color w:val="000000"/>
                <w:sz w:val="21"/>
                <w:u w:val="single"/>
              </w:rPr>
              <w:t>5月22日</w:t>
            </w:r>
          </w:p>
        </w:tc>
        <w:tc>
          <w:tcPr>
            <w:tcW w:w="1231" w:type="dxa"/>
            <w:vAlign w:val="center"/>
          </w:tcPr>
          <w:p>
            <w:pPr>
              <w:jc w:val="center"/>
              <w:rPr>
                <w:rFonts w:cs="Times New Roman"/>
                <w:color w:val="000000"/>
                <w:sz w:val="21"/>
                <w:u w:val="single"/>
              </w:rPr>
            </w:pPr>
            <w:r>
              <w:rPr>
                <w:rFonts w:hint="eastAsia" w:cs="Times New Roman"/>
                <w:color w:val="000000"/>
                <w:sz w:val="21"/>
                <w:u w:val="single"/>
              </w:rPr>
              <w:t>0.15</w:t>
            </w:r>
          </w:p>
        </w:tc>
        <w:tc>
          <w:tcPr>
            <w:tcW w:w="1227" w:type="dxa"/>
            <w:vAlign w:val="center"/>
          </w:tcPr>
          <w:p>
            <w:pPr>
              <w:jc w:val="center"/>
              <w:rPr>
                <w:rFonts w:cs="Times New Roman"/>
                <w:color w:val="000000"/>
                <w:sz w:val="21"/>
                <w:u w:val="single"/>
              </w:rPr>
            </w:pPr>
            <w:r>
              <w:rPr>
                <w:rFonts w:hint="eastAsia" w:cs="Times New Roman"/>
                <w:color w:val="000000"/>
                <w:sz w:val="21"/>
                <w:u w:val="single"/>
              </w:rPr>
              <w:t>0.16</w:t>
            </w:r>
          </w:p>
        </w:tc>
        <w:tc>
          <w:tcPr>
            <w:tcW w:w="1231" w:type="dxa"/>
            <w:vAlign w:val="center"/>
          </w:tcPr>
          <w:p>
            <w:pPr>
              <w:jc w:val="center"/>
              <w:rPr>
                <w:rFonts w:cs="Times New Roman"/>
                <w:color w:val="000000"/>
                <w:sz w:val="21"/>
                <w:u w:val="single"/>
              </w:rPr>
            </w:pPr>
            <w:r>
              <w:rPr>
                <w:rFonts w:hint="eastAsia" w:cs="Times New Roman"/>
                <w:color w:val="000000"/>
                <w:sz w:val="21"/>
                <w:u w:val="single"/>
              </w:rPr>
              <w:t>0.18</w:t>
            </w:r>
          </w:p>
        </w:tc>
        <w:tc>
          <w:tcPr>
            <w:tcW w:w="1229" w:type="dxa"/>
            <w:vAlign w:val="center"/>
          </w:tcPr>
          <w:p>
            <w:pPr>
              <w:jc w:val="center"/>
              <w:rPr>
                <w:rFonts w:cs="Times New Roman"/>
                <w:color w:val="000000"/>
                <w:sz w:val="21"/>
                <w:u w:val="single"/>
              </w:rPr>
            </w:pPr>
            <w:r>
              <w:rPr>
                <w:rFonts w:hint="eastAsia" w:cs="Times New Roman"/>
                <w:color w:val="000000"/>
                <w:sz w:val="21"/>
                <w:u w:val="single"/>
              </w:rPr>
              <w:t>0.14</w:t>
            </w:r>
          </w:p>
        </w:tc>
        <w:tc>
          <w:tcPr>
            <w:tcW w:w="1229" w:type="dxa"/>
          </w:tcPr>
          <w:p>
            <w:pPr>
              <w:jc w:val="center"/>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0.16</w:t>
            </w:r>
          </w:p>
        </w:tc>
        <w:tc>
          <w:tcPr>
            <w:tcW w:w="1227" w:type="dxa"/>
            <w:vAlign w:val="center"/>
          </w:tcPr>
          <w:p>
            <w:pPr>
              <w:jc w:val="center"/>
              <w:rPr>
                <w:rFonts w:cs="Times New Roman"/>
                <w:color w:val="000000"/>
                <w:sz w:val="21"/>
                <w:u w:val="single"/>
              </w:rPr>
            </w:pPr>
            <w:r>
              <w:rPr>
                <w:rFonts w:hint="eastAsia" w:cs="Times New Roman"/>
                <w:color w:val="000000"/>
                <w:sz w:val="21"/>
                <w:u w:val="single"/>
              </w:rPr>
              <w:t>0.17</w:t>
            </w:r>
          </w:p>
        </w:tc>
        <w:tc>
          <w:tcPr>
            <w:tcW w:w="1231" w:type="dxa"/>
            <w:vAlign w:val="center"/>
          </w:tcPr>
          <w:p>
            <w:pPr>
              <w:jc w:val="center"/>
              <w:rPr>
                <w:rFonts w:cs="Times New Roman"/>
                <w:color w:val="000000"/>
                <w:sz w:val="21"/>
                <w:u w:val="single"/>
              </w:rPr>
            </w:pPr>
            <w:r>
              <w:rPr>
                <w:rFonts w:hint="eastAsia" w:cs="Times New Roman"/>
                <w:color w:val="000000"/>
                <w:sz w:val="21"/>
                <w:u w:val="single"/>
              </w:rPr>
              <w:t>0.13</w:t>
            </w:r>
          </w:p>
        </w:tc>
        <w:tc>
          <w:tcPr>
            <w:tcW w:w="1229" w:type="dxa"/>
            <w:vAlign w:val="center"/>
          </w:tcPr>
          <w:p>
            <w:pPr>
              <w:jc w:val="center"/>
              <w:rPr>
                <w:rFonts w:cs="Times New Roman"/>
                <w:color w:val="000000"/>
                <w:sz w:val="21"/>
                <w:u w:val="single"/>
              </w:rPr>
            </w:pPr>
            <w:r>
              <w:rPr>
                <w:rFonts w:hint="eastAsia" w:cs="Times New Roman"/>
                <w:color w:val="000000"/>
                <w:sz w:val="21"/>
                <w:u w:val="single"/>
              </w:rPr>
              <w:t>0.12</w:t>
            </w:r>
          </w:p>
        </w:tc>
        <w:tc>
          <w:tcPr>
            <w:tcW w:w="1229" w:type="dxa"/>
          </w:tcPr>
          <w:p>
            <w:pPr>
              <w:jc w:val="center"/>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0.13</w:t>
            </w:r>
          </w:p>
        </w:tc>
        <w:tc>
          <w:tcPr>
            <w:tcW w:w="1227" w:type="dxa"/>
            <w:vAlign w:val="center"/>
          </w:tcPr>
          <w:p>
            <w:pPr>
              <w:jc w:val="center"/>
              <w:rPr>
                <w:rFonts w:cs="Times New Roman"/>
                <w:color w:val="000000"/>
                <w:sz w:val="21"/>
                <w:u w:val="single"/>
              </w:rPr>
            </w:pPr>
            <w:r>
              <w:rPr>
                <w:rFonts w:hint="eastAsia" w:cs="Times New Roman"/>
                <w:color w:val="000000"/>
                <w:sz w:val="21"/>
                <w:u w:val="single"/>
              </w:rPr>
              <w:t>0.13</w:t>
            </w:r>
          </w:p>
        </w:tc>
        <w:tc>
          <w:tcPr>
            <w:tcW w:w="1231" w:type="dxa"/>
            <w:vAlign w:val="center"/>
          </w:tcPr>
          <w:p>
            <w:pPr>
              <w:jc w:val="center"/>
              <w:rPr>
                <w:rFonts w:cs="Times New Roman"/>
                <w:color w:val="000000"/>
                <w:sz w:val="21"/>
                <w:u w:val="single"/>
              </w:rPr>
            </w:pPr>
            <w:r>
              <w:rPr>
                <w:rFonts w:hint="eastAsia" w:cs="Times New Roman"/>
                <w:color w:val="000000"/>
                <w:sz w:val="21"/>
                <w:u w:val="single"/>
              </w:rPr>
              <w:t>0.17</w:t>
            </w:r>
          </w:p>
        </w:tc>
        <w:tc>
          <w:tcPr>
            <w:tcW w:w="1229" w:type="dxa"/>
            <w:vAlign w:val="center"/>
          </w:tcPr>
          <w:p>
            <w:pPr>
              <w:jc w:val="center"/>
              <w:rPr>
                <w:rFonts w:cs="Times New Roman"/>
                <w:color w:val="000000"/>
                <w:sz w:val="21"/>
                <w:u w:val="single"/>
              </w:rPr>
            </w:pPr>
            <w:r>
              <w:rPr>
                <w:rFonts w:hint="eastAsia" w:cs="Times New Roman"/>
                <w:color w:val="000000"/>
                <w:sz w:val="21"/>
                <w:u w:val="single"/>
              </w:rPr>
              <w:t>0.17</w:t>
            </w:r>
          </w:p>
        </w:tc>
        <w:tc>
          <w:tcPr>
            <w:tcW w:w="1229" w:type="dxa"/>
          </w:tcPr>
          <w:p>
            <w:pPr>
              <w:jc w:val="center"/>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0.15</w:t>
            </w:r>
          </w:p>
        </w:tc>
        <w:tc>
          <w:tcPr>
            <w:tcW w:w="1227" w:type="dxa"/>
            <w:vAlign w:val="center"/>
          </w:tcPr>
          <w:p>
            <w:pPr>
              <w:jc w:val="center"/>
              <w:rPr>
                <w:rFonts w:cs="Times New Roman"/>
                <w:color w:val="000000"/>
                <w:sz w:val="21"/>
                <w:u w:val="single"/>
              </w:rPr>
            </w:pPr>
            <w:r>
              <w:rPr>
                <w:rFonts w:hint="eastAsia" w:cs="Times New Roman"/>
                <w:color w:val="000000"/>
                <w:sz w:val="21"/>
                <w:u w:val="single"/>
              </w:rPr>
              <w:t>0.16</w:t>
            </w:r>
          </w:p>
        </w:tc>
        <w:tc>
          <w:tcPr>
            <w:tcW w:w="1231" w:type="dxa"/>
            <w:vAlign w:val="center"/>
          </w:tcPr>
          <w:p>
            <w:pPr>
              <w:jc w:val="center"/>
              <w:rPr>
                <w:rFonts w:cs="Times New Roman"/>
                <w:color w:val="000000"/>
                <w:sz w:val="21"/>
                <w:u w:val="single"/>
              </w:rPr>
            </w:pPr>
            <w:r>
              <w:rPr>
                <w:rFonts w:hint="eastAsia" w:cs="Times New Roman"/>
                <w:color w:val="000000"/>
                <w:sz w:val="21"/>
                <w:u w:val="single"/>
              </w:rPr>
              <w:t>0.11</w:t>
            </w:r>
          </w:p>
        </w:tc>
        <w:tc>
          <w:tcPr>
            <w:tcW w:w="1229" w:type="dxa"/>
            <w:vAlign w:val="center"/>
          </w:tcPr>
          <w:p>
            <w:pPr>
              <w:jc w:val="center"/>
              <w:rPr>
                <w:rFonts w:cs="Times New Roman"/>
                <w:color w:val="000000"/>
                <w:sz w:val="21"/>
                <w:u w:val="single"/>
              </w:rPr>
            </w:pPr>
            <w:r>
              <w:rPr>
                <w:rFonts w:hint="eastAsia" w:cs="Times New Roman"/>
                <w:color w:val="000000"/>
                <w:sz w:val="21"/>
                <w:u w:val="single"/>
              </w:rPr>
              <w:t>0.12</w:t>
            </w:r>
          </w:p>
        </w:tc>
        <w:tc>
          <w:tcPr>
            <w:tcW w:w="1229" w:type="dxa"/>
          </w:tcPr>
          <w:p>
            <w:pPr>
              <w:jc w:val="center"/>
              <w:rPr>
                <w:u w:val="single"/>
              </w:rPr>
            </w:pPr>
            <w:r>
              <w:rPr>
                <w:rFonts w:hint="eastAsia" w:ascii="Times New Roman" w:hAnsi="Times New Roman" w:cs="Times New Roman"/>
                <w:color w:val="000000"/>
                <w:sz w:val="21"/>
                <w:u w:val="single"/>
                <w:lang w:val="en-US" w:eastAsia="zh-CN"/>
              </w:rPr>
              <w:t>1.5</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restart"/>
            <w:vAlign w:val="center"/>
          </w:tcPr>
          <w:p>
            <w:pPr>
              <w:pStyle w:val="143"/>
              <w:rPr>
                <w:rFonts w:ascii="Times New Roman" w:hAnsi="Times New Roman" w:eastAsiaTheme="majorEastAsia"/>
                <w:u w:val="single"/>
              </w:rPr>
            </w:pPr>
            <w:r>
              <w:rPr>
                <w:rFonts w:hint="eastAsia" w:ascii="Times New Roman" w:hAnsi="Times New Roman" w:eastAsiaTheme="majorEastAsia"/>
                <w:u w:val="single"/>
              </w:rPr>
              <w:t>硫化氢</w:t>
            </w:r>
          </w:p>
          <w:p>
            <w:pPr>
              <w:pStyle w:val="143"/>
              <w:rPr>
                <w:rFonts w:ascii="Times New Roman" w:hAnsi="Times New Roman" w:eastAsiaTheme="majorEastAsia"/>
                <w:u w:val="single"/>
              </w:rPr>
            </w:pPr>
          </w:p>
        </w:tc>
        <w:tc>
          <w:tcPr>
            <w:tcW w:w="1061" w:type="dxa"/>
            <w:vMerge w:val="restart"/>
            <w:vAlign w:val="center"/>
          </w:tcPr>
          <w:p>
            <w:pPr>
              <w:pStyle w:val="143"/>
              <w:rPr>
                <w:rFonts w:ascii="Times New Roman" w:hAnsi="Times New Roman"/>
                <w:u w:val="single"/>
              </w:rPr>
            </w:pPr>
            <w:r>
              <w:rPr>
                <w:rFonts w:hint="eastAsia" w:ascii="Times New Roman" w:hAnsi="Times New Roman"/>
                <w:u w:val="single"/>
              </w:rPr>
              <w:t>5月21日</w:t>
            </w:r>
          </w:p>
        </w:tc>
        <w:tc>
          <w:tcPr>
            <w:tcW w:w="1231" w:type="dxa"/>
            <w:vAlign w:val="center"/>
          </w:tcPr>
          <w:p>
            <w:pPr>
              <w:jc w:val="center"/>
              <w:rPr>
                <w:rFonts w:cs="Times New Roman"/>
                <w:color w:val="000000"/>
                <w:sz w:val="21"/>
                <w:u w:val="single"/>
              </w:rPr>
            </w:pPr>
            <w:r>
              <w:rPr>
                <w:rFonts w:hint="eastAsia" w:cs="Times New Roman"/>
                <w:color w:val="000000"/>
                <w:sz w:val="21"/>
                <w:u w:val="single"/>
              </w:rPr>
              <w:t>0.006</w:t>
            </w:r>
          </w:p>
        </w:tc>
        <w:tc>
          <w:tcPr>
            <w:tcW w:w="1227" w:type="dxa"/>
            <w:vAlign w:val="center"/>
          </w:tcPr>
          <w:p>
            <w:pPr>
              <w:jc w:val="center"/>
              <w:rPr>
                <w:rFonts w:cs="Times New Roman"/>
                <w:color w:val="000000"/>
                <w:sz w:val="21"/>
                <w:u w:val="single"/>
              </w:rPr>
            </w:pPr>
            <w:r>
              <w:rPr>
                <w:rFonts w:hint="eastAsia" w:cs="Times New Roman"/>
                <w:color w:val="000000"/>
                <w:sz w:val="21"/>
                <w:u w:val="single"/>
              </w:rPr>
              <w:t>0.004</w:t>
            </w:r>
          </w:p>
        </w:tc>
        <w:tc>
          <w:tcPr>
            <w:tcW w:w="1231" w:type="dxa"/>
            <w:vAlign w:val="center"/>
          </w:tcPr>
          <w:p>
            <w:pPr>
              <w:jc w:val="center"/>
              <w:rPr>
                <w:rFonts w:cs="Times New Roman"/>
                <w:color w:val="000000"/>
                <w:sz w:val="21"/>
                <w:u w:val="single"/>
              </w:rPr>
            </w:pPr>
            <w:r>
              <w:rPr>
                <w:rFonts w:hint="eastAsia" w:cs="Times New Roman"/>
                <w:color w:val="000000"/>
                <w:sz w:val="21"/>
                <w:u w:val="single"/>
              </w:rPr>
              <w:t>0.005</w:t>
            </w:r>
          </w:p>
        </w:tc>
        <w:tc>
          <w:tcPr>
            <w:tcW w:w="1229" w:type="dxa"/>
            <w:vAlign w:val="center"/>
          </w:tcPr>
          <w:p>
            <w:pPr>
              <w:jc w:val="center"/>
              <w:rPr>
                <w:rFonts w:cs="Times New Roman"/>
                <w:color w:val="000000"/>
                <w:sz w:val="21"/>
                <w:u w:val="single"/>
              </w:rPr>
            </w:pPr>
            <w:r>
              <w:rPr>
                <w:rFonts w:hint="eastAsia" w:cs="Times New Roman"/>
                <w:color w:val="000000"/>
                <w:sz w:val="21"/>
                <w:u w:val="single"/>
              </w:rPr>
              <w:t>0.006</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0.007</w:t>
            </w:r>
          </w:p>
        </w:tc>
        <w:tc>
          <w:tcPr>
            <w:tcW w:w="1227" w:type="dxa"/>
            <w:vAlign w:val="center"/>
          </w:tcPr>
          <w:p>
            <w:pPr>
              <w:jc w:val="center"/>
              <w:rPr>
                <w:rFonts w:cs="Times New Roman"/>
                <w:color w:val="000000"/>
                <w:sz w:val="21"/>
                <w:u w:val="single"/>
              </w:rPr>
            </w:pPr>
            <w:r>
              <w:rPr>
                <w:rFonts w:hint="eastAsia" w:cs="Times New Roman"/>
                <w:color w:val="000000"/>
                <w:sz w:val="21"/>
                <w:u w:val="single"/>
              </w:rPr>
              <w:t>0.005</w:t>
            </w:r>
          </w:p>
        </w:tc>
        <w:tc>
          <w:tcPr>
            <w:tcW w:w="1231" w:type="dxa"/>
            <w:vAlign w:val="center"/>
          </w:tcPr>
          <w:p>
            <w:pPr>
              <w:jc w:val="center"/>
              <w:rPr>
                <w:rFonts w:cs="Times New Roman"/>
                <w:color w:val="000000"/>
                <w:sz w:val="21"/>
                <w:u w:val="single"/>
              </w:rPr>
            </w:pPr>
            <w:r>
              <w:rPr>
                <w:rFonts w:hint="eastAsia" w:cs="Times New Roman"/>
                <w:color w:val="000000"/>
                <w:sz w:val="21"/>
                <w:u w:val="single"/>
              </w:rPr>
              <w:t>0.004</w:t>
            </w:r>
          </w:p>
        </w:tc>
        <w:tc>
          <w:tcPr>
            <w:tcW w:w="1229" w:type="dxa"/>
            <w:vAlign w:val="center"/>
          </w:tcPr>
          <w:p>
            <w:pPr>
              <w:jc w:val="center"/>
              <w:rPr>
                <w:rFonts w:cs="Times New Roman"/>
                <w:color w:val="000000"/>
                <w:sz w:val="21"/>
                <w:u w:val="single"/>
              </w:rPr>
            </w:pPr>
            <w:r>
              <w:rPr>
                <w:rFonts w:hint="eastAsia" w:cs="Times New Roman"/>
                <w:color w:val="000000"/>
                <w:sz w:val="21"/>
                <w:u w:val="single"/>
              </w:rPr>
              <w:t>0.007</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0.004</w:t>
            </w:r>
          </w:p>
        </w:tc>
        <w:tc>
          <w:tcPr>
            <w:tcW w:w="1227" w:type="dxa"/>
            <w:vAlign w:val="center"/>
          </w:tcPr>
          <w:p>
            <w:pPr>
              <w:jc w:val="center"/>
              <w:rPr>
                <w:rFonts w:cs="Times New Roman"/>
                <w:color w:val="000000"/>
                <w:sz w:val="21"/>
                <w:u w:val="single"/>
              </w:rPr>
            </w:pPr>
            <w:r>
              <w:rPr>
                <w:rFonts w:hint="eastAsia" w:cs="Times New Roman"/>
                <w:color w:val="000000"/>
                <w:sz w:val="21"/>
                <w:u w:val="single"/>
              </w:rPr>
              <w:t>0.007</w:t>
            </w:r>
          </w:p>
        </w:tc>
        <w:tc>
          <w:tcPr>
            <w:tcW w:w="1231" w:type="dxa"/>
            <w:vAlign w:val="center"/>
          </w:tcPr>
          <w:p>
            <w:pPr>
              <w:jc w:val="center"/>
              <w:rPr>
                <w:rFonts w:cs="Times New Roman"/>
                <w:color w:val="000000"/>
                <w:sz w:val="21"/>
                <w:u w:val="single"/>
              </w:rPr>
            </w:pPr>
            <w:r>
              <w:rPr>
                <w:rFonts w:hint="eastAsia" w:cs="Times New Roman"/>
                <w:color w:val="000000"/>
                <w:sz w:val="21"/>
                <w:u w:val="single"/>
              </w:rPr>
              <w:t>0.004</w:t>
            </w:r>
          </w:p>
        </w:tc>
        <w:tc>
          <w:tcPr>
            <w:tcW w:w="1229" w:type="dxa"/>
            <w:vAlign w:val="center"/>
          </w:tcPr>
          <w:p>
            <w:pPr>
              <w:jc w:val="center"/>
              <w:rPr>
                <w:rFonts w:cs="Times New Roman"/>
                <w:color w:val="000000"/>
                <w:sz w:val="21"/>
                <w:u w:val="single"/>
              </w:rPr>
            </w:pPr>
            <w:r>
              <w:rPr>
                <w:rFonts w:hint="eastAsia" w:cs="Times New Roman"/>
                <w:color w:val="000000"/>
                <w:sz w:val="21"/>
                <w:u w:val="single"/>
              </w:rPr>
              <w:t>0.007</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0.007</w:t>
            </w:r>
          </w:p>
        </w:tc>
        <w:tc>
          <w:tcPr>
            <w:tcW w:w="1227" w:type="dxa"/>
            <w:vAlign w:val="center"/>
          </w:tcPr>
          <w:p>
            <w:pPr>
              <w:jc w:val="center"/>
              <w:rPr>
                <w:rFonts w:cs="Times New Roman"/>
                <w:color w:val="000000"/>
                <w:sz w:val="21"/>
                <w:u w:val="single"/>
              </w:rPr>
            </w:pPr>
            <w:r>
              <w:rPr>
                <w:rFonts w:hint="eastAsia" w:cs="Times New Roman"/>
                <w:color w:val="000000"/>
                <w:sz w:val="21"/>
                <w:u w:val="single"/>
              </w:rPr>
              <w:t>0.004</w:t>
            </w:r>
          </w:p>
        </w:tc>
        <w:tc>
          <w:tcPr>
            <w:tcW w:w="1231" w:type="dxa"/>
            <w:vAlign w:val="center"/>
          </w:tcPr>
          <w:p>
            <w:pPr>
              <w:jc w:val="center"/>
              <w:rPr>
                <w:rFonts w:cs="Times New Roman"/>
                <w:color w:val="000000"/>
                <w:sz w:val="21"/>
                <w:u w:val="single"/>
              </w:rPr>
            </w:pPr>
            <w:r>
              <w:rPr>
                <w:rFonts w:hint="eastAsia" w:cs="Times New Roman"/>
                <w:color w:val="000000"/>
                <w:sz w:val="21"/>
                <w:u w:val="single"/>
              </w:rPr>
              <w:t>0.006</w:t>
            </w:r>
          </w:p>
        </w:tc>
        <w:tc>
          <w:tcPr>
            <w:tcW w:w="1229" w:type="dxa"/>
            <w:vAlign w:val="center"/>
          </w:tcPr>
          <w:p>
            <w:pPr>
              <w:jc w:val="center"/>
              <w:rPr>
                <w:rFonts w:cs="Times New Roman"/>
                <w:color w:val="000000"/>
                <w:sz w:val="21"/>
                <w:u w:val="single"/>
              </w:rPr>
            </w:pPr>
            <w:r>
              <w:rPr>
                <w:rFonts w:hint="eastAsia" w:cs="Times New Roman"/>
                <w:color w:val="000000"/>
                <w:sz w:val="21"/>
                <w:u w:val="single"/>
              </w:rPr>
              <w:t>0.003</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restart"/>
            <w:vAlign w:val="center"/>
          </w:tcPr>
          <w:p>
            <w:pPr>
              <w:jc w:val="center"/>
              <w:rPr>
                <w:rFonts w:cs="Times New Roman"/>
                <w:color w:val="000000"/>
                <w:sz w:val="21"/>
                <w:u w:val="single"/>
              </w:rPr>
            </w:pPr>
            <w:r>
              <w:rPr>
                <w:rFonts w:hint="eastAsia" w:cs="Times New Roman"/>
                <w:color w:val="000000"/>
                <w:sz w:val="21"/>
                <w:u w:val="single"/>
              </w:rPr>
              <w:t>5月22日</w:t>
            </w:r>
          </w:p>
        </w:tc>
        <w:tc>
          <w:tcPr>
            <w:tcW w:w="1231" w:type="dxa"/>
            <w:vAlign w:val="center"/>
          </w:tcPr>
          <w:p>
            <w:pPr>
              <w:jc w:val="center"/>
              <w:rPr>
                <w:rFonts w:cs="Times New Roman"/>
                <w:color w:val="000000"/>
                <w:sz w:val="21"/>
                <w:u w:val="single"/>
              </w:rPr>
            </w:pPr>
            <w:r>
              <w:rPr>
                <w:rFonts w:hint="eastAsia" w:cs="Times New Roman"/>
                <w:color w:val="000000"/>
                <w:sz w:val="21"/>
                <w:u w:val="single"/>
              </w:rPr>
              <w:t>0.005</w:t>
            </w:r>
          </w:p>
        </w:tc>
        <w:tc>
          <w:tcPr>
            <w:tcW w:w="1227" w:type="dxa"/>
            <w:vAlign w:val="center"/>
          </w:tcPr>
          <w:p>
            <w:pPr>
              <w:jc w:val="center"/>
              <w:rPr>
                <w:rFonts w:cs="Times New Roman"/>
                <w:color w:val="000000"/>
                <w:sz w:val="21"/>
                <w:u w:val="single"/>
              </w:rPr>
            </w:pPr>
            <w:r>
              <w:rPr>
                <w:rFonts w:hint="eastAsia" w:cs="Times New Roman"/>
                <w:color w:val="000000"/>
                <w:sz w:val="21"/>
                <w:u w:val="single"/>
              </w:rPr>
              <w:t>0.005</w:t>
            </w:r>
          </w:p>
        </w:tc>
        <w:tc>
          <w:tcPr>
            <w:tcW w:w="1231" w:type="dxa"/>
            <w:vAlign w:val="center"/>
          </w:tcPr>
          <w:p>
            <w:pPr>
              <w:jc w:val="center"/>
              <w:rPr>
                <w:rFonts w:cs="Times New Roman"/>
                <w:color w:val="000000"/>
                <w:sz w:val="21"/>
                <w:u w:val="single"/>
              </w:rPr>
            </w:pPr>
            <w:r>
              <w:rPr>
                <w:rFonts w:hint="eastAsia" w:cs="Times New Roman"/>
                <w:color w:val="000000"/>
                <w:sz w:val="21"/>
                <w:u w:val="single"/>
              </w:rPr>
              <w:t>0.004</w:t>
            </w:r>
          </w:p>
        </w:tc>
        <w:tc>
          <w:tcPr>
            <w:tcW w:w="1229" w:type="dxa"/>
            <w:vAlign w:val="center"/>
          </w:tcPr>
          <w:p>
            <w:pPr>
              <w:jc w:val="center"/>
              <w:rPr>
                <w:rFonts w:cs="Times New Roman"/>
                <w:color w:val="000000"/>
                <w:sz w:val="21"/>
                <w:u w:val="single"/>
              </w:rPr>
            </w:pPr>
            <w:r>
              <w:rPr>
                <w:rFonts w:hint="eastAsia" w:cs="Times New Roman"/>
                <w:color w:val="000000"/>
                <w:sz w:val="21"/>
                <w:u w:val="single"/>
              </w:rPr>
              <w:t>0.006</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0.005</w:t>
            </w:r>
          </w:p>
        </w:tc>
        <w:tc>
          <w:tcPr>
            <w:tcW w:w="1227" w:type="dxa"/>
            <w:vAlign w:val="center"/>
          </w:tcPr>
          <w:p>
            <w:pPr>
              <w:jc w:val="center"/>
              <w:rPr>
                <w:rFonts w:cs="Times New Roman"/>
                <w:color w:val="000000"/>
                <w:sz w:val="21"/>
                <w:u w:val="single"/>
              </w:rPr>
            </w:pPr>
            <w:r>
              <w:rPr>
                <w:rFonts w:hint="eastAsia" w:cs="Times New Roman"/>
                <w:color w:val="000000"/>
                <w:sz w:val="21"/>
                <w:u w:val="single"/>
              </w:rPr>
              <w:t>0.003</w:t>
            </w:r>
          </w:p>
        </w:tc>
        <w:tc>
          <w:tcPr>
            <w:tcW w:w="1231" w:type="dxa"/>
            <w:vAlign w:val="center"/>
          </w:tcPr>
          <w:p>
            <w:pPr>
              <w:jc w:val="center"/>
              <w:rPr>
                <w:rFonts w:cs="Times New Roman"/>
                <w:color w:val="000000"/>
                <w:sz w:val="21"/>
                <w:u w:val="single"/>
              </w:rPr>
            </w:pPr>
            <w:r>
              <w:rPr>
                <w:rFonts w:hint="eastAsia" w:cs="Times New Roman"/>
                <w:color w:val="000000"/>
                <w:sz w:val="21"/>
                <w:u w:val="single"/>
              </w:rPr>
              <w:t>0.005</w:t>
            </w:r>
          </w:p>
        </w:tc>
        <w:tc>
          <w:tcPr>
            <w:tcW w:w="1229" w:type="dxa"/>
            <w:vAlign w:val="center"/>
          </w:tcPr>
          <w:p>
            <w:pPr>
              <w:jc w:val="center"/>
              <w:rPr>
                <w:rFonts w:cs="Times New Roman"/>
                <w:color w:val="000000"/>
                <w:sz w:val="21"/>
                <w:u w:val="single"/>
              </w:rPr>
            </w:pPr>
            <w:r>
              <w:rPr>
                <w:rFonts w:hint="eastAsia" w:cs="Times New Roman"/>
                <w:color w:val="000000"/>
                <w:sz w:val="21"/>
                <w:u w:val="single"/>
              </w:rPr>
              <w:t>0.006</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0.004</w:t>
            </w:r>
          </w:p>
        </w:tc>
        <w:tc>
          <w:tcPr>
            <w:tcW w:w="1227" w:type="dxa"/>
            <w:vAlign w:val="center"/>
          </w:tcPr>
          <w:p>
            <w:pPr>
              <w:jc w:val="center"/>
              <w:rPr>
                <w:rFonts w:cs="Times New Roman"/>
                <w:color w:val="000000"/>
                <w:sz w:val="21"/>
                <w:u w:val="single"/>
              </w:rPr>
            </w:pPr>
            <w:r>
              <w:rPr>
                <w:rFonts w:hint="eastAsia" w:cs="Times New Roman"/>
                <w:color w:val="000000"/>
                <w:sz w:val="21"/>
                <w:u w:val="single"/>
              </w:rPr>
              <w:t>0.004</w:t>
            </w:r>
          </w:p>
        </w:tc>
        <w:tc>
          <w:tcPr>
            <w:tcW w:w="1231" w:type="dxa"/>
            <w:vAlign w:val="center"/>
          </w:tcPr>
          <w:p>
            <w:pPr>
              <w:jc w:val="center"/>
              <w:rPr>
                <w:rFonts w:cs="Times New Roman"/>
                <w:color w:val="000000"/>
                <w:sz w:val="21"/>
                <w:u w:val="single"/>
              </w:rPr>
            </w:pPr>
            <w:r>
              <w:rPr>
                <w:rFonts w:hint="eastAsia" w:cs="Times New Roman"/>
                <w:color w:val="000000"/>
                <w:sz w:val="21"/>
                <w:u w:val="single"/>
              </w:rPr>
              <w:t>0.006</w:t>
            </w:r>
          </w:p>
        </w:tc>
        <w:tc>
          <w:tcPr>
            <w:tcW w:w="1229" w:type="dxa"/>
            <w:vAlign w:val="center"/>
          </w:tcPr>
          <w:p>
            <w:pPr>
              <w:jc w:val="center"/>
              <w:rPr>
                <w:rFonts w:cs="Times New Roman"/>
                <w:color w:val="000000"/>
                <w:sz w:val="21"/>
                <w:u w:val="single"/>
              </w:rPr>
            </w:pPr>
            <w:r>
              <w:rPr>
                <w:rFonts w:hint="eastAsia" w:cs="Times New Roman"/>
                <w:color w:val="000000"/>
                <w:sz w:val="21"/>
                <w:u w:val="single"/>
              </w:rPr>
              <w:t>0.005</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0" w:type="dxa"/>
            <w:vMerge w:val="continue"/>
            <w:vAlign w:val="center"/>
          </w:tcPr>
          <w:p>
            <w:pPr>
              <w:pStyle w:val="143"/>
              <w:rPr>
                <w:rFonts w:ascii="Times New Roman" w:hAnsi="Times New Roman" w:eastAsiaTheme="majorEastAsia"/>
                <w:u w:val="single"/>
              </w:rPr>
            </w:pPr>
          </w:p>
        </w:tc>
        <w:tc>
          <w:tcPr>
            <w:tcW w:w="1061" w:type="dxa"/>
            <w:vMerge w:val="continue"/>
            <w:vAlign w:val="center"/>
          </w:tcPr>
          <w:p>
            <w:pPr>
              <w:jc w:val="center"/>
              <w:rPr>
                <w:rFonts w:cs="Times New Roman"/>
                <w:color w:val="000000"/>
                <w:sz w:val="21"/>
                <w:u w:val="single"/>
              </w:rPr>
            </w:pPr>
          </w:p>
        </w:tc>
        <w:tc>
          <w:tcPr>
            <w:tcW w:w="1231" w:type="dxa"/>
            <w:vAlign w:val="center"/>
          </w:tcPr>
          <w:p>
            <w:pPr>
              <w:jc w:val="center"/>
              <w:rPr>
                <w:rFonts w:cs="Times New Roman"/>
                <w:color w:val="000000"/>
                <w:sz w:val="21"/>
                <w:u w:val="single"/>
              </w:rPr>
            </w:pPr>
            <w:r>
              <w:rPr>
                <w:rFonts w:hint="eastAsia" w:cs="Times New Roman"/>
                <w:color w:val="000000"/>
                <w:sz w:val="21"/>
                <w:u w:val="single"/>
              </w:rPr>
              <w:t>0.006</w:t>
            </w:r>
          </w:p>
        </w:tc>
        <w:tc>
          <w:tcPr>
            <w:tcW w:w="1227" w:type="dxa"/>
            <w:vAlign w:val="center"/>
          </w:tcPr>
          <w:p>
            <w:pPr>
              <w:jc w:val="center"/>
              <w:rPr>
                <w:rFonts w:cs="Times New Roman"/>
                <w:color w:val="000000"/>
                <w:sz w:val="21"/>
                <w:u w:val="single"/>
              </w:rPr>
            </w:pPr>
            <w:r>
              <w:rPr>
                <w:rFonts w:hint="eastAsia" w:cs="Times New Roman"/>
                <w:color w:val="000000"/>
                <w:sz w:val="21"/>
                <w:u w:val="single"/>
              </w:rPr>
              <w:t>0.004</w:t>
            </w:r>
          </w:p>
        </w:tc>
        <w:tc>
          <w:tcPr>
            <w:tcW w:w="1231" w:type="dxa"/>
            <w:vAlign w:val="center"/>
          </w:tcPr>
          <w:p>
            <w:pPr>
              <w:jc w:val="center"/>
              <w:rPr>
                <w:rFonts w:cs="Times New Roman"/>
                <w:color w:val="000000"/>
                <w:sz w:val="21"/>
                <w:u w:val="single"/>
              </w:rPr>
            </w:pPr>
            <w:r>
              <w:rPr>
                <w:rFonts w:hint="eastAsia" w:cs="Times New Roman"/>
                <w:color w:val="000000"/>
                <w:sz w:val="21"/>
                <w:u w:val="single"/>
              </w:rPr>
              <w:t>0.006</w:t>
            </w:r>
          </w:p>
        </w:tc>
        <w:tc>
          <w:tcPr>
            <w:tcW w:w="1229" w:type="dxa"/>
            <w:vAlign w:val="center"/>
          </w:tcPr>
          <w:p>
            <w:pPr>
              <w:jc w:val="center"/>
              <w:rPr>
                <w:rFonts w:cs="Times New Roman"/>
                <w:color w:val="000000"/>
                <w:sz w:val="21"/>
                <w:u w:val="single"/>
              </w:rPr>
            </w:pPr>
            <w:r>
              <w:rPr>
                <w:rFonts w:hint="eastAsia" w:cs="Times New Roman"/>
                <w:color w:val="000000"/>
                <w:sz w:val="21"/>
                <w:u w:val="single"/>
              </w:rPr>
              <w:t>0.004</w:t>
            </w:r>
          </w:p>
        </w:tc>
        <w:tc>
          <w:tcPr>
            <w:tcW w:w="1229" w:type="dxa"/>
          </w:tcPr>
          <w:p>
            <w:pPr>
              <w:jc w:val="center"/>
              <w:rPr>
                <w:u w:val="single"/>
              </w:rPr>
            </w:pPr>
            <w:r>
              <w:rPr>
                <w:rFonts w:hint="eastAsia"/>
                <w:b w:val="0"/>
                <w:sz w:val="21"/>
                <w:szCs w:val="21"/>
                <w:u w:val="single"/>
                <w:lang w:val="en-US" w:eastAsia="zh-CN"/>
              </w:rPr>
              <w:t>0.06</w:t>
            </w:r>
          </w:p>
        </w:tc>
        <w:tc>
          <w:tcPr>
            <w:tcW w:w="1224" w:type="dxa"/>
          </w:tcPr>
          <w:p>
            <w:pPr>
              <w:jc w:val="center"/>
              <w:rPr>
                <w:u w:val="single"/>
              </w:rPr>
            </w:pPr>
            <w:r>
              <w:rPr>
                <w:rFonts w:hint="eastAsia" w:cs="Times New Roman"/>
                <w:color w:val="000000"/>
                <w:sz w:val="21"/>
                <w:u w:val="single"/>
              </w:rPr>
              <w:t>达标</w:t>
            </w:r>
          </w:p>
        </w:tc>
      </w:tr>
    </w:tbl>
    <w:p>
      <w:pPr>
        <w:pStyle w:val="14"/>
        <w:ind w:firstLine="480" w:firstLineChars="200"/>
        <w:jc w:val="both"/>
        <w:rPr>
          <w:b w:val="0"/>
          <w:szCs w:val="24"/>
          <w:u w:val="single"/>
        </w:rPr>
      </w:pPr>
      <w:r>
        <w:rPr>
          <w:rFonts w:hint="eastAsia"/>
          <w:b w:val="0"/>
          <w:szCs w:val="24"/>
          <w:u w:val="single"/>
        </w:rPr>
        <w:t>由上表监测结果可知，</w:t>
      </w:r>
      <w:r>
        <w:rPr>
          <w:rFonts w:hint="eastAsia"/>
          <w:b w:val="0"/>
          <w:szCs w:val="24"/>
          <w:u w:val="single"/>
          <w:lang w:eastAsia="zh-CN"/>
        </w:rPr>
        <w:t>无组织排放废气中的</w:t>
      </w:r>
      <w:r>
        <w:rPr>
          <w:rFonts w:hint="eastAsia"/>
          <w:b w:val="0"/>
          <w:szCs w:val="24"/>
          <w:u w:val="single"/>
        </w:rPr>
        <w:t>硫化氢和</w:t>
      </w:r>
      <w:r>
        <w:rPr>
          <w:rFonts w:hint="eastAsia" w:eastAsiaTheme="majorEastAsia"/>
          <w:b w:val="0"/>
          <w:szCs w:val="24"/>
          <w:u w:val="single"/>
          <w:lang w:eastAsia="zh-CN"/>
        </w:rPr>
        <w:t>氨气</w:t>
      </w:r>
      <w:r>
        <w:rPr>
          <w:rFonts w:hint="eastAsia" w:eastAsiaTheme="majorEastAsia"/>
          <w:b w:val="0"/>
          <w:szCs w:val="24"/>
          <w:u w:val="single"/>
        </w:rPr>
        <w:t>可满足</w:t>
      </w:r>
      <w:r>
        <w:rPr>
          <w:rFonts w:cs="Times New Roman"/>
          <w:b w:val="0"/>
          <w:szCs w:val="24"/>
          <w:u w:val="single"/>
        </w:rPr>
        <w:t>《城镇污水处理厂污染物排放标准》（GB18918-2002）中的厂界标准值</w:t>
      </w:r>
      <w:r>
        <w:rPr>
          <w:rFonts w:hint="eastAsia" w:cs="Times New Roman"/>
          <w:b w:val="0"/>
          <w:szCs w:val="24"/>
          <w:u w:val="single"/>
        </w:rPr>
        <w:t>。</w:t>
      </w:r>
    </w:p>
    <w:p>
      <w:pPr>
        <w:pStyle w:val="5"/>
      </w:pPr>
      <w:r>
        <w:t>废水现状调查与评价</w:t>
      </w:r>
    </w:p>
    <w:p>
      <w:pPr>
        <w:spacing w:line="360" w:lineRule="auto"/>
        <w:ind w:firstLine="480" w:firstLineChars="200"/>
      </w:pPr>
      <w:r>
        <w:rPr>
          <w:rFonts w:hint="eastAsia"/>
        </w:rPr>
        <w:t>污水处理站排水口监测数据引用岳阳市衡润检测有限公司2019年3月7号检测报告的监测数据，监测结果见下表所示。</w:t>
      </w:r>
    </w:p>
    <w:p>
      <w:pPr>
        <w:pStyle w:val="14"/>
        <w:snapToGrid w:val="0"/>
        <w:spacing w:line="240" w:lineRule="auto"/>
      </w:pPr>
      <w:bookmarkStart w:id="118" w:name="_Ref19613309"/>
      <w:r>
        <w:rPr>
          <w:rFonts w:hint="eastAsia"/>
        </w:rPr>
        <w:t>表</w:t>
      </w:r>
      <w:r>
        <w:fldChar w:fldCharType="begin"/>
      </w:r>
      <w:r>
        <w:instrText xml:space="preserve"> STYLEREF 2 \s </w:instrText>
      </w:r>
      <w:r>
        <w:fldChar w:fldCharType="separate"/>
      </w:r>
      <w:r>
        <w:t>2.5</w:t>
      </w:r>
      <w:r>
        <w:fldChar w:fldCharType="end"/>
      </w:r>
      <w:r>
        <w:noBreakHyphen/>
      </w:r>
      <w:r>
        <w:fldChar w:fldCharType="begin"/>
      </w:r>
      <w:r>
        <w:rPr>
          <w:rFonts w:hint="eastAsia"/>
        </w:rPr>
        <w:instrText xml:space="preserve">SEQ 表 \* ARABIC \s 2</w:instrText>
      </w:r>
      <w:r>
        <w:fldChar w:fldCharType="separate"/>
      </w:r>
      <w:r>
        <w:rPr>
          <w:rFonts w:hint="eastAsia"/>
        </w:rPr>
        <w:t>3</w:t>
      </w:r>
      <w:r>
        <w:fldChar w:fldCharType="end"/>
      </w:r>
      <w:bookmarkEnd w:id="118"/>
      <w:r>
        <w:rPr>
          <w:rFonts w:hint="eastAsia"/>
        </w:rPr>
        <w:t xml:space="preserve">  污水处理站废水出口监测结果一览表（单位mg/L，PH值无纲量）</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832"/>
        <w:gridCol w:w="1824"/>
        <w:gridCol w:w="1818"/>
        <w:gridCol w:w="1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b w:val="0"/>
                <w:sz w:val="21"/>
                <w:szCs w:val="21"/>
              </w:rPr>
              <w:t>监测因子</w:t>
            </w:r>
          </w:p>
        </w:tc>
        <w:tc>
          <w:tcPr>
            <w:tcW w:w="1832" w:type="dxa"/>
            <w:vAlign w:val="center"/>
          </w:tcPr>
          <w:p>
            <w:pPr>
              <w:pStyle w:val="14"/>
              <w:spacing w:line="240" w:lineRule="auto"/>
              <w:rPr>
                <w:b w:val="0"/>
                <w:sz w:val="21"/>
                <w:szCs w:val="21"/>
              </w:rPr>
            </w:pPr>
            <w:r>
              <w:rPr>
                <w:b w:val="0"/>
                <w:sz w:val="21"/>
                <w:szCs w:val="21"/>
              </w:rPr>
              <w:t>监测浓度值</w:t>
            </w:r>
          </w:p>
        </w:tc>
        <w:tc>
          <w:tcPr>
            <w:tcW w:w="1824" w:type="dxa"/>
            <w:vAlign w:val="center"/>
          </w:tcPr>
          <w:p>
            <w:pPr>
              <w:pStyle w:val="14"/>
              <w:spacing w:line="240" w:lineRule="auto"/>
              <w:rPr>
                <w:b w:val="0"/>
                <w:sz w:val="21"/>
                <w:szCs w:val="21"/>
              </w:rPr>
            </w:pPr>
            <w:r>
              <w:rPr>
                <w:b w:val="0"/>
                <w:sz w:val="21"/>
                <w:szCs w:val="21"/>
              </w:rPr>
              <w:t>标准</w:t>
            </w:r>
          </w:p>
        </w:tc>
        <w:tc>
          <w:tcPr>
            <w:tcW w:w="1818" w:type="dxa"/>
            <w:vAlign w:val="center"/>
          </w:tcPr>
          <w:p>
            <w:pPr>
              <w:pStyle w:val="14"/>
              <w:spacing w:line="240" w:lineRule="auto"/>
              <w:rPr>
                <w:b w:val="0"/>
                <w:sz w:val="21"/>
                <w:szCs w:val="21"/>
              </w:rPr>
            </w:pPr>
            <w:r>
              <w:rPr>
                <w:rFonts w:hint="eastAsia"/>
                <w:b w:val="0"/>
                <w:sz w:val="21"/>
                <w:szCs w:val="21"/>
              </w:rPr>
              <w:t>是否达标</w:t>
            </w:r>
          </w:p>
        </w:tc>
        <w:tc>
          <w:tcPr>
            <w:tcW w:w="1943" w:type="dxa"/>
            <w:vAlign w:val="center"/>
          </w:tcPr>
          <w:p>
            <w:pPr>
              <w:pStyle w:val="14"/>
              <w:spacing w:line="240" w:lineRule="auto"/>
              <w:rPr>
                <w:b w:val="0"/>
                <w:sz w:val="21"/>
                <w:szCs w:val="21"/>
              </w:rPr>
            </w:pPr>
            <w:r>
              <w:rPr>
                <w:b w:val="0"/>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PH</w:t>
            </w:r>
          </w:p>
        </w:tc>
        <w:tc>
          <w:tcPr>
            <w:tcW w:w="1832" w:type="dxa"/>
            <w:vAlign w:val="center"/>
          </w:tcPr>
          <w:p>
            <w:pPr>
              <w:pStyle w:val="14"/>
              <w:spacing w:line="240" w:lineRule="auto"/>
              <w:rPr>
                <w:b w:val="0"/>
                <w:sz w:val="21"/>
                <w:szCs w:val="21"/>
              </w:rPr>
            </w:pPr>
            <w:r>
              <w:rPr>
                <w:rFonts w:hint="eastAsia"/>
                <w:b w:val="0"/>
                <w:sz w:val="21"/>
                <w:szCs w:val="21"/>
              </w:rPr>
              <w:t>7.29</w:t>
            </w:r>
          </w:p>
        </w:tc>
        <w:tc>
          <w:tcPr>
            <w:tcW w:w="1824" w:type="dxa"/>
            <w:vAlign w:val="center"/>
          </w:tcPr>
          <w:p>
            <w:pPr>
              <w:pStyle w:val="14"/>
              <w:spacing w:line="240" w:lineRule="auto"/>
              <w:rPr>
                <w:b w:val="0"/>
                <w:sz w:val="21"/>
                <w:szCs w:val="21"/>
              </w:rPr>
            </w:pPr>
            <w:r>
              <w:rPr>
                <w:rFonts w:hint="eastAsia"/>
                <w:b w:val="0"/>
                <w:sz w:val="21"/>
                <w:szCs w:val="21"/>
              </w:rPr>
              <w:t>6~9</w:t>
            </w:r>
          </w:p>
        </w:tc>
        <w:tc>
          <w:tcPr>
            <w:tcW w:w="1818" w:type="dxa"/>
            <w:vAlign w:val="center"/>
          </w:tcPr>
          <w:p>
            <w:pPr>
              <w:pStyle w:val="14"/>
              <w:spacing w:line="240" w:lineRule="auto"/>
              <w:rPr>
                <w:b w:val="0"/>
                <w:sz w:val="21"/>
                <w:szCs w:val="21"/>
              </w:rPr>
            </w:pPr>
            <w:r>
              <w:rPr>
                <w:b w:val="0"/>
                <w:sz w:val="21"/>
                <w:szCs w:val="21"/>
              </w:rPr>
              <w:t>达标</w:t>
            </w:r>
          </w:p>
        </w:tc>
        <w:tc>
          <w:tcPr>
            <w:tcW w:w="1943" w:type="dxa"/>
            <w:vMerge w:val="restart"/>
            <w:vAlign w:val="center"/>
          </w:tcPr>
          <w:p>
            <w:pPr>
              <w:pStyle w:val="14"/>
              <w:spacing w:line="240" w:lineRule="auto"/>
              <w:rPr>
                <w:b w:val="0"/>
                <w:sz w:val="21"/>
                <w:szCs w:val="21"/>
              </w:rPr>
            </w:pPr>
            <w:r>
              <w:rPr>
                <w:b w:val="0"/>
                <w:sz w:val="21"/>
                <w:szCs w:val="21"/>
              </w:rPr>
              <w:t>《城镇污水处理厂污染物排放标准》</w:t>
            </w:r>
            <w:r>
              <w:rPr>
                <w:rFonts w:hint="eastAsia"/>
                <w:b w:val="0"/>
                <w:sz w:val="21"/>
                <w:szCs w:val="21"/>
              </w:rPr>
              <w:t>（</w:t>
            </w:r>
            <w:r>
              <w:rPr>
                <w:b w:val="0"/>
                <w:sz w:val="21"/>
                <w:szCs w:val="21"/>
              </w:rPr>
              <w:t>GB18918-2002</w:t>
            </w:r>
            <w:r>
              <w:rPr>
                <w:rFonts w:hint="eastAsia"/>
                <w:b w:val="0"/>
                <w:sz w:val="21"/>
                <w:szCs w:val="21"/>
              </w:rPr>
              <w:t>）</w:t>
            </w:r>
            <w:r>
              <w:rPr>
                <w:b w:val="0"/>
                <w:sz w:val="21"/>
                <w:szCs w:val="21"/>
              </w:rPr>
              <w:t>中表1中一级标准的</w:t>
            </w:r>
            <w:r>
              <w:rPr>
                <w:rFonts w:hint="eastAsia"/>
                <w:b w:val="0"/>
                <w:sz w:val="21"/>
                <w:szCs w:val="21"/>
              </w:rPr>
              <w:t>A</w:t>
            </w:r>
            <w:r>
              <w:rPr>
                <w:b w:val="0"/>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CODcr</w:t>
            </w:r>
          </w:p>
        </w:tc>
        <w:tc>
          <w:tcPr>
            <w:tcW w:w="1832" w:type="dxa"/>
            <w:vAlign w:val="center"/>
          </w:tcPr>
          <w:p>
            <w:pPr>
              <w:pStyle w:val="14"/>
              <w:spacing w:line="240" w:lineRule="auto"/>
              <w:rPr>
                <w:b w:val="0"/>
                <w:sz w:val="21"/>
                <w:szCs w:val="21"/>
              </w:rPr>
            </w:pPr>
            <w:r>
              <w:rPr>
                <w:rFonts w:hint="eastAsia"/>
                <w:b w:val="0"/>
                <w:sz w:val="21"/>
                <w:szCs w:val="21"/>
              </w:rPr>
              <w:t>26</w:t>
            </w:r>
          </w:p>
        </w:tc>
        <w:tc>
          <w:tcPr>
            <w:tcW w:w="1824" w:type="dxa"/>
            <w:vAlign w:val="center"/>
          </w:tcPr>
          <w:p>
            <w:pPr>
              <w:pStyle w:val="14"/>
              <w:spacing w:line="240" w:lineRule="auto"/>
              <w:rPr>
                <w:b w:val="0"/>
                <w:sz w:val="21"/>
                <w:szCs w:val="21"/>
              </w:rPr>
            </w:pPr>
            <w:r>
              <w:rPr>
                <w:rFonts w:hint="eastAsia"/>
                <w:b w:val="0"/>
                <w:sz w:val="21"/>
                <w:szCs w:val="21"/>
              </w:rPr>
              <w:t>50</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NH</w:t>
            </w:r>
            <w:r>
              <w:rPr>
                <w:rFonts w:hint="eastAsia"/>
                <w:b w:val="0"/>
                <w:sz w:val="21"/>
                <w:szCs w:val="21"/>
                <w:vertAlign w:val="subscript"/>
              </w:rPr>
              <w:t>3</w:t>
            </w:r>
            <w:r>
              <w:rPr>
                <w:rFonts w:hint="eastAsia"/>
                <w:b w:val="0"/>
                <w:sz w:val="21"/>
                <w:szCs w:val="21"/>
              </w:rPr>
              <w:t>-N</w:t>
            </w:r>
          </w:p>
        </w:tc>
        <w:tc>
          <w:tcPr>
            <w:tcW w:w="1832" w:type="dxa"/>
            <w:vAlign w:val="center"/>
          </w:tcPr>
          <w:p>
            <w:pPr>
              <w:pStyle w:val="14"/>
              <w:spacing w:line="240" w:lineRule="auto"/>
              <w:rPr>
                <w:b w:val="0"/>
                <w:sz w:val="21"/>
                <w:szCs w:val="21"/>
              </w:rPr>
            </w:pPr>
            <w:r>
              <w:rPr>
                <w:rFonts w:hint="eastAsia"/>
                <w:b w:val="0"/>
                <w:sz w:val="21"/>
                <w:szCs w:val="21"/>
              </w:rPr>
              <w:t>0.388</w:t>
            </w:r>
          </w:p>
        </w:tc>
        <w:tc>
          <w:tcPr>
            <w:tcW w:w="1824" w:type="dxa"/>
            <w:vAlign w:val="center"/>
          </w:tcPr>
          <w:p>
            <w:pPr>
              <w:pStyle w:val="14"/>
              <w:spacing w:line="240" w:lineRule="auto"/>
              <w:rPr>
                <w:b w:val="0"/>
                <w:sz w:val="21"/>
                <w:szCs w:val="21"/>
              </w:rPr>
            </w:pPr>
            <w:r>
              <w:rPr>
                <w:rFonts w:hint="eastAsia"/>
                <w:b w:val="0"/>
                <w:sz w:val="21"/>
                <w:szCs w:val="21"/>
              </w:rPr>
              <w:t>5（8）</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BOD</w:t>
            </w:r>
            <w:r>
              <w:rPr>
                <w:rFonts w:hint="eastAsia"/>
                <w:b w:val="0"/>
                <w:sz w:val="21"/>
                <w:szCs w:val="21"/>
                <w:vertAlign w:val="subscript"/>
              </w:rPr>
              <w:t>5</w:t>
            </w:r>
          </w:p>
        </w:tc>
        <w:tc>
          <w:tcPr>
            <w:tcW w:w="1832" w:type="dxa"/>
            <w:vAlign w:val="center"/>
          </w:tcPr>
          <w:p>
            <w:pPr>
              <w:pStyle w:val="14"/>
              <w:spacing w:line="240" w:lineRule="auto"/>
              <w:rPr>
                <w:b w:val="0"/>
                <w:sz w:val="21"/>
                <w:szCs w:val="21"/>
              </w:rPr>
            </w:pPr>
            <w:r>
              <w:rPr>
                <w:rFonts w:hint="eastAsia"/>
                <w:b w:val="0"/>
                <w:sz w:val="21"/>
                <w:szCs w:val="21"/>
              </w:rPr>
              <w:t>7.2</w:t>
            </w:r>
          </w:p>
        </w:tc>
        <w:tc>
          <w:tcPr>
            <w:tcW w:w="1824" w:type="dxa"/>
            <w:vAlign w:val="center"/>
          </w:tcPr>
          <w:p>
            <w:pPr>
              <w:pStyle w:val="14"/>
              <w:spacing w:line="240" w:lineRule="auto"/>
              <w:rPr>
                <w:b w:val="0"/>
                <w:sz w:val="21"/>
                <w:szCs w:val="21"/>
              </w:rPr>
            </w:pPr>
            <w:r>
              <w:rPr>
                <w:rFonts w:hint="eastAsia"/>
                <w:b w:val="0"/>
                <w:sz w:val="21"/>
                <w:szCs w:val="21"/>
              </w:rPr>
              <w:t>10</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SS</w:t>
            </w:r>
          </w:p>
        </w:tc>
        <w:tc>
          <w:tcPr>
            <w:tcW w:w="1832" w:type="dxa"/>
            <w:vAlign w:val="center"/>
          </w:tcPr>
          <w:p>
            <w:pPr>
              <w:pStyle w:val="14"/>
              <w:spacing w:line="240" w:lineRule="auto"/>
              <w:rPr>
                <w:b w:val="0"/>
                <w:sz w:val="21"/>
                <w:szCs w:val="21"/>
              </w:rPr>
            </w:pPr>
            <w:r>
              <w:rPr>
                <w:rFonts w:hint="eastAsia"/>
                <w:b w:val="0"/>
                <w:sz w:val="21"/>
                <w:szCs w:val="21"/>
              </w:rPr>
              <w:t>4ND</w:t>
            </w:r>
          </w:p>
        </w:tc>
        <w:tc>
          <w:tcPr>
            <w:tcW w:w="1824" w:type="dxa"/>
            <w:vAlign w:val="center"/>
          </w:tcPr>
          <w:p>
            <w:pPr>
              <w:pStyle w:val="14"/>
              <w:spacing w:line="240" w:lineRule="auto"/>
              <w:rPr>
                <w:b w:val="0"/>
                <w:sz w:val="21"/>
                <w:szCs w:val="21"/>
              </w:rPr>
            </w:pPr>
            <w:r>
              <w:rPr>
                <w:rFonts w:hint="eastAsia"/>
                <w:b w:val="0"/>
                <w:sz w:val="21"/>
                <w:szCs w:val="21"/>
              </w:rPr>
              <w:t>10</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b w:val="0"/>
                <w:sz w:val="21"/>
                <w:szCs w:val="21"/>
              </w:rPr>
              <w:t>动植物油</w:t>
            </w:r>
          </w:p>
        </w:tc>
        <w:tc>
          <w:tcPr>
            <w:tcW w:w="1832" w:type="dxa"/>
            <w:vAlign w:val="center"/>
          </w:tcPr>
          <w:p>
            <w:pPr>
              <w:pStyle w:val="14"/>
              <w:spacing w:line="240" w:lineRule="auto"/>
              <w:rPr>
                <w:b w:val="0"/>
                <w:sz w:val="21"/>
                <w:szCs w:val="21"/>
              </w:rPr>
            </w:pPr>
            <w:r>
              <w:rPr>
                <w:rFonts w:hint="eastAsia"/>
                <w:b w:val="0"/>
                <w:sz w:val="21"/>
                <w:szCs w:val="21"/>
              </w:rPr>
              <w:t>0.26</w:t>
            </w:r>
          </w:p>
        </w:tc>
        <w:tc>
          <w:tcPr>
            <w:tcW w:w="1824" w:type="dxa"/>
            <w:vAlign w:val="center"/>
          </w:tcPr>
          <w:p>
            <w:pPr>
              <w:pStyle w:val="14"/>
              <w:spacing w:line="240" w:lineRule="auto"/>
              <w:rPr>
                <w:b w:val="0"/>
                <w:sz w:val="21"/>
                <w:szCs w:val="21"/>
              </w:rPr>
            </w:pPr>
            <w:r>
              <w:rPr>
                <w:rFonts w:hint="eastAsia"/>
                <w:b w:val="0"/>
                <w:sz w:val="21"/>
                <w:szCs w:val="21"/>
              </w:rPr>
              <w:t>1</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b w:val="0"/>
                <w:sz w:val="21"/>
                <w:szCs w:val="21"/>
              </w:rPr>
              <w:t>石油类</w:t>
            </w:r>
          </w:p>
        </w:tc>
        <w:tc>
          <w:tcPr>
            <w:tcW w:w="1832" w:type="dxa"/>
            <w:vAlign w:val="center"/>
          </w:tcPr>
          <w:p>
            <w:pPr>
              <w:pStyle w:val="14"/>
              <w:spacing w:line="240" w:lineRule="auto"/>
              <w:rPr>
                <w:b w:val="0"/>
                <w:sz w:val="21"/>
                <w:szCs w:val="21"/>
              </w:rPr>
            </w:pPr>
            <w:r>
              <w:rPr>
                <w:rFonts w:hint="eastAsia"/>
                <w:b w:val="0"/>
                <w:sz w:val="21"/>
                <w:szCs w:val="21"/>
              </w:rPr>
              <w:t>0.39</w:t>
            </w:r>
          </w:p>
        </w:tc>
        <w:tc>
          <w:tcPr>
            <w:tcW w:w="1824" w:type="dxa"/>
            <w:vAlign w:val="center"/>
          </w:tcPr>
          <w:p>
            <w:pPr>
              <w:pStyle w:val="14"/>
              <w:spacing w:line="240" w:lineRule="auto"/>
              <w:rPr>
                <w:b w:val="0"/>
                <w:sz w:val="21"/>
                <w:szCs w:val="21"/>
              </w:rPr>
            </w:pPr>
            <w:r>
              <w:rPr>
                <w:rFonts w:hint="eastAsia"/>
                <w:b w:val="0"/>
                <w:sz w:val="21"/>
                <w:szCs w:val="21"/>
              </w:rPr>
              <w:t>1</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TP</w:t>
            </w:r>
          </w:p>
        </w:tc>
        <w:tc>
          <w:tcPr>
            <w:tcW w:w="1832" w:type="dxa"/>
            <w:vAlign w:val="center"/>
          </w:tcPr>
          <w:p>
            <w:pPr>
              <w:pStyle w:val="14"/>
              <w:spacing w:line="240" w:lineRule="auto"/>
              <w:rPr>
                <w:b w:val="0"/>
                <w:sz w:val="21"/>
                <w:szCs w:val="21"/>
              </w:rPr>
            </w:pPr>
            <w:r>
              <w:rPr>
                <w:rFonts w:hint="eastAsia"/>
                <w:b w:val="0"/>
                <w:sz w:val="21"/>
                <w:szCs w:val="21"/>
              </w:rPr>
              <w:t>0.38</w:t>
            </w:r>
          </w:p>
        </w:tc>
        <w:tc>
          <w:tcPr>
            <w:tcW w:w="1824" w:type="dxa"/>
            <w:vAlign w:val="center"/>
          </w:tcPr>
          <w:p>
            <w:pPr>
              <w:pStyle w:val="14"/>
              <w:spacing w:line="240" w:lineRule="auto"/>
              <w:rPr>
                <w:b w:val="0"/>
                <w:sz w:val="21"/>
                <w:szCs w:val="21"/>
              </w:rPr>
            </w:pPr>
            <w:r>
              <w:rPr>
                <w:rFonts w:hint="eastAsia"/>
                <w:b w:val="0"/>
                <w:sz w:val="21"/>
                <w:szCs w:val="21"/>
              </w:rPr>
              <w:t>0.5</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TN</w:t>
            </w:r>
          </w:p>
        </w:tc>
        <w:tc>
          <w:tcPr>
            <w:tcW w:w="1832" w:type="dxa"/>
            <w:vAlign w:val="center"/>
          </w:tcPr>
          <w:p>
            <w:pPr>
              <w:pStyle w:val="14"/>
              <w:spacing w:line="240" w:lineRule="auto"/>
              <w:rPr>
                <w:b w:val="0"/>
                <w:sz w:val="21"/>
                <w:szCs w:val="21"/>
              </w:rPr>
            </w:pPr>
            <w:r>
              <w:rPr>
                <w:rFonts w:hint="eastAsia"/>
                <w:b w:val="0"/>
                <w:sz w:val="21"/>
                <w:szCs w:val="21"/>
              </w:rPr>
              <w:t>8.25</w:t>
            </w:r>
          </w:p>
        </w:tc>
        <w:tc>
          <w:tcPr>
            <w:tcW w:w="1824" w:type="dxa"/>
            <w:vAlign w:val="center"/>
          </w:tcPr>
          <w:p>
            <w:pPr>
              <w:pStyle w:val="14"/>
              <w:spacing w:line="240" w:lineRule="auto"/>
              <w:rPr>
                <w:b w:val="0"/>
                <w:sz w:val="21"/>
                <w:szCs w:val="21"/>
              </w:rPr>
            </w:pPr>
            <w:r>
              <w:rPr>
                <w:rFonts w:hint="eastAsia"/>
                <w:b w:val="0"/>
                <w:sz w:val="21"/>
                <w:szCs w:val="21"/>
              </w:rPr>
              <w:t>15</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铅</w:t>
            </w:r>
          </w:p>
        </w:tc>
        <w:tc>
          <w:tcPr>
            <w:tcW w:w="1832" w:type="dxa"/>
            <w:vAlign w:val="center"/>
          </w:tcPr>
          <w:p>
            <w:pPr>
              <w:pStyle w:val="14"/>
              <w:spacing w:line="240" w:lineRule="auto"/>
              <w:rPr>
                <w:b w:val="0"/>
                <w:sz w:val="21"/>
                <w:szCs w:val="21"/>
              </w:rPr>
            </w:pPr>
            <w:r>
              <w:rPr>
                <w:rFonts w:hint="eastAsia"/>
                <w:b w:val="0"/>
                <w:sz w:val="21"/>
                <w:szCs w:val="21"/>
              </w:rPr>
              <w:t>0.0005ND</w:t>
            </w:r>
          </w:p>
        </w:tc>
        <w:tc>
          <w:tcPr>
            <w:tcW w:w="1824" w:type="dxa"/>
            <w:vAlign w:val="center"/>
          </w:tcPr>
          <w:p>
            <w:pPr>
              <w:pStyle w:val="14"/>
              <w:spacing w:line="240" w:lineRule="auto"/>
              <w:rPr>
                <w:b w:val="0"/>
                <w:sz w:val="21"/>
                <w:szCs w:val="21"/>
              </w:rPr>
            </w:pPr>
            <w:r>
              <w:rPr>
                <w:rFonts w:hint="eastAsia"/>
                <w:b w:val="0"/>
                <w:sz w:val="21"/>
                <w:szCs w:val="21"/>
              </w:rPr>
              <w:t>0.1</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砷</w:t>
            </w:r>
          </w:p>
        </w:tc>
        <w:tc>
          <w:tcPr>
            <w:tcW w:w="1832" w:type="dxa"/>
            <w:vAlign w:val="center"/>
          </w:tcPr>
          <w:p>
            <w:pPr>
              <w:pStyle w:val="14"/>
              <w:spacing w:line="240" w:lineRule="auto"/>
              <w:rPr>
                <w:b w:val="0"/>
                <w:sz w:val="21"/>
                <w:szCs w:val="21"/>
              </w:rPr>
            </w:pPr>
            <w:r>
              <w:rPr>
                <w:rFonts w:hint="eastAsia"/>
                <w:b w:val="0"/>
                <w:sz w:val="21"/>
                <w:szCs w:val="21"/>
              </w:rPr>
              <w:t>2.01×10</w:t>
            </w:r>
            <w:r>
              <w:rPr>
                <w:rFonts w:hint="eastAsia"/>
                <w:b w:val="0"/>
                <w:sz w:val="21"/>
                <w:szCs w:val="21"/>
                <w:vertAlign w:val="superscript"/>
              </w:rPr>
              <w:t>-3</w:t>
            </w:r>
          </w:p>
        </w:tc>
        <w:tc>
          <w:tcPr>
            <w:tcW w:w="1824" w:type="dxa"/>
            <w:vAlign w:val="center"/>
          </w:tcPr>
          <w:p>
            <w:pPr>
              <w:pStyle w:val="14"/>
              <w:spacing w:line="240" w:lineRule="auto"/>
              <w:rPr>
                <w:b w:val="0"/>
                <w:sz w:val="21"/>
                <w:szCs w:val="21"/>
              </w:rPr>
            </w:pPr>
            <w:r>
              <w:rPr>
                <w:rFonts w:hint="eastAsia"/>
                <w:b w:val="0"/>
                <w:sz w:val="21"/>
                <w:szCs w:val="21"/>
              </w:rPr>
              <w:t>0.1</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铬</w:t>
            </w:r>
          </w:p>
        </w:tc>
        <w:tc>
          <w:tcPr>
            <w:tcW w:w="1832" w:type="dxa"/>
            <w:vAlign w:val="center"/>
          </w:tcPr>
          <w:p>
            <w:pPr>
              <w:pStyle w:val="14"/>
              <w:spacing w:line="240" w:lineRule="auto"/>
              <w:rPr>
                <w:b w:val="0"/>
                <w:sz w:val="21"/>
                <w:szCs w:val="21"/>
              </w:rPr>
            </w:pPr>
            <w:r>
              <w:rPr>
                <w:rFonts w:hint="eastAsia"/>
                <w:b w:val="0"/>
                <w:sz w:val="21"/>
                <w:szCs w:val="21"/>
              </w:rPr>
              <w:t>0.03ND</w:t>
            </w:r>
          </w:p>
        </w:tc>
        <w:tc>
          <w:tcPr>
            <w:tcW w:w="1824" w:type="dxa"/>
            <w:vAlign w:val="center"/>
          </w:tcPr>
          <w:p>
            <w:pPr>
              <w:pStyle w:val="14"/>
              <w:spacing w:line="240" w:lineRule="auto"/>
              <w:rPr>
                <w:b w:val="0"/>
                <w:sz w:val="21"/>
                <w:szCs w:val="21"/>
              </w:rPr>
            </w:pPr>
            <w:r>
              <w:rPr>
                <w:rFonts w:hint="eastAsia"/>
                <w:b w:val="0"/>
                <w:sz w:val="21"/>
                <w:szCs w:val="21"/>
              </w:rPr>
              <w:t>0.1</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色度（稀释倍数）</w:t>
            </w:r>
          </w:p>
        </w:tc>
        <w:tc>
          <w:tcPr>
            <w:tcW w:w="1832" w:type="dxa"/>
            <w:vAlign w:val="center"/>
          </w:tcPr>
          <w:p>
            <w:pPr>
              <w:pStyle w:val="14"/>
              <w:spacing w:line="240" w:lineRule="auto"/>
              <w:rPr>
                <w:b w:val="0"/>
                <w:sz w:val="21"/>
                <w:szCs w:val="21"/>
              </w:rPr>
            </w:pPr>
            <w:r>
              <w:rPr>
                <w:rFonts w:hint="eastAsia"/>
                <w:b w:val="0"/>
                <w:sz w:val="21"/>
                <w:szCs w:val="21"/>
              </w:rPr>
              <w:t>2倍</w:t>
            </w:r>
          </w:p>
        </w:tc>
        <w:tc>
          <w:tcPr>
            <w:tcW w:w="1824" w:type="dxa"/>
            <w:vAlign w:val="center"/>
          </w:tcPr>
          <w:p>
            <w:pPr>
              <w:pStyle w:val="14"/>
              <w:spacing w:line="240" w:lineRule="auto"/>
              <w:rPr>
                <w:b w:val="0"/>
                <w:sz w:val="21"/>
                <w:szCs w:val="21"/>
              </w:rPr>
            </w:pPr>
            <w:r>
              <w:rPr>
                <w:rFonts w:hint="eastAsia"/>
                <w:b w:val="0"/>
                <w:sz w:val="21"/>
                <w:szCs w:val="21"/>
              </w:rPr>
              <w:t>30</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pStyle w:val="14"/>
              <w:spacing w:line="240" w:lineRule="auto"/>
              <w:rPr>
                <w:b w:val="0"/>
                <w:sz w:val="21"/>
                <w:szCs w:val="21"/>
              </w:rPr>
            </w:pPr>
            <w:r>
              <w:rPr>
                <w:rFonts w:hint="eastAsia"/>
                <w:b w:val="0"/>
                <w:sz w:val="21"/>
                <w:szCs w:val="21"/>
              </w:rPr>
              <w:t>类大肠菌群（个/L）</w:t>
            </w:r>
          </w:p>
        </w:tc>
        <w:tc>
          <w:tcPr>
            <w:tcW w:w="1832" w:type="dxa"/>
            <w:vAlign w:val="center"/>
          </w:tcPr>
          <w:p>
            <w:pPr>
              <w:pStyle w:val="14"/>
              <w:spacing w:line="240" w:lineRule="auto"/>
              <w:rPr>
                <w:b w:val="0"/>
                <w:sz w:val="21"/>
                <w:szCs w:val="21"/>
              </w:rPr>
            </w:pPr>
            <w:r>
              <w:rPr>
                <w:rFonts w:hint="eastAsia"/>
                <w:b w:val="0"/>
                <w:sz w:val="21"/>
                <w:szCs w:val="21"/>
              </w:rPr>
              <w:t>0</w:t>
            </w:r>
          </w:p>
        </w:tc>
        <w:tc>
          <w:tcPr>
            <w:tcW w:w="1824" w:type="dxa"/>
            <w:vAlign w:val="center"/>
          </w:tcPr>
          <w:p>
            <w:pPr>
              <w:pStyle w:val="14"/>
              <w:spacing w:line="240" w:lineRule="auto"/>
              <w:rPr>
                <w:b w:val="0"/>
                <w:sz w:val="21"/>
                <w:szCs w:val="21"/>
              </w:rPr>
            </w:pPr>
            <w:r>
              <w:rPr>
                <w:rFonts w:hint="eastAsia"/>
                <w:b w:val="0"/>
                <w:sz w:val="21"/>
                <w:szCs w:val="21"/>
              </w:rPr>
              <w:t>1000</w:t>
            </w:r>
          </w:p>
        </w:tc>
        <w:tc>
          <w:tcPr>
            <w:tcW w:w="1818" w:type="dxa"/>
            <w:vAlign w:val="center"/>
          </w:tcPr>
          <w:p>
            <w:pPr>
              <w:jc w:val="center"/>
              <w:rPr>
                <w:rFonts w:eastAsia="宋体" w:cs="Times New Roman"/>
              </w:rPr>
            </w:pPr>
            <w:r>
              <w:rPr>
                <w:rFonts w:eastAsia="宋体" w:cs="Times New Roman"/>
                <w:sz w:val="21"/>
              </w:rPr>
              <w:t>达标</w:t>
            </w:r>
          </w:p>
        </w:tc>
        <w:tc>
          <w:tcPr>
            <w:tcW w:w="1943" w:type="dxa"/>
            <w:vMerge w:val="continue"/>
            <w:vAlign w:val="center"/>
          </w:tcPr>
          <w:p>
            <w:pPr>
              <w:pStyle w:val="14"/>
              <w:spacing w:line="240" w:lineRule="auto"/>
              <w:rPr>
                <w:b w:val="0"/>
                <w:sz w:val="21"/>
                <w:szCs w:val="21"/>
              </w:rPr>
            </w:pPr>
          </w:p>
        </w:tc>
      </w:tr>
    </w:tbl>
    <w:p>
      <w:pPr>
        <w:spacing w:line="360" w:lineRule="auto"/>
        <w:ind w:firstLine="480" w:firstLineChars="200"/>
      </w:pPr>
      <w:r>
        <w:rPr>
          <w:rFonts w:hint="eastAsia"/>
        </w:rPr>
        <w:t>由结果可知监测点各监测因子满足</w:t>
      </w:r>
      <w:r>
        <w:t>《城镇污水处理厂污染物排放标准》</w:t>
      </w:r>
      <w:r>
        <w:rPr>
          <w:rFonts w:hint="eastAsia"/>
        </w:rPr>
        <w:t>（</w:t>
      </w:r>
      <w:r>
        <w:t>GB18918-2002</w:t>
      </w:r>
      <w:r>
        <w:rPr>
          <w:rFonts w:hint="eastAsia"/>
        </w:rPr>
        <w:t>）</w:t>
      </w:r>
      <w:r>
        <w:t>中表1中一级标准的</w:t>
      </w:r>
      <w:r>
        <w:rPr>
          <w:rFonts w:hint="eastAsia"/>
        </w:rPr>
        <w:t>A</w:t>
      </w:r>
      <w:r>
        <w:t>标准要求</w:t>
      </w:r>
      <w:r>
        <w:rPr>
          <w:rFonts w:hint="eastAsia"/>
        </w:rPr>
        <w:t>。</w:t>
      </w:r>
    </w:p>
    <w:p>
      <w:pPr>
        <w:pStyle w:val="5"/>
      </w:pPr>
      <w:r>
        <w:t>噪声现状调查与评价</w:t>
      </w:r>
    </w:p>
    <w:p>
      <w:pPr>
        <w:spacing w:line="360" w:lineRule="auto"/>
        <w:ind w:firstLine="480" w:firstLineChars="200"/>
      </w:pPr>
      <w:r>
        <w:rPr>
          <w:rFonts w:hint="eastAsia"/>
        </w:rPr>
        <w:t>现有厂界噪声委托</w:t>
      </w:r>
      <w:r>
        <w:rPr>
          <w:rFonts w:hint="eastAsia" w:ascii="Times New Roman" w:hAnsi="Times New Roman" w:eastAsiaTheme="minorEastAsia" w:cstheme="minorBidi"/>
          <w:kern w:val="2"/>
          <w:sz w:val="24"/>
          <w:szCs w:val="21"/>
          <w:lang w:val="en-US" w:eastAsia="zh-CN" w:bidi="ar-SA"/>
        </w:rPr>
        <w:t>湖南昌源环境科技有限公司</w:t>
      </w:r>
      <w:r>
        <w:rPr>
          <w:rFonts w:hint="eastAsia"/>
        </w:rPr>
        <w:t>于2019年5月20-21日对现场厂界进行监测，监测结果见下表所示。</w:t>
      </w:r>
    </w:p>
    <w:p>
      <w:pPr>
        <w:pStyle w:val="14"/>
        <w:spacing w:line="240" w:lineRule="auto"/>
      </w:pPr>
      <w:r>
        <w:rPr>
          <w:rFonts w:hint="eastAsia"/>
        </w:rPr>
        <w:t>表</w:t>
      </w:r>
      <w:r>
        <w:fldChar w:fldCharType="begin"/>
      </w:r>
      <w:r>
        <w:instrText xml:space="preserve"> STYLEREF 2 \s </w:instrText>
      </w:r>
      <w:r>
        <w:fldChar w:fldCharType="separate"/>
      </w:r>
      <w:r>
        <w:t>2.5</w:t>
      </w:r>
      <w:r>
        <w:fldChar w:fldCharType="end"/>
      </w:r>
      <w:r>
        <w:noBreakHyphen/>
      </w:r>
      <w:r>
        <w:fldChar w:fldCharType="begin"/>
      </w:r>
      <w:r>
        <w:rPr>
          <w:rFonts w:hint="eastAsia"/>
        </w:rPr>
        <w:instrText xml:space="preserve">SEQ 表 \* ARABIC \s 2</w:instrText>
      </w:r>
      <w:r>
        <w:fldChar w:fldCharType="separate"/>
      </w:r>
      <w:r>
        <w:rPr>
          <w:rFonts w:hint="eastAsia"/>
        </w:rPr>
        <w:t>4</w:t>
      </w:r>
      <w:r>
        <w:fldChar w:fldCharType="end"/>
      </w:r>
      <w:r>
        <w:rPr>
          <w:rFonts w:hint="eastAsia"/>
        </w:rPr>
        <w:t xml:space="preserve">  厂界噪声监测结果一览表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320"/>
        <w:gridCol w:w="795"/>
        <w:gridCol w:w="2506"/>
        <w:gridCol w:w="1320"/>
        <w:gridCol w:w="1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3"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监测点</w:t>
            </w:r>
          </w:p>
        </w:tc>
        <w:tc>
          <w:tcPr>
            <w:tcW w:w="2115" w:type="dxa"/>
            <w:gridSpan w:val="2"/>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监测时间</w:t>
            </w:r>
          </w:p>
        </w:tc>
        <w:tc>
          <w:tcPr>
            <w:tcW w:w="2506"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监测结果</w:t>
            </w:r>
            <w:r>
              <w:rPr>
                <w:rFonts w:eastAsia="宋体" w:cs="Times New Roman"/>
                <w:color w:val="000000" w:themeColor="text1"/>
                <w:kern w:val="0"/>
                <w:sz w:val="21"/>
              </w:rPr>
              <w:t>Leq</w:t>
            </w:r>
            <w:r>
              <w:rPr>
                <w:rFonts w:hAnsi="宋体" w:eastAsia="宋体" w:cs="Times New Roman"/>
                <w:color w:val="000000" w:themeColor="text1"/>
                <w:kern w:val="0"/>
                <w:sz w:val="21"/>
              </w:rPr>
              <w:t>（</w:t>
            </w:r>
            <w:r>
              <w:rPr>
                <w:rFonts w:eastAsia="宋体" w:cs="Times New Roman"/>
                <w:color w:val="000000" w:themeColor="text1"/>
                <w:kern w:val="0"/>
                <w:sz w:val="21"/>
              </w:rPr>
              <w:t>A</w:t>
            </w:r>
            <w:r>
              <w:rPr>
                <w:rFonts w:hAnsi="宋体" w:eastAsia="宋体" w:cs="Times New Roman"/>
                <w:color w:val="000000" w:themeColor="text1"/>
                <w:kern w:val="0"/>
                <w:sz w:val="21"/>
              </w:rPr>
              <w:t>）</w:t>
            </w:r>
          </w:p>
        </w:tc>
        <w:tc>
          <w:tcPr>
            <w:tcW w:w="1320"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标准限值</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sz w:val="21"/>
              </w:rPr>
              <w:t>项目东厂界</w:t>
            </w:r>
            <w:r>
              <w:rPr>
                <w:rFonts w:eastAsia="宋体" w:cs="Times New Roman"/>
                <w:color w:val="000000"/>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widowControl/>
              <w:snapToGrid w:val="0"/>
              <w:spacing w:beforeLines="5" w:afterLines="5"/>
              <w:jc w:val="center"/>
              <w:rPr>
                <w:rFonts w:eastAsia="宋体" w:cs="Times New Roman"/>
                <w:color w:val="000000" w:themeColor="text1"/>
                <w:kern w:val="0"/>
                <w:sz w:val="21"/>
              </w:rPr>
            </w:pPr>
            <w:r>
              <w:rPr>
                <w:rFonts w:eastAsia="宋体" w:cs="Times New Roman"/>
                <w:color w:val="000000" w:themeColor="text1"/>
                <w:kern w:val="0"/>
                <w:sz w:val="21"/>
              </w:rPr>
              <w:t>54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widowControl/>
              <w:snapToGrid w:val="0"/>
              <w:spacing w:beforeLines="5" w:afterLines="5"/>
              <w:jc w:val="center"/>
              <w:rPr>
                <w:rFonts w:eastAsia="宋体" w:cs="Times New Roman"/>
                <w:color w:val="000000" w:themeColor="text1"/>
                <w:kern w:val="0"/>
                <w:sz w:val="21"/>
              </w:rPr>
            </w:pPr>
            <w:r>
              <w:rPr>
                <w:rFonts w:eastAsia="宋体" w:cs="Times New Roman"/>
                <w:color w:val="000000" w:themeColor="text1"/>
                <w:kern w:val="0"/>
                <w:sz w:val="21"/>
              </w:rPr>
              <w:t>45</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55</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45</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themeColor="text1"/>
                <w:sz w:val="21"/>
              </w:rPr>
              <w:t>项目南厂界</w:t>
            </w:r>
            <w:r>
              <w:rPr>
                <w:rFonts w:eastAsia="宋体" w:cs="Times New Roman"/>
                <w:color w:val="000000" w:themeColor="text1"/>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56</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42</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42</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themeColor="text1"/>
                <w:sz w:val="21"/>
              </w:rPr>
              <w:t>项目西厂界</w:t>
            </w:r>
            <w:r>
              <w:rPr>
                <w:rFonts w:eastAsia="宋体" w:cs="Times New Roman"/>
                <w:color w:val="000000" w:themeColor="text1"/>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54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44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56</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43</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sz w:val="21"/>
              </w:rPr>
              <w:t>项目东厂界</w:t>
            </w:r>
            <w:r>
              <w:rPr>
                <w:rFonts w:eastAsia="宋体" w:cs="Times New Roman"/>
                <w:color w:val="000000"/>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52</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40</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51</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40</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bl>
    <w:p>
      <w:pPr>
        <w:spacing w:line="360" w:lineRule="auto"/>
        <w:ind w:firstLine="480" w:firstLineChars="200"/>
      </w:pPr>
      <w:r>
        <w:rPr>
          <w:rFonts w:hint="eastAsia"/>
        </w:rPr>
        <w:t>由监测结果表明，厂界四周噪声昼间和夜间范围值均达到《工业企业厂界环境噪声排放标准》（GB12348-2008）中3类标准要求。</w:t>
      </w:r>
    </w:p>
    <w:p>
      <w:pPr>
        <w:pStyle w:val="5"/>
      </w:pPr>
      <w:r>
        <w:t>污泥现状调查与评价</w:t>
      </w:r>
    </w:p>
    <w:p>
      <w:pPr>
        <w:spacing w:line="360" w:lineRule="auto"/>
        <w:ind w:firstLine="480" w:firstLineChars="200"/>
        <w:rPr>
          <w:rFonts w:cs="Times New Roman"/>
          <w:color w:val="000000" w:themeColor="text1"/>
        </w:rPr>
      </w:pPr>
      <w:r>
        <w:rPr>
          <w:rFonts w:cs="Times New Roman"/>
          <w:color w:val="000000" w:themeColor="text1"/>
        </w:rPr>
        <w:t>为了了解本项目排放污泥污染物含量等情况</w:t>
      </w:r>
      <w:r>
        <w:rPr>
          <w:rFonts w:hint="eastAsia" w:cs="Times New Roman"/>
          <w:color w:val="000000" w:themeColor="text1"/>
        </w:rPr>
        <w:t>，</w:t>
      </w:r>
      <w:r>
        <w:rPr>
          <w:rFonts w:hint="eastAsia"/>
        </w:rPr>
        <w:t>华容国祯惠华环保科技有限责任公司</w:t>
      </w:r>
      <w:r>
        <w:rPr>
          <w:rFonts w:hint="eastAsia" w:cs="Times New Roman"/>
          <w:color w:val="000000" w:themeColor="text1"/>
        </w:rPr>
        <w:t>委托岳阳市衡润检测有限公司于2019年3月7日对本项目的污泥进行了检测，监测结果如下表所示。</w:t>
      </w:r>
    </w:p>
    <w:p>
      <w:pPr>
        <w:jc w:val="center"/>
        <w:rPr>
          <w:b/>
        </w:rPr>
      </w:pPr>
      <w:r>
        <w:rPr>
          <w:rFonts w:hint="eastAsia" w:cs="Times New Roman"/>
          <w:b/>
          <w:color w:val="000000" w:themeColor="text1"/>
        </w:rPr>
        <w:t>表</w:t>
      </w:r>
      <w:r>
        <w:rPr>
          <w:rFonts w:cs="Times New Roman"/>
          <w:b/>
          <w:color w:val="000000" w:themeColor="text1"/>
        </w:rPr>
        <w:fldChar w:fldCharType="begin"/>
      </w:r>
      <w:r>
        <w:rPr>
          <w:rFonts w:hint="eastAsia" w:cs="Times New Roman"/>
          <w:b/>
          <w:color w:val="000000" w:themeColor="text1"/>
        </w:rPr>
        <w:instrText xml:space="preserve">STYLEREF 2 \s</w:instrText>
      </w:r>
      <w:r>
        <w:rPr>
          <w:rFonts w:cs="Times New Roman"/>
          <w:b/>
          <w:color w:val="000000" w:themeColor="text1"/>
        </w:rPr>
        <w:fldChar w:fldCharType="separate"/>
      </w:r>
      <w:r>
        <w:rPr>
          <w:rFonts w:cs="Times New Roman"/>
          <w:b/>
          <w:color w:val="000000" w:themeColor="text1"/>
        </w:rPr>
        <w:t>2.5</w:t>
      </w:r>
      <w:r>
        <w:rPr>
          <w:rFonts w:cs="Times New Roman"/>
          <w:b/>
          <w:color w:val="000000" w:themeColor="text1"/>
        </w:rPr>
        <w:fldChar w:fldCharType="end"/>
      </w:r>
      <w:r>
        <w:rPr>
          <w:rFonts w:cs="Times New Roman"/>
          <w:b/>
          <w:color w:val="000000" w:themeColor="text1"/>
        </w:rPr>
        <w:noBreakHyphen/>
      </w:r>
      <w:r>
        <w:rPr>
          <w:rFonts w:cs="Times New Roman"/>
          <w:b/>
          <w:color w:val="000000" w:themeColor="text1"/>
        </w:rPr>
        <w:fldChar w:fldCharType="begin"/>
      </w:r>
      <w:r>
        <w:rPr>
          <w:rFonts w:hint="eastAsia" w:cs="Times New Roman"/>
          <w:b/>
          <w:color w:val="000000" w:themeColor="text1"/>
        </w:rPr>
        <w:instrText xml:space="preserve">SEQ 表 \* ARABIC \s 2</w:instrText>
      </w:r>
      <w:r>
        <w:rPr>
          <w:rFonts w:cs="Times New Roman"/>
          <w:b/>
          <w:color w:val="000000" w:themeColor="text1"/>
        </w:rPr>
        <w:fldChar w:fldCharType="separate"/>
      </w:r>
      <w:r>
        <w:rPr>
          <w:rFonts w:hint="eastAsia" w:cs="Times New Roman"/>
          <w:b/>
          <w:color w:val="000000" w:themeColor="text1"/>
        </w:rPr>
        <w:t>5</w:t>
      </w:r>
      <w:r>
        <w:rPr>
          <w:rFonts w:cs="Times New Roman"/>
          <w:b/>
          <w:color w:val="000000" w:themeColor="text1"/>
        </w:rPr>
        <w:fldChar w:fldCharType="end"/>
      </w:r>
      <w:r>
        <w:rPr>
          <w:rFonts w:hint="eastAsia" w:cs="Times New Roman"/>
          <w:b/>
          <w:color w:val="000000" w:themeColor="text1"/>
        </w:rPr>
        <w:t xml:space="preserve">  污水处理厂出口污泥监测结果一览表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778"/>
        <w:gridCol w:w="2839"/>
        <w:gridCol w:w="1778"/>
        <w:gridCol w:w="1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cs="Times New Roman"/>
                <w:bCs/>
                <w:sz w:val="21"/>
              </w:rPr>
            </w:pPr>
            <w:r>
              <w:rPr>
                <w:rFonts w:cs="Times New Roman"/>
                <w:bCs/>
                <w:sz w:val="21"/>
              </w:rPr>
              <w:t>序号</w:t>
            </w:r>
          </w:p>
        </w:tc>
        <w:tc>
          <w:tcPr>
            <w:tcW w:w="1778" w:type="dxa"/>
            <w:vAlign w:val="center"/>
          </w:tcPr>
          <w:p>
            <w:pPr>
              <w:snapToGrid w:val="0"/>
              <w:jc w:val="center"/>
              <w:rPr>
                <w:rFonts w:eastAsia="宋体" w:cs="Times New Roman"/>
                <w:bCs/>
                <w:sz w:val="21"/>
              </w:rPr>
            </w:pPr>
            <w:r>
              <w:rPr>
                <w:rFonts w:cs="Times New Roman"/>
                <w:bCs/>
                <w:sz w:val="21"/>
              </w:rPr>
              <w:t>监测点位</w:t>
            </w:r>
          </w:p>
        </w:tc>
        <w:tc>
          <w:tcPr>
            <w:tcW w:w="2839" w:type="dxa"/>
            <w:vAlign w:val="center"/>
          </w:tcPr>
          <w:p>
            <w:pPr>
              <w:snapToGrid w:val="0"/>
              <w:jc w:val="center"/>
              <w:rPr>
                <w:rFonts w:eastAsia="宋体" w:cs="Times New Roman"/>
                <w:bCs/>
                <w:sz w:val="21"/>
              </w:rPr>
            </w:pPr>
            <w:r>
              <w:rPr>
                <w:rFonts w:hint="eastAsia" w:hAnsi="宋体" w:cs="Times New Roman"/>
                <w:sz w:val="21"/>
              </w:rPr>
              <w:t>污水</w:t>
            </w:r>
            <w:r>
              <w:rPr>
                <w:rFonts w:hAnsi="宋体" w:cs="Times New Roman"/>
                <w:sz w:val="21"/>
              </w:rPr>
              <w:t>处理厂出口</w:t>
            </w:r>
          </w:p>
        </w:tc>
        <w:tc>
          <w:tcPr>
            <w:tcW w:w="1778" w:type="dxa"/>
            <w:vAlign w:val="center"/>
          </w:tcPr>
          <w:p>
            <w:pPr>
              <w:snapToGrid w:val="0"/>
              <w:jc w:val="center"/>
              <w:rPr>
                <w:rFonts w:eastAsia="宋体" w:cs="Times New Roman"/>
                <w:bCs/>
                <w:sz w:val="21"/>
              </w:rPr>
            </w:pPr>
            <w:r>
              <w:rPr>
                <w:rFonts w:hAnsi="宋体" w:cs="Times New Roman"/>
                <w:bCs/>
                <w:sz w:val="21"/>
              </w:rPr>
              <w:t>标准限值</w:t>
            </w:r>
          </w:p>
        </w:tc>
        <w:tc>
          <w:tcPr>
            <w:tcW w:w="1776" w:type="dxa"/>
            <w:vAlign w:val="center"/>
          </w:tcPr>
          <w:p>
            <w:pPr>
              <w:snapToGrid w:val="0"/>
              <w:jc w:val="center"/>
              <w:rPr>
                <w:rFonts w:eastAsia="宋体" w:cs="Times New Roman"/>
                <w:bCs/>
                <w:sz w:val="21"/>
              </w:rPr>
            </w:pPr>
            <w:r>
              <w:rPr>
                <w:rFonts w:hAnsi="宋体" w:cs="Times New Roman"/>
                <w:bCs/>
                <w:sz w:val="21"/>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1</w:t>
            </w:r>
          </w:p>
        </w:tc>
        <w:tc>
          <w:tcPr>
            <w:tcW w:w="1778" w:type="dxa"/>
            <w:vAlign w:val="center"/>
          </w:tcPr>
          <w:p>
            <w:pPr>
              <w:snapToGrid w:val="0"/>
              <w:jc w:val="center"/>
              <w:rPr>
                <w:rFonts w:eastAsia="宋体" w:cs="Times New Roman"/>
                <w:bCs/>
                <w:sz w:val="21"/>
              </w:rPr>
            </w:pPr>
            <w:r>
              <w:rPr>
                <w:rFonts w:hint="eastAsia" w:eastAsia="宋体" w:cs="Times New Roman"/>
                <w:bCs/>
                <w:sz w:val="21"/>
              </w:rPr>
              <w:t>PH</w:t>
            </w:r>
          </w:p>
        </w:tc>
        <w:tc>
          <w:tcPr>
            <w:tcW w:w="2839" w:type="dxa"/>
            <w:vAlign w:val="center"/>
          </w:tcPr>
          <w:p>
            <w:pPr>
              <w:snapToGrid w:val="0"/>
              <w:jc w:val="center"/>
              <w:rPr>
                <w:rFonts w:eastAsia="宋体" w:cs="Times New Roman"/>
                <w:sz w:val="21"/>
              </w:rPr>
            </w:pPr>
            <w:r>
              <w:rPr>
                <w:rFonts w:hint="eastAsia" w:eastAsia="宋体" w:cs="Times New Roman"/>
                <w:sz w:val="21"/>
              </w:rPr>
              <w:t>10.9</w:t>
            </w:r>
          </w:p>
        </w:tc>
        <w:tc>
          <w:tcPr>
            <w:tcW w:w="1778" w:type="dxa"/>
            <w:vAlign w:val="center"/>
          </w:tcPr>
          <w:p>
            <w:pPr>
              <w:snapToGrid w:val="0"/>
              <w:jc w:val="center"/>
              <w:rPr>
                <w:rFonts w:eastAsia="宋体" w:cs="Times New Roman"/>
                <w:sz w:val="21"/>
              </w:rPr>
            </w:pPr>
            <w:r>
              <w:rPr>
                <w:rFonts w:hint="eastAsia" w:eastAsia="宋体" w:cs="Times New Roman"/>
                <w:sz w:val="21"/>
              </w:rPr>
              <w:t>/</w:t>
            </w:r>
          </w:p>
        </w:tc>
        <w:tc>
          <w:tcPr>
            <w:tcW w:w="1776" w:type="dxa"/>
            <w:vAlign w:val="center"/>
          </w:tcPr>
          <w:p>
            <w:pPr>
              <w:snapToGrid w:val="0"/>
              <w:jc w:val="center"/>
              <w:rPr>
                <w:rFonts w:eastAsia="宋体" w:cs="Times New Roman"/>
                <w:sz w:val="21"/>
              </w:rPr>
            </w:pPr>
            <w:r>
              <w:rPr>
                <w:rFonts w:hint="eastAsia" w:eastAsia="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2</w:t>
            </w:r>
          </w:p>
        </w:tc>
        <w:tc>
          <w:tcPr>
            <w:tcW w:w="1778" w:type="dxa"/>
            <w:vAlign w:val="center"/>
          </w:tcPr>
          <w:p>
            <w:pPr>
              <w:snapToGrid w:val="0"/>
              <w:jc w:val="center"/>
              <w:rPr>
                <w:rFonts w:eastAsia="宋体" w:cs="Times New Roman"/>
                <w:bCs/>
                <w:sz w:val="21"/>
              </w:rPr>
            </w:pPr>
            <w:r>
              <w:rPr>
                <w:rFonts w:eastAsia="宋体" w:cs="Times New Roman"/>
                <w:bCs/>
                <w:sz w:val="21"/>
              </w:rPr>
              <w:t>砷</w:t>
            </w:r>
          </w:p>
        </w:tc>
        <w:tc>
          <w:tcPr>
            <w:tcW w:w="2839" w:type="dxa"/>
            <w:vAlign w:val="center"/>
          </w:tcPr>
          <w:p>
            <w:pPr>
              <w:snapToGrid w:val="0"/>
              <w:jc w:val="center"/>
              <w:rPr>
                <w:rFonts w:eastAsia="宋体" w:cs="Times New Roman"/>
                <w:sz w:val="21"/>
              </w:rPr>
            </w:pPr>
            <w:r>
              <w:rPr>
                <w:rFonts w:hint="eastAsia" w:eastAsia="宋体" w:cs="Times New Roman"/>
                <w:sz w:val="21"/>
              </w:rPr>
              <w:t>4.99</w:t>
            </w:r>
          </w:p>
        </w:tc>
        <w:tc>
          <w:tcPr>
            <w:tcW w:w="1778" w:type="dxa"/>
            <w:vAlign w:val="center"/>
          </w:tcPr>
          <w:p>
            <w:pPr>
              <w:snapToGrid w:val="0"/>
              <w:jc w:val="center"/>
              <w:rPr>
                <w:rFonts w:eastAsia="宋体" w:cs="Times New Roman"/>
                <w:sz w:val="21"/>
              </w:rPr>
            </w:pPr>
            <w:r>
              <w:rPr>
                <w:rFonts w:hint="eastAsia" w:eastAsia="宋体" w:cs="Times New Roman"/>
                <w:sz w:val="21"/>
              </w:rPr>
              <w:t>75</w:t>
            </w:r>
          </w:p>
        </w:tc>
        <w:tc>
          <w:tcPr>
            <w:tcW w:w="1776" w:type="dxa"/>
            <w:vAlign w:val="center"/>
          </w:tcPr>
          <w:p>
            <w:pPr>
              <w:snapToGrid w:val="0"/>
              <w:jc w:val="center"/>
              <w:rPr>
                <w:rFonts w:eastAsia="宋体" w:cs="Times New Roman"/>
                <w:sz w:val="21"/>
              </w:rP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3</w:t>
            </w:r>
          </w:p>
        </w:tc>
        <w:tc>
          <w:tcPr>
            <w:tcW w:w="1778" w:type="dxa"/>
            <w:vAlign w:val="center"/>
          </w:tcPr>
          <w:p>
            <w:pPr>
              <w:snapToGrid w:val="0"/>
              <w:jc w:val="center"/>
              <w:rPr>
                <w:rFonts w:eastAsia="宋体" w:cs="Times New Roman"/>
                <w:bCs/>
                <w:sz w:val="21"/>
              </w:rPr>
            </w:pPr>
            <w:r>
              <w:rPr>
                <w:rFonts w:eastAsia="宋体" w:cs="Times New Roman"/>
                <w:bCs/>
                <w:sz w:val="21"/>
              </w:rPr>
              <w:t>总铬</w:t>
            </w:r>
          </w:p>
        </w:tc>
        <w:tc>
          <w:tcPr>
            <w:tcW w:w="2839" w:type="dxa"/>
            <w:vAlign w:val="center"/>
          </w:tcPr>
          <w:p>
            <w:pPr>
              <w:snapToGrid w:val="0"/>
              <w:jc w:val="center"/>
              <w:rPr>
                <w:rFonts w:eastAsia="宋体" w:cs="Times New Roman"/>
                <w:sz w:val="21"/>
              </w:rPr>
            </w:pPr>
            <w:r>
              <w:rPr>
                <w:rFonts w:hint="eastAsia" w:eastAsia="宋体" w:cs="Times New Roman"/>
                <w:sz w:val="21"/>
              </w:rPr>
              <w:t>81.6</w:t>
            </w:r>
          </w:p>
        </w:tc>
        <w:tc>
          <w:tcPr>
            <w:tcW w:w="1778" w:type="dxa"/>
            <w:vAlign w:val="center"/>
          </w:tcPr>
          <w:p>
            <w:pPr>
              <w:snapToGrid w:val="0"/>
              <w:jc w:val="center"/>
              <w:rPr>
                <w:rFonts w:eastAsia="宋体" w:cs="Times New Roman"/>
                <w:sz w:val="21"/>
              </w:rPr>
            </w:pPr>
            <w:r>
              <w:rPr>
                <w:rFonts w:hint="eastAsia" w:eastAsia="宋体" w:cs="Times New Roman"/>
                <w:sz w:val="21"/>
              </w:rPr>
              <w:t>1000</w:t>
            </w:r>
          </w:p>
        </w:tc>
        <w:tc>
          <w:tcPr>
            <w:tcW w:w="1776" w:type="dxa"/>
          </w:tcPr>
          <w:p>
            <w:pPr>
              <w:jc w:val="cente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4</w:t>
            </w:r>
          </w:p>
        </w:tc>
        <w:tc>
          <w:tcPr>
            <w:tcW w:w="1778" w:type="dxa"/>
            <w:vAlign w:val="center"/>
          </w:tcPr>
          <w:p>
            <w:pPr>
              <w:snapToGrid w:val="0"/>
              <w:jc w:val="center"/>
              <w:rPr>
                <w:rFonts w:eastAsia="宋体" w:cs="Times New Roman"/>
                <w:bCs/>
                <w:sz w:val="21"/>
              </w:rPr>
            </w:pPr>
            <w:r>
              <w:rPr>
                <w:rFonts w:eastAsia="宋体" w:cs="Times New Roman"/>
                <w:bCs/>
                <w:sz w:val="21"/>
              </w:rPr>
              <w:t>镉</w:t>
            </w:r>
          </w:p>
        </w:tc>
        <w:tc>
          <w:tcPr>
            <w:tcW w:w="2839" w:type="dxa"/>
            <w:vAlign w:val="center"/>
          </w:tcPr>
          <w:p>
            <w:pPr>
              <w:snapToGrid w:val="0"/>
              <w:jc w:val="center"/>
              <w:rPr>
                <w:rFonts w:eastAsia="宋体" w:cs="Times New Roman"/>
                <w:sz w:val="21"/>
              </w:rPr>
            </w:pPr>
            <w:r>
              <w:rPr>
                <w:rFonts w:hint="eastAsia" w:eastAsia="宋体" w:cs="Times New Roman"/>
                <w:sz w:val="21"/>
              </w:rPr>
              <w:t>0.32</w:t>
            </w:r>
          </w:p>
        </w:tc>
        <w:tc>
          <w:tcPr>
            <w:tcW w:w="1778" w:type="dxa"/>
            <w:vAlign w:val="center"/>
          </w:tcPr>
          <w:p>
            <w:pPr>
              <w:snapToGrid w:val="0"/>
              <w:jc w:val="center"/>
              <w:rPr>
                <w:rFonts w:eastAsia="宋体" w:cs="Times New Roman"/>
                <w:sz w:val="21"/>
              </w:rPr>
            </w:pPr>
            <w:r>
              <w:rPr>
                <w:rFonts w:hint="eastAsia" w:eastAsia="宋体" w:cs="Times New Roman"/>
                <w:sz w:val="21"/>
              </w:rPr>
              <w:t>20</w:t>
            </w:r>
          </w:p>
        </w:tc>
        <w:tc>
          <w:tcPr>
            <w:tcW w:w="1776" w:type="dxa"/>
          </w:tcPr>
          <w:p>
            <w:pPr>
              <w:jc w:val="cente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5</w:t>
            </w:r>
          </w:p>
        </w:tc>
        <w:tc>
          <w:tcPr>
            <w:tcW w:w="1778" w:type="dxa"/>
            <w:vAlign w:val="center"/>
          </w:tcPr>
          <w:p>
            <w:pPr>
              <w:snapToGrid w:val="0"/>
              <w:jc w:val="center"/>
              <w:rPr>
                <w:rFonts w:eastAsia="宋体" w:cs="Times New Roman"/>
                <w:bCs/>
                <w:sz w:val="21"/>
              </w:rPr>
            </w:pPr>
            <w:r>
              <w:rPr>
                <w:rFonts w:eastAsia="宋体" w:cs="Times New Roman"/>
                <w:bCs/>
                <w:sz w:val="21"/>
              </w:rPr>
              <w:t>铜</w:t>
            </w:r>
          </w:p>
        </w:tc>
        <w:tc>
          <w:tcPr>
            <w:tcW w:w="2839" w:type="dxa"/>
            <w:vAlign w:val="center"/>
          </w:tcPr>
          <w:p>
            <w:pPr>
              <w:snapToGrid w:val="0"/>
              <w:jc w:val="center"/>
              <w:rPr>
                <w:rFonts w:eastAsia="宋体" w:cs="Times New Roman"/>
                <w:sz w:val="21"/>
              </w:rPr>
            </w:pPr>
            <w:r>
              <w:rPr>
                <w:rFonts w:hint="eastAsia" w:eastAsia="宋体" w:cs="Times New Roman"/>
                <w:sz w:val="21"/>
              </w:rPr>
              <w:t>40.2</w:t>
            </w:r>
          </w:p>
        </w:tc>
        <w:tc>
          <w:tcPr>
            <w:tcW w:w="1778" w:type="dxa"/>
            <w:vAlign w:val="center"/>
          </w:tcPr>
          <w:p>
            <w:pPr>
              <w:snapToGrid w:val="0"/>
              <w:jc w:val="center"/>
              <w:rPr>
                <w:rFonts w:eastAsia="宋体" w:cs="Times New Roman"/>
                <w:sz w:val="21"/>
              </w:rPr>
            </w:pPr>
            <w:r>
              <w:rPr>
                <w:rFonts w:hint="eastAsia" w:eastAsia="宋体" w:cs="Times New Roman"/>
                <w:sz w:val="21"/>
              </w:rPr>
              <w:t>1500</w:t>
            </w:r>
          </w:p>
        </w:tc>
        <w:tc>
          <w:tcPr>
            <w:tcW w:w="1776" w:type="dxa"/>
          </w:tcPr>
          <w:p>
            <w:pPr>
              <w:jc w:val="cente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6</w:t>
            </w:r>
          </w:p>
        </w:tc>
        <w:tc>
          <w:tcPr>
            <w:tcW w:w="1778" w:type="dxa"/>
            <w:vAlign w:val="center"/>
          </w:tcPr>
          <w:p>
            <w:pPr>
              <w:snapToGrid w:val="0"/>
              <w:jc w:val="center"/>
              <w:rPr>
                <w:rFonts w:eastAsia="宋体" w:cs="Times New Roman"/>
                <w:bCs/>
                <w:sz w:val="21"/>
              </w:rPr>
            </w:pPr>
            <w:r>
              <w:rPr>
                <w:rFonts w:eastAsia="宋体" w:cs="Times New Roman"/>
                <w:bCs/>
                <w:sz w:val="21"/>
              </w:rPr>
              <w:t>铅</w:t>
            </w:r>
          </w:p>
        </w:tc>
        <w:tc>
          <w:tcPr>
            <w:tcW w:w="2839" w:type="dxa"/>
            <w:vAlign w:val="center"/>
          </w:tcPr>
          <w:p>
            <w:pPr>
              <w:snapToGrid w:val="0"/>
              <w:jc w:val="center"/>
              <w:rPr>
                <w:rFonts w:eastAsia="宋体" w:cs="Times New Roman"/>
                <w:sz w:val="21"/>
              </w:rPr>
            </w:pPr>
            <w:r>
              <w:rPr>
                <w:rFonts w:hint="eastAsia" w:eastAsia="宋体" w:cs="Times New Roman"/>
                <w:sz w:val="21"/>
              </w:rPr>
              <w:t>78.1</w:t>
            </w:r>
          </w:p>
        </w:tc>
        <w:tc>
          <w:tcPr>
            <w:tcW w:w="1778" w:type="dxa"/>
            <w:vAlign w:val="center"/>
          </w:tcPr>
          <w:p>
            <w:pPr>
              <w:snapToGrid w:val="0"/>
              <w:jc w:val="center"/>
              <w:rPr>
                <w:rFonts w:eastAsia="宋体" w:cs="Times New Roman"/>
                <w:sz w:val="21"/>
              </w:rPr>
            </w:pPr>
            <w:r>
              <w:rPr>
                <w:rFonts w:hint="eastAsia" w:eastAsia="宋体" w:cs="Times New Roman"/>
                <w:sz w:val="21"/>
              </w:rPr>
              <w:t>1000</w:t>
            </w:r>
          </w:p>
        </w:tc>
        <w:tc>
          <w:tcPr>
            <w:tcW w:w="1776" w:type="dxa"/>
          </w:tcPr>
          <w:p>
            <w:pPr>
              <w:jc w:val="cente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7</w:t>
            </w:r>
          </w:p>
        </w:tc>
        <w:tc>
          <w:tcPr>
            <w:tcW w:w="1778" w:type="dxa"/>
            <w:vAlign w:val="center"/>
          </w:tcPr>
          <w:p>
            <w:pPr>
              <w:snapToGrid w:val="0"/>
              <w:jc w:val="center"/>
              <w:rPr>
                <w:rFonts w:eastAsia="宋体" w:cs="Times New Roman"/>
                <w:bCs/>
                <w:sz w:val="21"/>
              </w:rPr>
            </w:pPr>
            <w:r>
              <w:rPr>
                <w:rFonts w:eastAsia="宋体" w:cs="Times New Roman"/>
                <w:bCs/>
                <w:sz w:val="21"/>
              </w:rPr>
              <w:t>汞</w:t>
            </w:r>
          </w:p>
        </w:tc>
        <w:tc>
          <w:tcPr>
            <w:tcW w:w="2839" w:type="dxa"/>
            <w:vAlign w:val="center"/>
          </w:tcPr>
          <w:p>
            <w:pPr>
              <w:snapToGrid w:val="0"/>
              <w:jc w:val="center"/>
              <w:rPr>
                <w:rFonts w:eastAsia="宋体" w:cs="Times New Roman"/>
                <w:sz w:val="21"/>
              </w:rPr>
            </w:pPr>
            <w:r>
              <w:rPr>
                <w:rFonts w:hint="eastAsia" w:eastAsia="宋体" w:cs="Times New Roman"/>
                <w:sz w:val="21"/>
              </w:rPr>
              <w:t>0.36</w:t>
            </w:r>
          </w:p>
        </w:tc>
        <w:tc>
          <w:tcPr>
            <w:tcW w:w="1778" w:type="dxa"/>
            <w:vAlign w:val="center"/>
          </w:tcPr>
          <w:p>
            <w:pPr>
              <w:snapToGrid w:val="0"/>
              <w:jc w:val="center"/>
              <w:rPr>
                <w:rFonts w:eastAsia="宋体" w:cs="Times New Roman"/>
                <w:sz w:val="21"/>
              </w:rPr>
            </w:pPr>
            <w:r>
              <w:rPr>
                <w:rFonts w:hint="eastAsia" w:eastAsia="宋体" w:cs="Times New Roman"/>
                <w:sz w:val="21"/>
              </w:rPr>
              <w:t>25</w:t>
            </w:r>
          </w:p>
        </w:tc>
        <w:tc>
          <w:tcPr>
            <w:tcW w:w="1776" w:type="dxa"/>
          </w:tcPr>
          <w:p>
            <w:pPr>
              <w:jc w:val="cente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8</w:t>
            </w:r>
          </w:p>
        </w:tc>
        <w:tc>
          <w:tcPr>
            <w:tcW w:w="1778" w:type="dxa"/>
            <w:vAlign w:val="center"/>
          </w:tcPr>
          <w:p>
            <w:pPr>
              <w:snapToGrid w:val="0"/>
              <w:jc w:val="center"/>
              <w:rPr>
                <w:rFonts w:eastAsia="宋体" w:cs="Times New Roman"/>
                <w:bCs/>
                <w:sz w:val="21"/>
              </w:rPr>
            </w:pPr>
            <w:r>
              <w:rPr>
                <w:rFonts w:eastAsia="宋体" w:cs="Times New Roman"/>
                <w:bCs/>
                <w:sz w:val="21"/>
              </w:rPr>
              <w:t>锌</w:t>
            </w:r>
          </w:p>
        </w:tc>
        <w:tc>
          <w:tcPr>
            <w:tcW w:w="2839" w:type="dxa"/>
            <w:vAlign w:val="center"/>
          </w:tcPr>
          <w:p>
            <w:pPr>
              <w:snapToGrid w:val="0"/>
              <w:jc w:val="center"/>
              <w:rPr>
                <w:rFonts w:eastAsia="宋体" w:cs="Times New Roman"/>
                <w:sz w:val="21"/>
              </w:rPr>
            </w:pPr>
            <w:r>
              <w:rPr>
                <w:rFonts w:hint="eastAsia" w:eastAsia="宋体" w:cs="Times New Roman"/>
                <w:sz w:val="21"/>
              </w:rPr>
              <w:t>1500</w:t>
            </w:r>
          </w:p>
        </w:tc>
        <w:tc>
          <w:tcPr>
            <w:tcW w:w="1778" w:type="dxa"/>
            <w:vAlign w:val="center"/>
          </w:tcPr>
          <w:p>
            <w:pPr>
              <w:snapToGrid w:val="0"/>
              <w:jc w:val="center"/>
              <w:rPr>
                <w:rFonts w:eastAsia="宋体" w:cs="Times New Roman"/>
                <w:sz w:val="21"/>
              </w:rPr>
            </w:pPr>
            <w:r>
              <w:rPr>
                <w:rFonts w:hint="eastAsia" w:eastAsia="宋体" w:cs="Times New Roman"/>
                <w:sz w:val="21"/>
              </w:rPr>
              <w:t>4000</w:t>
            </w:r>
          </w:p>
        </w:tc>
        <w:tc>
          <w:tcPr>
            <w:tcW w:w="1776" w:type="dxa"/>
          </w:tcPr>
          <w:p>
            <w:pPr>
              <w:jc w:val="center"/>
            </w:pPr>
            <w:r>
              <w:rPr>
                <w:rFonts w:hint="eastAsia" w:eastAsia="宋体" w:cs="Times New Roman"/>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tcPr>
          <w:p>
            <w:pPr>
              <w:snapToGrid w:val="0"/>
              <w:jc w:val="center"/>
              <w:rPr>
                <w:rFonts w:eastAsia="宋体" w:cs="Times New Roman"/>
                <w:bCs/>
                <w:sz w:val="21"/>
              </w:rPr>
            </w:pPr>
            <w:r>
              <w:rPr>
                <w:rFonts w:hint="eastAsia" w:eastAsia="宋体" w:cs="Times New Roman"/>
                <w:bCs/>
                <w:sz w:val="21"/>
              </w:rPr>
              <w:t>9</w:t>
            </w:r>
          </w:p>
        </w:tc>
        <w:tc>
          <w:tcPr>
            <w:tcW w:w="1778" w:type="dxa"/>
            <w:vAlign w:val="center"/>
          </w:tcPr>
          <w:p>
            <w:pPr>
              <w:snapToGrid w:val="0"/>
              <w:jc w:val="center"/>
              <w:rPr>
                <w:rFonts w:eastAsia="宋体" w:cs="Times New Roman"/>
                <w:bCs/>
                <w:sz w:val="21"/>
              </w:rPr>
            </w:pPr>
            <w:r>
              <w:rPr>
                <w:rFonts w:eastAsia="宋体" w:cs="Times New Roman"/>
                <w:bCs/>
                <w:sz w:val="21"/>
              </w:rPr>
              <w:t>镍</w:t>
            </w:r>
          </w:p>
        </w:tc>
        <w:tc>
          <w:tcPr>
            <w:tcW w:w="2839" w:type="dxa"/>
            <w:vAlign w:val="center"/>
          </w:tcPr>
          <w:p>
            <w:pPr>
              <w:snapToGrid w:val="0"/>
              <w:jc w:val="center"/>
              <w:rPr>
                <w:rFonts w:eastAsia="宋体" w:cs="Times New Roman"/>
                <w:sz w:val="21"/>
              </w:rPr>
            </w:pPr>
            <w:r>
              <w:rPr>
                <w:rFonts w:hint="eastAsia" w:eastAsia="宋体" w:cs="Times New Roman"/>
                <w:sz w:val="21"/>
              </w:rPr>
              <w:t>22</w:t>
            </w:r>
          </w:p>
        </w:tc>
        <w:tc>
          <w:tcPr>
            <w:tcW w:w="1778" w:type="dxa"/>
            <w:vAlign w:val="center"/>
          </w:tcPr>
          <w:p>
            <w:pPr>
              <w:snapToGrid w:val="0"/>
              <w:jc w:val="center"/>
              <w:rPr>
                <w:rFonts w:eastAsia="宋体" w:cs="Times New Roman"/>
                <w:sz w:val="21"/>
              </w:rPr>
            </w:pPr>
            <w:r>
              <w:rPr>
                <w:rFonts w:hint="eastAsia" w:eastAsia="宋体" w:cs="Times New Roman"/>
                <w:sz w:val="21"/>
              </w:rPr>
              <w:t>200</w:t>
            </w:r>
          </w:p>
        </w:tc>
        <w:tc>
          <w:tcPr>
            <w:tcW w:w="1776" w:type="dxa"/>
          </w:tcPr>
          <w:p>
            <w:pPr>
              <w:jc w:val="center"/>
            </w:pPr>
            <w:r>
              <w:rPr>
                <w:rFonts w:hint="eastAsia" w:eastAsia="宋体" w:cs="Times New Roman"/>
                <w:sz w:val="21"/>
              </w:rPr>
              <w:t>否</w:t>
            </w:r>
          </w:p>
        </w:tc>
      </w:tr>
    </w:tbl>
    <w:p>
      <w:pPr>
        <w:spacing w:line="360" w:lineRule="auto"/>
        <w:ind w:firstLine="480" w:firstLineChars="200"/>
      </w:pPr>
      <w:r>
        <w:rPr>
          <w:rFonts w:hint="eastAsia"/>
        </w:rPr>
        <w:t>由上表可知，污水处理厂出口的污泥可满足《城镇污水处理厂污泥处置混合填埋用泥质》（GB23485-2009）表2中标准要求。</w:t>
      </w:r>
    </w:p>
    <w:p>
      <w:pPr>
        <w:pStyle w:val="5"/>
        <w:rPr>
          <w:u w:val="single"/>
        </w:rPr>
      </w:pPr>
      <w:r>
        <w:rPr>
          <w:rFonts w:hint="eastAsia"/>
          <w:u w:val="single"/>
        </w:rPr>
        <w:t>项目主要污染源和已采取的治理措施及存在的问题</w:t>
      </w:r>
    </w:p>
    <w:p>
      <w:pPr>
        <w:spacing w:line="360" w:lineRule="auto"/>
        <w:ind w:firstLine="480" w:firstLineChars="200"/>
        <w:rPr>
          <w:u w:val="single"/>
        </w:rPr>
      </w:pPr>
      <w:r>
        <w:rPr>
          <w:rFonts w:hint="eastAsia"/>
          <w:u w:val="single"/>
        </w:rPr>
        <w:t>由于本项目属于已建成投产的项目，具体污染源情况详见污染源分析章节，本次环评思路实在了解现有污染源的基础上，分析项目已经采取的污染防治措施的有效性进行分析，再进一步提出补充措施，通过现场勘察，项目主要污染源、已采取的污染防治措施存在的环境问题见下表所示。</w:t>
      </w:r>
    </w:p>
    <w:p>
      <w:pPr>
        <w:pStyle w:val="14"/>
        <w:spacing w:line="240" w:lineRule="auto"/>
        <w:rPr>
          <w:u w:val="single"/>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2.5</w:t>
      </w:r>
      <w:r>
        <w:rPr>
          <w:u w:val="single"/>
        </w:rPr>
        <w:fldChar w:fldCharType="end"/>
      </w:r>
      <w:r>
        <w:rPr>
          <w:u w:val="single"/>
        </w:rPr>
        <w:noBreakHyphen/>
      </w:r>
      <w:r>
        <w:rPr>
          <w:u w:val="single"/>
        </w:rPr>
        <w:fldChar w:fldCharType="begin"/>
      </w:r>
      <w:r>
        <w:rPr>
          <w:rFonts w:hint="eastAsia"/>
          <w:u w:val="single"/>
        </w:rPr>
        <w:instrText xml:space="preserve">SEQ 表 \* ARABIC \s 2</w:instrText>
      </w:r>
      <w:r>
        <w:rPr>
          <w:u w:val="single"/>
        </w:rPr>
        <w:fldChar w:fldCharType="separate"/>
      </w:r>
      <w:r>
        <w:rPr>
          <w:rFonts w:hint="eastAsia"/>
          <w:u w:val="single"/>
        </w:rPr>
        <w:t>6</w:t>
      </w:r>
      <w:r>
        <w:rPr>
          <w:u w:val="single"/>
        </w:rPr>
        <w:fldChar w:fldCharType="end"/>
      </w:r>
      <w:r>
        <w:rPr>
          <w:u w:val="single"/>
        </w:rPr>
        <w:t>项目主要污染源、已采取的治理措施及存在的主要问题</w:t>
      </w:r>
    </w:p>
    <w:tbl>
      <w:tblPr>
        <w:tblStyle w:val="38"/>
        <w:tblW w:w="90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682"/>
        <w:gridCol w:w="3978"/>
        <w:gridCol w:w="24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71" w:type="dxa"/>
            <w:tcBorders>
              <w:tl2br w:val="nil"/>
              <w:tr2bl w:val="nil"/>
            </w:tcBorders>
            <w:vAlign w:val="center"/>
          </w:tcPr>
          <w:p>
            <w:pPr>
              <w:spacing w:beforeLines="5" w:afterLines="5"/>
              <w:jc w:val="center"/>
              <w:rPr>
                <w:color w:val="000000"/>
                <w:sz w:val="21"/>
                <w:u w:val="single"/>
              </w:rPr>
            </w:pPr>
            <w:r>
              <w:rPr>
                <w:color w:val="000000"/>
                <w:sz w:val="21"/>
                <w:u w:val="single"/>
              </w:rPr>
              <w:t>污染物</w:t>
            </w:r>
          </w:p>
        </w:tc>
        <w:tc>
          <w:tcPr>
            <w:tcW w:w="1682" w:type="dxa"/>
            <w:tcBorders>
              <w:tl2br w:val="nil"/>
              <w:tr2bl w:val="nil"/>
            </w:tcBorders>
            <w:vAlign w:val="center"/>
          </w:tcPr>
          <w:p>
            <w:pPr>
              <w:spacing w:beforeLines="5" w:afterLines="5"/>
              <w:jc w:val="center"/>
              <w:rPr>
                <w:color w:val="000000"/>
                <w:sz w:val="21"/>
                <w:u w:val="single"/>
              </w:rPr>
            </w:pPr>
            <w:r>
              <w:rPr>
                <w:color w:val="000000"/>
                <w:sz w:val="21"/>
                <w:u w:val="single"/>
              </w:rPr>
              <w:t>污染物类型</w:t>
            </w:r>
          </w:p>
        </w:tc>
        <w:tc>
          <w:tcPr>
            <w:tcW w:w="3978" w:type="dxa"/>
            <w:tcBorders>
              <w:tl2br w:val="nil"/>
              <w:tr2bl w:val="nil"/>
            </w:tcBorders>
            <w:vAlign w:val="center"/>
          </w:tcPr>
          <w:p>
            <w:pPr>
              <w:spacing w:beforeLines="5" w:afterLines="5"/>
              <w:jc w:val="center"/>
              <w:rPr>
                <w:color w:val="000000"/>
                <w:sz w:val="21"/>
                <w:u w:val="single"/>
              </w:rPr>
            </w:pPr>
            <w:r>
              <w:rPr>
                <w:color w:val="000000"/>
                <w:sz w:val="21"/>
                <w:u w:val="single"/>
              </w:rPr>
              <w:t>采取的环保措施</w:t>
            </w:r>
          </w:p>
        </w:tc>
        <w:tc>
          <w:tcPr>
            <w:tcW w:w="2423" w:type="dxa"/>
            <w:tcBorders>
              <w:tl2br w:val="nil"/>
              <w:tr2bl w:val="nil"/>
            </w:tcBorders>
            <w:vAlign w:val="center"/>
          </w:tcPr>
          <w:p>
            <w:pPr>
              <w:pStyle w:val="156"/>
              <w:spacing w:beforeLines="5" w:afterLines="5"/>
              <w:jc w:val="center"/>
              <w:rPr>
                <w:color w:val="000000"/>
                <w:u w:val="single"/>
              </w:rPr>
            </w:pPr>
            <w:r>
              <w:rPr>
                <w:color w:val="000000"/>
                <w:u w:val="single"/>
              </w:rPr>
              <w:t>达标情况/存在的环境问题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971" w:type="dxa"/>
            <w:vMerge w:val="restart"/>
            <w:tcBorders>
              <w:tl2br w:val="nil"/>
              <w:tr2bl w:val="nil"/>
            </w:tcBorders>
            <w:vAlign w:val="center"/>
          </w:tcPr>
          <w:p>
            <w:pPr>
              <w:widowControl/>
              <w:jc w:val="left"/>
              <w:rPr>
                <w:color w:val="000000"/>
                <w:sz w:val="21"/>
                <w:u w:val="single"/>
              </w:rPr>
            </w:pPr>
            <w:r>
              <w:rPr>
                <w:color w:val="000000"/>
                <w:sz w:val="21"/>
                <w:u w:val="single"/>
              </w:rPr>
              <w:t>废气</w:t>
            </w:r>
          </w:p>
        </w:tc>
        <w:tc>
          <w:tcPr>
            <w:tcW w:w="1682" w:type="dxa"/>
            <w:tcBorders>
              <w:tl2br w:val="nil"/>
              <w:tr2bl w:val="nil"/>
            </w:tcBorders>
            <w:vAlign w:val="center"/>
          </w:tcPr>
          <w:p>
            <w:pPr>
              <w:tabs>
                <w:tab w:val="left" w:pos="3469"/>
              </w:tabs>
              <w:jc w:val="center"/>
              <w:rPr>
                <w:color w:val="000000"/>
                <w:sz w:val="21"/>
                <w:u w:val="single"/>
              </w:rPr>
            </w:pPr>
            <w:r>
              <w:rPr>
                <w:bCs/>
                <w:color w:val="000000"/>
                <w:sz w:val="21"/>
                <w:u w:val="single"/>
              </w:rPr>
              <w:t>污水处理区和污泥脱水区恶臭</w:t>
            </w:r>
          </w:p>
        </w:tc>
        <w:tc>
          <w:tcPr>
            <w:tcW w:w="3978" w:type="dxa"/>
            <w:tcBorders>
              <w:tl2br w:val="nil"/>
              <w:tr2bl w:val="nil"/>
            </w:tcBorders>
            <w:vAlign w:val="center"/>
          </w:tcPr>
          <w:p>
            <w:pPr>
              <w:pStyle w:val="157"/>
              <w:rPr>
                <w:color w:val="000000"/>
                <w:u w:val="single"/>
              </w:rPr>
            </w:pPr>
            <w:r>
              <w:rPr>
                <w:rFonts w:hint="eastAsia"/>
                <w:color w:val="000000" w:themeColor="text1"/>
                <w:u w:val="single"/>
              </w:rPr>
              <w:t>加盖抽风+生物滤池除臭+15m高排气筒</w:t>
            </w:r>
          </w:p>
        </w:tc>
        <w:tc>
          <w:tcPr>
            <w:tcW w:w="2423" w:type="dxa"/>
            <w:tcBorders>
              <w:tl2br w:val="nil"/>
              <w:tr2bl w:val="nil"/>
            </w:tcBorders>
            <w:vAlign w:val="center"/>
          </w:tcPr>
          <w:p>
            <w:pPr>
              <w:pStyle w:val="157"/>
              <w:rPr>
                <w:color w:val="000000"/>
                <w:u w:val="single"/>
              </w:rPr>
            </w:pPr>
            <w:r>
              <w:rPr>
                <w:color w:val="000000"/>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971" w:type="dxa"/>
            <w:vMerge w:val="continue"/>
            <w:tcBorders>
              <w:tl2br w:val="nil"/>
              <w:tr2bl w:val="nil"/>
            </w:tcBorders>
            <w:vAlign w:val="center"/>
          </w:tcPr>
          <w:p>
            <w:pPr>
              <w:widowControl/>
              <w:jc w:val="left"/>
              <w:rPr>
                <w:color w:val="000000"/>
                <w:sz w:val="21"/>
                <w:u w:val="single"/>
              </w:rPr>
            </w:pPr>
          </w:p>
        </w:tc>
        <w:tc>
          <w:tcPr>
            <w:tcW w:w="1682" w:type="dxa"/>
            <w:tcBorders>
              <w:tl2br w:val="nil"/>
              <w:tr2bl w:val="nil"/>
            </w:tcBorders>
            <w:vAlign w:val="center"/>
          </w:tcPr>
          <w:p>
            <w:pPr>
              <w:tabs>
                <w:tab w:val="left" w:pos="3469"/>
              </w:tabs>
              <w:jc w:val="center"/>
              <w:rPr>
                <w:color w:val="000000"/>
                <w:sz w:val="21"/>
                <w:u w:val="single"/>
              </w:rPr>
            </w:pPr>
            <w:r>
              <w:rPr>
                <w:rFonts w:hint="eastAsia"/>
                <w:color w:val="000000"/>
                <w:sz w:val="21"/>
                <w:u w:val="single"/>
              </w:rPr>
              <w:t>食堂油烟</w:t>
            </w:r>
          </w:p>
        </w:tc>
        <w:tc>
          <w:tcPr>
            <w:tcW w:w="3978" w:type="dxa"/>
            <w:tcBorders>
              <w:tl2br w:val="nil"/>
              <w:tr2bl w:val="nil"/>
            </w:tcBorders>
            <w:vAlign w:val="center"/>
          </w:tcPr>
          <w:p>
            <w:pPr>
              <w:pStyle w:val="157"/>
              <w:rPr>
                <w:color w:val="000000"/>
                <w:u w:val="single"/>
              </w:rPr>
            </w:pPr>
            <w:r>
              <w:rPr>
                <w:rFonts w:hint="eastAsia"/>
                <w:color w:val="000000" w:themeColor="text1"/>
                <w:u w:val="single"/>
              </w:rPr>
              <w:t>抽油烟机</w:t>
            </w:r>
            <w:r>
              <w:rPr>
                <w:bCs/>
                <w:color w:val="000000" w:themeColor="text1"/>
                <w:u w:val="single"/>
              </w:rPr>
              <w:t>达到《饮食业油烟排放标准</w:t>
            </w:r>
            <w:r>
              <w:rPr>
                <w:rFonts w:hint="eastAsia"/>
                <w:bCs/>
                <w:color w:val="000000" w:themeColor="text1"/>
                <w:u w:val="single"/>
              </w:rPr>
              <w:t>（试行）</w:t>
            </w:r>
            <w:r>
              <w:rPr>
                <w:bCs/>
                <w:color w:val="000000" w:themeColor="text1"/>
                <w:u w:val="single"/>
              </w:rPr>
              <w:t>》（GB18483-2001）排放限值</w:t>
            </w:r>
          </w:p>
        </w:tc>
        <w:tc>
          <w:tcPr>
            <w:tcW w:w="2423" w:type="dxa"/>
            <w:tcBorders>
              <w:tl2br w:val="nil"/>
              <w:tr2bl w:val="nil"/>
            </w:tcBorders>
            <w:vAlign w:val="center"/>
          </w:tcPr>
          <w:p>
            <w:pPr>
              <w:pStyle w:val="157"/>
              <w:rPr>
                <w:color w:val="000000"/>
                <w:u w:val="single"/>
              </w:rPr>
            </w:pPr>
            <w:r>
              <w:rPr>
                <w:color w:val="000000"/>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971" w:type="dxa"/>
            <w:vMerge w:val="restart"/>
            <w:tcBorders>
              <w:tl2br w:val="nil"/>
              <w:tr2bl w:val="nil"/>
            </w:tcBorders>
            <w:vAlign w:val="center"/>
          </w:tcPr>
          <w:p>
            <w:pPr>
              <w:spacing w:beforeLines="5" w:afterLines="5"/>
              <w:jc w:val="center"/>
              <w:rPr>
                <w:color w:val="000000"/>
                <w:sz w:val="21"/>
                <w:u w:val="single"/>
              </w:rPr>
            </w:pPr>
            <w:r>
              <w:rPr>
                <w:color w:val="000000"/>
                <w:sz w:val="21"/>
                <w:u w:val="single"/>
              </w:rPr>
              <w:t>废水</w:t>
            </w:r>
          </w:p>
        </w:tc>
        <w:tc>
          <w:tcPr>
            <w:tcW w:w="1682" w:type="dxa"/>
            <w:tcBorders>
              <w:tl2br w:val="nil"/>
              <w:tr2bl w:val="nil"/>
            </w:tcBorders>
            <w:vAlign w:val="center"/>
          </w:tcPr>
          <w:p>
            <w:pPr>
              <w:tabs>
                <w:tab w:val="left" w:pos="3469"/>
              </w:tabs>
              <w:jc w:val="center"/>
              <w:rPr>
                <w:color w:val="000000"/>
                <w:sz w:val="21"/>
                <w:u w:val="single"/>
              </w:rPr>
            </w:pPr>
            <w:r>
              <w:rPr>
                <w:color w:val="000000"/>
                <w:sz w:val="21"/>
                <w:u w:val="single"/>
              </w:rPr>
              <w:t>生活废水</w:t>
            </w:r>
          </w:p>
        </w:tc>
        <w:tc>
          <w:tcPr>
            <w:tcW w:w="3978" w:type="dxa"/>
            <w:tcBorders>
              <w:tl2br w:val="nil"/>
              <w:tr2bl w:val="nil"/>
            </w:tcBorders>
            <w:vAlign w:val="center"/>
          </w:tcPr>
          <w:p>
            <w:pPr>
              <w:pStyle w:val="157"/>
              <w:jc w:val="both"/>
              <w:rPr>
                <w:color w:val="000000"/>
                <w:u w:val="single"/>
              </w:rPr>
            </w:pPr>
            <w:r>
              <w:rPr>
                <w:rFonts w:hint="eastAsia"/>
                <w:color w:val="000000"/>
                <w:u w:val="single"/>
              </w:rPr>
              <w:t>经化粪池处理后汇入自身处理系统处理</w:t>
            </w:r>
            <w:r>
              <w:rPr>
                <w:color w:val="000000" w:themeColor="text1"/>
                <w:u w:val="single"/>
              </w:rPr>
              <w:t>达到《城镇污水处理厂污染物排放标准》（GB18918- 2002）中表1中一级标准的A标准后排放</w:t>
            </w:r>
          </w:p>
        </w:tc>
        <w:tc>
          <w:tcPr>
            <w:tcW w:w="2423" w:type="dxa"/>
            <w:tcBorders>
              <w:tl2br w:val="nil"/>
              <w:tr2bl w:val="nil"/>
            </w:tcBorders>
            <w:vAlign w:val="center"/>
          </w:tcPr>
          <w:p>
            <w:pPr>
              <w:pStyle w:val="157"/>
              <w:rPr>
                <w:color w:val="000000"/>
                <w:u w:val="single"/>
              </w:rPr>
            </w:pPr>
            <w:r>
              <w:rPr>
                <w:color w:val="000000"/>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971" w:type="dxa"/>
            <w:vMerge w:val="continue"/>
            <w:tcBorders>
              <w:tl2br w:val="nil"/>
              <w:tr2bl w:val="nil"/>
            </w:tcBorders>
            <w:vAlign w:val="center"/>
          </w:tcPr>
          <w:p>
            <w:pPr>
              <w:widowControl/>
              <w:jc w:val="left"/>
              <w:rPr>
                <w:color w:val="000000"/>
                <w:sz w:val="21"/>
                <w:u w:val="single"/>
              </w:rPr>
            </w:pPr>
          </w:p>
        </w:tc>
        <w:tc>
          <w:tcPr>
            <w:tcW w:w="1682" w:type="dxa"/>
            <w:tcBorders>
              <w:tl2br w:val="nil"/>
              <w:tr2bl w:val="nil"/>
            </w:tcBorders>
            <w:vAlign w:val="center"/>
          </w:tcPr>
          <w:p>
            <w:pPr>
              <w:tabs>
                <w:tab w:val="left" w:pos="3469"/>
              </w:tabs>
              <w:jc w:val="center"/>
              <w:rPr>
                <w:color w:val="000000"/>
                <w:sz w:val="21"/>
                <w:u w:val="single"/>
              </w:rPr>
            </w:pPr>
            <w:r>
              <w:rPr>
                <w:color w:val="000000"/>
                <w:sz w:val="21"/>
                <w:u w:val="single"/>
              </w:rPr>
              <w:t>生产废水</w:t>
            </w:r>
          </w:p>
        </w:tc>
        <w:tc>
          <w:tcPr>
            <w:tcW w:w="3978" w:type="dxa"/>
            <w:tcBorders>
              <w:tl2br w:val="nil"/>
              <w:tr2bl w:val="nil"/>
            </w:tcBorders>
            <w:vAlign w:val="center"/>
          </w:tcPr>
          <w:p>
            <w:pPr>
              <w:pStyle w:val="157"/>
              <w:rPr>
                <w:color w:val="000000"/>
                <w:u w:val="single"/>
              </w:rPr>
            </w:pPr>
            <w:r>
              <w:rPr>
                <w:rFonts w:hint="eastAsia"/>
                <w:color w:val="000000" w:themeColor="text1"/>
                <w:u w:val="single"/>
              </w:rPr>
              <w:t>（</w:t>
            </w:r>
            <w:r>
              <w:rPr>
                <w:color w:val="000000" w:themeColor="text1"/>
                <w:u w:val="single"/>
              </w:rPr>
              <w:t>废水经自身处理系统处理达标后排放</w:t>
            </w:r>
            <w:r>
              <w:rPr>
                <w:rFonts w:hint="eastAsia"/>
                <w:color w:val="000000" w:themeColor="text1"/>
                <w:u w:val="single"/>
              </w:rPr>
              <w:t>）污水主体工艺采用水解酸化/</w:t>
            </w:r>
            <w:r>
              <w:rPr>
                <w:color w:val="000000" w:themeColor="text1"/>
                <w:u w:val="single"/>
              </w:rPr>
              <w:t xml:space="preserve"> AAO生物池工艺，深度处理采用</w:t>
            </w:r>
            <w:r>
              <w:rPr>
                <w:rFonts w:hint="eastAsia"/>
                <w:color w:val="000000" w:themeColor="text1"/>
                <w:u w:val="single"/>
              </w:rPr>
              <w:t>高效混凝沉淀池+滤布滤池</w:t>
            </w:r>
            <w:r>
              <w:rPr>
                <w:color w:val="000000" w:themeColor="text1"/>
                <w:u w:val="single"/>
              </w:rPr>
              <w:t>+</w:t>
            </w:r>
            <w:r>
              <w:rPr>
                <w:rFonts w:hint="eastAsia"/>
                <w:color w:val="000000" w:themeColor="text1"/>
                <w:u w:val="single"/>
              </w:rPr>
              <w:t>接触</w:t>
            </w:r>
            <w:r>
              <w:rPr>
                <w:color w:val="000000" w:themeColor="text1"/>
                <w:u w:val="single"/>
              </w:rPr>
              <w:t>消毒工艺</w:t>
            </w:r>
          </w:p>
        </w:tc>
        <w:tc>
          <w:tcPr>
            <w:tcW w:w="2423" w:type="dxa"/>
            <w:tcBorders>
              <w:tl2br w:val="nil"/>
              <w:tr2bl w:val="nil"/>
            </w:tcBorders>
            <w:vAlign w:val="center"/>
          </w:tcPr>
          <w:p>
            <w:pPr>
              <w:spacing w:beforeLines="5" w:afterLines="5"/>
              <w:jc w:val="center"/>
              <w:rPr>
                <w:color w:val="000000"/>
                <w:sz w:val="21"/>
                <w:u w:val="single"/>
              </w:rPr>
            </w:pPr>
            <w:r>
              <w:rPr>
                <w:color w:val="000000"/>
                <w:sz w:val="21"/>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71" w:type="dxa"/>
            <w:vMerge w:val="restart"/>
            <w:tcBorders>
              <w:tl2br w:val="nil"/>
              <w:tr2bl w:val="nil"/>
            </w:tcBorders>
            <w:vAlign w:val="center"/>
          </w:tcPr>
          <w:p>
            <w:pPr>
              <w:spacing w:beforeLines="5" w:afterLines="5"/>
              <w:jc w:val="center"/>
              <w:rPr>
                <w:color w:val="000000"/>
                <w:sz w:val="21"/>
                <w:u w:val="single"/>
              </w:rPr>
            </w:pPr>
            <w:r>
              <w:rPr>
                <w:rFonts w:hint="eastAsia"/>
                <w:color w:val="000000"/>
                <w:sz w:val="21"/>
                <w:u w:val="single"/>
              </w:rPr>
              <w:t>固废</w:t>
            </w:r>
          </w:p>
        </w:tc>
        <w:tc>
          <w:tcPr>
            <w:tcW w:w="1682" w:type="dxa"/>
            <w:tcBorders>
              <w:tl2br w:val="nil"/>
              <w:tr2bl w:val="nil"/>
            </w:tcBorders>
            <w:vAlign w:val="center"/>
          </w:tcPr>
          <w:p>
            <w:pPr>
              <w:pStyle w:val="157"/>
              <w:rPr>
                <w:color w:val="000000"/>
                <w:u w:val="single"/>
              </w:rPr>
            </w:pPr>
            <w:r>
              <w:rPr>
                <w:color w:val="000000"/>
                <w:u w:val="single"/>
              </w:rPr>
              <w:t>生活垃圾</w:t>
            </w:r>
          </w:p>
        </w:tc>
        <w:tc>
          <w:tcPr>
            <w:tcW w:w="3978" w:type="dxa"/>
            <w:tcBorders>
              <w:tl2br w:val="nil"/>
              <w:tr2bl w:val="nil"/>
            </w:tcBorders>
            <w:vAlign w:val="center"/>
          </w:tcPr>
          <w:p>
            <w:pPr>
              <w:pStyle w:val="157"/>
              <w:rPr>
                <w:color w:val="000000"/>
                <w:u w:val="single"/>
              </w:rPr>
            </w:pPr>
            <w:r>
              <w:rPr>
                <w:color w:val="000000"/>
                <w:u w:val="single"/>
              </w:rPr>
              <w:t>收集后</w:t>
            </w:r>
            <w:r>
              <w:rPr>
                <w:rFonts w:hint="eastAsia"/>
                <w:color w:val="000000"/>
                <w:u w:val="single"/>
              </w:rPr>
              <w:t>，</w:t>
            </w:r>
            <w:r>
              <w:rPr>
                <w:color w:val="000000"/>
                <w:u w:val="single"/>
              </w:rPr>
              <w:t>定期交由环卫部门处理</w:t>
            </w:r>
          </w:p>
        </w:tc>
        <w:tc>
          <w:tcPr>
            <w:tcW w:w="2423" w:type="dxa"/>
            <w:tcBorders>
              <w:tl2br w:val="nil"/>
              <w:tr2bl w:val="nil"/>
            </w:tcBorders>
            <w:vAlign w:val="center"/>
          </w:tcPr>
          <w:p>
            <w:pPr>
              <w:pStyle w:val="157"/>
              <w:rPr>
                <w:color w:val="000000"/>
                <w:u w:val="single"/>
              </w:rPr>
            </w:pPr>
            <w:r>
              <w:rPr>
                <w:color w:val="000000"/>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71" w:type="dxa"/>
            <w:vMerge w:val="continue"/>
            <w:tcBorders>
              <w:tl2br w:val="nil"/>
              <w:tr2bl w:val="nil"/>
            </w:tcBorders>
            <w:vAlign w:val="center"/>
          </w:tcPr>
          <w:p>
            <w:pPr>
              <w:widowControl/>
              <w:jc w:val="left"/>
              <w:rPr>
                <w:color w:val="000000"/>
                <w:sz w:val="21"/>
                <w:u w:val="single"/>
              </w:rPr>
            </w:pPr>
          </w:p>
        </w:tc>
        <w:tc>
          <w:tcPr>
            <w:tcW w:w="1682" w:type="dxa"/>
            <w:tcBorders>
              <w:tl2br w:val="nil"/>
              <w:tr2bl w:val="nil"/>
            </w:tcBorders>
            <w:vAlign w:val="center"/>
          </w:tcPr>
          <w:p>
            <w:pPr>
              <w:pStyle w:val="157"/>
              <w:rPr>
                <w:color w:val="000000"/>
                <w:u w:val="single"/>
              </w:rPr>
            </w:pPr>
            <w:r>
              <w:rPr>
                <w:color w:val="000000"/>
                <w:u w:val="single"/>
              </w:rPr>
              <w:t>格栅</w:t>
            </w:r>
          </w:p>
        </w:tc>
        <w:tc>
          <w:tcPr>
            <w:tcW w:w="3978" w:type="dxa"/>
            <w:tcBorders>
              <w:tl2br w:val="nil"/>
              <w:tr2bl w:val="nil"/>
            </w:tcBorders>
            <w:vAlign w:val="center"/>
          </w:tcPr>
          <w:p>
            <w:pPr>
              <w:pStyle w:val="157"/>
              <w:rPr>
                <w:color w:val="000000"/>
                <w:u w:val="single"/>
              </w:rPr>
            </w:pPr>
            <w:r>
              <w:rPr>
                <w:color w:val="000000"/>
                <w:u w:val="single"/>
              </w:rPr>
              <w:t>与垃圾一同收集后交由环卫部门处理</w:t>
            </w:r>
          </w:p>
        </w:tc>
        <w:tc>
          <w:tcPr>
            <w:tcW w:w="2423" w:type="dxa"/>
            <w:tcBorders>
              <w:tl2br w:val="nil"/>
              <w:tr2bl w:val="nil"/>
            </w:tcBorders>
            <w:vAlign w:val="center"/>
          </w:tcPr>
          <w:p>
            <w:pPr>
              <w:pStyle w:val="157"/>
              <w:rPr>
                <w:color w:val="000000"/>
                <w:u w:val="single"/>
              </w:rPr>
            </w:pPr>
            <w:r>
              <w:rPr>
                <w:color w:val="000000"/>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71" w:type="dxa"/>
            <w:vMerge w:val="continue"/>
            <w:tcBorders>
              <w:tl2br w:val="nil"/>
              <w:tr2bl w:val="nil"/>
            </w:tcBorders>
            <w:vAlign w:val="center"/>
          </w:tcPr>
          <w:p>
            <w:pPr>
              <w:widowControl/>
              <w:jc w:val="left"/>
              <w:rPr>
                <w:color w:val="000000"/>
                <w:sz w:val="21"/>
                <w:u w:val="single"/>
              </w:rPr>
            </w:pPr>
          </w:p>
        </w:tc>
        <w:tc>
          <w:tcPr>
            <w:tcW w:w="1682" w:type="dxa"/>
            <w:tcBorders>
              <w:tl2br w:val="nil"/>
              <w:tr2bl w:val="nil"/>
            </w:tcBorders>
            <w:vAlign w:val="center"/>
          </w:tcPr>
          <w:p>
            <w:pPr>
              <w:pStyle w:val="157"/>
              <w:rPr>
                <w:color w:val="000000"/>
                <w:u w:val="single"/>
              </w:rPr>
            </w:pPr>
            <w:r>
              <w:rPr>
                <w:color w:val="000000"/>
                <w:u w:val="single"/>
              </w:rPr>
              <w:t>沉砂</w:t>
            </w:r>
          </w:p>
        </w:tc>
        <w:tc>
          <w:tcPr>
            <w:tcW w:w="3978" w:type="dxa"/>
            <w:vMerge w:val="restart"/>
            <w:tcBorders>
              <w:tl2br w:val="nil"/>
              <w:tr2bl w:val="nil"/>
            </w:tcBorders>
            <w:vAlign w:val="center"/>
          </w:tcPr>
          <w:p>
            <w:pPr>
              <w:pStyle w:val="157"/>
              <w:rPr>
                <w:color w:val="000000"/>
                <w:u w:val="single"/>
              </w:rPr>
            </w:pPr>
            <w:r>
              <w:rPr>
                <w:rFonts w:hint="eastAsia"/>
                <w:color w:val="000000" w:themeColor="text1"/>
                <w:u w:val="single"/>
              </w:rPr>
              <w:t>收集后委托资质单位处理，并已签订协议</w:t>
            </w:r>
          </w:p>
        </w:tc>
        <w:tc>
          <w:tcPr>
            <w:tcW w:w="2423" w:type="dxa"/>
            <w:vMerge w:val="restart"/>
            <w:tcBorders>
              <w:tl2br w:val="nil"/>
              <w:tr2bl w:val="nil"/>
            </w:tcBorders>
            <w:vAlign w:val="center"/>
          </w:tcPr>
          <w:p>
            <w:pPr>
              <w:pStyle w:val="157"/>
              <w:rPr>
                <w:color w:val="000000"/>
                <w:u w:val="single"/>
              </w:rPr>
            </w:pPr>
            <w:r>
              <w:rPr>
                <w:color w:val="000000"/>
                <w:u w:val="single"/>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71" w:type="dxa"/>
            <w:vMerge w:val="continue"/>
            <w:tcBorders>
              <w:tl2br w:val="nil"/>
              <w:tr2bl w:val="nil"/>
            </w:tcBorders>
            <w:vAlign w:val="center"/>
          </w:tcPr>
          <w:p>
            <w:pPr>
              <w:widowControl/>
              <w:jc w:val="left"/>
              <w:rPr>
                <w:color w:val="000000"/>
                <w:sz w:val="21"/>
                <w:u w:val="single"/>
              </w:rPr>
            </w:pPr>
          </w:p>
        </w:tc>
        <w:tc>
          <w:tcPr>
            <w:tcW w:w="1682" w:type="dxa"/>
            <w:tcBorders>
              <w:tl2br w:val="nil"/>
              <w:tr2bl w:val="nil"/>
            </w:tcBorders>
            <w:vAlign w:val="center"/>
          </w:tcPr>
          <w:p>
            <w:pPr>
              <w:pStyle w:val="157"/>
              <w:rPr>
                <w:color w:val="000000"/>
                <w:u w:val="single"/>
              </w:rPr>
            </w:pPr>
            <w:r>
              <w:rPr>
                <w:color w:val="000000"/>
                <w:u w:val="single"/>
              </w:rPr>
              <w:t>污泥</w:t>
            </w:r>
          </w:p>
        </w:tc>
        <w:tc>
          <w:tcPr>
            <w:tcW w:w="3978" w:type="dxa"/>
            <w:vMerge w:val="continue"/>
            <w:tcBorders>
              <w:tl2br w:val="nil"/>
              <w:tr2bl w:val="nil"/>
            </w:tcBorders>
            <w:vAlign w:val="center"/>
          </w:tcPr>
          <w:p>
            <w:pPr>
              <w:pStyle w:val="157"/>
              <w:jc w:val="both"/>
              <w:rPr>
                <w:color w:val="000000"/>
                <w:u w:val="single"/>
              </w:rPr>
            </w:pPr>
          </w:p>
        </w:tc>
        <w:tc>
          <w:tcPr>
            <w:tcW w:w="2423" w:type="dxa"/>
            <w:vMerge w:val="continue"/>
            <w:tcBorders>
              <w:tl2br w:val="nil"/>
              <w:tr2bl w:val="nil"/>
            </w:tcBorders>
            <w:vAlign w:val="center"/>
          </w:tcPr>
          <w:p>
            <w:pPr>
              <w:pStyle w:val="157"/>
              <w:rPr>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71" w:type="dxa"/>
            <w:vMerge w:val="continue"/>
            <w:tcBorders>
              <w:tl2br w:val="nil"/>
              <w:tr2bl w:val="nil"/>
            </w:tcBorders>
            <w:vAlign w:val="center"/>
          </w:tcPr>
          <w:p>
            <w:pPr>
              <w:widowControl/>
              <w:jc w:val="left"/>
              <w:rPr>
                <w:color w:val="000000"/>
                <w:sz w:val="21"/>
                <w:u w:val="single"/>
              </w:rPr>
            </w:pPr>
          </w:p>
        </w:tc>
        <w:tc>
          <w:tcPr>
            <w:tcW w:w="1682" w:type="dxa"/>
            <w:tcBorders>
              <w:tl2br w:val="nil"/>
              <w:tr2bl w:val="nil"/>
            </w:tcBorders>
            <w:vAlign w:val="center"/>
          </w:tcPr>
          <w:p>
            <w:pPr>
              <w:pStyle w:val="157"/>
              <w:rPr>
                <w:rFonts w:hint="eastAsia" w:eastAsia="宋体"/>
                <w:color w:val="000000"/>
                <w:u w:val="single"/>
                <w:lang w:eastAsia="zh-CN"/>
              </w:rPr>
            </w:pPr>
            <w:r>
              <w:rPr>
                <w:rFonts w:hint="eastAsia"/>
                <w:color w:val="000000"/>
                <w:u w:val="single"/>
                <w:lang w:eastAsia="zh-CN"/>
              </w:rPr>
              <w:t>废生物垫料</w:t>
            </w:r>
          </w:p>
        </w:tc>
        <w:tc>
          <w:tcPr>
            <w:tcW w:w="3978" w:type="dxa"/>
            <w:vMerge w:val="continue"/>
            <w:tcBorders>
              <w:tl2br w:val="nil"/>
              <w:tr2bl w:val="nil"/>
            </w:tcBorders>
            <w:vAlign w:val="center"/>
          </w:tcPr>
          <w:p>
            <w:pPr>
              <w:pStyle w:val="157"/>
              <w:jc w:val="both"/>
              <w:rPr>
                <w:color w:val="000000"/>
                <w:u w:val="single"/>
              </w:rPr>
            </w:pPr>
          </w:p>
        </w:tc>
        <w:tc>
          <w:tcPr>
            <w:tcW w:w="2423" w:type="dxa"/>
            <w:vMerge w:val="continue"/>
            <w:tcBorders>
              <w:tl2br w:val="nil"/>
              <w:tr2bl w:val="nil"/>
            </w:tcBorders>
            <w:vAlign w:val="center"/>
          </w:tcPr>
          <w:p>
            <w:pPr>
              <w:pStyle w:val="157"/>
              <w:rPr>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1" w:type="dxa"/>
            <w:tcBorders>
              <w:tl2br w:val="nil"/>
              <w:tr2bl w:val="nil"/>
            </w:tcBorders>
            <w:vAlign w:val="center"/>
          </w:tcPr>
          <w:p>
            <w:pPr>
              <w:spacing w:beforeLines="5" w:afterLines="5"/>
              <w:jc w:val="center"/>
              <w:rPr>
                <w:color w:val="000000"/>
                <w:sz w:val="21"/>
                <w:u w:val="single"/>
              </w:rPr>
            </w:pPr>
            <w:r>
              <w:rPr>
                <w:color w:val="000000"/>
                <w:sz w:val="21"/>
                <w:u w:val="single"/>
              </w:rPr>
              <w:t>噪声</w:t>
            </w:r>
          </w:p>
        </w:tc>
        <w:tc>
          <w:tcPr>
            <w:tcW w:w="1682" w:type="dxa"/>
            <w:tcBorders>
              <w:tl2br w:val="nil"/>
              <w:tr2bl w:val="nil"/>
            </w:tcBorders>
            <w:vAlign w:val="center"/>
          </w:tcPr>
          <w:p>
            <w:pPr>
              <w:pStyle w:val="157"/>
              <w:rPr>
                <w:color w:val="000000"/>
                <w:u w:val="single"/>
              </w:rPr>
            </w:pPr>
            <w:r>
              <w:rPr>
                <w:color w:val="000000"/>
                <w:u w:val="single"/>
              </w:rPr>
              <w:t>设备噪声</w:t>
            </w:r>
          </w:p>
        </w:tc>
        <w:tc>
          <w:tcPr>
            <w:tcW w:w="3978" w:type="dxa"/>
            <w:tcBorders>
              <w:tl2br w:val="nil"/>
              <w:tr2bl w:val="nil"/>
            </w:tcBorders>
            <w:vAlign w:val="center"/>
          </w:tcPr>
          <w:p>
            <w:pPr>
              <w:pStyle w:val="157"/>
              <w:rPr>
                <w:color w:val="000000"/>
                <w:u w:val="single"/>
              </w:rPr>
            </w:pPr>
            <w:r>
              <w:rPr>
                <w:color w:val="000000"/>
                <w:u w:val="single"/>
              </w:rPr>
              <w:t>基底减振，距离衰减，厂房隔声</w:t>
            </w:r>
          </w:p>
        </w:tc>
        <w:tc>
          <w:tcPr>
            <w:tcW w:w="2423" w:type="dxa"/>
            <w:tcBorders>
              <w:tl2br w:val="nil"/>
              <w:tr2bl w:val="nil"/>
            </w:tcBorders>
            <w:vAlign w:val="center"/>
          </w:tcPr>
          <w:p>
            <w:pPr>
              <w:pStyle w:val="157"/>
              <w:rPr>
                <w:color w:val="000000"/>
                <w:u w:val="single"/>
              </w:rPr>
            </w:pPr>
            <w:r>
              <w:rPr>
                <w:rFonts w:hint="eastAsia"/>
                <w:color w:val="000000"/>
                <w:u w:val="single"/>
              </w:rPr>
              <w:t>符合要求</w:t>
            </w:r>
          </w:p>
        </w:tc>
      </w:tr>
    </w:tbl>
    <w:p>
      <w:pPr>
        <w:pStyle w:val="5"/>
      </w:pPr>
      <w:r>
        <w:t>事故排放</w:t>
      </w:r>
    </w:p>
    <w:p>
      <w:pPr>
        <w:adjustRightInd w:val="0"/>
        <w:snapToGrid w:val="0"/>
        <w:spacing w:line="360" w:lineRule="auto"/>
        <w:ind w:firstLine="480" w:firstLineChars="200"/>
      </w:pPr>
      <w:r>
        <w:rPr>
          <w:rFonts w:hint="eastAsia"/>
        </w:rPr>
        <w:t>（1）污水事故排放</w:t>
      </w:r>
    </w:p>
    <w:p>
      <w:pPr>
        <w:pStyle w:val="100"/>
        <w:spacing w:line="360" w:lineRule="auto"/>
        <w:ind w:firstLine="480"/>
      </w:pPr>
      <w:r>
        <w:t>分析污水处理工艺过程可知</w:t>
      </w:r>
      <w:r>
        <w:rPr>
          <w:rFonts w:hint="eastAsia"/>
        </w:rPr>
        <w:t>，</w:t>
      </w:r>
      <w:r>
        <w:t>可能导致出水水质超标的因素主要有三类</w:t>
      </w:r>
      <w:r>
        <w:rPr>
          <w:rFonts w:hint="eastAsia"/>
        </w:rPr>
        <w:t>：</w:t>
      </w:r>
      <w:r>
        <w:t>一类为进厂水质</w:t>
      </w:r>
      <w:r>
        <w:rPr>
          <w:rFonts w:hint="eastAsia"/>
        </w:rPr>
        <w:t>、</w:t>
      </w:r>
      <w:r>
        <w:t>水量发生较大变化</w:t>
      </w:r>
      <w:r>
        <w:rPr>
          <w:rFonts w:hint="eastAsia"/>
        </w:rPr>
        <w:t>，</w:t>
      </w:r>
      <w:r>
        <w:t>对污水处理厂造成较大冲击</w:t>
      </w:r>
      <w:r>
        <w:rPr>
          <w:rFonts w:hint="eastAsia"/>
        </w:rPr>
        <w:t>，</w:t>
      </w:r>
      <w:r>
        <w:t>造成出水超标</w:t>
      </w:r>
      <w:r>
        <w:rPr>
          <w:rFonts w:hint="eastAsia"/>
        </w:rPr>
        <w:t>；</w:t>
      </w:r>
      <w:r>
        <w:t>第二类为处置装置运转不正常导致出水水质超标</w:t>
      </w:r>
      <w:r>
        <w:rPr>
          <w:rFonts w:hint="eastAsia"/>
        </w:rPr>
        <w:t>（含电力冲断）；第三类为污水输送管道破裂或污水提升泵出现故障导致污水的直接排放。</w:t>
      </w:r>
    </w:p>
    <w:p>
      <w:pPr>
        <w:pStyle w:val="100"/>
        <w:spacing w:line="360" w:lineRule="auto"/>
        <w:ind w:firstLine="480"/>
      </w:pPr>
      <w:r>
        <w:rPr>
          <w:rFonts w:hint="eastAsia"/>
        </w:rPr>
        <w:t>第一种情况：根据前面的计算，当进厂的水量超过设计水量时，将使污水的停留时间缩短，导致排放超标，另外进厂污水浓度超过设计进水浓度，也可能导致处理设施有机负荷增加，从而导致去除效率下降，出水超标。</w:t>
      </w:r>
    </w:p>
    <w:p>
      <w:pPr>
        <w:pStyle w:val="100"/>
        <w:spacing w:line="360" w:lineRule="auto"/>
        <w:ind w:firstLine="480"/>
      </w:pPr>
      <w:r>
        <w:rPr>
          <w:rFonts w:hint="eastAsia"/>
        </w:rPr>
        <w:t>第二种情况出现的原因很多，如停电导致机械不能运转，管理不善，造成活性污泥浓度下降，操作不当造成停留时间过短，曝气机运转不正常造成供氧不足等等，事故的原因是多方面的，但事故的后果都将造成处理设施去除率的下降，导致出水超标排放，其影响范围与事故的发现和处理时间有关。</w:t>
      </w:r>
    </w:p>
    <w:p>
      <w:pPr>
        <w:pStyle w:val="100"/>
        <w:spacing w:line="360" w:lineRule="auto"/>
        <w:ind w:firstLine="480"/>
      </w:pPr>
      <w:r>
        <w:rPr>
          <w:rFonts w:hint="eastAsia"/>
        </w:rPr>
        <w:t>第三类事故造成的影响最大，其产生原因可能是人为的损坏，也可能是自然损耗得不到及时补偿造成，管道的损坏程度不同，事故影响大小不同。</w:t>
      </w:r>
    </w:p>
    <w:p>
      <w:pPr>
        <w:pStyle w:val="100"/>
        <w:spacing w:line="360" w:lineRule="auto"/>
        <w:ind w:firstLine="480"/>
        <w:rPr>
          <w:rFonts w:hint="eastAsia"/>
        </w:rPr>
      </w:pPr>
      <w:r>
        <w:rPr>
          <w:rFonts w:hint="eastAsia"/>
        </w:rPr>
        <w:t>根据项目的设计方案可知，项目的设计进水标准为下表所示。</w:t>
      </w:r>
    </w:p>
    <w:p>
      <w:pPr>
        <w:pStyle w:val="14"/>
        <w:adjustRightInd w:val="0"/>
        <w:snapToGrid w:val="0"/>
        <w:spacing w:line="240" w:lineRule="auto"/>
      </w:pPr>
      <w:r>
        <w:rPr>
          <w:rFonts w:hint="eastAsia"/>
        </w:rPr>
        <w:t>表</w:t>
      </w:r>
      <w:r>
        <w:fldChar w:fldCharType="begin"/>
      </w:r>
      <w:r>
        <w:instrText xml:space="preserve"> STYLEREF 2 \s </w:instrText>
      </w:r>
      <w:r>
        <w:fldChar w:fldCharType="separate"/>
      </w:r>
      <w:r>
        <w:t>2.5</w:t>
      </w:r>
      <w:r>
        <w:fldChar w:fldCharType="end"/>
      </w:r>
      <w:r>
        <w:noBreakHyphen/>
      </w:r>
      <w:r>
        <w:fldChar w:fldCharType="begin"/>
      </w:r>
      <w:r>
        <w:rPr>
          <w:rFonts w:hint="eastAsia"/>
        </w:rPr>
        <w:instrText xml:space="preserve">SEQ 表 \* ARABIC \s 2</w:instrText>
      </w:r>
      <w:r>
        <w:fldChar w:fldCharType="separate"/>
      </w:r>
      <w:r>
        <w:rPr>
          <w:rFonts w:hint="eastAsia"/>
        </w:rPr>
        <w:t>7</w:t>
      </w:r>
      <w:r>
        <w:fldChar w:fldCharType="end"/>
      </w:r>
      <w:r>
        <w:rPr>
          <w:rFonts w:hint="eastAsia"/>
        </w:rPr>
        <w:t xml:space="preserve">  项目设计进水标准表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077"/>
        <w:gridCol w:w="1065"/>
        <w:gridCol w:w="1065"/>
        <w:gridCol w:w="1353"/>
        <w:gridCol w:w="1065"/>
        <w:gridCol w:w="1065"/>
        <w:gridCol w:w="10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9" w:type="dxa"/>
            <w:vAlign w:val="center"/>
          </w:tcPr>
          <w:p>
            <w:pPr>
              <w:pStyle w:val="130"/>
              <w:spacing w:line="320" w:lineRule="exact"/>
            </w:pPr>
            <w:r>
              <w:t>指标</w:t>
            </w:r>
          </w:p>
        </w:tc>
        <w:tc>
          <w:tcPr>
            <w:tcW w:w="1077" w:type="dxa"/>
            <w:vAlign w:val="center"/>
          </w:tcPr>
          <w:p>
            <w:pPr>
              <w:pStyle w:val="130"/>
              <w:spacing w:line="320" w:lineRule="exact"/>
              <w:rPr>
                <w:vertAlign w:val="subscript"/>
              </w:rPr>
            </w:pPr>
            <w:r>
              <w:t>COD</w:t>
            </w:r>
            <w:r>
              <w:rPr>
                <w:vertAlign w:val="subscript"/>
              </w:rPr>
              <w:t>cr</w:t>
            </w:r>
          </w:p>
        </w:tc>
        <w:tc>
          <w:tcPr>
            <w:tcW w:w="1065" w:type="dxa"/>
            <w:vAlign w:val="center"/>
          </w:tcPr>
          <w:p>
            <w:pPr>
              <w:pStyle w:val="130"/>
              <w:spacing w:line="320" w:lineRule="exact"/>
              <w:rPr>
                <w:vertAlign w:val="subscript"/>
              </w:rPr>
            </w:pPr>
            <w:r>
              <w:t>BOD</w:t>
            </w:r>
            <w:r>
              <w:rPr>
                <w:vertAlign w:val="subscript"/>
              </w:rPr>
              <w:t>5</w:t>
            </w:r>
          </w:p>
        </w:tc>
        <w:tc>
          <w:tcPr>
            <w:tcW w:w="1065" w:type="dxa"/>
            <w:vAlign w:val="center"/>
          </w:tcPr>
          <w:p>
            <w:pPr>
              <w:pStyle w:val="130"/>
              <w:spacing w:line="320" w:lineRule="exact"/>
            </w:pPr>
            <w:r>
              <w:t>SS</w:t>
            </w:r>
          </w:p>
        </w:tc>
        <w:tc>
          <w:tcPr>
            <w:tcW w:w="1353" w:type="dxa"/>
            <w:vAlign w:val="center"/>
          </w:tcPr>
          <w:p>
            <w:pPr>
              <w:pStyle w:val="130"/>
              <w:spacing w:line="320" w:lineRule="exact"/>
            </w:pPr>
            <w:r>
              <w:t>NH</w:t>
            </w:r>
            <w:r>
              <w:rPr>
                <w:vertAlign w:val="subscript"/>
              </w:rPr>
              <w:t>3</w:t>
            </w:r>
            <w:r>
              <w:t>-N</w:t>
            </w:r>
          </w:p>
        </w:tc>
        <w:tc>
          <w:tcPr>
            <w:tcW w:w="1065" w:type="dxa"/>
            <w:vAlign w:val="center"/>
          </w:tcPr>
          <w:p>
            <w:pPr>
              <w:pStyle w:val="130"/>
              <w:spacing w:line="320" w:lineRule="exact"/>
            </w:pPr>
            <w:r>
              <w:t>TN</w:t>
            </w:r>
          </w:p>
        </w:tc>
        <w:tc>
          <w:tcPr>
            <w:tcW w:w="1065" w:type="dxa"/>
            <w:vAlign w:val="center"/>
          </w:tcPr>
          <w:p>
            <w:pPr>
              <w:pStyle w:val="130"/>
              <w:spacing w:line="320" w:lineRule="exact"/>
            </w:pPr>
            <w:r>
              <w:t>TP</w:t>
            </w:r>
          </w:p>
        </w:tc>
        <w:tc>
          <w:tcPr>
            <w:tcW w:w="1063" w:type="dxa"/>
            <w:vAlign w:val="center"/>
          </w:tcPr>
          <w:p>
            <w:pPr>
              <w:pStyle w:val="130"/>
              <w:spacing w:line="320" w:lineRule="exact"/>
            </w:pPr>
            <w:r>
              <w:t>动植</w:t>
            </w:r>
          </w:p>
          <w:p>
            <w:pPr>
              <w:pStyle w:val="130"/>
              <w:spacing w:line="320" w:lineRule="exact"/>
            </w:pPr>
            <w:r>
              <w:t>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9" w:type="dxa"/>
            <w:vAlign w:val="center"/>
          </w:tcPr>
          <w:p>
            <w:pPr>
              <w:pStyle w:val="130"/>
              <w:spacing w:line="320" w:lineRule="exact"/>
            </w:pPr>
            <w:r>
              <w:t>进水水质</w:t>
            </w:r>
          </w:p>
        </w:tc>
        <w:tc>
          <w:tcPr>
            <w:tcW w:w="1077" w:type="dxa"/>
            <w:vAlign w:val="center"/>
          </w:tcPr>
          <w:p>
            <w:pPr>
              <w:pStyle w:val="130"/>
              <w:spacing w:line="320" w:lineRule="exact"/>
            </w:pPr>
            <w:r>
              <w:t>420</w:t>
            </w:r>
          </w:p>
        </w:tc>
        <w:tc>
          <w:tcPr>
            <w:tcW w:w="1065" w:type="dxa"/>
            <w:vAlign w:val="center"/>
          </w:tcPr>
          <w:p>
            <w:pPr>
              <w:pStyle w:val="130"/>
              <w:spacing w:line="320" w:lineRule="exact"/>
            </w:pPr>
            <w:r>
              <w:t>150</w:t>
            </w:r>
          </w:p>
        </w:tc>
        <w:tc>
          <w:tcPr>
            <w:tcW w:w="1065" w:type="dxa"/>
            <w:vAlign w:val="center"/>
          </w:tcPr>
          <w:p>
            <w:pPr>
              <w:pStyle w:val="130"/>
              <w:spacing w:line="320" w:lineRule="exact"/>
            </w:pPr>
            <w:r>
              <w:t>240</w:t>
            </w:r>
          </w:p>
        </w:tc>
        <w:tc>
          <w:tcPr>
            <w:tcW w:w="1353" w:type="dxa"/>
            <w:vAlign w:val="center"/>
          </w:tcPr>
          <w:p>
            <w:pPr>
              <w:pStyle w:val="130"/>
              <w:spacing w:line="320" w:lineRule="exact"/>
            </w:pPr>
            <w:r>
              <w:t>36</w:t>
            </w:r>
          </w:p>
        </w:tc>
        <w:tc>
          <w:tcPr>
            <w:tcW w:w="1065" w:type="dxa"/>
            <w:vAlign w:val="center"/>
          </w:tcPr>
          <w:p>
            <w:pPr>
              <w:pStyle w:val="130"/>
              <w:spacing w:line="320" w:lineRule="exact"/>
            </w:pPr>
            <w:r>
              <w:t>46</w:t>
            </w:r>
          </w:p>
        </w:tc>
        <w:tc>
          <w:tcPr>
            <w:tcW w:w="1065" w:type="dxa"/>
            <w:vAlign w:val="center"/>
          </w:tcPr>
          <w:p>
            <w:pPr>
              <w:pStyle w:val="130"/>
              <w:spacing w:line="320" w:lineRule="exact"/>
            </w:pPr>
            <w:r>
              <w:t>4.6</w:t>
            </w:r>
          </w:p>
        </w:tc>
        <w:tc>
          <w:tcPr>
            <w:tcW w:w="1063" w:type="dxa"/>
            <w:vAlign w:val="center"/>
          </w:tcPr>
          <w:p>
            <w:pPr>
              <w:pStyle w:val="130"/>
              <w:spacing w:line="320" w:lineRule="exact"/>
            </w:pPr>
            <w: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9" w:type="dxa"/>
            <w:vAlign w:val="center"/>
          </w:tcPr>
          <w:p>
            <w:pPr>
              <w:pStyle w:val="130"/>
              <w:spacing w:line="320" w:lineRule="exact"/>
            </w:pPr>
            <w:r>
              <w:t>出水水质</w:t>
            </w:r>
          </w:p>
        </w:tc>
        <w:tc>
          <w:tcPr>
            <w:tcW w:w="1077" w:type="dxa"/>
            <w:vAlign w:val="center"/>
          </w:tcPr>
          <w:p>
            <w:pPr>
              <w:pStyle w:val="130"/>
              <w:spacing w:line="320" w:lineRule="exact"/>
            </w:pPr>
            <w:r>
              <w:t>≤50</w:t>
            </w:r>
          </w:p>
        </w:tc>
        <w:tc>
          <w:tcPr>
            <w:tcW w:w="1065" w:type="dxa"/>
            <w:vAlign w:val="center"/>
          </w:tcPr>
          <w:p>
            <w:pPr>
              <w:pStyle w:val="130"/>
              <w:spacing w:line="320" w:lineRule="exact"/>
            </w:pPr>
            <w:r>
              <w:t>≤10</w:t>
            </w:r>
          </w:p>
        </w:tc>
        <w:tc>
          <w:tcPr>
            <w:tcW w:w="1065" w:type="dxa"/>
            <w:vAlign w:val="center"/>
          </w:tcPr>
          <w:p>
            <w:pPr>
              <w:pStyle w:val="130"/>
              <w:spacing w:line="320" w:lineRule="exact"/>
            </w:pPr>
            <w:r>
              <w:t>≤10</w:t>
            </w:r>
          </w:p>
        </w:tc>
        <w:tc>
          <w:tcPr>
            <w:tcW w:w="1353" w:type="dxa"/>
            <w:vAlign w:val="center"/>
          </w:tcPr>
          <w:p>
            <w:pPr>
              <w:pStyle w:val="130"/>
              <w:spacing w:line="320" w:lineRule="exact"/>
            </w:pPr>
            <w:r>
              <w:t>≤5</w:t>
            </w:r>
            <w:r>
              <w:rPr>
                <w:rFonts w:ascii="宋体" w:hAnsi="宋体"/>
              </w:rPr>
              <w:t>（</w:t>
            </w:r>
            <w:r>
              <w:t>8</w:t>
            </w:r>
            <w:r>
              <w:rPr>
                <w:rFonts w:ascii="宋体" w:hAnsi="宋体"/>
              </w:rPr>
              <w:t>）</w:t>
            </w:r>
          </w:p>
        </w:tc>
        <w:tc>
          <w:tcPr>
            <w:tcW w:w="1065" w:type="dxa"/>
            <w:vAlign w:val="center"/>
          </w:tcPr>
          <w:p>
            <w:pPr>
              <w:pStyle w:val="130"/>
              <w:spacing w:line="320" w:lineRule="exact"/>
            </w:pPr>
            <w:r>
              <w:t>≤15</w:t>
            </w:r>
          </w:p>
        </w:tc>
        <w:tc>
          <w:tcPr>
            <w:tcW w:w="1065" w:type="dxa"/>
            <w:vAlign w:val="center"/>
          </w:tcPr>
          <w:p>
            <w:pPr>
              <w:pStyle w:val="130"/>
              <w:spacing w:line="320" w:lineRule="exact"/>
            </w:pPr>
            <w:r>
              <w:t>≤0.5</w:t>
            </w:r>
          </w:p>
        </w:tc>
        <w:tc>
          <w:tcPr>
            <w:tcW w:w="1063" w:type="dxa"/>
            <w:vAlign w:val="center"/>
          </w:tcPr>
          <w:p>
            <w:pPr>
              <w:pStyle w:val="130"/>
              <w:spacing w:line="320" w:lineRule="exact"/>
            </w:pPr>
            <w: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9" w:type="dxa"/>
            <w:vAlign w:val="center"/>
          </w:tcPr>
          <w:p>
            <w:pPr>
              <w:pStyle w:val="130"/>
              <w:spacing w:line="320" w:lineRule="exact"/>
            </w:pPr>
            <w:r>
              <w:t>处理程度</w:t>
            </w:r>
          </w:p>
        </w:tc>
        <w:tc>
          <w:tcPr>
            <w:tcW w:w="1077" w:type="dxa"/>
            <w:vAlign w:val="center"/>
          </w:tcPr>
          <w:p>
            <w:pPr>
              <w:pStyle w:val="130"/>
              <w:spacing w:line="320" w:lineRule="exact"/>
            </w:pPr>
            <w:r>
              <w:t>88.9%</w:t>
            </w:r>
          </w:p>
        </w:tc>
        <w:tc>
          <w:tcPr>
            <w:tcW w:w="1065" w:type="dxa"/>
            <w:vAlign w:val="center"/>
          </w:tcPr>
          <w:p>
            <w:pPr>
              <w:pStyle w:val="130"/>
              <w:spacing w:line="320" w:lineRule="exact"/>
            </w:pPr>
            <w:r>
              <w:t>95.5%</w:t>
            </w:r>
          </w:p>
        </w:tc>
        <w:tc>
          <w:tcPr>
            <w:tcW w:w="1065" w:type="dxa"/>
            <w:vAlign w:val="center"/>
          </w:tcPr>
          <w:p>
            <w:pPr>
              <w:pStyle w:val="130"/>
              <w:spacing w:line="320" w:lineRule="exact"/>
            </w:pPr>
            <w:r>
              <w:t>96.7%</w:t>
            </w:r>
          </w:p>
        </w:tc>
        <w:tc>
          <w:tcPr>
            <w:tcW w:w="1353" w:type="dxa"/>
            <w:vAlign w:val="center"/>
          </w:tcPr>
          <w:p>
            <w:pPr>
              <w:pStyle w:val="130"/>
              <w:spacing w:line="320" w:lineRule="exact"/>
            </w:pPr>
            <w:r>
              <w:t>86.1%</w:t>
            </w:r>
          </w:p>
        </w:tc>
        <w:tc>
          <w:tcPr>
            <w:tcW w:w="1065" w:type="dxa"/>
            <w:vAlign w:val="center"/>
          </w:tcPr>
          <w:p>
            <w:pPr>
              <w:pStyle w:val="130"/>
              <w:spacing w:line="320" w:lineRule="exact"/>
            </w:pPr>
            <w:r>
              <w:t>71.2%</w:t>
            </w:r>
          </w:p>
        </w:tc>
        <w:tc>
          <w:tcPr>
            <w:tcW w:w="1065" w:type="dxa"/>
            <w:vAlign w:val="center"/>
          </w:tcPr>
          <w:p>
            <w:pPr>
              <w:pStyle w:val="130"/>
              <w:spacing w:line="320" w:lineRule="exact"/>
            </w:pPr>
            <w:r>
              <w:t>90.4%</w:t>
            </w:r>
          </w:p>
        </w:tc>
        <w:tc>
          <w:tcPr>
            <w:tcW w:w="1063" w:type="dxa"/>
            <w:vAlign w:val="center"/>
          </w:tcPr>
          <w:p>
            <w:pPr>
              <w:pStyle w:val="130"/>
              <w:spacing w:line="320" w:lineRule="exact"/>
            </w:pPr>
            <w:r>
              <w:t>97.6%</w:t>
            </w:r>
          </w:p>
        </w:tc>
      </w:tr>
    </w:tbl>
    <w:p>
      <w:pPr>
        <w:pStyle w:val="100"/>
        <w:ind w:firstLine="480"/>
      </w:pPr>
      <w:r>
        <w:t>因项目的事故排放为发生事故时进入污水处理厂的污水未能得到有效的处理</w:t>
      </w:r>
      <w:r>
        <w:rPr>
          <w:rFonts w:hint="eastAsia"/>
        </w:rPr>
        <w:t>，</w:t>
      </w:r>
      <w:r>
        <w:t>按照最不利情况即所有进入污水处理厂的污水均没有处理而直接排放</w:t>
      </w:r>
      <w:r>
        <w:rPr>
          <w:rFonts w:hint="eastAsia"/>
        </w:rPr>
        <w:t>，</w:t>
      </w:r>
      <w:r>
        <w:t>此时污水排放量及污染物排放情况见下表所示</w:t>
      </w:r>
      <w:r>
        <w:rPr>
          <w:rFonts w:hint="eastAsia"/>
        </w:rPr>
        <w:t>。</w:t>
      </w:r>
    </w:p>
    <w:p>
      <w:pPr>
        <w:pStyle w:val="14"/>
        <w:spacing w:line="240" w:lineRule="auto"/>
      </w:pPr>
      <w:r>
        <w:rPr>
          <w:rFonts w:hint="eastAsia"/>
        </w:rPr>
        <w:t>表</w:t>
      </w:r>
      <w:r>
        <w:fldChar w:fldCharType="begin"/>
      </w:r>
      <w:r>
        <w:instrText xml:space="preserve"> STYLEREF 2 \s </w:instrText>
      </w:r>
      <w:r>
        <w:fldChar w:fldCharType="separate"/>
      </w:r>
      <w:r>
        <w:t>2.5</w:t>
      </w:r>
      <w:r>
        <w:fldChar w:fldCharType="end"/>
      </w:r>
      <w:r>
        <w:noBreakHyphen/>
      </w:r>
      <w:r>
        <w:fldChar w:fldCharType="begin"/>
      </w:r>
      <w:r>
        <w:rPr>
          <w:rFonts w:hint="eastAsia"/>
        </w:rPr>
        <w:instrText xml:space="preserve">SEQ 表 \* ARABIC \s 2</w:instrText>
      </w:r>
      <w:r>
        <w:fldChar w:fldCharType="separate"/>
      </w:r>
      <w:r>
        <w:rPr>
          <w:rFonts w:hint="eastAsia"/>
        </w:rPr>
        <w:t>8</w:t>
      </w:r>
      <w:r>
        <w:fldChar w:fldCharType="end"/>
      </w:r>
      <w:r>
        <w:rPr>
          <w:rFonts w:hint="eastAsia"/>
        </w:rPr>
        <w:t xml:space="preserve"> 事故排放时污染物排放量统计表</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39"/>
        <w:gridCol w:w="1945"/>
        <w:gridCol w:w="776"/>
        <w:gridCol w:w="860"/>
        <w:gridCol w:w="625"/>
        <w:gridCol w:w="688"/>
        <w:gridCol w:w="956"/>
        <w:gridCol w:w="811"/>
        <w:gridCol w:w="12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9" w:type="dxa"/>
            <w:vAlign w:val="center"/>
          </w:tcPr>
          <w:p>
            <w:pPr>
              <w:pStyle w:val="122"/>
            </w:pPr>
            <w:r>
              <w:rPr>
                <w:rFonts w:hint="eastAsia"/>
              </w:rPr>
              <w:t>污水量</w:t>
            </w:r>
          </w:p>
        </w:tc>
        <w:tc>
          <w:tcPr>
            <w:tcW w:w="1945" w:type="dxa"/>
            <w:vAlign w:val="center"/>
          </w:tcPr>
          <w:p>
            <w:pPr>
              <w:pStyle w:val="122"/>
            </w:pPr>
            <w:r>
              <w:rPr>
                <w:rFonts w:hint="eastAsia"/>
              </w:rPr>
              <w:t>污染因子</w:t>
            </w:r>
          </w:p>
        </w:tc>
        <w:tc>
          <w:tcPr>
            <w:tcW w:w="776" w:type="dxa"/>
            <w:vAlign w:val="center"/>
          </w:tcPr>
          <w:p>
            <w:pPr>
              <w:pStyle w:val="122"/>
            </w:pPr>
            <w:r>
              <w:rPr>
                <w:rFonts w:hint="eastAsia"/>
              </w:rPr>
              <w:t>COD</w:t>
            </w:r>
          </w:p>
        </w:tc>
        <w:tc>
          <w:tcPr>
            <w:tcW w:w="860" w:type="dxa"/>
            <w:vAlign w:val="center"/>
          </w:tcPr>
          <w:p>
            <w:pPr>
              <w:pStyle w:val="122"/>
            </w:pPr>
            <w:r>
              <w:rPr>
                <w:rFonts w:hint="eastAsia"/>
              </w:rPr>
              <w:t>BOD</w:t>
            </w:r>
            <w:r>
              <w:rPr>
                <w:rFonts w:hint="eastAsia"/>
                <w:vertAlign w:val="subscript"/>
              </w:rPr>
              <w:t>5</w:t>
            </w:r>
          </w:p>
        </w:tc>
        <w:tc>
          <w:tcPr>
            <w:tcW w:w="625" w:type="dxa"/>
            <w:vAlign w:val="center"/>
          </w:tcPr>
          <w:p>
            <w:pPr>
              <w:pStyle w:val="122"/>
            </w:pPr>
            <w:r>
              <w:rPr>
                <w:rFonts w:hint="eastAsia"/>
              </w:rPr>
              <w:t>SS</w:t>
            </w:r>
          </w:p>
        </w:tc>
        <w:tc>
          <w:tcPr>
            <w:tcW w:w="688" w:type="dxa"/>
            <w:vAlign w:val="center"/>
          </w:tcPr>
          <w:p>
            <w:pPr>
              <w:pStyle w:val="122"/>
            </w:pPr>
            <w:r>
              <w:rPr>
                <w:rFonts w:hint="eastAsia"/>
              </w:rPr>
              <w:t>TN</w:t>
            </w:r>
          </w:p>
        </w:tc>
        <w:tc>
          <w:tcPr>
            <w:tcW w:w="956" w:type="dxa"/>
            <w:vAlign w:val="center"/>
          </w:tcPr>
          <w:p>
            <w:pPr>
              <w:pStyle w:val="122"/>
            </w:pPr>
            <w:r>
              <w:rPr>
                <w:rFonts w:hint="eastAsia"/>
              </w:rPr>
              <w:t>NH</w:t>
            </w:r>
            <w:r>
              <w:rPr>
                <w:rFonts w:hint="eastAsia"/>
                <w:vertAlign w:val="subscript"/>
              </w:rPr>
              <w:t>3</w:t>
            </w:r>
            <w:r>
              <w:rPr>
                <w:rFonts w:hint="eastAsia"/>
              </w:rPr>
              <w:t>-N</w:t>
            </w:r>
          </w:p>
        </w:tc>
        <w:tc>
          <w:tcPr>
            <w:tcW w:w="811" w:type="dxa"/>
            <w:vAlign w:val="center"/>
          </w:tcPr>
          <w:p>
            <w:pPr>
              <w:pStyle w:val="122"/>
            </w:pPr>
            <w:r>
              <w:rPr>
                <w:rFonts w:hint="eastAsia"/>
              </w:rPr>
              <w:t>TP</w:t>
            </w:r>
          </w:p>
        </w:tc>
        <w:tc>
          <w:tcPr>
            <w:tcW w:w="1242" w:type="dxa"/>
          </w:tcPr>
          <w:p>
            <w:pPr>
              <w:pStyle w:val="122"/>
            </w:pPr>
            <w:r>
              <w:rPr>
                <w:rFonts w:hint="eastAsia"/>
              </w:rPr>
              <w:t>动植物油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122"/>
            </w:pPr>
            <w:r>
              <w:rPr>
                <w:rFonts w:hint="eastAsia"/>
              </w:rPr>
              <w:t>20000m</w:t>
            </w:r>
            <w:r>
              <w:rPr>
                <w:rFonts w:hint="eastAsia"/>
                <w:vertAlign w:val="superscript"/>
              </w:rPr>
              <w:t>3</w:t>
            </w:r>
            <w:r>
              <w:rPr>
                <w:rFonts w:hint="eastAsia"/>
              </w:rPr>
              <w:t>/d</w:t>
            </w:r>
          </w:p>
        </w:tc>
        <w:tc>
          <w:tcPr>
            <w:tcW w:w="1945" w:type="dxa"/>
            <w:vAlign w:val="center"/>
          </w:tcPr>
          <w:p>
            <w:pPr>
              <w:pStyle w:val="122"/>
            </w:pPr>
            <w:r>
              <w:rPr>
                <w:rFonts w:hint="eastAsia"/>
              </w:rPr>
              <w:t>排放浓度(mg/L)</w:t>
            </w:r>
          </w:p>
        </w:tc>
        <w:tc>
          <w:tcPr>
            <w:tcW w:w="776" w:type="dxa"/>
            <w:vAlign w:val="center"/>
          </w:tcPr>
          <w:p>
            <w:pPr>
              <w:pStyle w:val="122"/>
            </w:pPr>
            <w:r>
              <w:rPr>
                <w:rFonts w:hint="eastAsia"/>
              </w:rPr>
              <w:t>420</w:t>
            </w:r>
          </w:p>
        </w:tc>
        <w:tc>
          <w:tcPr>
            <w:tcW w:w="860" w:type="dxa"/>
            <w:vAlign w:val="center"/>
          </w:tcPr>
          <w:p>
            <w:pPr>
              <w:pStyle w:val="122"/>
            </w:pPr>
            <w:r>
              <w:rPr>
                <w:rFonts w:hint="eastAsia"/>
              </w:rPr>
              <w:t>150</w:t>
            </w:r>
          </w:p>
        </w:tc>
        <w:tc>
          <w:tcPr>
            <w:tcW w:w="625" w:type="dxa"/>
            <w:vAlign w:val="center"/>
          </w:tcPr>
          <w:p>
            <w:pPr>
              <w:pStyle w:val="122"/>
            </w:pPr>
            <w:r>
              <w:rPr>
                <w:rFonts w:hint="eastAsia"/>
              </w:rPr>
              <w:t>240</w:t>
            </w:r>
          </w:p>
        </w:tc>
        <w:tc>
          <w:tcPr>
            <w:tcW w:w="688" w:type="dxa"/>
            <w:vAlign w:val="center"/>
          </w:tcPr>
          <w:p>
            <w:pPr>
              <w:pStyle w:val="122"/>
            </w:pPr>
            <w:r>
              <w:rPr>
                <w:rFonts w:hint="eastAsia"/>
              </w:rPr>
              <w:t>46</w:t>
            </w:r>
          </w:p>
        </w:tc>
        <w:tc>
          <w:tcPr>
            <w:tcW w:w="956" w:type="dxa"/>
            <w:vAlign w:val="center"/>
          </w:tcPr>
          <w:p>
            <w:pPr>
              <w:pStyle w:val="122"/>
            </w:pPr>
            <w:r>
              <w:rPr>
                <w:rFonts w:hint="eastAsia"/>
              </w:rPr>
              <w:t>36</w:t>
            </w:r>
          </w:p>
        </w:tc>
        <w:tc>
          <w:tcPr>
            <w:tcW w:w="811" w:type="dxa"/>
            <w:vAlign w:val="center"/>
          </w:tcPr>
          <w:p>
            <w:pPr>
              <w:pStyle w:val="122"/>
            </w:pPr>
            <w:r>
              <w:rPr>
                <w:rFonts w:hint="eastAsia"/>
              </w:rPr>
              <w:t>4.6</w:t>
            </w:r>
          </w:p>
        </w:tc>
        <w:tc>
          <w:tcPr>
            <w:tcW w:w="1242" w:type="dxa"/>
          </w:tcPr>
          <w:p>
            <w:pPr>
              <w:pStyle w:val="122"/>
            </w:pPr>
            <w:r>
              <w:rPr>
                <w:rFonts w:hint="eastAsia"/>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122"/>
            </w:pPr>
          </w:p>
        </w:tc>
        <w:tc>
          <w:tcPr>
            <w:tcW w:w="1945" w:type="dxa"/>
            <w:vAlign w:val="center"/>
          </w:tcPr>
          <w:p>
            <w:pPr>
              <w:pStyle w:val="122"/>
            </w:pPr>
            <w:r>
              <w:rPr>
                <w:rFonts w:hint="eastAsia"/>
              </w:rPr>
              <w:t>排放量(t/d)</w:t>
            </w:r>
          </w:p>
        </w:tc>
        <w:tc>
          <w:tcPr>
            <w:tcW w:w="776" w:type="dxa"/>
            <w:vAlign w:val="center"/>
          </w:tcPr>
          <w:p>
            <w:pPr>
              <w:pStyle w:val="122"/>
            </w:pPr>
            <w:r>
              <w:rPr>
                <w:rFonts w:hint="eastAsia"/>
              </w:rPr>
              <w:t>8.4</w:t>
            </w:r>
          </w:p>
        </w:tc>
        <w:tc>
          <w:tcPr>
            <w:tcW w:w="860" w:type="dxa"/>
            <w:vAlign w:val="center"/>
          </w:tcPr>
          <w:p>
            <w:pPr>
              <w:pStyle w:val="122"/>
            </w:pPr>
            <w:r>
              <w:rPr>
                <w:rFonts w:hint="eastAsia"/>
              </w:rPr>
              <w:t>3</w:t>
            </w:r>
          </w:p>
        </w:tc>
        <w:tc>
          <w:tcPr>
            <w:tcW w:w="625" w:type="dxa"/>
            <w:vAlign w:val="center"/>
          </w:tcPr>
          <w:p>
            <w:pPr>
              <w:pStyle w:val="122"/>
            </w:pPr>
            <w:r>
              <w:rPr>
                <w:rFonts w:hint="eastAsia"/>
              </w:rPr>
              <w:t>4.8</w:t>
            </w:r>
          </w:p>
        </w:tc>
        <w:tc>
          <w:tcPr>
            <w:tcW w:w="688" w:type="dxa"/>
            <w:vAlign w:val="center"/>
          </w:tcPr>
          <w:p>
            <w:pPr>
              <w:pStyle w:val="122"/>
            </w:pPr>
            <w:r>
              <w:rPr>
                <w:rFonts w:hint="eastAsia"/>
              </w:rPr>
              <w:t>0.92</w:t>
            </w:r>
          </w:p>
        </w:tc>
        <w:tc>
          <w:tcPr>
            <w:tcW w:w="956" w:type="dxa"/>
            <w:vAlign w:val="center"/>
          </w:tcPr>
          <w:p>
            <w:pPr>
              <w:pStyle w:val="122"/>
            </w:pPr>
            <w:r>
              <w:rPr>
                <w:rFonts w:hint="eastAsia"/>
              </w:rPr>
              <w:t>0.72</w:t>
            </w:r>
          </w:p>
        </w:tc>
        <w:tc>
          <w:tcPr>
            <w:tcW w:w="811" w:type="dxa"/>
            <w:vAlign w:val="center"/>
          </w:tcPr>
          <w:p>
            <w:pPr>
              <w:pStyle w:val="122"/>
            </w:pPr>
            <w:r>
              <w:rPr>
                <w:rFonts w:hint="eastAsia"/>
              </w:rPr>
              <w:t>0.092</w:t>
            </w:r>
          </w:p>
        </w:tc>
        <w:tc>
          <w:tcPr>
            <w:tcW w:w="1242" w:type="dxa"/>
          </w:tcPr>
          <w:p>
            <w:pPr>
              <w:pStyle w:val="122"/>
            </w:pPr>
            <w:r>
              <w:rPr>
                <w:rFonts w:hint="eastAsia"/>
              </w:rPr>
              <w:t>2</w:t>
            </w:r>
          </w:p>
        </w:tc>
      </w:tr>
    </w:tbl>
    <w:p>
      <w:pPr>
        <w:pStyle w:val="14"/>
        <w:ind w:firstLine="482" w:firstLineChars="200"/>
        <w:jc w:val="both"/>
      </w:pPr>
      <w:r>
        <w:rPr>
          <w:rFonts w:hint="eastAsia"/>
        </w:rPr>
        <w:t>（2）恶臭气体事故风险排放</w:t>
      </w:r>
    </w:p>
    <w:p>
      <w:pPr>
        <w:spacing w:line="360" w:lineRule="auto"/>
        <w:ind w:firstLine="480" w:firstLineChars="200"/>
      </w:pPr>
      <w:r>
        <w:rPr>
          <w:rFonts w:hint="eastAsia"/>
        </w:rPr>
        <w:t>根据项目拟采取的厂区恶臭气体收集及净化工艺，可能导致恶臭气体超标的因素主要有两类：一类为处置装置运转不常、处理效率降低而导致恶臭气体超标排放；第二类为各类盖板覆盖不严、输送管道破裂或风机出现故障导致恶臭气体不能得到有效收集而直接无组织排放。</w:t>
      </w:r>
    </w:p>
    <w:p>
      <w:pPr>
        <w:pStyle w:val="100"/>
        <w:spacing w:line="360" w:lineRule="auto"/>
        <w:ind w:firstLine="480"/>
        <w:rPr>
          <w:color w:val="000000" w:themeColor="text1"/>
          <w:lang w:val="en-GB"/>
        </w:rPr>
      </w:pPr>
      <w:r>
        <w:rPr>
          <w:rFonts w:hint="eastAsia"/>
          <w:color w:val="000000" w:themeColor="text1"/>
        </w:rPr>
        <w:t>按最不利情况，项目恶臭气体（H</w:t>
      </w:r>
      <w:r>
        <w:rPr>
          <w:rFonts w:hint="eastAsia"/>
          <w:color w:val="000000" w:themeColor="text1"/>
          <w:vertAlign w:val="subscript"/>
        </w:rPr>
        <w:t>2</w:t>
      </w:r>
      <w:r>
        <w:rPr>
          <w:rFonts w:hint="eastAsia"/>
          <w:color w:val="000000" w:themeColor="text1"/>
        </w:rPr>
        <w:t>S和NH</w:t>
      </w:r>
      <w:r>
        <w:rPr>
          <w:rFonts w:hint="eastAsia"/>
          <w:color w:val="000000" w:themeColor="text1"/>
          <w:vertAlign w:val="subscript"/>
        </w:rPr>
        <w:t>3</w:t>
      </w:r>
      <w:r>
        <w:rPr>
          <w:rFonts w:hint="eastAsia"/>
          <w:color w:val="000000" w:themeColor="text1"/>
        </w:rPr>
        <w:t>）全部无组织排放，H</w:t>
      </w:r>
      <w:r>
        <w:rPr>
          <w:rFonts w:hint="eastAsia"/>
          <w:color w:val="000000" w:themeColor="text1"/>
          <w:vertAlign w:val="subscript"/>
        </w:rPr>
        <w:t>2</w:t>
      </w:r>
      <w:r>
        <w:rPr>
          <w:rFonts w:hint="eastAsia"/>
          <w:color w:val="000000" w:themeColor="text1"/>
        </w:rPr>
        <w:t>S和NH</w:t>
      </w:r>
      <w:r>
        <w:rPr>
          <w:rFonts w:hint="eastAsia"/>
          <w:color w:val="000000" w:themeColor="text1"/>
          <w:vertAlign w:val="subscript"/>
        </w:rPr>
        <w:t>3</w:t>
      </w:r>
      <w:r>
        <w:rPr>
          <w:rFonts w:hint="eastAsia"/>
          <w:color w:val="000000" w:themeColor="text1"/>
        </w:rPr>
        <w:t>无组织排放量分别为</w:t>
      </w:r>
      <w:r>
        <w:rPr>
          <w:rFonts w:hint="eastAsia"/>
          <w:color w:val="000000" w:themeColor="text1"/>
          <w:lang w:val="en-GB"/>
        </w:rPr>
        <w:t>1.367kg/h和0.0313kg/h，合32.808kg/d和0.75kg/d。</w:t>
      </w:r>
    </w:p>
    <w:p>
      <w:pPr>
        <w:pStyle w:val="14"/>
        <w:jc w:val="both"/>
      </w:pPr>
    </w:p>
    <w:p>
      <w:pPr>
        <w:rPr>
          <w:rFonts w:eastAsia="宋体" w:cstheme="majorBidi"/>
          <w:b/>
          <w:szCs w:val="20"/>
        </w:rPr>
      </w:pPr>
      <w:r>
        <w:rPr>
          <w:rFonts w:eastAsia="宋体" w:cstheme="majorBidi"/>
          <w:b/>
          <w:szCs w:val="20"/>
        </w:rPr>
        <w:br w:type="page"/>
      </w:r>
    </w:p>
    <w:p>
      <w:pPr>
        <w:pStyle w:val="2"/>
        <w:rPr>
          <w:color w:val="000000" w:themeColor="text1"/>
        </w:rPr>
      </w:pPr>
      <w:bookmarkStart w:id="119" w:name="_Toc9998"/>
      <w:r>
        <w:rPr>
          <w:rFonts w:hint="eastAsia"/>
          <w:color w:val="000000" w:themeColor="text1"/>
        </w:rPr>
        <w:t>环境现状调查与评价</w:t>
      </w:r>
      <w:bookmarkEnd w:id="103"/>
      <w:bookmarkEnd w:id="104"/>
      <w:bookmarkEnd w:id="105"/>
      <w:bookmarkEnd w:id="106"/>
      <w:bookmarkEnd w:id="119"/>
    </w:p>
    <w:p>
      <w:pPr>
        <w:pStyle w:val="4"/>
        <w:rPr>
          <w:color w:val="000000" w:themeColor="text1"/>
        </w:rPr>
      </w:pPr>
      <w:bookmarkStart w:id="120" w:name="_Toc532498746"/>
      <w:bookmarkStart w:id="121" w:name="_Toc532497637"/>
      <w:bookmarkStart w:id="122" w:name="_Toc532763210"/>
      <w:bookmarkStart w:id="123" w:name="_Toc22300"/>
      <w:bookmarkStart w:id="124" w:name="_Toc532376153"/>
      <w:r>
        <w:rPr>
          <w:rFonts w:hint="eastAsia"/>
          <w:color w:val="000000" w:themeColor="text1"/>
        </w:rPr>
        <w:t>自然环境概况</w:t>
      </w:r>
      <w:bookmarkEnd w:id="120"/>
      <w:bookmarkEnd w:id="121"/>
      <w:bookmarkEnd w:id="122"/>
      <w:bookmarkEnd w:id="123"/>
      <w:bookmarkEnd w:id="124"/>
    </w:p>
    <w:p>
      <w:pPr>
        <w:pStyle w:val="5"/>
        <w:rPr>
          <w:color w:val="000000" w:themeColor="text1"/>
        </w:rPr>
      </w:pPr>
      <w:bookmarkStart w:id="125" w:name="_Toc532497638"/>
      <w:r>
        <w:rPr>
          <w:rFonts w:hint="eastAsia"/>
          <w:color w:val="000000" w:themeColor="text1"/>
        </w:rPr>
        <w:t>地理位置</w:t>
      </w:r>
      <w:bookmarkEnd w:id="125"/>
    </w:p>
    <w:p>
      <w:pPr>
        <w:autoSpaceDE w:val="0"/>
        <w:autoSpaceDN w:val="0"/>
        <w:adjustRightInd w:val="0"/>
        <w:spacing w:line="360" w:lineRule="auto"/>
        <w:ind w:firstLine="480" w:firstLineChars="200"/>
      </w:pPr>
      <w:r>
        <w:rPr>
          <w:color w:val="000000" w:themeColor="text1"/>
          <w:szCs w:val="24"/>
        </w:rPr>
        <w:t>华容县位于湖南省北部边陲，岳阳市西境，地处东径120°18′31″—113°1′32″，北纬29°10′18″—29°48′27″。北倚长江，南滨洞庭湖。周邻6县（市）、场，东与岳阳市君山区交界，西与益阳市南县相邻，南连国营北洲子农场，北接湖北省石首市，东北与湖北省监利县隔江而望。县境广袤70公里，境内东西最大横距68公里，南北最大纵距80公里。集雨面积1612平方公里，占全省面积的0.76%。其中平原1028平方公里，占56%；低山丘岗区328平方公里，占17.8%；水面255平方公里，占26.2%</w:t>
      </w:r>
      <w:r>
        <w:t>。</w:t>
      </w:r>
    </w:p>
    <w:p>
      <w:pPr>
        <w:autoSpaceDE w:val="0"/>
        <w:autoSpaceDN w:val="0"/>
        <w:adjustRightInd w:val="0"/>
        <w:spacing w:line="360" w:lineRule="auto"/>
        <w:ind w:firstLine="480" w:firstLineChars="200"/>
        <w:rPr>
          <w:color w:val="FF0000"/>
        </w:rPr>
      </w:pPr>
      <w:r>
        <w:rPr>
          <w:rFonts w:hint="eastAsia"/>
          <w:color w:val="000000" w:themeColor="text1"/>
        </w:rPr>
        <w:t>本项目位于华容县石伏工业园，本项目地理位置图见附图1。</w:t>
      </w:r>
    </w:p>
    <w:p>
      <w:pPr>
        <w:pStyle w:val="5"/>
        <w:rPr>
          <w:color w:val="000000" w:themeColor="text1"/>
        </w:rPr>
      </w:pPr>
      <w:bookmarkStart w:id="126" w:name="_Toc532497639"/>
      <w:r>
        <w:rPr>
          <w:rFonts w:hint="eastAsia"/>
          <w:color w:val="000000" w:themeColor="text1"/>
        </w:rPr>
        <w:t>地形地貌</w:t>
      </w:r>
      <w:bookmarkEnd w:id="126"/>
    </w:p>
    <w:p>
      <w:pPr>
        <w:spacing w:line="360" w:lineRule="auto"/>
        <w:ind w:firstLine="480" w:firstLineChars="200"/>
        <w:rPr>
          <w:rFonts w:cs="Times New Roman"/>
          <w:szCs w:val="24"/>
        </w:rPr>
      </w:pPr>
      <w:r>
        <w:rPr>
          <w:rFonts w:cs="Times New Roman"/>
          <w:szCs w:val="24"/>
        </w:rPr>
        <w:t>华容县位于扬子准地台的江南地轴上，处于洞庭湖凹陷与汉水凹陷的接触部，属于既具有强烈挤压褶皱上升运动，又有升降运动的江南古陆，地势北高南低，中部丘岗隆起，东西低平开阔，微向东洞庭湖倾斜。地貌分区特征较为明显：东北部为低山丘陵区，间有溪谷平原，中南部为丘岗区，其余为平原。从最高峰雷打岩(海拔382.9米)到最低点东湖湖底(海拔21米)，高差361.9米，县城标高35m~26m，大部分地面标高在30m左右。现代地貌主要是由于燕山运动形成的“华容隆起”与长江洞庭湖泄洪所起的控制、塑造作用所形成。</w:t>
      </w:r>
    </w:p>
    <w:p>
      <w:pPr>
        <w:spacing w:line="360" w:lineRule="auto"/>
        <w:ind w:firstLine="480" w:firstLineChars="200"/>
        <w:rPr>
          <w:rFonts w:cs="Times New Roman"/>
          <w:szCs w:val="24"/>
        </w:rPr>
      </w:pPr>
      <w:r>
        <w:rPr>
          <w:rFonts w:cs="Times New Roman"/>
          <w:szCs w:val="24"/>
        </w:rPr>
        <w:t>境内地层发育齐全，但由于先期构造的破坏，岩浆岩的侵入及第四世纪沉积物的大面积覆盖，因而古生界全部缺失，元古界、中生界各缺失一部分。以新生界第四纪最发育，次为白垩纪，元古界则在桃花山有大量出露，南山也有零星露出。</w:t>
      </w:r>
    </w:p>
    <w:p>
      <w:pPr>
        <w:spacing w:line="360" w:lineRule="auto"/>
        <w:ind w:firstLine="480" w:firstLineChars="200"/>
        <w:rPr>
          <w:rFonts w:cs="Times New Roman"/>
          <w:szCs w:val="24"/>
        </w:rPr>
      </w:pPr>
      <w:r>
        <w:rPr>
          <w:rFonts w:cs="Times New Roman"/>
          <w:szCs w:val="24"/>
        </w:rPr>
        <w:t>境内岩浆岩出露面积为170平方公里，主要分布在东北部的桃花山一带，均为花岗岩类，形成时代为燕山早期和晚期。</w:t>
      </w:r>
    </w:p>
    <w:p>
      <w:pPr>
        <w:autoSpaceDE w:val="0"/>
        <w:autoSpaceDN w:val="0"/>
        <w:adjustRightInd w:val="0"/>
        <w:spacing w:line="360" w:lineRule="auto"/>
        <w:ind w:firstLine="480" w:firstLineChars="200"/>
      </w:pPr>
      <w:r>
        <w:rPr>
          <w:rFonts w:cs="Times New Roman"/>
          <w:szCs w:val="24"/>
        </w:rPr>
        <w:t>全县地貌类型可分为平原（江河平原、溪谷平原、滨湖平原）、山地（岗地、丘陵、低山）。主要山岗山岭有：东山诸山（桃花山、昂头山、望夫山、小墨山、狮子山、天井山、墨山、七女峰、龙秀山、鼎山、黄湖山）、南山诸山（禹山、凤山）、独立诸山（马鞍山、白鼎山、团山、层山）。</w:t>
      </w:r>
    </w:p>
    <w:p>
      <w:pPr>
        <w:pStyle w:val="5"/>
        <w:rPr>
          <w:color w:val="000000" w:themeColor="text1"/>
        </w:rPr>
      </w:pPr>
      <w:bookmarkStart w:id="127" w:name="_Toc532497640"/>
      <w:r>
        <w:rPr>
          <w:rFonts w:hint="eastAsia"/>
          <w:color w:val="000000" w:themeColor="text1"/>
        </w:rPr>
        <w:t>气候气象</w:t>
      </w:r>
      <w:bookmarkEnd w:id="127"/>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华容县属北亚热带，为北亚热带季风湿润气候型，在中国气候分区中，属长江中游气候大区。主要气候特征是：光照充足，雨量适度，温暖湿润；冷空气由此侵入湖南，冬春多寒潮，夏季降水集中。</w:t>
      </w:r>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全县历年平均降雨量1353.5毫米，降水量年内分配悬殊大，主要集中在4-8月。地域之间的年降水量一般不大，差异在100mm 上下。华容处于低纬区内，全年太阳可照时数为4426.9小时，但实际日照时数仅1757.9小时，年日照率为40</w:t>
      </w:r>
      <w:r>
        <w:rPr>
          <w:rFonts w:hint="eastAsia" w:eastAsia="宋体" w:cs="Times New Roman"/>
          <w:kern w:val="0"/>
          <w:szCs w:val="24"/>
        </w:rPr>
        <w:t>%</w:t>
      </w:r>
      <w:r>
        <w:rPr>
          <w:rFonts w:eastAsia="宋体" w:cs="Times New Roman"/>
          <w:kern w:val="0"/>
          <w:szCs w:val="24"/>
        </w:rPr>
        <w:t>。境内日照时数由北向南呈递减趋势，东北地区，日照时数在1800小时以上，境南的注滋口、插旗及东湖一带日照时数1700 以下，为低值区。</w:t>
      </w:r>
    </w:p>
    <w:p>
      <w:pPr>
        <w:autoSpaceDE w:val="0"/>
        <w:autoSpaceDN w:val="0"/>
        <w:adjustRightInd w:val="0"/>
        <w:spacing w:line="360" w:lineRule="auto"/>
        <w:ind w:firstLine="480" w:firstLineChars="200"/>
        <w:jc w:val="left"/>
        <w:rPr>
          <w:rFonts w:cs="Times New Roman"/>
        </w:rPr>
      </w:pPr>
      <w:r>
        <w:rPr>
          <w:rFonts w:eastAsia="宋体" w:cs="Times New Roman"/>
          <w:kern w:val="0"/>
          <w:szCs w:val="24"/>
        </w:rPr>
        <w:t>多年平均气温为16.6℃，变幅在16.3～17.6℃之间，分布有一定的区域性，东北部地区，气温条件劣于日照条件，年平均气温16.1～16.6℃，其他地区气温条件优于日照条件，年平均气温为16.6～16.7℃。年极端最高气温为35.5～40℃，在37℃以下的出现频率为60.9</w:t>
      </w:r>
      <w:r>
        <w:rPr>
          <w:rFonts w:hint="eastAsia" w:eastAsia="宋体" w:cs="Times New Roman"/>
          <w:kern w:val="0"/>
          <w:szCs w:val="24"/>
        </w:rPr>
        <w:t>%</w:t>
      </w:r>
      <w:r>
        <w:rPr>
          <w:rFonts w:eastAsia="宋体" w:cs="Times New Roman"/>
          <w:kern w:val="0"/>
          <w:szCs w:val="24"/>
        </w:rPr>
        <w:t>，年极端最低气温－2.2℃～12.6℃，高于－5℃的出现机率为50</w:t>
      </w:r>
      <w:r>
        <w:rPr>
          <w:rFonts w:hint="eastAsia" w:eastAsia="宋体" w:cs="Times New Roman"/>
          <w:kern w:val="0"/>
          <w:szCs w:val="24"/>
        </w:rPr>
        <w:t>%</w:t>
      </w:r>
      <w:r>
        <w:rPr>
          <w:rFonts w:eastAsia="宋体" w:cs="Times New Roman"/>
          <w:kern w:val="0"/>
          <w:szCs w:val="24"/>
        </w:rPr>
        <w:t>，低于－7℃机率为22.7</w:t>
      </w:r>
      <w:r>
        <w:rPr>
          <w:rFonts w:hint="eastAsia" w:eastAsia="宋体" w:cs="Times New Roman"/>
          <w:kern w:val="0"/>
          <w:szCs w:val="24"/>
        </w:rPr>
        <w:t>%</w:t>
      </w:r>
      <w:r>
        <w:rPr>
          <w:rFonts w:eastAsia="宋体" w:cs="Times New Roman"/>
          <w:kern w:val="0"/>
          <w:szCs w:val="24"/>
        </w:rPr>
        <w:t>，低于－10℃的机率为8.7％。因此华容极端低温的危害并不严重。全境灾害性气候主要为寒潮、暴雨、高温、大风、冰冻，冰雹等，但各类灾害天气发生频率均较低。</w:t>
      </w:r>
    </w:p>
    <w:p>
      <w:pPr>
        <w:pStyle w:val="5"/>
        <w:rPr>
          <w:color w:val="000000" w:themeColor="text1"/>
        </w:rPr>
      </w:pPr>
      <w:bookmarkStart w:id="128" w:name="_Toc532497641"/>
      <w:r>
        <w:rPr>
          <w:rFonts w:hint="eastAsia"/>
          <w:color w:val="000000" w:themeColor="text1"/>
        </w:rPr>
        <w:t>地质</w:t>
      </w:r>
      <w:bookmarkEnd w:id="128"/>
      <w:r>
        <w:rPr>
          <w:rFonts w:hint="eastAsia"/>
          <w:color w:val="000000" w:themeColor="text1"/>
        </w:rPr>
        <w:t>地貌</w:t>
      </w:r>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（1）地质</w:t>
      </w:r>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华容县东北部为侵蚀构造地形，主要表现为构造和侵蚀作用所形成的花岗，是丘陵和变质岩丘陵。西部、南部为第四系堆积垄岗地形，堆积平原地形和堆积阶地地形。县域出露地层以第四系为主，其分布范围约占全县总面积的70%，其次为元古界冷家溪群、板溪群及零星分布的白垩系分水坳组。主要岩浆岩分布于东北部的桃花山、墨山等地，以岩基、岩株形式产出，主要为燕山早期及晚期花岗岩体。</w:t>
      </w:r>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从区域构造上看，洞庭湖区位于新华厦系第二沉降带的中部。它是燕山运动晚期以来逐渐形成的大型地堑盆地。华容县位于洞庭湖堑的北部，东西向构造带由东向西横贯全境。</w:t>
      </w:r>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（2）地貌</w:t>
      </w:r>
    </w:p>
    <w:p>
      <w:pPr>
        <w:autoSpaceDE w:val="0"/>
        <w:autoSpaceDN w:val="0"/>
        <w:adjustRightInd w:val="0"/>
        <w:snapToGrid w:val="0"/>
        <w:spacing w:line="360" w:lineRule="auto"/>
        <w:ind w:firstLine="480" w:firstLineChars="200"/>
        <w:jc w:val="left"/>
        <w:rPr>
          <w:rFonts w:eastAsia="宋体" w:cs="Times New Roman"/>
          <w:kern w:val="0"/>
          <w:szCs w:val="24"/>
        </w:rPr>
      </w:pPr>
      <w:r>
        <w:rPr>
          <w:rFonts w:eastAsia="宋体" w:cs="Times New Roman"/>
          <w:kern w:val="0"/>
          <w:szCs w:val="24"/>
        </w:rPr>
        <w:t>华容县位于扬子准地台的江南地轴上，属于既有强烈挤压褶皱上升运动，又有升降运动的江南古陆，地处洞庭湖凹陷与汉水凹陷的接触部，其构造情况呈近于东西斜贯的隆起。地势北高南低，中部丘岗隆起，东西低平开阔，微向东侧的洞庭湖倾斜。东北部为低山丘陵区，中间有溪谷平原，中南部为丘岗区，其余为平原。平均海拔在35m以上，海拔最高点为382.9m，最低点为东湖湖底，为21m，高差为361.9m。</w:t>
      </w:r>
    </w:p>
    <w:p>
      <w:pPr>
        <w:autoSpaceDE w:val="0"/>
        <w:autoSpaceDN w:val="0"/>
        <w:adjustRightInd w:val="0"/>
        <w:spacing w:line="360" w:lineRule="auto"/>
        <w:ind w:firstLine="480" w:firstLineChars="200"/>
        <w:jc w:val="left"/>
        <w:rPr>
          <w:rFonts w:cs="Times New Roman"/>
          <w:color w:val="FF0000"/>
        </w:rPr>
      </w:pPr>
    </w:p>
    <w:p>
      <w:pPr>
        <w:pStyle w:val="5"/>
        <w:rPr>
          <w:color w:val="000000" w:themeColor="text1"/>
        </w:rPr>
      </w:pPr>
      <w:bookmarkStart w:id="129" w:name="_Toc532497642"/>
      <w:r>
        <w:rPr>
          <w:rFonts w:hint="eastAsia"/>
          <w:color w:val="000000" w:themeColor="text1"/>
        </w:rPr>
        <w:t>水文水资源</w:t>
      </w:r>
      <w:bookmarkEnd w:id="129"/>
    </w:p>
    <w:p>
      <w:pPr>
        <w:adjustRightInd w:val="0"/>
        <w:snapToGrid w:val="0"/>
        <w:spacing w:line="360" w:lineRule="auto"/>
        <w:ind w:firstLine="480" w:firstLineChars="200"/>
        <w:rPr>
          <w:rFonts w:cs="Times New Roman"/>
          <w:szCs w:val="24"/>
        </w:rPr>
      </w:pPr>
      <w:r>
        <w:rPr>
          <w:rFonts w:cs="Times New Roman"/>
          <w:szCs w:val="24"/>
        </w:rPr>
        <w:t>华容境内湖泊星布，河流网织，水系发达。有内湖21个，蓄水面积74.5平方公里，调蓄水量12154万立方米，内河8条，长95.1公里，蓄水量3857万立方米。水库59座，其中中型水库2座，小（一）型水库6座，小（二）型水库51座，山塘港土当6208处，总蓄水量6873万立方米。长江水系藕池河、华容河穿境而过。加上每年平均降雨量1214毫米，总产水量21.3亿立方米，减去蒸发量6.3亿立方米，水资源总量为15亿立方米，其中地表水为11.4亿立方米，地下水为3.6亿立方米，是名副其实的“水乡”。</w:t>
      </w:r>
    </w:p>
    <w:p>
      <w:pPr>
        <w:adjustRightInd w:val="0"/>
        <w:snapToGrid w:val="0"/>
        <w:spacing w:line="360" w:lineRule="auto"/>
        <w:rPr>
          <w:rFonts w:cs="Times New Roman"/>
        </w:rPr>
      </w:pPr>
      <w:r>
        <w:rPr>
          <w:rFonts w:cs="Times New Roman"/>
          <w:szCs w:val="24"/>
        </w:rPr>
        <w:t>本项目受纳水体为南侧华容河，华容河又名调弦河。</w:t>
      </w:r>
      <w:r>
        <w:fldChar w:fldCharType="begin"/>
      </w:r>
      <w:r>
        <w:instrText xml:space="preserve"> HYPERLINK "http://baike.baidu.com/view/1584933.htm" </w:instrText>
      </w:r>
      <w:r>
        <w:fldChar w:fldCharType="separate"/>
      </w:r>
      <w:r>
        <w:rPr>
          <w:rStyle w:val="41"/>
          <w:rFonts w:cs="Times New Roman"/>
          <w:color w:val="000000" w:themeColor="text1"/>
          <w:u w:val="none"/>
        </w:rPr>
        <w:t>华容河</w:t>
      </w:r>
      <w:r>
        <w:rPr>
          <w:rStyle w:val="41"/>
          <w:rFonts w:cs="Times New Roman"/>
          <w:color w:val="000000" w:themeColor="text1"/>
          <w:u w:val="none"/>
        </w:rPr>
        <w:fldChar w:fldCharType="end"/>
      </w:r>
      <w:r>
        <w:rPr>
          <w:rFonts w:cs="Times New Roman"/>
          <w:color w:val="000000" w:themeColor="text1"/>
        </w:rPr>
        <w:t>又叫“沱水”，是长江向洞庭湖泄洪的一级支流，位于</w:t>
      </w:r>
      <w:r>
        <w:fldChar w:fldCharType="begin"/>
      </w:r>
      <w:r>
        <w:instrText xml:space="preserve"> HYPERLINK "http://baike.baidu.com/view/14560.htm" </w:instrText>
      </w:r>
      <w:r>
        <w:fldChar w:fldCharType="separate"/>
      </w:r>
      <w:r>
        <w:rPr>
          <w:rStyle w:val="41"/>
          <w:rFonts w:cs="Times New Roman"/>
          <w:color w:val="000000" w:themeColor="text1"/>
          <w:u w:val="none"/>
        </w:rPr>
        <w:t>湖南省</w:t>
      </w:r>
      <w:r>
        <w:rPr>
          <w:rStyle w:val="41"/>
          <w:rFonts w:cs="Times New Roman"/>
          <w:color w:val="000000" w:themeColor="text1"/>
          <w:u w:val="none"/>
        </w:rPr>
        <w:fldChar w:fldCharType="end"/>
      </w:r>
      <w:r>
        <w:rPr>
          <w:rFonts w:cs="Times New Roman"/>
          <w:color w:val="000000" w:themeColor="text1"/>
        </w:rPr>
        <w:t>岳阳市（</w:t>
      </w:r>
      <w:r>
        <w:fldChar w:fldCharType="begin"/>
      </w:r>
      <w:r>
        <w:instrText xml:space="preserve"> HYPERLINK "http://baike.baidu.com/view/540542.htm" </w:instrText>
      </w:r>
      <w:r>
        <w:fldChar w:fldCharType="separate"/>
      </w:r>
      <w:r>
        <w:rPr>
          <w:rStyle w:val="41"/>
          <w:rFonts w:cs="Times New Roman"/>
          <w:color w:val="000000" w:themeColor="text1"/>
          <w:u w:val="none"/>
        </w:rPr>
        <w:t>华容县</w:t>
      </w:r>
      <w:r>
        <w:rPr>
          <w:rStyle w:val="41"/>
          <w:rFonts w:cs="Times New Roman"/>
          <w:color w:val="000000" w:themeColor="text1"/>
          <w:u w:val="none"/>
        </w:rPr>
        <w:fldChar w:fldCharType="end"/>
      </w:r>
      <w:r>
        <w:rPr>
          <w:rFonts w:cs="Times New Roman"/>
          <w:color w:val="000000" w:themeColor="text1"/>
        </w:rPr>
        <w:t>、</w:t>
      </w:r>
      <w:r>
        <w:fldChar w:fldCharType="begin"/>
      </w:r>
      <w:r>
        <w:instrText xml:space="preserve"> HYPERLINK "http://baike.baidu.com/view/589280.htm" </w:instrText>
      </w:r>
      <w:r>
        <w:fldChar w:fldCharType="separate"/>
      </w:r>
      <w:r>
        <w:rPr>
          <w:rStyle w:val="41"/>
          <w:rFonts w:cs="Times New Roman"/>
          <w:color w:val="000000" w:themeColor="text1"/>
          <w:u w:val="none"/>
        </w:rPr>
        <w:t>君山区</w:t>
      </w:r>
      <w:r>
        <w:rPr>
          <w:rStyle w:val="41"/>
          <w:rFonts w:cs="Times New Roman"/>
          <w:color w:val="000000" w:themeColor="text1"/>
          <w:u w:val="none"/>
        </w:rPr>
        <w:fldChar w:fldCharType="end"/>
      </w:r>
      <w:r>
        <w:rPr>
          <w:rFonts w:cs="Times New Roman"/>
          <w:color w:val="000000" w:themeColor="text1"/>
        </w:rPr>
        <w:t>）境内，北接湖北</w:t>
      </w:r>
      <w:r>
        <w:fldChar w:fldCharType="begin"/>
      </w:r>
      <w:r>
        <w:instrText xml:space="preserve"> HYPERLINK "http://baike.baidu.com/view/16538.htm" </w:instrText>
      </w:r>
      <w:r>
        <w:fldChar w:fldCharType="separate"/>
      </w:r>
      <w:r>
        <w:rPr>
          <w:rStyle w:val="41"/>
          <w:rFonts w:cs="Times New Roman"/>
          <w:color w:val="000000" w:themeColor="text1"/>
          <w:u w:val="none"/>
        </w:rPr>
        <w:t>石首</w:t>
      </w:r>
      <w:r>
        <w:rPr>
          <w:rStyle w:val="41"/>
          <w:rFonts w:cs="Times New Roman"/>
          <w:color w:val="000000" w:themeColor="text1"/>
          <w:u w:val="none"/>
        </w:rPr>
        <w:fldChar w:fldCharType="end"/>
      </w:r>
      <w:r>
        <w:rPr>
          <w:rFonts w:cs="Times New Roman"/>
          <w:color w:val="000000" w:themeColor="text1"/>
        </w:rPr>
        <w:t>东部之</w:t>
      </w:r>
      <w:r>
        <w:rPr>
          <w:rFonts w:cs="Times New Roman"/>
        </w:rPr>
        <w:t>调弦河（荆江四水长江入洞庭湖支流）之一，南经湖南洋河渡、万庾、县城、潘家渡，于旗杆咀注入洞庭湖，在城关镇的治河渡分为南、北两条支流，绕新华垸到钱粮湖的磨盘洲合流，由六门闸入东洞庭湖。水路蜿蜒60.5Km（其中湖北12km，湖南48.5km），华容占35.5km；流域面积共1679.8km</w:t>
      </w:r>
      <w:r>
        <w:rPr>
          <w:rFonts w:cs="Times New Roman"/>
          <w:vertAlign w:val="superscript"/>
        </w:rPr>
        <w:t>2</w:t>
      </w:r>
      <w:r>
        <w:rPr>
          <w:rFonts w:cs="Times New Roman"/>
        </w:rPr>
        <w:t>，其中湖南省内流域面积1128.8平方公里；堤防总长165km，其中湖北24km，湖南141km；华容河最大流量156.5m</w:t>
      </w:r>
      <w:r>
        <w:rPr>
          <w:rFonts w:cs="Times New Roman"/>
          <w:vertAlign w:val="superscript"/>
        </w:rPr>
        <w:t>3</w:t>
      </w:r>
      <w:r>
        <w:rPr>
          <w:rFonts w:cs="Times New Roman"/>
        </w:rPr>
        <w:t>/s，最小流量12.54 m</w:t>
      </w:r>
      <w:r>
        <w:rPr>
          <w:rFonts w:cs="Times New Roman"/>
          <w:vertAlign w:val="superscript"/>
        </w:rPr>
        <w:t>3</w:t>
      </w:r>
      <w:r>
        <w:rPr>
          <w:rFonts w:cs="Times New Roman"/>
        </w:rPr>
        <w:t>/s，平均流量84.52 m</w:t>
      </w:r>
      <w:r>
        <w:rPr>
          <w:rFonts w:cs="Times New Roman"/>
          <w:vertAlign w:val="superscript"/>
        </w:rPr>
        <w:t>3</w:t>
      </w:r>
      <w:r>
        <w:rPr>
          <w:rFonts w:cs="Times New Roman"/>
        </w:rPr>
        <w:t>/s。</w:t>
      </w:r>
    </w:p>
    <w:p>
      <w:pPr>
        <w:adjustRightInd w:val="0"/>
        <w:snapToGrid w:val="0"/>
        <w:spacing w:line="360" w:lineRule="auto"/>
        <w:ind w:firstLine="480" w:firstLineChars="200"/>
        <w:rPr>
          <w:rFonts w:cs="Times New Roman"/>
          <w:szCs w:val="24"/>
        </w:rPr>
      </w:pPr>
      <w:r>
        <w:rPr>
          <w:rFonts w:cs="Times New Roman"/>
          <w:szCs w:val="24"/>
        </w:rPr>
        <w:t>本项目排污口位于华容县石伏</w:t>
      </w:r>
      <w:r>
        <w:rPr>
          <w:rFonts w:hint="eastAsia" w:cs="Times New Roman"/>
          <w:szCs w:val="24"/>
        </w:rPr>
        <w:t>工业园</w:t>
      </w:r>
      <w:r>
        <w:rPr>
          <w:rFonts w:cs="Times New Roman"/>
          <w:szCs w:val="24"/>
        </w:rPr>
        <w:t>，属华容河位于华容县城境内流域下游，根据《湖南省主要地表水系水环境功能区划》（DB43023-2005），项目排污河段为华容河华容大桥至六门闸（北支）</w:t>
      </w:r>
      <w:r>
        <w:rPr>
          <w:rFonts w:cs="Times New Roman"/>
        </w:rPr>
        <w:t>断面共36.4km</w:t>
      </w:r>
      <w:r>
        <w:rPr>
          <w:rFonts w:cs="Times New Roman"/>
          <w:szCs w:val="24"/>
        </w:rPr>
        <w:t>，属渔业用水区，</w:t>
      </w:r>
      <w:r>
        <w:rPr>
          <w:rFonts w:cs="Times New Roman"/>
          <w:kern w:val="28"/>
        </w:rPr>
        <w:t>执行《地表水环境质量标准》（GB3838-2002）Ⅲ类标准要求。</w:t>
      </w:r>
      <w:r>
        <w:rPr>
          <w:rFonts w:cs="Times New Roman"/>
          <w:szCs w:val="24"/>
        </w:rPr>
        <w:t>华容河水源地起于华容河右岸丁家潭取水口上游3公里，止于华容河丁家潭右岸取水口下游200米，全长3.2公里，位于排污口上游。目前华容县城已新建长江取水口，丁家潭取水口仅作为备用水源，项目排水不会影响县城饮用水取水水质。</w:t>
      </w:r>
    </w:p>
    <w:p>
      <w:pPr>
        <w:pStyle w:val="43"/>
        <w:spacing w:line="360" w:lineRule="auto"/>
        <w:ind w:firstLine="480" w:firstLineChars="200"/>
        <w:rPr>
          <w:rFonts w:ascii="Times New Roman" w:eastAsiaTheme="minorEastAsia"/>
          <w:kern w:val="2"/>
          <w:sz w:val="24"/>
          <w:szCs w:val="24"/>
        </w:rPr>
      </w:pPr>
      <w:r>
        <w:rPr>
          <w:rFonts w:hint="eastAsia" w:ascii="Times New Roman" w:eastAsiaTheme="minorEastAsia"/>
          <w:kern w:val="2"/>
          <w:sz w:val="24"/>
          <w:szCs w:val="24"/>
        </w:rPr>
        <w:t>华容河河流水文参数见下表所示:</w:t>
      </w:r>
    </w:p>
    <w:p>
      <w:pPr>
        <w:pStyle w:val="14"/>
        <w:adjustRightInd w:val="0"/>
        <w:snapToGrid w:val="0"/>
        <w:spacing w:line="240" w:lineRule="auto"/>
      </w:pPr>
      <w:r>
        <w:t xml:space="preserve">表 </w:t>
      </w:r>
      <w:r>
        <w:fldChar w:fldCharType="begin"/>
      </w:r>
      <w:r>
        <w:instrText xml:space="preserve"> STYLEREF 2 \s </w:instrText>
      </w:r>
      <w:r>
        <w:fldChar w:fldCharType="separate"/>
      </w:r>
      <w:r>
        <w:t>3</w:t>
      </w:r>
      <w:r>
        <w:rPr>
          <w:rFonts w:hint="eastAsia"/>
        </w:rPr>
        <w:t>.</w:t>
      </w:r>
      <w:r>
        <w:t>1</w:t>
      </w:r>
      <w:r>
        <w:fldChar w:fldCharType="end"/>
      </w:r>
      <w:r>
        <w:rPr>
          <w:rFonts w:hint="eastAsia"/>
        </w:rPr>
        <w:t>-</w:t>
      </w:r>
      <w:r>
        <w:fldChar w:fldCharType="begin"/>
      </w:r>
      <w:r>
        <w:instrText xml:space="preserve"> SEQ 表 \* ARABIC \s 2 </w:instrText>
      </w:r>
      <w:r>
        <w:fldChar w:fldCharType="separate"/>
      </w:r>
      <w:r>
        <w:t>1</w:t>
      </w:r>
      <w:r>
        <w:fldChar w:fldCharType="end"/>
      </w:r>
      <w:r>
        <w:rPr>
          <w:rFonts w:hint="eastAsia"/>
        </w:rPr>
        <w:t xml:space="preserve">  河流水文参数一栏表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848"/>
        <w:gridCol w:w="1848"/>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top w:val="single" w:color="auto" w:sz="12" w:space="0"/>
              <w:left w:val="nil"/>
            </w:tcBorders>
          </w:tcPr>
          <w:p>
            <w:pPr>
              <w:pStyle w:val="14"/>
              <w:spacing w:line="240" w:lineRule="auto"/>
              <w:rPr>
                <w:b w:val="0"/>
                <w:bCs/>
                <w:sz w:val="21"/>
                <w:szCs w:val="21"/>
              </w:rPr>
            </w:pPr>
            <w:r>
              <w:rPr>
                <w:rFonts w:hint="eastAsia"/>
                <w:b w:val="0"/>
                <w:bCs/>
                <w:sz w:val="21"/>
                <w:szCs w:val="21"/>
              </w:rPr>
              <w:t>平均流量（m</w:t>
            </w:r>
            <w:r>
              <w:rPr>
                <w:rFonts w:hint="eastAsia"/>
                <w:b w:val="0"/>
                <w:bCs/>
                <w:sz w:val="21"/>
                <w:szCs w:val="21"/>
                <w:vertAlign w:val="superscript"/>
              </w:rPr>
              <w:t>3</w:t>
            </w:r>
            <w:r>
              <w:rPr>
                <w:rFonts w:hint="eastAsia"/>
                <w:b w:val="0"/>
                <w:bCs/>
                <w:sz w:val="21"/>
                <w:szCs w:val="21"/>
              </w:rPr>
              <w:t>/s）</w:t>
            </w:r>
          </w:p>
        </w:tc>
        <w:tc>
          <w:tcPr>
            <w:tcW w:w="1848" w:type="dxa"/>
            <w:tcBorders>
              <w:top w:val="single" w:color="auto" w:sz="12" w:space="0"/>
            </w:tcBorders>
          </w:tcPr>
          <w:p>
            <w:pPr>
              <w:pStyle w:val="14"/>
              <w:spacing w:line="240" w:lineRule="auto"/>
              <w:rPr>
                <w:b w:val="0"/>
                <w:bCs/>
                <w:sz w:val="21"/>
                <w:szCs w:val="21"/>
              </w:rPr>
            </w:pPr>
            <w:r>
              <w:rPr>
                <w:rFonts w:hint="eastAsia"/>
                <w:b w:val="0"/>
                <w:bCs/>
                <w:sz w:val="21"/>
                <w:szCs w:val="21"/>
              </w:rPr>
              <w:t>平均水深（m）</w:t>
            </w:r>
          </w:p>
        </w:tc>
        <w:tc>
          <w:tcPr>
            <w:tcW w:w="1848" w:type="dxa"/>
            <w:tcBorders>
              <w:top w:val="single" w:color="auto" w:sz="12" w:space="0"/>
            </w:tcBorders>
          </w:tcPr>
          <w:p>
            <w:pPr>
              <w:pStyle w:val="14"/>
              <w:spacing w:line="240" w:lineRule="auto"/>
              <w:rPr>
                <w:b w:val="0"/>
                <w:bCs/>
                <w:sz w:val="21"/>
                <w:szCs w:val="21"/>
              </w:rPr>
            </w:pPr>
            <w:r>
              <w:rPr>
                <w:rFonts w:hint="eastAsia"/>
                <w:b w:val="0"/>
                <w:bCs/>
                <w:sz w:val="21"/>
                <w:szCs w:val="21"/>
              </w:rPr>
              <w:t>平均河宽（m）</w:t>
            </w:r>
          </w:p>
        </w:tc>
        <w:tc>
          <w:tcPr>
            <w:tcW w:w="1849" w:type="dxa"/>
            <w:tcBorders>
              <w:top w:val="single" w:color="auto" w:sz="12" w:space="0"/>
            </w:tcBorders>
          </w:tcPr>
          <w:p>
            <w:pPr>
              <w:pStyle w:val="14"/>
              <w:spacing w:line="240" w:lineRule="auto"/>
              <w:rPr>
                <w:b w:val="0"/>
                <w:bCs/>
                <w:sz w:val="21"/>
                <w:szCs w:val="21"/>
              </w:rPr>
            </w:pPr>
            <w:r>
              <w:rPr>
                <w:rFonts w:hint="eastAsia"/>
                <w:b w:val="0"/>
                <w:bCs/>
                <w:sz w:val="21"/>
                <w:szCs w:val="21"/>
              </w:rPr>
              <w:t>平均流速（m/s）</w:t>
            </w:r>
          </w:p>
        </w:tc>
        <w:tc>
          <w:tcPr>
            <w:tcW w:w="1849" w:type="dxa"/>
            <w:tcBorders>
              <w:top w:val="single" w:color="auto" w:sz="12" w:space="0"/>
              <w:right w:val="nil"/>
            </w:tcBorders>
          </w:tcPr>
          <w:p>
            <w:pPr>
              <w:pStyle w:val="14"/>
              <w:spacing w:line="240" w:lineRule="auto"/>
              <w:rPr>
                <w:b w:val="0"/>
                <w:bCs/>
                <w:sz w:val="21"/>
                <w:szCs w:val="21"/>
              </w:rPr>
            </w:pPr>
            <w:r>
              <w:rPr>
                <w:rFonts w:hint="eastAsia" w:ascii="宋体" w:hAnsi="宋体"/>
                <w:b w:val="0"/>
                <w:bCs/>
                <w:sz w:val="21"/>
                <w:szCs w:val="21"/>
              </w:rPr>
              <w:t>坡降（</w:t>
            </w:r>
            <w:r>
              <w:rPr>
                <w:rFonts w:hint="eastAsia" w:ascii="TimesNewRomanPSMT" w:hAnsi="TimesNewRomanPSMT" w:eastAsia="TimesNewRomanPSMT"/>
                <w:b w:val="0"/>
                <w:bCs/>
                <w:sz w:val="21"/>
                <w:szCs w:val="21"/>
              </w:rPr>
              <w:t>‰</w:t>
            </w:r>
            <w:r>
              <w:rPr>
                <w:rFonts w:hint="eastAsia" w:ascii="宋体" w:hAnsi="宋体"/>
                <w:b w:val="0"/>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bottom w:val="single" w:color="auto" w:sz="12" w:space="0"/>
            </w:tcBorders>
          </w:tcPr>
          <w:p>
            <w:pPr>
              <w:pStyle w:val="14"/>
              <w:spacing w:line="240" w:lineRule="auto"/>
              <w:rPr>
                <w:sz w:val="21"/>
                <w:szCs w:val="21"/>
              </w:rPr>
            </w:pPr>
            <w:r>
              <w:rPr>
                <w:rFonts w:hint="eastAsia"/>
                <w:b w:val="0"/>
                <w:bCs/>
                <w:sz w:val="21"/>
                <w:szCs w:val="21"/>
              </w:rPr>
              <w:t>84.52</w:t>
            </w:r>
          </w:p>
        </w:tc>
        <w:tc>
          <w:tcPr>
            <w:tcW w:w="1848" w:type="dxa"/>
            <w:tcBorders>
              <w:bottom w:val="single" w:color="auto" w:sz="12" w:space="0"/>
            </w:tcBorders>
          </w:tcPr>
          <w:p>
            <w:pPr>
              <w:pStyle w:val="14"/>
              <w:spacing w:line="240" w:lineRule="auto"/>
              <w:rPr>
                <w:sz w:val="21"/>
                <w:szCs w:val="21"/>
              </w:rPr>
            </w:pPr>
            <w:r>
              <w:rPr>
                <w:rFonts w:hint="eastAsia"/>
                <w:b w:val="0"/>
                <w:bCs/>
                <w:sz w:val="21"/>
                <w:szCs w:val="21"/>
              </w:rPr>
              <w:t>3</w:t>
            </w:r>
          </w:p>
        </w:tc>
        <w:tc>
          <w:tcPr>
            <w:tcW w:w="1848" w:type="dxa"/>
            <w:tcBorders>
              <w:bottom w:val="single" w:color="auto" w:sz="12" w:space="0"/>
            </w:tcBorders>
          </w:tcPr>
          <w:p>
            <w:pPr>
              <w:pStyle w:val="14"/>
              <w:spacing w:line="240" w:lineRule="auto"/>
              <w:rPr>
                <w:sz w:val="21"/>
                <w:szCs w:val="21"/>
              </w:rPr>
            </w:pPr>
            <w:r>
              <w:rPr>
                <w:rFonts w:hint="eastAsia"/>
                <w:b w:val="0"/>
                <w:bCs/>
                <w:sz w:val="21"/>
                <w:szCs w:val="21"/>
              </w:rPr>
              <w:t>65</w:t>
            </w:r>
          </w:p>
        </w:tc>
        <w:tc>
          <w:tcPr>
            <w:tcW w:w="1849" w:type="dxa"/>
            <w:tcBorders>
              <w:bottom w:val="single" w:color="auto" w:sz="12" w:space="0"/>
            </w:tcBorders>
          </w:tcPr>
          <w:p>
            <w:pPr>
              <w:pStyle w:val="14"/>
              <w:spacing w:line="240" w:lineRule="auto"/>
              <w:rPr>
                <w:sz w:val="21"/>
                <w:szCs w:val="21"/>
              </w:rPr>
            </w:pPr>
            <w:r>
              <w:rPr>
                <w:rFonts w:hint="eastAsia"/>
                <w:b w:val="0"/>
                <w:bCs/>
                <w:sz w:val="21"/>
                <w:szCs w:val="21"/>
              </w:rPr>
              <w:t>0.064</w:t>
            </w:r>
          </w:p>
        </w:tc>
        <w:tc>
          <w:tcPr>
            <w:tcW w:w="1849" w:type="dxa"/>
            <w:tcBorders>
              <w:bottom w:val="single" w:color="auto" w:sz="12" w:space="0"/>
              <w:right w:val="nil"/>
            </w:tcBorders>
          </w:tcPr>
          <w:p>
            <w:pPr>
              <w:pStyle w:val="14"/>
              <w:spacing w:line="240" w:lineRule="auto"/>
              <w:rPr>
                <w:sz w:val="21"/>
                <w:szCs w:val="21"/>
              </w:rPr>
            </w:pPr>
            <w:r>
              <w:rPr>
                <w:rFonts w:hint="eastAsia"/>
                <w:b w:val="0"/>
                <w:bCs/>
                <w:sz w:val="21"/>
                <w:szCs w:val="21"/>
              </w:rPr>
              <w:t>1.5</w:t>
            </w:r>
          </w:p>
        </w:tc>
      </w:tr>
    </w:tbl>
    <w:p>
      <w:pPr>
        <w:pStyle w:val="14"/>
      </w:pPr>
    </w:p>
    <w:p>
      <w:pPr>
        <w:jc w:val="center"/>
        <w:rPr>
          <w:b/>
        </w:rPr>
      </w:pPr>
      <w:r>
        <w:rPr>
          <w:b/>
        </w:rPr>
        <w:drawing>
          <wp:inline distT="0" distB="0" distL="0" distR="0">
            <wp:extent cx="5741670" cy="6181090"/>
            <wp:effectExtent l="19050" t="0" r="0" b="0"/>
            <wp:docPr id="19" name="图片 19" descr="C:\Users\123\AppData\Local\Temp\ksohtml85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23\AppData\Local\Temp\ksohtml8596\wps2.png"/>
                    <pic:cNvPicPr>
                      <a:picLocks noChangeAspect="1" noChangeArrowheads="1"/>
                    </pic:cNvPicPr>
                  </pic:nvPicPr>
                  <pic:blipFill>
                    <a:blip r:embed="rId13" cstate="print"/>
                    <a:srcRect/>
                    <a:stretch>
                      <a:fillRect/>
                    </a:stretch>
                  </pic:blipFill>
                  <pic:spPr>
                    <a:xfrm>
                      <a:off x="0" y="0"/>
                      <a:ext cx="5751830" cy="6192008"/>
                    </a:xfrm>
                    <a:prstGeom prst="rect">
                      <a:avLst/>
                    </a:prstGeom>
                    <a:noFill/>
                    <a:ln w="9525">
                      <a:noFill/>
                      <a:miter lim="800000"/>
                      <a:headEnd/>
                      <a:tailEnd/>
                    </a:ln>
                  </pic:spPr>
                </pic:pic>
              </a:graphicData>
            </a:graphic>
          </wp:inline>
        </w:drawing>
      </w:r>
    </w:p>
    <w:p>
      <w:pPr>
        <w:jc w:val="center"/>
        <w:rPr>
          <w:b/>
        </w:rPr>
      </w:pPr>
      <w:r>
        <w:rPr>
          <w:rFonts w:cs="Times New Roman"/>
          <w:b/>
          <w:szCs w:val="24"/>
        </w:rPr>
        <w:t>图</w:t>
      </w:r>
      <w:r>
        <w:rPr>
          <w:rFonts w:cs="Times New Roman"/>
          <w:b/>
          <w:szCs w:val="24"/>
        </w:rPr>
        <w:fldChar w:fldCharType="begin"/>
      </w:r>
      <w:r>
        <w:rPr>
          <w:rFonts w:cs="Times New Roman"/>
          <w:b/>
          <w:szCs w:val="24"/>
        </w:rPr>
        <w:instrText xml:space="preserve"> STYLEREF 2 \s </w:instrText>
      </w:r>
      <w:r>
        <w:rPr>
          <w:rFonts w:cs="Times New Roman"/>
          <w:b/>
          <w:szCs w:val="24"/>
        </w:rPr>
        <w:fldChar w:fldCharType="separate"/>
      </w:r>
      <w:r>
        <w:rPr>
          <w:rFonts w:cs="Times New Roman"/>
          <w:b/>
          <w:szCs w:val="24"/>
        </w:rPr>
        <w:t>3.1</w:t>
      </w:r>
      <w:r>
        <w:rPr>
          <w:rFonts w:cs="Times New Roman"/>
          <w:b/>
          <w:szCs w:val="24"/>
        </w:rPr>
        <w:fldChar w:fldCharType="end"/>
      </w:r>
      <w:r>
        <w:rPr>
          <w:rFonts w:cs="Times New Roman"/>
          <w:b/>
          <w:szCs w:val="24"/>
        </w:rPr>
        <w:noBreakHyphen/>
      </w:r>
      <w:r>
        <w:rPr>
          <w:rFonts w:cs="Times New Roman"/>
          <w:b/>
          <w:szCs w:val="24"/>
        </w:rPr>
        <w:fldChar w:fldCharType="begin"/>
      </w:r>
      <w:r>
        <w:rPr>
          <w:rFonts w:cs="Times New Roman"/>
          <w:b/>
          <w:szCs w:val="24"/>
        </w:rPr>
        <w:instrText xml:space="preserve"> SEQ 图 \* ARABIC \s 2 </w:instrText>
      </w:r>
      <w:r>
        <w:rPr>
          <w:rFonts w:cs="Times New Roman"/>
          <w:b/>
          <w:szCs w:val="24"/>
        </w:rPr>
        <w:fldChar w:fldCharType="separate"/>
      </w:r>
      <w:r>
        <w:rPr>
          <w:rFonts w:cs="Times New Roman"/>
          <w:b/>
          <w:szCs w:val="24"/>
        </w:rPr>
        <w:t>1</w:t>
      </w:r>
      <w:r>
        <w:rPr>
          <w:rFonts w:cs="Times New Roman"/>
          <w:b/>
          <w:szCs w:val="24"/>
        </w:rPr>
        <w:fldChar w:fldCharType="end"/>
      </w:r>
      <w:r>
        <w:rPr>
          <w:rFonts w:hint="eastAsia" w:ascii="宋体" w:hAnsi="宋体"/>
          <w:b/>
          <w:bCs/>
          <w:kern w:val="28"/>
          <w:sz w:val="21"/>
        </w:rPr>
        <w:t>华容区域水系图</w:t>
      </w:r>
    </w:p>
    <w:p>
      <w:pPr>
        <w:pStyle w:val="5"/>
      </w:pPr>
      <w:r>
        <w:rPr>
          <w:rFonts w:hint="eastAsia"/>
        </w:rPr>
        <w:t>植被与生物多样性</w:t>
      </w:r>
    </w:p>
    <w:p>
      <w:pPr>
        <w:spacing w:line="360" w:lineRule="auto"/>
        <w:ind w:firstLine="480" w:firstLineChars="200"/>
        <w:rPr>
          <w:szCs w:val="24"/>
        </w:rPr>
      </w:pPr>
      <w:r>
        <w:rPr>
          <w:szCs w:val="24"/>
        </w:rPr>
        <w:t>华容</w:t>
      </w:r>
      <w:r>
        <w:rPr>
          <w:rFonts w:hint="eastAsia"/>
          <w:szCs w:val="24"/>
        </w:rPr>
        <w:t>县</w:t>
      </w:r>
      <w:r>
        <w:rPr>
          <w:szCs w:val="24"/>
        </w:rPr>
        <w:t>肥沃的土壤，温暖湿润的气候，适宜植物生长。森林植物有904种（含变种），按利用价值可分为防护、用材、食用、药用、工业、农业、观赏等6类。粮食作物有水稻等17种；经济作物有棉花等13种；油料作物有油菜等9种；水果作物有板粟等19种；蔬菜作物有辣椒等58种；绿肥作物有红花草籽等5种；水生植物和野生植物有莲藕等11种。</w:t>
      </w:r>
      <w:r>
        <w:rPr>
          <w:rFonts w:hint="eastAsia"/>
          <w:szCs w:val="24"/>
        </w:rPr>
        <w:t>新</w:t>
      </w:r>
      <w:r>
        <w:rPr>
          <w:szCs w:val="24"/>
        </w:rPr>
        <w:t>区植物以粮食作物（水稻）、经济作物（棉花）、水生植物（莲藕）为主，粮食作物主要分布在</w:t>
      </w:r>
      <w:r>
        <w:rPr>
          <w:rFonts w:hint="eastAsia"/>
          <w:szCs w:val="24"/>
        </w:rPr>
        <w:t>新</w:t>
      </w:r>
      <w:r>
        <w:rPr>
          <w:szCs w:val="24"/>
        </w:rPr>
        <w:t>区西部，水生植物主要分布在</w:t>
      </w:r>
      <w:r>
        <w:rPr>
          <w:rFonts w:hint="eastAsia"/>
          <w:szCs w:val="24"/>
        </w:rPr>
        <w:t>新</w:t>
      </w:r>
      <w:r>
        <w:rPr>
          <w:szCs w:val="24"/>
        </w:rPr>
        <w:t>区东部和中部，经济作物间杂其间，在区内居民点周围、道路和水渠两侧，主要分布着本土乔木和灌木，主要品种有水杉、垂柳、松柏、泡桐等。</w:t>
      </w:r>
    </w:p>
    <w:p>
      <w:pPr>
        <w:spacing w:line="360" w:lineRule="auto"/>
        <w:ind w:firstLine="480" w:firstLineChars="200"/>
        <w:rPr>
          <w:szCs w:val="24"/>
        </w:rPr>
      </w:pPr>
      <w:r>
        <w:rPr>
          <w:rFonts w:hint="eastAsia"/>
          <w:szCs w:val="24"/>
        </w:rPr>
        <w:t>华容县</w:t>
      </w:r>
      <w:r>
        <w:rPr>
          <w:szCs w:val="24"/>
        </w:rPr>
        <w:t>境内动物资源分三大类。家畜家禽共有猪、牛等10种。水生动物有青鱼、鲫鱼等鱼类117种。野生动物有国家一级保护动物中华鲟等10种；二级保护动物江豚、丽蚌等37种；三级保护动物豺狗等63种。鸟类有八哥、麻雀等130种，兽类有黄鼠、蝙蝠等23种。</w:t>
      </w:r>
      <w:r>
        <w:rPr>
          <w:rFonts w:hint="eastAsia"/>
          <w:szCs w:val="24"/>
        </w:rPr>
        <w:t>本项目所在地</w:t>
      </w:r>
      <w:r>
        <w:rPr>
          <w:szCs w:val="24"/>
        </w:rPr>
        <w:t>生态环境良好，区内及周边区域动物种类繁多，主要动物种类有白鹭、麻雀、蛇、鱼类、黄鼠、蝙蝠等。</w:t>
      </w:r>
      <w:r>
        <w:rPr>
          <w:rFonts w:hint="eastAsia"/>
          <w:szCs w:val="24"/>
        </w:rPr>
        <w:t>本项目区域范围内</w:t>
      </w:r>
      <w:r>
        <w:rPr>
          <w:szCs w:val="24"/>
        </w:rPr>
        <w:t>未见其他的具有较大保护价值的物种和珍惜濒危的动植物种类。</w:t>
      </w:r>
    </w:p>
    <w:p>
      <w:pPr>
        <w:pStyle w:val="4"/>
        <w:rPr>
          <w:color w:val="000000" w:themeColor="text1"/>
        </w:rPr>
      </w:pPr>
      <w:bookmarkStart w:id="130" w:name="_Toc8868"/>
      <w:r>
        <w:rPr>
          <w:rFonts w:hint="eastAsia"/>
          <w:color w:val="000000" w:themeColor="text1"/>
        </w:rPr>
        <w:t>华容县石伏工业园简介</w:t>
      </w:r>
      <w:bookmarkEnd w:id="130"/>
    </w:p>
    <w:p>
      <w:pPr>
        <w:pStyle w:val="5"/>
      </w:pPr>
      <w:bookmarkStart w:id="131" w:name="_Toc532497645"/>
      <w:r>
        <w:rPr>
          <w:rFonts w:hint="eastAsia"/>
        </w:rPr>
        <w:t>概述</w:t>
      </w:r>
      <w:bookmarkEnd w:id="131"/>
    </w:p>
    <w:p>
      <w:pPr>
        <w:autoSpaceDE w:val="0"/>
        <w:autoSpaceDN w:val="0"/>
        <w:adjustRightInd w:val="0"/>
        <w:spacing w:line="360" w:lineRule="auto"/>
        <w:ind w:firstLine="480" w:firstLineChars="200"/>
        <w:jc w:val="left"/>
        <w:rPr>
          <w:rFonts w:ascii="宋体" w:eastAsia="宋体" w:cs="宋体" w:hAnsiTheme="minorHAnsi"/>
          <w:kern w:val="0"/>
          <w:szCs w:val="24"/>
        </w:rPr>
      </w:pPr>
      <w:r>
        <w:rPr>
          <w:rFonts w:hint="eastAsia"/>
        </w:rPr>
        <w:t>华容工业园集中区规划为一区三片，即三封工业片区、洪山头工业片区、石伏工业片区。其中华容石伏工业园位于华容县胜峰乡，</w:t>
      </w:r>
      <w:r>
        <w:rPr>
          <w:rFonts w:hint="eastAsia" w:ascii="宋体" w:eastAsia="宋体" w:cs="宋体" w:hAnsiTheme="minorHAnsi"/>
          <w:kern w:val="0"/>
          <w:szCs w:val="24"/>
        </w:rPr>
        <w:t>用地范围东起岳华公路、南抵华容河、东至宝丽纺织、西达桥西路，规划用地面积</w:t>
      </w:r>
      <w:r>
        <w:rPr>
          <w:rFonts w:eastAsia="宋体" w:cs="Times New Roman"/>
          <w:kern w:val="0"/>
          <w:szCs w:val="24"/>
        </w:rPr>
        <w:t>141.13</w:t>
      </w:r>
      <w:r>
        <w:rPr>
          <w:rFonts w:hint="eastAsia" w:ascii="宋体" w:eastAsia="宋体" w:cs="宋体" w:hAnsiTheme="minorHAnsi"/>
          <w:kern w:val="0"/>
          <w:szCs w:val="24"/>
        </w:rPr>
        <w:t>公顷，规划产业定位以棉花加工的纺织产业为主，配套发展服装等下游产业，同时入驻了部分食品、啤酒等企业。园区目前在生产主要大型企业主要为宝丽纺织、科力嘉纺织股份有限公司、明盛纺织、雪花啤酒厂、合力食品、湖南喜多多食品实业有限公司、洞庭仙草食品公司等企业。</w:t>
      </w:r>
    </w:p>
    <w:p>
      <w:pPr>
        <w:pStyle w:val="5"/>
      </w:pPr>
      <w:r>
        <w:rPr>
          <w:rFonts w:hint="eastAsia"/>
        </w:rPr>
        <w:t>工业园区规划</w:t>
      </w:r>
    </w:p>
    <w:p>
      <w:pPr>
        <w:spacing w:line="360" w:lineRule="auto"/>
        <w:ind w:firstLine="480" w:firstLineChars="200"/>
        <w:rPr>
          <w:rFonts w:cs="Times New Roman"/>
        </w:rPr>
      </w:pPr>
      <w:r>
        <w:rPr>
          <w:rFonts w:cs="Times New Roman"/>
        </w:rPr>
        <w:t>功能定位</w:t>
      </w:r>
      <w:r>
        <w:rPr>
          <w:rFonts w:cs="Times New Roman" w:hAnsiTheme="minorEastAsia"/>
        </w:rPr>
        <w:t>：石伏工业园产业规划以棉花加工的纺织产业为主（服装不含水洗工序），配套发展服装等下游产业，并选择现代物流等子行业为发展的重点。</w:t>
      </w:r>
    </w:p>
    <w:p>
      <w:pPr>
        <w:spacing w:line="360" w:lineRule="auto"/>
        <w:ind w:firstLine="480" w:firstLineChars="200"/>
        <w:rPr>
          <w:rFonts w:cs="Times New Roman"/>
        </w:rPr>
      </w:pPr>
      <w:r>
        <w:rPr>
          <w:rFonts w:cs="Times New Roman" w:hAnsiTheme="minorEastAsia"/>
        </w:rPr>
        <w:t>最新规划的规划年限为</w:t>
      </w:r>
      <w:r>
        <w:rPr>
          <w:rFonts w:cs="Times New Roman"/>
        </w:rPr>
        <w:t>2012-2016</w:t>
      </w:r>
      <w:r>
        <w:rPr>
          <w:rFonts w:cs="Times New Roman" w:hAnsiTheme="minorEastAsia"/>
        </w:rPr>
        <w:t>年；</w:t>
      </w:r>
    </w:p>
    <w:p>
      <w:pPr>
        <w:autoSpaceDE w:val="0"/>
        <w:autoSpaceDN w:val="0"/>
        <w:adjustRightInd w:val="0"/>
        <w:spacing w:line="360" w:lineRule="auto"/>
        <w:ind w:firstLine="480" w:firstLineChars="200"/>
        <w:jc w:val="left"/>
        <w:rPr>
          <w:rFonts w:eastAsia="宋体" w:cs="Times New Roman"/>
          <w:kern w:val="0"/>
          <w:szCs w:val="24"/>
        </w:rPr>
      </w:pPr>
      <w:r>
        <w:rPr>
          <w:rFonts w:cs="Times New Roman" w:hAnsiTheme="minorEastAsia"/>
        </w:rPr>
        <w:t>远期规模：到</w:t>
      </w:r>
      <w:r>
        <w:rPr>
          <w:rFonts w:cs="Times New Roman"/>
        </w:rPr>
        <w:t>2016</w:t>
      </w:r>
      <w:r>
        <w:rPr>
          <w:rFonts w:cs="Times New Roman" w:hAnsiTheme="minorEastAsia"/>
        </w:rPr>
        <w:t>年，石伏工业园纺织服装产业预计可完成工业总产值，纺织规模达到</w:t>
      </w:r>
      <w:r>
        <w:rPr>
          <w:rFonts w:cs="Times New Roman"/>
        </w:rPr>
        <w:t>80</w:t>
      </w:r>
      <w:r>
        <w:rPr>
          <w:rFonts w:eastAsia="宋体" w:cs="Times New Roman"/>
          <w:kern w:val="0"/>
          <w:szCs w:val="24"/>
        </w:rPr>
        <w:t>万锭，年生产纱线20万吨，织布能力达到1.5亿米，成衣生产达到120万件，柸衣生产能力达到1.5亿米。</w:t>
      </w:r>
    </w:p>
    <w:p>
      <w:pPr>
        <w:autoSpaceDE w:val="0"/>
        <w:autoSpaceDN w:val="0"/>
        <w:adjustRightInd w:val="0"/>
        <w:spacing w:line="360" w:lineRule="auto"/>
        <w:ind w:firstLine="480" w:firstLineChars="200"/>
        <w:jc w:val="left"/>
        <w:rPr>
          <w:rFonts w:ascii="宋体" w:eastAsia="宋体" w:cs="宋体" w:hAnsiTheme="minorHAnsi"/>
          <w:kern w:val="0"/>
          <w:szCs w:val="24"/>
        </w:rPr>
      </w:pPr>
      <w:r>
        <w:rPr>
          <w:rFonts w:hint="eastAsia" w:ascii="宋体" w:eastAsia="宋体" w:cs="宋体" w:hAnsiTheme="minorHAnsi"/>
          <w:kern w:val="0"/>
          <w:szCs w:val="24"/>
        </w:rPr>
        <w:t>根据石伏工业园规划，工业园规划总面积为</w:t>
      </w:r>
      <w:r>
        <w:rPr>
          <w:rFonts w:eastAsia="宋体" w:cs="Times New Roman"/>
          <w:kern w:val="0"/>
          <w:szCs w:val="24"/>
        </w:rPr>
        <w:t>141.13</w:t>
      </w:r>
      <w:r>
        <w:rPr>
          <w:rFonts w:hint="eastAsia" w:ascii="宋体" w:eastAsia="宋体" w:cs="宋体" w:hAnsiTheme="minorHAnsi"/>
          <w:kern w:val="0"/>
          <w:szCs w:val="24"/>
        </w:rPr>
        <w:t>公顷。园区均为二类工业用地，规划工业用地面积为</w:t>
      </w:r>
      <w:r>
        <w:rPr>
          <w:rFonts w:eastAsia="宋体" w:cs="Times New Roman"/>
          <w:kern w:val="0"/>
          <w:szCs w:val="24"/>
        </w:rPr>
        <w:t>92.79</w:t>
      </w:r>
      <w:r>
        <w:rPr>
          <w:rFonts w:hint="eastAsia" w:ascii="宋体" w:eastAsia="宋体" w:cs="宋体" w:hAnsiTheme="minorHAnsi"/>
          <w:kern w:val="0"/>
          <w:szCs w:val="24"/>
        </w:rPr>
        <w:t>公顷，占规划建设用地总面积的</w:t>
      </w:r>
      <w:r>
        <w:rPr>
          <w:rFonts w:eastAsia="宋体" w:cs="Times New Roman"/>
          <w:kern w:val="0"/>
          <w:szCs w:val="24"/>
        </w:rPr>
        <w:t>65.75%</w:t>
      </w:r>
      <w:r>
        <w:rPr>
          <w:rFonts w:hint="eastAsia" w:ascii="宋体" w:eastAsia="宋体" w:cs="宋体" w:hAnsiTheme="minorHAnsi"/>
          <w:kern w:val="0"/>
          <w:szCs w:val="24"/>
        </w:rPr>
        <w:t>。石伏工业园城市建设用地平衡表，如下图所示。</w:t>
      </w:r>
    </w:p>
    <w:p>
      <w:pPr>
        <w:pStyle w:val="14"/>
        <w:spacing w:line="240" w:lineRule="auto"/>
        <w:rPr>
          <w:rFonts w:cs="Times New Roman"/>
        </w:rPr>
      </w:pPr>
      <w:r>
        <w:rPr>
          <w:rFonts w:cs="Times New Roman"/>
          <w:kern w:val="0"/>
          <w:szCs w:val="24"/>
        </w:rPr>
        <w:t>表</w:t>
      </w:r>
      <w:r>
        <w:rPr>
          <w:rFonts w:cs="Times New Roman"/>
          <w:kern w:val="0"/>
          <w:szCs w:val="24"/>
        </w:rPr>
        <w:fldChar w:fldCharType="begin"/>
      </w:r>
      <w:r>
        <w:rPr>
          <w:rFonts w:cs="Times New Roman"/>
          <w:kern w:val="0"/>
          <w:szCs w:val="24"/>
        </w:rPr>
        <w:instrText xml:space="preserve"> STYLEREF 2 \s </w:instrText>
      </w:r>
      <w:r>
        <w:rPr>
          <w:rFonts w:cs="Times New Roman"/>
          <w:kern w:val="0"/>
          <w:szCs w:val="24"/>
        </w:rPr>
        <w:fldChar w:fldCharType="separate"/>
      </w:r>
      <w:r>
        <w:rPr>
          <w:rFonts w:cs="Times New Roman"/>
          <w:kern w:val="0"/>
          <w:szCs w:val="24"/>
        </w:rPr>
        <w:t>3.2</w:t>
      </w:r>
      <w:r>
        <w:rPr>
          <w:rFonts w:cs="Times New Roman"/>
          <w:kern w:val="0"/>
          <w:szCs w:val="24"/>
        </w:rPr>
        <w:fldChar w:fldCharType="end"/>
      </w:r>
      <w:r>
        <w:rPr>
          <w:rFonts w:cs="Times New Roman"/>
          <w:kern w:val="0"/>
          <w:szCs w:val="24"/>
        </w:rPr>
        <w:noBreakHyphen/>
      </w:r>
      <w:r>
        <w:rPr>
          <w:rFonts w:cs="Times New Roman"/>
          <w:kern w:val="0"/>
          <w:szCs w:val="24"/>
        </w:rPr>
        <w:fldChar w:fldCharType="begin"/>
      </w:r>
      <w:r>
        <w:rPr>
          <w:rFonts w:cs="Times New Roman"/>
          <w:kern w:val="0"/>
          <w:szCs w:val="24"/>
        </w:rPr>
        <w:instrText xml:space="preserve"> SEQ 表 \* ARABIC \s 2 </w:instrText>
      </w:r>
      <w:r>
        <w:rPr>
          <w:rFonts w:cs="Times New Roman"/>
          <w:kern w:val="0"/>
          <w:szCs w:val="24"/>
        </w:rPr>
        <w:fldChar w:fldCharType="separate"/>
      </w:r>
      <w:r>
        <w:rPr>
          <w:rFonts w:cs="Times New Roman"/>
          <w:kern w:val="0"/>
          <w:szCs w:val="24"/>
        </w:rPr>
        <w:t>1</w:t>
      </w:r>
      <w:r>
        <w:rPr>
          <w:rFonts w:cs="Times New Roman"/>
          <w:kern w:val="0"/>
          <w:szCs w:val="24"/>
        </w:rPr>
        <w:fldChar w:fldCharType="end"/>
      </w:r>
      <w:r>
        <w:rPr>
          <w:rFonts w:cs="Times New Roman"/>
        </w:rPr>
        <w:t xml:space="preserve">  石伏工业园用地分析表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0"/>
        <w:gridCol w:w="3081"/>
        <w:gridCol w:w="3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类别代码</w:t>
            </w:r>
          </w:p>
        </w:tc>
        <w:tc>
          <w:tcPr>
            <w:tcW w:w="3081" w:type="dxa"/>
          </w:tcPr>
          <w:p>
            <w:pPr>
              <w:pStyle w:val="14"/>
              <w:spacing w:line="240" w:lineRule="auto"/>
              <w:rPr>
                <w:rFonts w:cs="Times New Roman"/>
                <w:b w:val="0"/>
                <w:sz w:val="21"/>
                <w:szCs w:val="21"/>
              </w:rPr>
            </w:pPr>
            <w:r>
              <w:rPr>
                <w:rFonts w:cs="Times New Roman"/>
                <w:b w:val="0"/>
                <w:sz w:val="21"/>
                <w:szCs w:val="21"/>
              </w:rPr>
              <w:t>类别</w:t>
            </w:r>
          </w:p>
        </w:tc>
        <w:tc>
          <w:tcPr>
            <w:tcW w:w="3081" w:type="dxa"/>
          </w:tcPr>
          <w:p>
            <w:pPr>
              <w:pStyle w:val="14"/>
              <w:spacing w:line="240" w:lineRule="auto"/>
              <w:rPr>
                <w:rFonts w:cs="Times New Roman"/>
                <w:b w:val="0"/>
                <w:sz w:val="21"/>
                <w:szCs w:val="21"/>
              </w:rPr>
            </w:pPr>
            <w:r>
              <w:rPr>
                <w:rFonts w:cs="Times New Roman"/>
                <w:b w:val="0"/>
                <w:sz w:val="21"/>
                <w:szCs w:val="21"/>
              </w:rPr>
              <w:t>面积（公顷）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C</w:t>
            </w:r>
          </w:p>
        </w:tc>
        <w:tc>
          <w:tcPr>
            <w:tcW w:w="3081" w:type="dxa"/>
          </w:tcPr>
          <w:p>
            <w:pPr>
              <w:pStyle w:val="14"/>
              <w:spacing w:line="240" w:lineRule="auto"/>
              <w:rPr>
                <w:rFonts w:cs="Times New Roman"/>
                <w:b w:val="0"/>
                <w:sz w:val="21"/>
                <w:szCs w:val="21"/>
              </w:rPr>
            </w:pPr>
            <w:r>
              <w:rPr>
                <w:rFonts w:cs="Times New Roman"/>
                <w:b w:val="0"/>
                <w:sz w:val="21"/>
                <w:szCs w:val="21"/>
              </w:rPr>
              <w:t>公共设施用地</w:t>
            </w:r>
          </w:p>
        </w:tc>
        <w:tc>
          <w:tcPr>
            <w:tcW w:w="3081" w:type="dxa"/>
          </w:tcPr>
          <w:p>
            <w:pPr>
              <w:pStyle w:val="14"/>
              <w:spacing w:line="240" w:lineRule="auto"/>
              <w:rPr>
                <w:rFonts w:cs="Times New Roman"/>
                <w:b w:val="0"/>
                <w:sz w:val="21"/>
                <w:szCs w:val="21"/>
              </w:rPr>
            </w:pPr>
            <w:r>
              <w:rPr>
                <w:rFonts w:cs="Times New Roman"/>
                <w:b w:val="0"/>
                <w:sz w:val="21"/>
                <w:szCs w:val="21"/>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M</w:t>
            </w:r>
          </w:p>
        </w:tc>
        <w:tc>
          <w:tcPr>
            <w:tcW w:w="3081" w:type="dxa"/>
          </w:tcPr>
          <w:p>
            <w:pPr>
              <w:pStyle w:val="14"/>
              <w:spacing w:line="240" w:lineRule="auto"/>
              <w:rPr>
                <w:rFonts w:cs="Times New Roman"/>
                <w:b w:val="0"/>
                <w:sz w:val="21"/>
                <w:szCs w:val="21"/>
              </w:rPr>
            </w:pPr>
            <w:r>
              <w:rPr>
                <w:rFonts w:cs="Times New Roman"/>
                <w:b w:val="0"/>
                <w:sz w:val="21"/>
                <w:szCs w:val="21"/>
              </w:rPr>
              <w:t>工业用地</w:t>
            </w:r>
          </w:p>
        </w:tc>
        <w:tc>
          <w:tcPr>
            <w:tcW w:w="3081" w:type="dxa"/>
          </w:tcPr>
          <w:p>
            <w:pPr>
              <w:pStyle w:val="14"/>
              <w:spacing w:line="240" w:lineRule="auto"/>
              <w:rPr>
                <w:rFonts w:cs="Times New Roman"/>
                <w:b w:val="0"/>
                <w:sz w:val="21"/>
                <w:szCs w:val="21"/>
              </w:rPr>
            </w:pPr>
            <w:r>
              <w:rPr>
                <w:rFonts w:cs="Times New Roman"/>
                <w:b w:val="0"/>
                <w:sz w:val="21"/>
                <w:szCs w:val="21"/>
              </w:rPr>
              <w:t>92.79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W</w:t>
            </w:r>
          </w:p>
        </w:tc>
        <w:tc>
          <w:tcPr>
            <w:tcW w:w="3081" w:type="dxa"/>
          </w:tcPr>
          <w:p>
            <w:pPr>
              <w:pStyle w:val="14"/>
              <w:spacing w:line="240" w:lineRule="auto"/>
              <w:rPr>
                <w:rFonts w:cs="Times New Roman"/>
                <w:b w:val="0"/>
                <w:sz w:val="21"/>
                <w:szCs w:val="21"/>
              </w:rPr>
            </w:pPr>
            <w:r>
              <w:rPr>
                <w:rFonts w:cs="Times New Roman"/>
                <w:b w:val="0"/>
                <w:sz w:val="21"/>
                <w:szCs w:val="21"/>
              </w:rPr>
              <w:t>仓储用地</w:t>
            </w:r>
          </w:p>
        </w:tc>
        <w:tc>
          <w:tcPr>
            <w:tcW w:w="3081" w:type="dxa"/>
          </w:tcPr>
          <w:p>
            <w:pPr>
              <w:pStyle w:val="14"/>
              <w:spacing w:line="240" w:lineRule="auto"/>
              <w:rPr>
                <w:rFonts w:cs="Times New Roman"/>
                <w:b w:val="0"/>
                <w:sz w:val="21"/>
                <w:szCs w:val="21"/>
              </w:rPr>
            </w:pPr>
            <w:r>
              <w:rPr>
                <w:rFonts w:cs="Times New Roman"/>
                <w:b w:val="0"/>
                <w:sz w:val="21"/>
                <w:szCs w:val="21"/>
              </w:rPr>
              <w:t>6.31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S</w:t>
            </w:r>
          </w:p>
        </w:tc>
        <w:tc>
          <w:tcPr>
            <w:tcW w:w="3081" w:type="dxa"/>
          </w:tcPr>
          <w:p>
            <w:pPr>
              <w:pStyle w:val="14"/>
              <w:spacing w:line="240" w:lineRule="auto"/>
              <w:rPr>
                <w:rFonts w:cs="Times New Roman"/>
                <w:b w:val="0"/>
                <w:sz w:val="21"/>
                <w:szCs w:val="21"/>
              </w:rPr>
            </w:pPr>
            <w:r>
              <w:rPr>
                <w:rFonts w:cs="Times New Roman"/>
                <w:b w:val="0"/>
                <w:sz w:val="21"/>
                <w:szCs w:val="21"/>
              </w:rPr>
              <w:t>道路广场用地</w:t>
            </w:r>
          </w:p>
        </w:tc>
        <w:tc>
          <w:tcPr>
            <w:tcW w:w="3081" w:type="dxa"/>
          </w:tcPr>
          <w:p>
            <w:pPr>
              <w:pStyle w:val="14"/>
              <w:spacing w:line="240" w:lineRule="auto"/>
              <w:rPr>
                <w:rFonts w:cs="Times New Roman"/>
                <w:b w:val="0"/>
                <w:sz w:val="21"/>
                <w:szCs w:val="21"/>
              </w:rPr>
            </w:pPr>
            <w:r>
              <w:rPr>
                <w:rFonts w:cs="Times New Roman"/>
                <w:b w:val="0"/>
                <w:sz w:val="21"/>
                <w:szCs w:val="21"/>
              </w:rPr>
              <w:t>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U</w:t>
            </w:r>
          </w:p>
        </w:tc>
        <w:tc>
          <w:tcPr>
            <w:tcW w:w="3081" w:type="dxa"/>
          </w:tcPr>
          <w:p>
            <w:pPr>
              <w:pStyle w:val="14"/>
              <w:spacing w:line="240" w:lineRule="auto"/>
              <w:rPr>
                <w:rFonts w:cs="Times New Roman"/>
                <w:b w:val="0"/>
                <w:sz w:val="21"/>
                <w:szCs w:val="21"/>
              </w:rPr>
            </w:pPr>
            <w:r>
              <w:rPr>
                <w:rFonts w:cs="Times New Roman"/>
                <w:b w:val="0"/>
                <w:sz w:val="21"/>
                <w:szCs w:val="21"/>
              </w:rPr>
              <w:t>市政设施用地</w:t>
            </w:r>
          </w:p>
        </w:tc>
        <w:tc>
          <w:tcPr>
            <w:tcW w:w="3081" w:type="dxa"/>
          </w:tcPr>
          <w:p>
            <w:pPr>
              <w:pStyle w:val="14"/>
              <w:spacing w:line="240" w:lineRule="auto"/>
              <w:rPr>
                <w:rFonts w:cs="Times New Roman"/>
                <w:b w:val="0"/>
                <w:sz w:val="21"/>
                <w:szCs w:val="21"/>
              </w:rPr>
            </w:pPr>
            <w:r>
              <w:rPr>
                <w:rFonts w:cs="Times New Roman"/>
                <w:b w:val="0"/>
                <w:sz w:val="21"/>
                <w:szCs w:val="21"/>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G1</w:t>
            </w:r>
          </w:p>
        </w:tc>
        <w:tc>
          <w:tcPr>
            <w:tcW w:w="3081" w:type="dxa"/>
          </w:tcPr>
          <w:p>
            <w:pPr>
              <w:pStyle w:val="14"/>
              <w:spacing w:line="240" w:lineRule="auto"/>
              <w:rPr>
                <w:rFonts w:cs="Times New Roman"/>
                <w:b w:val="0"/>
                <w:sz w:val="21"/>
                <w:szCs w:val="21"/>
              </w:rPr>
            </w:pPr>
            <w:r>
              <w:rPr>
                <w:rFonts w:cs="Times New Roman"/>
                <w:b w:val="0"/>
                <w:sz w:val="21"/>
                <w:szCs w:val="21"/>
              </w:rPr>
              <w:t>公共绿地</w:t>
            </w:r>
          </w:p>
        </w:tc>
        <w:tc>
          <w:tcPr>
            <w:tcW w:w="3081" w:type="dxa"/>
          </w:tcPr>
          <w:p>
            <w:pPr>
              <w:pStyle w:val="14"/>
              <w:spacing w:line="240" w:lineRule="auto"/>
              <w:rPr>
                <w:rFonts w:cs="Times New Roman"/>
                <w:b w:val="0"/>
                <w:sz w:val="21"/>
                <w:szCs w:val="21"/>
              </w:rPr>
            </w:pPr>
            <w:r>
              <w:rPr>
                <w:rFonts w:cs="Times New Roman"/>
                <w:b w:val="0"/>
                <w:sz w:val="21"/>
                <w:szCs w:val="21"/>
              </w:rPr>
              <w:t>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G2</w:t>
            </w:r>
          </w:p>
        </w:tc>
        <w:tc>
          <w:tcPr>
            <w:tcW w:w="3081" w:type="dxa"/>
          </w:tcPr>
          <w:p>
            <w:pPr>
              <w:pStyle w:val="14"/>
              <w:spacing w:line="240" w:lineRule="auto"/>
              <w:rPr>
                <w:rFonts w:cs="Times New Roman"/>
                <w:b w:val="0"/>
                <w:sz w:val="21"/>
                <w:szCs w:val="21"/>
              </w:rPr>
            </w:pPr>
            <w:r>
              <w:rPr>
                <w:rFonts w:cs="Times New Roman"/>
                <w:b w:val="0"/>
                <w:sz w:val="21"/>
                <w:szCs w:val="21"/>
              </w:rPr>
              <w:t>生产防护绿地</w:t>
            </w:r>
          </w:p>
        </w:tc>
        <w:tc>
          <w:tcPr>
            <w:tcW w:w="3081" w:type="dxa"/>
          </w:tcPr>
          <w:p>
            <w:pPr>
              <w:pStyle w:val="14"/>
              <w:spacing w:line="240" w:lineRule="auto"/>
              <w:rPr>
                <w:rFonts w:cs="Times New Roman"/>
                <w:b w:val="0"/>
                <w:sz w:val="21"/>
                <w:szCs w:val="21"/>
              </w:rPr>
            </w:pPr>
            <w:r>
              <w:rPr>
                <w:rFonts w:cs="Times New Roman"/>
                <w:b w:val="0"/>
                <w:sz w:val="21"/>
                <w:szCs w:val="21"/>
              </w:rPr>
              <w:t>10.79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Pr>
          <w:p>
            <w:pPr>
              <w:pStyle w:val="14"/>
              <w:spacing w:line="240" w:lineRule="auto"/>
              <w:rPr>
                <w:rFonts w:cs="Times New Roman"/>
                <w:b w:val="0"/>
                <w:sz w:val="21"/>
                <w:szCs w:val="21"/>
              </w:rPr>
            </w:pPr>
            <w:r>
              <w:rPr>
                <w:rFonts w:cs="Times New Roman"/>
                <w:b w:val="0"/>
                <w:sz w:val="21"/>
                <w:szCs w:val="21"/>
              </w:rPr>
              <w:t>S31</w:t>
            </w:r>
          </w:p>
        </w:tc>
        <w:tc>
          <w:tcPr>
            <w:tcW w:w="3081" w:type="dxa"/>
          </w:tcPr>
          <w:p>
            <w:pPr>
              <w:pStyle w:val="14"/>
              <w:spacing w:line="240" w:lineRule="auto"/>
              <w:rPr>
                <w:rFonts w:cs="Times New Roman"/>
                <w:b w:val="0"/>
                <w:sz w:val="21"/>
                <w:szCs w:val="21"/>
              </w:rPr>
            </w:pPr>
            <w:r>
              <w:rPr>
                <w:rFonts w:cs="Times New Roman"/>
                <w:b w:val="0"/>
                <w:sz w:val="21"/>
                <w:szCs w:val="21"/>
              </w:rPr>
              <w:t>停车场</w:t>
            </w:r>
          </w:p>
        </w:tc>
        <w:tc>
          <w:tcPr>
            <w:tcW w:w="3081" w:type="dxa"/>
          </w:tcPr>
          <w:p>
            <w:pPr>
              <w:pStyle w:val="14"/>
              <w:spacing w:line="240" w:lineRule="auto"/>
              <w:rPr>
                <w:rFonts w:cs="Times New Roman"/>
                <w:b w:val="0"/>
                <w:sz w:val="21"/>
                <w:szCs w:val="21"/>
              </w:rPr>
            </w:pPr>
            <w:r>
              <w:rPr>
                <w:rFonts w:cs="Times New Roman"/>
                <w:b w:val="0"/>
                <w:sz w:val="21"/>
                <w:szCs w:val="21"/>
              </w:rPr>
              <w:t>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1" w:type="dxa"/>
            <w:gridSpan w:val="2"/>
          </w:tcPr>
          <w:p>
            <w:pPr>
              <w:pStyle w:val="14"/>
              <w:spacing w:line="240" w:lineRule="auto"/>
              <w:rPr>
                <w:rFonts w:cs="Times New Roman"/>
                <w:b w:val="0"/>
                <w:sz w:val="21"/>
                <w:szCs w:val="21"/>
              </w:rPr>
            </w:pPr>
            <w:r>
              <w:rPr>
                <w:rFonts w:cs="Times New Roman"/>
                <w:b w:val="0"/>
                <w:sz w:val="21"/>
                <w:szCs w:val="21"/>
              </w:rPr>
              <w:t>规划总用地</w:t>
            </w:r>
          </w:p>
        </w:tc>
        <w:tc>
          <w:tcPr>
            <w:tcW w:w="3081" w:type="dxa"/>
          </w:tcPr>
          <w:p>
            <w:pPr>
              <w:pStyle w:val="14"/>
              <w:spacing w:line="240" w:lineRule="auto"/>
              <w:rPr>
                <w:rFonts w:cs="Times New Roman"/>
                <w:b w:val="0"/>
                <w:sz w:val="21"/>
                <w:szCs w:val="21"/>
              </w:rPr>
            </w:pPr>
            <w:r>
              <w:rPr>
                <w:rFonts w:cs="Times New Roman"/>
                <w:b w:val="0"/>
                <w:sz w:val="21"/>
                <w:szCs w:val="21"/>
              </w:rPr>
              <w:t>141.13</w:t>
            </w:r>
          </w:p>
        </w:tc>
      </w:tr>
    </w:tbl>
    <w:p>
      <w:pPr>
        <w:pStyle w:val="5"/>
      </w:pPr>
      <w:r>
        <w:rPr>
          <w:rFonts w:hint="eastAsia"/>
        </w:rPr>
        <w:t>给排水现状及规划</w:t>
      </w:r>
    </w:p>
    <w:p>
      <w:pPr>
        <w:spacing w:line="360" w:lineRule="auto"/>
        <w:ind w:firstLine="480" w:firstLineChars="200"/>
        <w:rPr>
          <w:rFonts w:cs="Times New Roman"/>
        </w:rPr>
      </w:pPr>
      <w:r>
        <w:rPr>
          <w:rFonts w:cs="Times New Roman" w:hAnsiTheme="minorEastAsia"/>
        </w:rPr>
        <w:t>（</w:t>
      </w:r>
      <w:r>
        <w:rPr>
          <w:rFonts w:cs="Times New Roman"/>
        </w:rPr>
        <w:t>1</w:t>
      </w:r>
      <w:r>
        <w:rPr>
          <w:rFonts w:cs="Times New Roman" w:hAnsiTheme="minorEastAsia"/>
        </w:rPr>
        <w:t>）给水工程</w:t>
      </w:r>
    </w:p>
    <w:p>
      <w:pPr>
        <w:autoSpaceDE w:val="0"/>
        <w:autoSpaceDN w:val="0"/>
        <w:adjustRightInd w:val="0"/>
        <w:spacing w:line="360" w:lineRule="auto"/>
        <w:ind w:firstLine="480" w:firstLineChars="200"/>
        <w:jc w:val="left"/>
        <w:rPr>
          <w:rFonts w:eastAsia="宋体" w:cs="Times New Roman"/>
          <w:kern w:val="0"/>
          <w:szCs w:val="24"/>
        </w:rPr>
      </w:pPr>
      <w:r>
        <w:rPr>
          <w:rFonts w:cs="Times New Roman"/>
        </w:rPr>
        <w:t>石伏工业园生产、生活用水近期依托华容县城长江引水城关二水厂供水，水源主要取自长江，目前供水能力为6万m</w:t>
      </w:r>
      <w:r>
        <w:rPr>
          <w:rFonts w:cs="Times New Roman"/>
          <w:vertAlign w:val="superscript"/>
        </w:rPr>
        <w:t>3</w:t>
      </w:r>
      <w:r>
        <w:rPr>
          <w:rFonts w:cs="Times New Roman"/>
        </w:rPr>
        <w:t>/d。</w:t>
      </w:r>
      <w:r>
        <w:rPr>
          <w:rFonts w:eastAsia="宋体" w:cs="Times New Roman"/>
          <w:kern w:val="0"/>
          <w:szCs w:val="24"/>
        </w:rPr>
        <w:t>根据华容工业园规划，石伏工业园园区2016年总用水量约为2.98万m</w:t>
      </w:r>
      <w:r>
        <w:rPr>
          <w:rFonts w:eastAsia="宋体" w:cs="Times New Roman"/>
          <w:kern w:val="0"/>
          <w:szCs w:val="24"/>
          <w:vertAlign w:val="superscript"/>
        </w:rPr>
        <w:t>3</w:t>
      </w:r>
      <w:r>
        <w:rPr>
          <w:rFonts w:eastAsia="宋体" w:cs="Times New Roman"/>
          <w:kern w:val="0"/>
          <w:szCs w:val="24"/>
        </w:rPr>
        <w:t>/d。考虑工业园发展滞后，现状石伏工业园用水较少。</w:t>
      </w:r>
    </w:p>
    <w:p>
      <w:pPr>
        <w:autoSpaceDE w:val="0"/>
        <w:autoSpaceDN w:val="0"/>
        <w:adjustRightInd w:val="0"/>
        <w:spacing w:line="360" w:lineRule="auto"/>
        <w:ind w:firstLine="480" w:firstLineChars="200"/>
        <w:jc w:val="left"/>
        <w:rPr>
          <w:rFonts w:eastAsia="宋体" w:cs="Times New Roman"/>
          <w:kern w:val="0"/>
          <w:szCs w:val="24"/>
        </w:rPr>
      </w:pPr>
      <w:r>
        <w:rPr>
          <w:rFonts w:eastAsia="宋体" w:cs="Times New Roman"/>
          <w:kern w:val="0"/>
          <w:szCs w:val="24"/>
        </w:rPr>
        <w:t>供水管网采用环支状管网系统，管网最大管径DN800，最小DN500，管网末端给水压力达到0.28MPa。</w:t>
      </w:r>
    </w:p>
    <w:p>
      <w:pPr>
        <w:autoSpaceDE w:val="0"/>
        <w:autoSpaceDN w:val="0"/>
        <w:adjustRightInd w:val="0"/>
        <w:spacing w:line="360" w:lineRule="auto"/>
        <w:ind w:firstLine="480" w:firstLineChars="200"/>
        <w:jc w:val="left"/>
        <w:rPr>
          <w:rFonts w:eastAsia="宋体" w:cs="Times New Roman"/>
          <w:color w:val="000000" w:themeColor="text1"/>
          <w:kern w:val="0"/>
          <w:szCs w:val="24"/>
        </w:rPr>
      </w:pPr>
      <w:r>
        <w:rPr>
          <w:rFonts w:eastAsia="宋体" w:cs="Times New Roman"/>
          <w:color w:val="000000" w:themeColor="text1"/>
          <w:kern w:val="0"/>
          <w:szCs w:val="24"/>
        </w:rPr>
        <w:t>（2）排水工程</w:t>
      </w:r>
    </w:p>
    <w:p>
      <w:pPr>
        <w:spacing w:line="360" w:lineRule="auto"/>
        <w:ind w:firstLine="480" w:firstLineChars="200"/>
        <w:rPr>
          <w:color w:val="000000" w:themeColor="text1"/>
        </w:rPr>
      </w:pPr>
      <w:r>
        <w:rPr>
          <w:rFonts w:cs="Times New Roman"/>
          <w:color w:val="000000" w:themeColor="text1"/>
        </w:rPr>
        <w:t>石伏工业园实施分片分流、雨污分流制。</w:t>
      </w:r>
      <w:r>
        <w:rPr>
          <w:rFonts w:ascii="宋体" w:hAnsi="宋体"/>
          <w:color w:val="000000" w:themeColor="text1"/>
        </w:rPr>
        <w:t>石伏工业园园区内水生产废水和生活污水处理达到《污水综合排放标准》（</w:t>
      </w:r>
      <w:r>
        <w:rPr>
          <w:color w:val="000000" w:themeColor="text1"/>
        </w:rPr>
        <w:t>GB8978-1996</w:t>
      </w:r>
      <w:r>
        <w:rPr>
          <w:rFonts w:ascii="宋体" w:hAnsi="宋体"/>
          <w:color w:val="000000" w:themeColor="text1"/>
        </w:rPr>
        <w:t>）表</w:t>
      </w:r>
      <w:r>
        <w:rPr>
          <w:color w:val="000000" w:themeColor="text1"/>
        </w:rPr>
        <w:t>4</w:t>
      </w:r>
      <w:r>
        <w:rPr>
          <w:rFonts w:ascii="宋体" w:hAnsi="宋体"/>
          <w:color w:val="000000" w:themeColor="text1"/>
        </w:rPr>
        <w:t>中三级标准后排入</w:t>
      </w:r>
      <w:r>
        <w:rPr>
          <w:rFonts w:hint="eastAsia" w:ascii="宋体" w:hAnsi="宋体"/>
          <w:color w:val="000000" w:themeColor="text1"/>
        </w:rPr>
        <w:t>桥</w:t>
      </w:r>
      <w:r>
        <w:rPr>
          <w:rFonts w:ascii="宋体" w:hAnsi="宋体"/>
          <w:color w:val="000000" w:themeColor="text1"/>
        </w:rPr>
        <w:t>东污水处理厂处理</w:t>
      </w:r>
      <w:r>
        <w:rPr>
          <w:rFonts w:hint="eastAsia"/>
          <w:color w:val="000000" w:themeColor="text1"/>
        </w:rPr>
        <w:t>。</w:t>
      </w:r>
    </w:p>
    <w:p>
      <w:pPr>
        <w:pStyle w:val="5"/>
      </w:pPr>
      <w:r>
        <w:rPr>
          <w:rFonts w:hint="eastAsia"/>
        </w:rPr>
        <w:t>燃气规划</w:t>
      </w:r>
    </w:p>
    <w:p>
      <w:pPr>
        <w:spacing w:line="360" w:lineRule="auto"/>
        <w:ind w:firstLine="480" w:firstLineChars="200"/>
        <w:rPr>
          <w:rFonts w:cs="Times New Roman"/>
        </w:rPr>
      </w:pPr>
      <w:r>
        <w:rPr>
          <w:rFonts w:hAnsi="宋体" w:eastAsia="宋体" w:cs="Times New Roman"/>
        </w:rPr>
        <w:t>（</w:t>
      </w:r>
      <w:r>
        <w:rPr>
          <w:rFonts w:eastAsia="宋体" w:cs="Times New Roman"/>
        </w:rPr>
        <w:t>1</w:t>
      </w:r>
      <w:r>
        <w:rPr>
          <w:rFonts w:hAnsi="宋体" w:eastAsia="宋体" w:cs="Times New Roman"/>
        </w:rPr>
        <w:t>）</w:t>
      </w:r>
      <w:r>
        <w:rPr>
          <w:rFonts w:hAnsi="宋体" w:cs="Times New Roman"/>
        </w:rPr>
        <w:t>能源选择</w:t>
      </w:r>
    </w:p>
    <w:p>
      <w:pPr>
        <w:spacing w:line="360" w:lineRule="auto"/>
        <w:ind w:firstLine="480" w:firstLineChars="200"/>
        <w:rPr>
          <w:rFonts w:cs="Times New Roman"/>
        </w:rPr>
      </w:pPr>
      <w:r>
        <w:rPr>
          <w:rFonts w:hAnsi="宋体" w:cs="Times New Roman"/>
        </w:rPr>
        <w:t>石伏工业园近期采用液化石油气为主，远期气源来源于华容县国家燃气输气干管，至</w:t>
      </w:r>
      <w:r>
        <w:rPr>
          <w:rFonts w:cs="Times New Roman"/>
        </w:rPr>
        <w:t>2020</w:t>
      </w:r>
      <w:r>
        <w:rPr>
          <w:rFonts w:hAnsi="宋体" w:cs="Times New Roman"/>
        </w:rPr>
        <w:t>年完成园区的天然气管道的全部铺设。</w:t>
      </w:r>
    </w:p>
    <w:p>
      <w:pPr>
        <w:spacing w:line="360" w:lineRule="auto"/>
        <w:ind w:firstLine="480" w:firstLineChars="200"/>
        <w:rPr>
          <w:rFonts w:cs="Times New Roman"/>
        </w:rPr>
      </w:pPr>
      <w:r>
        <w:rPr>
          <w:rFonts w:hAnsi="宋体" w:eastAsia="宋体" w:cs="Times New Roman"/>
        </w:rPr>
        <w:t>（</w:t>
      </w:r>
      <w:r>
        <w:rPr>
          <w:rFonts w:eastAsia="宋体" w:cs="Times New Roman"/>
        </w:rPr>
        <w:t>2</w:t>
      </w:r>
      <w:r>
        <w:rPr>
          <w:rFonts w:hAnsi="宋体" w:eastAsia="宋体" w:cs="Times New Roman"/>
        </w:rPr>
        <w:t>）</w:t>
      </w:r>
      <w:r>
        <w:rPr>
          <w:rFonts w:hAnsi="宋体" w:cs="Times New Roman"/>
        </w:rPr>
        <w:t>用气量</w:t>
      </w:r>
    </w:p>
    <w:p>
      <w:pPr>
        <w:spacing w:line="360" w:lineRule="auto"/>
        <w:ind w:firstLine="480" w:firstLineChars="200"/>
        <w:rPr>
          <w:rFonts w:cs="Times New Roman"/>
        </w:rPr>
      </w:pPr>
      <w:r>
        <w:rPr>
          <w:rFonts w:hAnsi="宋体" w:cs="Times New Roman"/>
        </w:rPr>
        <w:t>规划区内天然气年总用气量为</w:t>
      </w:r>
      <w:r>
        <w:rPr>
          <w:rFonts w:cs="Times New Roman"/>
        </w:rPr>
        <w:t>123.1</w:t>
      </w:r>
      <w:r>
        <w:rPr>
          <w:rFonts w:hAnsi="宋体" w:cs="Times New Roman"/>
        </w:rPr>
        <w:t>万标准立方米，其中工业用气量为</w:t>
      </w:r>
      <w:r>
        <w:rPr>
          <w:rFonts w:cs="Times New Roman"/>
        </w:rPr>
        <w:t>79.8</w:t>
      </w:r>
      <w:r>
        <w:rPr>
          <w:rFonts w:hAnsi="宋体" w:cs="Times New Roman"/>
        </w:rPr>
        <w:t>万标准立方米，生活用气量为</w:t>
      </w:r>
      <w:r>
        <w:rPr>
          <w:rFonts w:cs="Times New Roman"/>
        </w:rPr>
        <w:t>43.3</w:t>
      </w:r>
      <w:r>
        <w:rPr>
          <w:rFonts w:hAnsi="宋体" w:cs="Times New Roman"/>
        </w:rPr>
        <w:t>万标准立方米，计算月平均日用气量</w:t>
      </w:r>
      <w:r>
        <w:rPr>
          <w:rFonts w:cs="Times New Roman"/>
        </w:rPr>
        <w:t>3798.7</w:t>
      </w:r>
      <w:r>
        <w:rPr>
          <w:rFonts w:hAnsi="宋体" w:cs="Times New Roman"/>
        </w:rPr>
        <w:t>标准立方米，高峰小时用气量</w:t>
      </w:r>
      <w:r>
        <w:rPr>
          <w:rFonts w:cs="Times New Roman"/>
        </w:rPr>
        <w:t>270.4</w:t>
      </w:r>
      <w:r>
        <w:rPr>
          <w:rFonts w:hAnsi="宋体" w:cs="Times New Roman"/>
        </w:rPr>
        <w:t>标准立方米。</w:t>
      </w:r>
    </w:p>
    <w:p>
      <w:pPr>
        <w:spacing w:line="360" w:lineRule="auto"/>
        <w:ind w:firstLine="480" w:firstLineChars="200"/>
        <w:rPr>
          <w:rFonts w:cs="Times New Roman"/>
        </w:rPr>
      </w:pPr>
      <w:r>
        <w:rPr>
          <w:rFonts w:hAnsi="宋体" w:eastAsia="宋体" w:cs="Times New Roman"/>
        </w:rPr>
        <w:t>（</w:t>
      </w:r>
      <w:r>
        <w:rPr>
          <w:rFonts w:eastAsia="宋体" w:cs="Times New Roman"/>
        </w:rPr>
        <w:t>3</w:t>
      </w:r>
      <w:r>
        <w:rPr>
          <w:rFonts w:hAnsi="宋体" w:eastAsia="宋体" w:cs="Times New Roman"/>
        </w:rPr>
        <w:t>）</w:t>
      </w:r>
      <w:r>
        <w:rPr>
          <w:rFonts w:hAnsi="宋体" w:cs="Times New Roman"/>
        </w:rPr>
        <w:t>气源规划</w:t>
      </w:r>
    </w:p>
    <w:p>
      <w:pPr>
        <w:spacing w:line="360" w:lineRule="auto"/>
        <w:ind w:firstLine="480" w:firstLineChars="200"/>
        <w:rPr>
          <w:rFonts w:cs="Times New Roman"/>
        </w:rPr>
      </w:pPr>
      <w:r>
        <w:rPr>
          <w:rFonts w:hAnsi="宋体" w:cs="Times New Roman"/>
        </w:rPr>
        <w:t>天然气来自</w:t>
      </w:r>
      <w:r>
        <w:rPr>
          <w:rFonts w:cs="Times New Roman"/>
        </w:rPr>
        <w:t>“</w:t>
      </w:r>
      <w:r>
        <w:rPr>
          <w:rFonts w:hAnsi="宋体" w:cs="Times New Roman"/>
        </w:rPr>
        <w:t>西气东输</w:t>
      </w:r>
      <w:r>
        <w:rPr>
          <w:rFonts w:cs="Times New Roman"/>
        </w:rPr>
        <w:t>”</w:t>
      </w:r>
      <w:r>
        <w:rPr>
          <w:rFonts w:hAnsi="宋体" w:cs="Times New Roman"/>
        </w:rPr>
        <w:t>工程，由位于华容县城的分输站供给。</w:t>
      </w:r>
    </w:p>
    <w:p>
      <w:pPr>
        <w:spacing w:line="360" w:lineRule="auto"/>
        <w:ind w:firstLine="480" w:firstLineChars="200"/>
        <w:rPr>
          <w:rFonts w:cs="Times New Roman"/>
        </w:rPr>
      </w:pPr>
      <w:r>
        <w:rPr>
          <w:rFonts w:hAnsi="宋体" w:eastAsia="宋体" w:cs="Times New Roman"/>
        </w:rPr>
        <w:t>（</w:t>
      </w:r>
      <w:r>
        <w:rPr>
          <w:rFonts w:eastAsia="宋体" w:cs="Times New Roman"/>
        </w:rPr>
        <w:t>4</w:t>
      </w:r>
      <w:r>
        <w:rPr>
          <w:rFonts w:hAnsi="宋体" w:eastAsia="宋体" w:cs="Times New Roman"/>
        </w:rPr>
        <w:t>）</w:t>
      </w:r>
      <w:r>
        <w:rPr>
          <w:rFonts w:hAnsi="宋体" w:cs="Times New Roman"/>
        </w:rPr>
        <w:t>供气管网规划</w:t>
      </w:r>
    </w:p>
    <w:p>
      <w:pPr>
        <w:spacing w:line="360" w:lineRule="auto"/>
        <w:ind w:firstLine="480" w:firstLineChars="200"/>
        <w:rPr>
          <w:rFonts w:cs="Times New Roman"/>
        </w:rPr>
      </w:pPr>
      <w:r>
        <w:rPr>
          <w:rFonts w:hAnsi="宋体" w:cs="Times New Roman"/>
        </w:rPr>
        <w:t>①本片区规划管网为中压</w:t>
      </w:r>
      <w:r>
        <w:rPr>
          <w:rFonts w:cs="Times New Roman"/>
        </w:rPr>
        <w:t>A</w:t>
      </w:r>
      <w:r>
        <w:rPr>
          <w:rFonts w:hAnsi="宋体" w:cs="Times New Roman"/>
        </w:rPr>
        <w:t>级（</w:t>
      </w:r>
      <w:r>
        <w:rPr>
          <w:rFonts w:cs="Times New Roman"/>
        </w:rPr>
        <w:t>0.4</w:t>
      </w:r>
      <w:r>
        <w:rPr>
          <w:rFonts w:hAnsi="宋体" w:cs="Times New Roman"/>
        </w:rPr>
        <w:t>兆帕）配气系统，区内管网接自规划市政燃气干管。中压干管呈环枝结合状布置，管材为燃气专用</w:t>
      </w:r>
      <w:r>
        <w:rPr>
          <w:rFonts w:cs="Times New Roman"/>
        </w:rPr>
        <w:t>PE</w:t>
      </w:r>
      <w:r>
        <w:rPr>
          <w:rFonts w:hAnsi="宋体" w:cs="Times New Roman"/>
        </w:rPr>
        <w:t>管，直埋敷设，一般位于道路的西、北侧人行道或绿地下，规划管径为</w:t>
      </w:r>
      <w:r>
        <w:rPr>
          <w:rFonts w:cs="Times New Roman"/>
        </w:rPr>
        <w:t>150mm</w:t>
      </w:r>
      <w:r>
        <w:rPr>
          <w:rFonts w:hAnsi="宋体" w:cs="Times New Roman"/>
        </w:rPr>
        <w:t>～</w:t>
      </w:r>
      <w:r>
        <w:rPr>
          <w:rFonts w:cs="Times New Roman"/>
        </w:rPr>
        <w:t>200mm</w:t>
      </w:r>
      <w:r>
        <w:rPr>
          <w:rFonts w:hAnsi="宋体" w:cs="Times New Roman"/>
        </w:rPr>
        <w:t>。</w:t>
      </w:r>
    </w:p>
    <w:p>
      <w:pPr>
        <w:spacing w:line="360" w:lineRule="auto"/>
        <w:ind w:firstLine="480" w:firstLineChars="200"/>
        <w:rPr>
          <w:rFonts w:cs="Times New Roman"/>
        </w:rPr>
      </w:pPr>
      <w:r>
        <w:rPr>
          <w:rFonts w:hAnsi="宋体" w:cs="Times New Roman"/>
        </w:rPr>
        <w:t>②天然气城市高压管线沿道路西侧敷设，设计压力为</w:t>
      </w:r>
      <w:r>
        <w:rPr>
          <w:rFonts w:cs="Times New Roman"/>
        </w:rPr>
        <w:t>2.5</w:t>
      </w:r>
      <w:r>
        <w:rPr>
          <w:rFonts w:hAnsi="宋体" w:cs="Times New Roman"/>
        </w:rPr>
        <w:t>兆帕，管径为</w:t>
      </w:r>
      <w:r>
        <w:rPr>
          <w:rFonts w:cs="Times New Roman"/>
        </w:rPr>
        <w:t>200mm</w:t>
      </w:r>
      <w:r>
        <w:rPr>
          <w:rFonts w:hAnsi="宋体" w:cs="Times New Roman"/>
        </w:rPr>
        <w:t>。在规划区西侧规划高中压调压站。</w:t>
      </w:r>
    </w:p>
    <w:p>
      <w:pPr>
        <w:pStyle w:val="5"/>
      </w:pPr>
      <w:r>
        <w:rPr>
          <w:rFonts w:hint="eastAsia"/>
        </w:rPr>
        <w:t>园区规划环评情况</w:t>
      </w:r>
    </w:p>
    <w:p>
      <w:pPr>
        <w:spacing w:line="360" w:lineRule="auto"/>
        <w:ind w:firstLine="480" w:firstLineChars="200"/>
        <w:rPr>
          <w:rFonts w:cs="Times New Roman"/>
        </w:rPr>
      </w:pPr>
      <w:r>
        <w:rPr>
          <w:rFonts w:cs="Times New Roman"/>
        </w:rPr>
        <w:t>该工业园委托环境保护部南京环境科学研究所于2014年5月编制完成了《华容工业集中区环境影响报告书》，2014年6月去取得了湖南省环境保护厅环评批复（湘环评函【2014】54号）。华容集中工业区规划为一区三片，即三封工业片区、洪山头工业片区、石伏工业片区。本项目纳污范围只包括石伏工业片区和桥东片区，则根据环评报告书结论及环评批复可知（只选取关于石伏工业园的）：</w:t>
      </w:r>
    </w:p>
    <w:p>
      <w:pPr>
        <w:keepNext/>
        <w:ind w:firstLine="482" w:firstLineChars="200"/>
        <w:jc w:val="center"/>
        <w:rPr>
          <w:b/>
        </w:rPr>
      </w:pPr>
      <w:r>
        <w:rPr>
          <w:rFonts w:hint="eastAsia"/>
          <w:b/>
        </w:rPr>
        <w:t>表</w:t>
      </w:r>
      <w:r>
        <w:rPr>
          <w:b/>
        </w:rPr>
        <w:fldChar w:fldCharType="begin"/>
      </w:r>
      <w:r>
        <w:rPr>
          <w:rFonts w:hint="eastAsia"/>
          <w:b/>
        </w:rPr>
        <w:instrText xml:space="preserve">STYLEREF 2 \s</w:instrText>
      </w:r>
      <w:r>
        <w:rPr>
          <w:b/>
        </w:rPr>
        <w:fldChar w:fldCharType="separate"/>
      </w:r>
      <w:r>
        <w:rPr>
          <w:b/>
        </w:rPr>
        <w:t>3.2</w:t>
      </w:r>
      <w:r>
        <w:rPr>
          <w:b/>
        </w:rPr>
        <w:fldChar w:fldCharType="end"/>
      </w:r>
      <w:r>
        <w:rPr>
          <w:b/>
        </w:rPr>
        <w:noBreakHyphen/>
      </w:r>
      <w:r>
        <w:rPr>
          <w:b/>
        </w:rPr>
        <w:fldChar w:fldCharType="begin"/>
      </w:r>
      <w:r>
        <w:rPr>
          <w:rFonts w:hint="eastAsia"/>
          <w:b/>
        </w:rPr>
        <w:instrText xml:space="preserve">SEQ 表 \* ARABIC \s 2</w:instrText>
      </w:r>
      <w:r>
        <w:rPr>
          <w:b/>
        </w:rPr>
        <w:fldChar w:fldCharType="separate"/>
      </w:r>
      <w:r>
        <w:rPr>
          <w:rFonts w:hint="eastAsia"/>
          <w:b/>
        </w:rPr>
        <w:t>2</w:t>
      </w:r>
      <w:r>
        <w:rPr>
          <w:b/>
        </w:rPr>
        <w:fldChar w:fldCharType="end"/>
      </w:r>
      <w:r>
        <w:rPr>
          <w:rFonts w:hint="eastAsia"/>
          <w:b/>
        </w:rPr>
        <w:t xml:space="preserve">  华容集中工业区规划批复落实情况一览表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856"/>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jc w:val="center"/>
              <w:rPr>
                <w:rFonts w:eastAsia="宋体"/>
                <w:kern w:val="10"/>
                <w:sz w:val="21"/>
              </w:rPr>
            </w:pPr>
            <w:r>
              <w:rPr>
                <w:sz w:val="21"/>
              </w:rPr>
              <w:t>序号</w:t>
            </w:r>
          </w:p>
        </w:tc>
        <w:tc>
          <w:tcPr>
            <w:tcW w:w="7856" w:type="dxa"/>
            <w:vAlign w:val="center"/>
          </w:tcPr>
          <w:p>
            <w:pPr>
              <w:ind w:firstLine="1365" w:firstLineChars="650"/>
              <w:jc w:val="center"/>
              <w:rPr>
                <w:rFonts w:eastAsia="宋体"/>
                <w:kern w:val="10"/>
                <w:sz w:val="21"/>
              </w:rPr>
            </w:pPr>
            <w:r>
              <w:rPr>
                <w:sz w:val="21"/>
              </w:rPr>
              <w:t>环评批复要求</w:t>
            </w:r>
          </w:p>
        </w:tc>
        <w:tc>
          <w:tcPr>
            <w:tcW w:w="912" w:type="dxa"/>
            <w:vAlign w:val="center"/>
          </w:tcPr>
          <w:p>
            <w:pPr>
              <w:jc w:val="center"/>
              <w:rPr>
                <w:rFonts w:eastAsia="宋体"/>
                <w:kern w:val="10"/>
                <w:sz w:val="21"/>
              </w:rPr>
            </w:pPr>
            <w:r>
              <w:rPr>
                <w:sz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rPr>
                <w:rFonts w:eastAsia="宋体"/>
                <w:kern w:val="10"/>
                <w:sz w:val="21"/>
              </w:rPr>
            </w:pPr>
            <w:r>
              <w:rPr>
                <w:sz w:val="21"/>
              </w:rPr>
              <w:t>1</w:t>
            </w:r>
          </w:p>
        </w:tc>
        <w:tc>
          <w:tcPr>
            <w:tcW w:w="7856" w:type="dxa"/>
            <w:vAlign w:val="center"/>
          </w:tcPr>
          <w:p>
            <w:pPr>
              <w:ind w:firstLine="420" w:firstLineChars="200"/>
              <w:rPr>
                <w:rFonts w:eastAsia="宋体"/>
                <w:kern w:val="10"/>
                <w:sz w:val="21"/>
              </w:rPr>
            </w:pPr>
            <w:r>
              <w:rPr>
                <w:rFonts w:hint="eastAsia"/>
                <w:sz w:val="21"/>
              </w:rPr>
              <w:t>严格执行集中区企业准入制度，入园项目选址必须符合相应工业片区总体发展规划、用地规划、功能布局、环保规划及主导产业定位要求，不得引进国家明令海汰和禁止发展的能耗物耗高、环境污染严重、不符合产业政策的建设项目，石伏片区不得引进和建设印染类项目，具体发展规模等要求按湘环函［</w:t>
            </w:r>
            <w:r>
              <w:rPr>
                <w:sz w:val="21"/>
              </w:rPr>
              <w:t xml:space="preserve"> 2012 ) 1 4 6 </w:t>
            </w:r>
            <w:r>
              <w:rPr>
                <w:rFonts w:hint="eastAsia"/>
                <w:sz w:val="21"/>
              </w:rPr>
              <w:t>号文件执行。园区管委会和地方环保行政主管部门必须按照报告书提出的具体项目准入条件做好项目的境影响评价和环保“三同时”管理制度，推行清洁生产工艺，确保入园企业排污浓度、总量必须满足达标排放和总量控制要求；对凡无具体成熟污染防治措施、污染物排放不符合地方环保行政管理部门和工业集中区总量控制要求的项目一律不得入园；按湘环评【2011】</w:t>
            </w:r>
            <w:r>
              <w:rPr>
                <w:sz w:val="21"/>
              </w:rPr>
              <w:t>25</w:t>
            </w:r>
            <w:r>
              <w:rPr>
                <w:rFonts w:hint="eastAsia"/>
                <w:sz w:val="21"/>
              </w:rPr>
              <w:t>号文件和本报告书提出的监管要求加强对现有已入园企业的环境监管，对已建项目进行清理，确保符合环评批复及“三同时”管理要求。</w:t>
            </w:r>
          </w:p>
        </w:tc>
        <w:tc>
          <w:tcPr>
            <w:tcW w:w="912" w:type="dxa"/>
            <w:vAlign w:val="center"/>
          </w:tcPr>
          <w:p>
            <w:pPr>
              <w:jc w:val="center"/>
              <w:rPr>
                <w:rFonts w:eastAsia="宋体"/>
                <w:kern w:val="10"/>
                <w:sz w:val="21"/>
              </w:rPr>
            </w:pPr>
            <w:r>
              <w:rPr>
                <w:sz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rPr>
                <w:rFonts w:eastAsia="宋体"/>
                <w:kern w:val="10"/>
                <w:sz w:val="21"/>
              </w:rPr>
            </w:pPr>
            <w:r>
              <w:rPr>
                <w:sz w:val="21"/>
              </w:rPr>
              <w:t>2</w:t>
            </w:r>
          </w:p>
        </w:tc>
        <w:tc>
          <w:tcPr>
            <w:tcW w:w="7856" w:type="dxa"/>
            <w:vAlign w:val="center"/>
          </w:tcPr>
          <w:p>
            <w:pPr>
              <w:ind w:firstLine="420" w:firstLineChars="200"/>
              <w:rPr>
                <w:b/>
                <w:sz w:val="21"/>
              </w:rPr>
            </w:pPr>
            <w:r>
              <w:rPr>
                <w:rFonts w:hint="eastAsia"/>
                <w:sz w:val="21"/>
              </w:rPr>
              <w:t>加强集中区排水及集中水处理基础设施建设，做好截排污管网与区域开发建设的同步配套，并加快各片区末端集中污水处理厂建设．其中：洪山头工业片区排水实施雨污分流、污污分流，建设集中污水处理设施，优化污水处理厂规模、工艺及排水路径设计，另行环评并报我厅审查备案．该片区配套污水处理厂及管网建成投运前，应限制涉水型项目投入试生产；片区配套污水处理厂及管网建成投运后，各入园项目外排废水应达到相应行业排放标准要求且一类污染物车间排口达标后，方可进入园区污水处理厂进一步深度处理后排入长江，防止对大、小荆湖渔业用水水质造成破坏．石伏工业片区依托河东污水处理厂进行园区废水的集中处理，华容县人民政府应加快河东污水处理厂建设进度，在该污水处理厂建成投运前，限制石伏片区引进水型污染企业</w:t>
            </w:r>
            <w:r>
              <w:rPr>
                <w:rFonts w:hint="eastAsia"/>
                <w:b/>
                <w:sz w:val="21"/>
              </w:rPr>
              <w:t>。</w:t>
            </w:r>
          </w:p>
        </w:tc>
        <w:tc>
          <w:tcPr>
            <w:tcW w:w="912" w:type="dxa"/>
            <w:vAlign w:val="center"/>
          </w:tcPr>
          <w:p>
            <w:pPr>
              <w:jc w:val="center"/>
              <w:rPr>
                <w:rFonts w:hint="eastAsia" w:eastAsiaTheme="minorEastAsia"/>
                <w:kern w:val="10"/>
                <w:sz w:val="21"/>
                <w:lang w:eastAsia="zh-CN"/>
              </w:rPr>
            </w:pPr>
            <w:r>
              <w:rPr>
                <w:sz w:val="21"/>
              </w:rPr>
              <w:t>已落实</w:t>
            </w:r>
            <w:r>
              <w:rPr>
                <w:rFonts w:hint="eastAsia"/>
                <w:sz w:val="21"/>
                <w:lang w:eastAsia="zh-CN"/>
              </w:rPr>
              <w:t>，本项目为污水处理厂建设项目，符合石伏工业园的规划要求</w:t>
            </w:r>
          </w:p>
        </w:tc>
      </w:tr>
    </w:tbl>
    <w:p>
      <w:pPr>
        <w:spacing w:line="360" w:lineRule="auto"/>
        <w:ind w:firstLine="480" w:firstLineChars="200"/>
        <w:rPr>
          <w:rFonts w:cs="Times New Roman"/>
          <w:szCs w:val="24"/>
        </w:rPr>
      </w:pPr>
      <w:r>
        <w:rPr>
          <w:rFonts w:cs="Times New Roman"/>
          <w:szCs w:val="24"/>
        </w:rPr>
        <w:t>石伏工业园产业定位以棉花加工的纺织产业为主，配套发展下游的服装</w:t>
      </w:r>
      <w:r>
        <w:rPr>
          <w:rFonts w:hAnsi="宋体" w:cs="Times New Roman"/>
          <w:szCs w:val="24"/>
        </w:rPr>
        <w:t>产业。在园区开发招商过程中，应注重对这些行业的拓展，发挥区位优势，形成产业链。根据产业定位，结合《产业结构指导调整目录（</w:t>
      </w:r>
      <w:r>
        <w:rPr>
          <w:rFonts w:cs="Times New Roman"/>
          <w:szCs w:val="24"/>
        </w:rPr>
        <w:t>2011</w:t>
      </w:r>
      <w:r>
        <w:rPr>
          <w:rFonts w:hAnsi="宋体" w:cs="Times New Roman"/>
          <w:szCs w:val="24"/>
        </w:rPr>
        <w:t>年本）》（</w:t>
      </w:r>
      <w:r>
        <w:rPr>
          <w:rFonts w:cs="Times New Roman"/>
          <w:szCs w:val="24"/>
        </w:rPr>
        <w:t>2013</w:t>
      </w:r>
      <w:r>
        <w:rPr>
          <w:rFonts w:hAnsi="宋体" w:cs="Times New Roman"/>
          <w:szCs w:val="24"/>
        </w:rPr>
        <w:t>年修订本）的相关规定，以及国家对工业企业建设的生产工艺、生产设备、污染物排放要求的相关规定，确定石伏工业园引进企业的准入行业、条件见下表所示。</w:t>
      </w:r>
    </w:p>
    <w:p>
      <w:pPr>
        <w:pStyle w:val="14"/>
        <w:spacing w:line="240" w:lineRule="auto"/>
        <w:rPr>
          <w:rFonts w:cs="Times New Roman"/>
        </w:rPr>
      </w:pPr>
      <w:r>
        <w:rPr>
          <w:rFonts w:hAnsi="宋体" w:cs="Times New Roman"/>
        </w:rPr>
        <w:t>表</w:t>
      </w:r>
      <w:r>
        <w:rPr>
          <w:rFonts w:hAnsi="宋体" w:cs="Times New Roman"/>
        </w:rPr>
        <w:fldChar w:fldCharType="begin"/>
      </w:r>
      <w:r>
        <w:rPr>
          <w:rFonts w:hAnsi="宋体" w:cs="Times New Roman"/>
        </w:rPr>
        <w:instrText xml:space="preserve"> STYLEREF 2 \s </w:instrText>
      </w:r>
      <w:r>
        <w:rPr>
          <w:rFonts w:hAnsi="宋体" w:cs="Times New Roman"/>
        </w:rPr>
        <w:fldChar w:fldCharType="separate"/>
      </w:r>
      <w:r>
        <w:rPr>
          <w:rFonts w:hAnsi="宋体" w:cs="Times New Roman"/>
        </w:rPr>
        <w:t>3.2</w:t>
      </w:r>
      <w:r>
        <w:rPr>
          <w:rFonts w:hAnsi="宋体" w:cs="Times New Roman"/>
        </w:rPr>
        <w:fldChar w:fldCharType="end"/>
      </w:r>
      <w:r>
        <w:rPr>
          <w:rFonts w:hAnsi="宋体" w:cs="Times New Roman"/>
        </w:rPr>
        <w:noBreakHyphen/>
      </w:r>
      <w:r>
        <w:rPr>
          <w:rFonts w:hAnsi="宋体" w:cs="Times New Roman"/>
        </w:rPr>
        <w:fldChar w:fldCharType="begin"/>
      </w:r>
      <w:r>
        <w:rPr>
          <w:rFonts w:hAnsi="宋体" w:cs="Times New Roman"/>
        </w:rPr>
        <w:instrText xml:space="preserve"> SEQ 表 \* ARABIC \s 2 </w:instrText>
      </w:r>
      <w:r>
        <w:rPr>
          <w:rFonts w:hAnsi="宋体" w:cs="Times New Roman"/>
        </w:rPr>
        <w:fldChar w:fldCharType="separate"/>
      </w:r>
      <w:r>
        <w:rPr>
          <w:rFonts w:hAnsi="宋体" w:cs="Times New Roman"/>
        </w:rPr>
        <w:t>3</w:t>
      </w:r>
      <w:r>
        <w:rPr>
          <w:rFonts w:hAnsi="宋体" w:cs="Times New Roman"/>
        </w:rPr>
        <w:fldChar w:fldCharType="end"/>
      </w:r>
      <w:r>
        <w:rPr>
          <w:rFonts w:cs="Times New Roman"/>
        </w:rPr>
        <w:t xml:space="preserve">  石伏工业园准入行业、条件一览表</w:t>
      </w:r>
    </w:p>
    <w:tbl>
      <w:tblPr>
        <w:tblStyle w:val="38"/>
        <w:tblW w:w="90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328"/>
        <w:gridCol w:w="1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spacing w:line="320" w:lineRule="exact"/>
              <w:jc w:val="center"/>
              <w:rPr>
                <w:rFonts w:eastAsia="宋体"/>
                <w:kern w:val="10"/>
                <w:sz w:val="21"/>
              </w:rPr>
            </w:pPr>
            <w:r>
              <w:rPr>
                <w:sz w:val="21"/>
              </w:rPr>
              <w:t>类型</w:t>
            </w:r>
          </w:p>
        </w:tc>
        <w:tc>
          <w:tcPr>
            <w:tcW w:w="6328" w:type="dxa"/>
            <w:vAlign w:val="center"/>
          </w:tcPr>
          <w:p>
            <w:pPr>
              <w:spacing w:line="320" w:lineRule="exact"/>
              <w:jc w:val="center"/>
              <w:rPr>
                <w:rFonts w:eastAsia="宋体"/>
                <w:kern w:val="10"/>
                <w:sz w:val="21"/>
              </w:rPr>
            </w:pPr>
            <w:r>
              <w:rPr>
                <w:sz w:val="21"/>
              </w:rPr>
              <w:t>行业类别</w:t>
            </w:r>
          </w:p>
        </w:tc>
        <w:tc>
          <w:tcPr>
            <w:tcW w:w="1826" w:type="dxa"/>
            <w:vAlign w:val="center"/>
          </w:tcPr>
          <w:p>
            <w:pPr>
              <w:spacing w:line="320" w:lineRule="exact"/>
              <w:jc w:val="center"/>
              <w:rPr>
                <w:rFonts w:eastAsia="宋体"/>
                <w:kern w:val="10"/>
                <w:sz w:val="21"/>
              </w:rPr>
            </w:pPr>
            <w:r>
              <w:rPr>
                <w:sz w:val="21"/>
              </w:rPr>
              <w:t>入区相关要求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0" w:type="dxa"/>
            <w:vMerge w:val="restart"/>
            <w:vAlign w:val="center"/>
          </w:tcPr>
          <w:p>
            <w:pPr>
              <w:spacing w:line="320" w:lineRule="exact"/>
              <w:jc w:val="center"/>
              <w:rPr>
                <w:rFonts w:eastAsia="宋体"/>
                <w:kern w:val="10"/>
                <w:sz w:val="21"/>
              </w:rPr>
            </w:pPr>
            <w:r>
              <w:rPr>
                <w:sz w:val="21"/>
              </w:rPr>
              <w:t>鼓励类</w:t>
            </w:r>
          </w:p>
        </w:tc>
        <w:tc>
          <w:tcPr>
            <w:tcW w:w="6328" w:type="dxa"/>
            <w:vAlign w:val="center"/>
          </w:tcPr>
          <w:p>
            <w:pPr>
              <w:spacing w:line="320" w:lineRule="exact"/>
              <w:rPr>
                <w:rFonts w:eastAsia="宋体"/>
                <w:kern w:val="10"/>
                <w:sz w:val="21"/>
              </w:rPr>
            </w:pPr>
            <w:r>
              <w:rPr>
                <w:sz w:val="21"/>
              </w:rPr>
              <w:t>纺织产业：</w:t>
            </w:r>
            <w:r>
              <w:rPr>
                <w:rFonts w:hint="eastAsia" w:ascii="宋体" w:hAnsi="宋体"/>
                <w:sz w:val="21"/>
              </w:rPr>
              <w:t>采用紧密纺、低扭矩纺、赛络纺嵌入式纺纱等高速、新型纺纱技术生产多品种纤维混纺纱线及采用自动络筒、细络联、集体落纱等自动化设备生产高品质纱线；</w:t>
            </w:r>
            <w:r>
              <w:rPr>
                <w:sz w:val="21"/>
              </w:rPr>
              <w:t>采用高速机电一体化无梭织机等先进工艺和装备生产高支、高密的高档纺织品；废旧纺织回收再利用技术与产品生产</w:t>
            </w:r>
            <w:r>
              <w:rPr>
                <w:rFonts w:hint="eastAsia" w:ascii="宋体" w:hAnsi="宋体"/>
                <w:sz w:val="21"/>
              </w:rPr>
              <w:t>。</w:t>
            </w:r>
          </w:p>
        </w:tc>
        <w:tc>
          <w:tcPr>
            <w:tcW w:w="1826" w:type="dxa"/>
            <w:vMerge w:val="restart"/>
            <w:vAlign w:val="center"/>
          </w:tcPr>
          <w:p>
            <w:pPr>
              <w:spacing w:line="320" w:lineRule="exact"/>
              <w:jc w:val="center"/>
              <w:rPr>
                <w:rFonts w:eastAsia="宋体"/>
                <w:kern w:val="10"/>
                <w:sz w:val="21"/>
              </w:rPr>
            </w:pPr>
            <w:r>
              <w:rPr>
                <w:sz w:val="21"/>
              </w:rPr>
              <w:t>优先发展符合</w:t>
            </w:r>
            <w:r>
              <w:rPr>
                <w:rFonts w:hint="eastAsia"/>
                <w:sz w:val="21"/>
              </w:rPr>
              <w:t>《产业结构指导调整目录（2011年本）》（2013年修订本）</w:t>
            </w:r>
            <w:r>
              <w:rPr>
                <w:rFonts w:ascii="宋体" w:hAnsi="宋体"/>
                <w:sz w:val="21"/>
              </w:rPr>
              <w:t>的鼓励类的项目，禁止发展淘汰类的生产工艺、装备及落后产品。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50" w:type="dxa"/>
            <w:vMerge w:val="continue"/>
            <w:vAlign w:val="center"/>
          </w:tcPr>
          <w:p>
            <w:pPr>
              <w:widowControl/>
              <w:jc w:val="left"/>
              <w:rPr>
                <w:rFonts w:eastAsia="宋体"/>
                <w:kern w:val="10"/>
                <w:sz w:val="21"/>
              </w:rPr>
            </w:pPr>
          </w:p>
        </w:tc>
        <w:tc>
          <w:tcPr>
            <w:tcW w:w="6328" w:type="dxa"/>
            <w:vAlign w:val="center"/>
          </w:tcPr>
          <w:p>
            <w:pPr>
              <w:spacing w:line="320" w:lineRule="exact"/>
              <w:rPr>
                <w:rFonts w:eastAsia="宋体"/>
                <w:kern w:val="10"/>
                <w:sz w:val="21"/>
              </w:rPr>
            </w:pPr>
            <w:r>
              <w:rPr>
                <w:sz w:val="21"/>
              </w:rPr>
              <w:t>服装：制造中高档服装及家用纺织品</w:t>
            </w:r>
          </w:p>
        </w:tc>
        <w:tc>
          <w:tcPr>
            <w:tcW w:w="1826" w:type="dxa"/>
            <w:vMerge w:val="continue"/>
            <w:vAlign w:val="center"/>
          </w:tcPr>
          <w:p>
            <w:pPr>
              <w:widowControl/>
              <w:jc w:val="left"/>
              <w:rPr>
                <w:rFonts w:eastAsia="宋体"/>
                <w:kern w:val="1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widowControl/>
              <w:spacing w:line="320" w:lineRule="exact"/>
              <w:jc w:val="center"/>
              <w:rPr>
                <w:rFonts w:eastAsia="宋体"/>
                <w:kern w:val="10"/>
                <w:sz w:val="21"/>
              </w:rPr>
            </w:pPr>
            <w:r>
              <w:rPr>
                <w:sz w:val="21"/>
              </w:rPr>
              <w:t>禁止类</w:t>
            </w:r>
          </w:p>
        </w:tc>
        <w:tc>
          <w:tcPr>
            <w:tcW w:w="6328" w:type="dxa"/>
            <w:vAlign w:val="center"/>
          </w:tcPr>
          <w:p>
            <w:pPr>
              <w:widowControl/>
              <w:spacing w:line="320" w:lineRule="exact"/>
              <w:rPr>
                <w:rFonts w:eastAsia="宋体"/>
                <w:kern w:val="10"/>
                <w:sz w:val="21"/>
              </w:rPr>
            </w:pPr>
            <w:r>
              <w:rPr>
                <w:sz w:val="21"/>
              </w:rPr>
              <w:t>禁止纺织</w:t>
            </w:r>
            <w:r>
              <w:rPr>
                <w:rFonts w:hint="eastAsia" w:ascii="宋体" w:hAnsi="宋体"/>
                <w:sz w:val="21"/>
              </w:rPr>
              <w:t>工业类毛纺织染整</w:t>
            </w:r>
            <w:r>
              <w:rPr>
                <w:sz w:val="21"/>
              </w:rPr>
              <w:t>；</w:t>
            </w:r>
            <w:r>
              <w:rPr>
                <w:rFonts w:hint="eastAsia" w:ascii="宋体" w:hAnsi="宋体"/>
                <w:sz w:val="21"/>
              </w:rPr>
              <w:t>棉、化纤及其混纺染整；麻纺织业中的脱胶、浸解染整，粘胶、维纶、涤纶、晴纶纤维制造及不符合产业政策的纺织及装置项目；</w:t>
            </w:r>
            <w:r>
              <w:rPr>
                <w:sz w:val="21"/>
              </w:rPr>
              <w:t>服装企业涉及水洗工序；禁止引进与纺织无关的企业</w:t>
            </w:r>
          </w:p>
        </w:tc>
        <w:tc>
          <w:tcPr>
            <w:tcW w:w="1826" w:type="dxa"/>
            <w:vMerge w:val="continue"/>
            <w:vAlign w:val="center"/>
          </w:tcPr>
          <w:p>
            <w:pPr>
              <w:widowControl/>
              <w:jc w:val="left"/>
              <w:rPr>
                <w:rFonts w:eastAsia="宋体"/>
                <w:kern w:val="10"/>
                <w:sz w:val="21"/>
              </w:rPr>
            </w:pPr>
          </w:p>
        </w:tc>
      </w:tr>
    </w:tbl>
    <w:p>
      <w:pPr>
        <w:pStyle w:val="5"/>
      </w:pPr>
      <w:r>
        <w:t>区域污染源调查</w:t>
      </w:r>
    </w:p>
    <w:p>
      <w:pPr>
        <w:spacing w:line="360" w:lineRule="auto"/>
        <w:ind w:firstLine="480" w:firstLineChars="200"/>
      </w:pPr>
      <w:r>
        <w:rPr>
          <w:rFonts w:ascii="宋体" w:hAnsi="宋体"/>
        </w:rPr>
        <w:t>园区内现有污染源主要来源于区内现有的企业，具体各企业的基本情况及污染物排放情况见下表所示</w:t>
      </w:r>
      <w:r>
        <w:rPr>
          <w:rFonts w:hint="eastAsia" w:ascii="宋体" w:hAnsi="宋体"/>
        </w:rPr>
        <w:t>。</w:t>
      </w:r>
    </w:p>
    <w:p>
      <w:pPr>
        <w:pStyle w:val="14"/>
        <w:spacing w:line="240" w:lineRule="auto"/>
      </w:pPr>
      <w:r>
        <w:t>表</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4</w:t>
      </w:r>
      <w:r>
        <w:fldChar w:fldCharType="end"/>
      </w:r>
      <w:r>
        <w:rPr>
          <w:rFonts w:hint="eastAsia"/>
        </w:rPr>
        <w:t xml:space="preserve">  石伏工业园内现有企业基本情况表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4"/>
        <w:gridCol w:w="677"/>
        <w:gridCol w:w="983"/>
        <w:gridCol w:w="1305"/>
        <w:gridCol w:w="1336"/>
        <w:gridCol w:w="1617"/>
        <w:gridCol w:w="1028"/>
        <w:gridCol w:w="13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4"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公司名称</w:t>
            </w:r>
          </w:p>
        </w:tc>
        <w:tc>
          <w:tcPr>
            <w:tcW w:w="677"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法人代表</w:t>
            </w:r>
          </w:p>
        </w:tc>
        <w:tc>
          <w:tcPr>
            <w:tcW w:w="983"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投产时间</w:t>
            </w:r>
          </w:p>
        </w:tc>
        <w:tc>
          <w:tcPr>
            <w:tcW w:w="1305"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用地面积（亩）</w:t>
            </w:r>
          </w:p>
        </w:tc>
        <w:tc>
          <w:tcPr>
            <w:tcW w:w="1336"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建筑面积（m</w:t>
            </w:r>
            <w:r>
              <w:rPr>
                <w:rFonts w:ascii="Times New Roman" w:hAnsi="Times New Roman"/>
                <w:color w:val="000000" w:themeColor="text1"/>
                <w:vertAlign w:val="superscript"/>
              </w:rPr>
              <w:t>2</w:t>
            </w:r>
            <w:r>
              <w:rPr>
                <w:rFonts w:ascii="Times New Roman" w:hAnsi="Times New Roman"/>
                <w:color w:val="000000" w:themeColor="text1"/>
              </w:rPr>
              <w:t>）</w:t>
            </w:r>
          </w:p>
        </w:tc>
        <w:tc>
          <w:tcPr>
            <w:tcW w:w="1617"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生产规模</w:t>
            </w:r>
          </w:p>
        </w:tc>
        <w:tc>
          <w:tcPr>
            <w:tcW w:w="1028"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总投资（万元）</w:t>
            </w:r>
          </w:p>
        </w:tc>
        <w:tc>
          <w:tcPr>
            <w:tcW w:w="1312"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环保手续履行情况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6" w:hRule="atLeast"/>
        </w:trPr>
        <w:tc>
          <w:tcPr>
            <w:tcW w:w="984"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湖南喜多多食品有限公司</w:t>
            </w:r>
          </w:p>
        </w:tc>
        <w:tc>
          <w:tcPr>
            <w:tcW w:w="677"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戚立红</w:t>
            </w:r>
          </w:p>
        </w:tc>
        <w:tc>
          <w:tcPr>
            <w:tcW w:w="983"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2012年8月</w:t>
            </w:r>
          </w:p>
        </w:tc>
        <w:tc>
          <w:tcPr>
            <w:tcW w:w="1305"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40</w:t>
            </w:r>
          </w:p>
        </w:tc>
        <w:tc>
          <w:tcPr>
            <w:tcW w:w="1336"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1800</w:t>
            </w:r>
          </w:p>
        </w:tc>
        <w:tc>
          <w:tcPr>
            <w:tcW w:w="1617"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年加工蔬菜7000吨，年加工南瓜3.6万吨，年产酸菜风味包10亿个</w:t>
            </w:r>
          </w:p>
        </w:tc>
        <w:tc>
          <w:tcPr>
            <w:tcW w:w="1028"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8000</w:t>
            </w:r>
          </w:p>
        </w:tc>
        <w:tc>
          <w:tcPr>
            <w:tcW w:w="1312"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完成环评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4"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华翔彩瓦厂</w:t>
            </w:r>
          </w:p>
        </w:tc>
        <w:tc>
          <w:tcPr>
            <w:tcW w:w="677"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刘迪明</w:t>
            </w:r>
          </w:p>
        </w:tc>
        <w:tc>
          <w:tcPr>
            <w:tcW w:w="983"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2009年8月</w:t>
            </w:r>
          </w:p>
        </w:tc>
        <w:tc>
          <w:tcPr>
            <w:tcW w:w="1305"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4</w:t>
            </w:r>
          </w:p>
        </w:tc>
        <w:tc>
          <w:tcPr>
            <w:tcW w:w="1336"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200</w:t>
            </w:r>
          </w:p>
        </w:tc>
        <w:tc>
          <w:tcPr>
            <w:tcW w:w="1617"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年产2万片彩瓦</w:t>
            </w:r>
          </w:p>
        </w:tc>
        <w:tc>
          <w:tcPr>
            <w:tcW w:w="1028"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3</w:t>
            </w:r>
          </w:p>
        </w:tc>
        <w:tc>
          <w:tcPr>
            <w:tcW w:w="1312" w:type="dxa"/>
            <w:vAlign w:val="center"/>
          </w:tcPr>
          <w:p>
            <w:pPr>
              <w:pStyle w:val="141"/>
              <w:jc w:val="center"/>
              <w:rPr>
                <w:rFonts w:ascii="Times New Roman" w:hAnsi="Times New Roman"/>
                <w:color w:val="000000" w:themeColor="text1"/>
                <w:kern w:val="0"/>
              </w:rPr>
            </w:pPr>
            <w:r>
              <w:rPr>
                <w:rFonts w:ascii="Times New Roman" w:hAnsi="Times New Roman"/>
                <w:color w:val="000000" w:themeColor="text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4" w:type="dxa"/>
            <w:vAlign w:val="center"/>
          </w:tcPr>
          <w:p>
            <w:pPr>
              <w:pStyle w:val="141"/>
              <w:jc w:val="center"/>
              <w:rPr>
                <w:rFonts w:ascii="Times New Roman" w:hAnsi="Times New Roman"/>
                <w:color w:val="000000" w:themeColor="text1"/>
              </w:rPr>
            </w:pPr>
            <w:r>
              <w:rPr>
                <w:rFonts w:ascii="Times New Roman" w:hAnsi="Times New Roman"/>
                <w:color w:val="000000" w:themeColor="text1"/>
              </w:rPr>
              <w:t>华润雪花啤酒（湖南）有限公司</w:t>
            </w:r>
          </w:p>
        </w:tc>
        <w:tc>
          <w:tcPr>
            <w:tcW w:w="677" w:type="dxa"/>
            <w:vAlign w:val="center"/>
          </w:tcPr>
          <w:p>
            <w:pPr>
              <w:pStyle w:val="141"/>
              <w:jc w:val="center"/>
              <w:rPr>
                <w:rFonts w:ascii="Times New Roman" w:hAnsi="Times New Roman"/>
                <w:color w:val="000000" w:themeColor="text1"/>
              </w:rPr>
            </w:pPr>
            <w:r>
              <w:rPr>
                <w:rFonts w:ascii="Times New Roman" w:hAnsi="Times New Roman"/>
                <w:color w:val="000000" w:themeColor="text1"/>
              </w:rPr>
              <w:t>王群</w:t>
            </w:r>
          </w:p>
        </w:tc>
        <w:tc>
          <w:tcPr>
            <w:tcW w:w="983" w:type="dxa"/>
            <w:vAlign w:val="center"/>
          </w:tcPr>
          <w:p>
            <w:pPr>
              <w:pStyle w:val="141"/>
              <w:jc w:val="center"/>
              <w:rPr>
                <w:rFonts w:ascii="Times New Roman" w:hAnsi="Times New Roman"/>
                <w:color w:val="000000" w:themeColor="text1"/>
              </w:rPr>
            </w:pPr>
            <w:r>
              <w:rPr>
                <w:rFonts w:ascii="Times New Roman" w:hAnsi="Times New Roman"/>
                <w:color w:val="000000" w:themeColor="text1"/>
              </w:rPr>
              <w:t>2001年09年30日</w:t>
            </w:r>
          </w:p>
        </w:tc>
        <w:tc>
          <w:tcPr>
            <w:tcW w:w="1305" w:type="dxa"/>
            <w:vAlign w:val="center"/>
          </w:tcPr>
          <w:p>
            <w:pPr>
              <w:pStyle w:val="141"/>
              <w:jc w:val="center"/>
              <w:rPr>
                <w:rFonts w:ascii="Times New Roman" w:hAnsi="Times New Roman"/>
                <w:color w:val="000000" w:themeColor="text1"/>
              </w:rPr>
            </w:pPr>
            <w:r>
              <w:rPr>
                <w:rFonts w:ascii="Times New Roman" w:hAnsi="Times New Roman"/>
                <w:color w:val="000000" w:themeColor="text1"/>
              </w:rPr>
              <w:t>/</w:t>
            </w:r>
          </w:p>
        </w:tc>
        <w:tc>
          <w:tcPr>
            <w:tcW w:w="1336" w:type="dxa"/>
            <w:vAlign w:val="center"/>
          </w:tcPr>
          <w:p>
            <w:pPr>
              <w:pStyle w:val="141"/>
              <w:jc w:val="center"/>
              <w:rPr>
                <w:rFonts w:ascii="Times New Roman" w:hAnsi="Times New Roman"/>
                <w:color w:val="000000" w:themeColor="text1"/>
              </w:rPr>
            </w:pPr>
            <w:r>
              <w:rPr>
                <w:rFonts w:ascii="Times New Roman" w:hAnsi="Times New Roman"/>
                <w:color w:val="000000" w:themeColor="text1"/>
              </w:rPr>
              <w:t>20000</w:t>
            </w:r>
          </w:p>
        </w:tc>
        <w:tc>
          <w:tcPr>
            <w:tcW w:w="1617" w:type="dxa"/>
            <w:vAlign w:val="center"/>
          </w:tcPr>
          <w:p>
            <w:pPr>
              <w:pStyle w:val="141"/>
              <w:jc w:val="center"/>
              <w:rPr>
                <w:rFonts w:ascii="Times New Roman" w:hAnsi="Times New Roman"/>
                <w:color w:val="000000" w:themeColor="text1"/>
              </w:rPr>
            </w:pPr>
            <w:r>
              <w:rPr>
                <w:rFonts w:ascii="Times New Roman" w:hAnsi="Times New Roman"/>
                <w:color w:val="000000" w:themeColor="text1"/>
              </w:rPr>
              <w:t>年产20万吨啤酒</w:t>
            </w:r>
          </w:p>
        </w:tc>
        <w:tc>
          <w:tcPr>
            <w:tcW w:w="1028" w:type="dxa"/>
            <w:vAlign w:val="center"/>
          </w:tcPr>
          <w:p>
            <w:pPr>
              <w:pStyle w:val="141"/>
              <w:jc w:val="center"/>
              <w:rPr>
                <w:rFonts w:ascii="Times New Roman" w:hAnsi="Times New Roman"/>
                <w:color w:val="000000" w:themeColor="text1"/>
              </w:rPr>
            </w:pPr>
            <w:r>
              <w:rPr>
                <w:rFonts w:ascii="Times New Roman" w:hAnsi="Times New Roman"/>
                <w:color w:val="000000" w:themeColor="text1"/>
              </w:rPr>
              <w:t>4115</w:t>
            </w:r>
          </w:p>
        </w:tc>
        <w:tc>
          <w:tcPr>
            <w:tcW w:w="1312" w:type="dxa"/>
            <w:vAlign w:val="center"/>
          </w:tcPr>
          <w:p>
            <w:pPr>
              <w:pStyle w:val="141"/>
              <w:jc w:val="center"/>
              <w:rPr>
                <w:rFonts w:ascii="Times New Roman" w:hAnsi="Times New Roman"/>
                <w:color w:val="000000" w:themeColor="text1"/>
              </w:rPr>
            </w:pPr>
            <w:r>
              <w:rPr>
                <w:rFonts w:ascii="Times New Roman" w:hAnsi="Times New Roman"/>
                <w:color w:val="000000" w:themeColor="text1"/>
              </w:rPr>
              <w:t>完成环评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4" w:type="dxa"/>
            <w:vAlign w:val="center"/>
          </w:tcPr>
          <w:p>
            <w:pPr>
              <w:pStyle w:val="141"/>
              <w:jc w:val="center"/>
              <w:rPr>
                <w:rFonts w:ascii="Times New Roman" w:hAnsi="Times New Roman"/>
                <w:color w:val="000000" w:themeColor="text1"/>
              </w:rPr>
            </w:pPr>
            <w:r>
              <w:rPr>
                <w:rFonts w:ascii="Times New Roman" w:hAnsi="Times New Roman"/>
                <w:color w:val="000000" w:themeColor="text1"/>
              </w:rPr>
              <w:t>岳阳宝丽纺织有限公司</w:t>
            </w:r>
          </w:p>
        </w:tc>
        <w:tc>
          <w:tcPr>
            <w:tcW w:w="677" w:type="dxa"/>
            <w:vAlign w:val="center"/>
          </w:tcPr>
          <w:p>
            <w:pPr>
              <w:pStyle w:val="141"/>
              <w:jc w:val="center"/>
              <w:rPr>
                <w:rFonts w:ascii="Times New Roman" w:hAnsi="Times New Roman"/>
                <w:color w:val="000000" w:themeColor="text1"/>
              </w:rPr>
            </w:pPr>
            <w:r>
              <w:rPr>
                <w:rFonts w:ascii="Times New Roman" w:hAnsi="Times New Roman"/>
                <w:color w:val="000000" w:themeColor="text1"/>
              </w:rPr>
              <w:t>张红艳</w:t>
            </w:r>
          </w:p>
        </w:tc>
        <w:tc>
          <w:tcPr>
            <w:tcW w:w="983" w:type="dxa"/>
            <w:vAlign w:val="center"/>
          </w:tcPr>
          <w:p>
            <w:pPr>
              <w:pStyle w:val="141"/>
              <w:jc w:val="center"/>
              <w:rPr>
                <w:rFonts w:ascii="Times New Roman" w:hAnsi="Times New Roman"/>
                <w:color w:val="000000" w:themeColor="text1"/>
              </w:rPr>
            </w:pPr>
            <w:r>
              <w:rPr>
                <w:rFonts w:ascii="Times New Roman" w:hAnsi="Times New Roman"/>
                <w:color w:val="000000" w:themeColor="text1"/>
              </w:rPr>
              <w:t>2016年1月29日</w:t>
            </w:r>
          </w:p>
        </w:tc>
        <w:tc>
          <w:tcPr>
            <w:tcW w:w="1305" w:type="dxa"/>
            <w:vAlign w:val="center"/>
          </w:tcPr>
          <w:p>
            <w:pPr>
              <w:pStyle w:val="141"/>
              <w:jc w:val="center"/>
              <w:rPr>
                <w:rFonts w:ascii="Times New Roman" w:hAnsi="Times New Roman"/>
                <w:color w:val="000000" w:themeColor="text1"/>
              </w:rPr>
            </w:pPr>
            <w:r>
              <w:rPr>
                <w:rFonts w:ascii="Times New Roman" w:hAnsi="Times New Roman"/>
                <w:color w:val="000000" w:themeColor="text1"/>
              </w:rPr>
              <w:t>/</w:t>
            </w:r>
          </w:p>
        </w:tc>
        <w:tc>
          <w:tcPr>
            <w:tcW w:w="1336" w:type="dxa"/>
            <w:vAlign w:val="center"/>
          </w:tcPr>
          <w:p>
            <w:pPr>
              <w:pStyle w:val="141"/>
              <w:jc w:val="center"/>
              <w:rPr>
                <w:rFonts w:ascii="Times New Roman" w:hAnsi="Times New Roman"/>
                <w:color w:val="000000" w:themeColor="text1"/>
              </w:rPr>
            </w:pPr>
            <w:r>
              <w:rPr>
                <w:rFonts w:ascii="Times New Roman" w:hAnsi="Times New Roman"/>
                <w:color w:val="000000" w:themeColor="text1"/>
              </w:rPr>
              <w:t>12000</w:t>
            </w:r>
          </w:p>
        </w:tc>
        <w:tc>
          <w:tcPr>
            <w:tcW w:w="1617" w:type="dxa"/>
            <w:vAlign w:val="center"/>
          </w:tcPr>
          <w:p>
            <w:pPr>
              <w:pStyle w:val="141"/>
              <w:jc w:val="center"/>
              <w:rPr>
                <w:rFonts w:ascii="Times New Roman" w:hAnsi="Times New Roman"/>
                <w:color w:val="000000" w:themeColor="text1"/>
              </w:rPr>
            </w:pPr>
            <w:r>
              <w:rPr>
                <w:rFonts w:ascii="Times New Roman" w:hAnsi="Times New Roman"/>
                <w:color w:val="000000" w:themeColor="text1"/>
                <w:shd w:val="clear" w:color="auto" w:fill="FFFFFF"/>
              </w:rPr>
              <w:t>3</w:t>
            </w:r>
            <w:r>
              <w:rPr>
                <w:rFonts w:ascii="Times New Roman" w:hAnsi="Verdana"/>
                <w:color w:val="000000" w:themeColor="text1"/>
                <w:shd w:val="clear" w:color="auto" w:fill="FFFFFF"/>
              </w:rPr>
              <w:t>万锭配套的环锭纺生产线，</w:t>
            </w:r>
            <w:r>
              <w:rPr>
                <w:rFonts w:ascii="Times New Roman" w:hAnsi="Times New Roman"/>
                <w:color w:val="000000" w:themeColor="text1"/>
                <w:shd w:val="clear" w:color="auto" w:fill="FFFFFF"/>
              </w:rPr>
              <w:t>96</w:t>
            </w:r>
            <w:r>
              <w:rPr>
                <w:rFonts w:ascii="Times New Roman" w:hAnsi="Verdana"/>
                <w:color w:val="000000" w:themeColor="text1"/>
                <w:shd w:val="clear" w:color="auto" w:fill="FFFFFF"/>
              </w:rPr>
              <w:t>型轧花生产线</w:t>
            </w:r>
            <w:r>
              <w:rPr>
                <w:rFonts w:ascii="Times New Roman" w:hAnsi="Times New Roman"/>
                <w:color w:val="000000" w:themeColor="text1"/>
                <w:shd w:val="clear" w:color="auto" w:fill="FFFFFF"/>
              </w:rPr>
              <w:t>2</w:t>
            </w:r>
            <w:r>
              <w:rPr>
                <w:rFonts w:ascii="Times New Roman" w:hAnsi="Verdana"/>
                <w:color w:val="000000" w:themeColor="text1"/>
                <w:shd w:val="clear" w:color="auto" w:fill="FFFFFF"/>
              </w:rPr>
              <w:t>条</w:t>
            </w:r>
          </w:p>
        </w:tc>
        <w:tc>
          <w:tcPr>
            <w:tcW w:w="1028" w:type="dxa"/>
            <w:vAlign w:val="center"/>
          </w:tcPr>
          <w:p>
            <w:pPr>
              <w:pStyle w:val="141"/>
              <w:jc w:val="center"/>
              <w:rPr>
                <w:rFonts w:ascii="Times New Roman" w:hAnsi="Times New Roman"/>
                <w:color w:val="000000" w:themeColor="text1"/>
              </w:rPr>
            </w:pPr>
            <w:r>
              <w:rPr>
                <w:rFonts w:ascii="Times New Roman" w:hAnsi="Times New Roman"/>
                <w:color w:val="000000" w:themeColor="text1"/>
              </w:rPr>
              <w:t>12000</w:t>
            </w:r>
          </w:p>
        </w:tc>
        <w:tc>
          <w:tcPr>
            <w:tcW w:w="1312" w:type="dxa"/>
            <w:vAlign w:val="center"/>
          </w:tcPr>
          <w:p>
            <w:pPr>
              <w:pStyle w:val="141"/>
              <w:jc w:val="center"/>
              <w:rPr>
                <w:rFonts w:ascii="Times New Roman" w:hAnsi="Times New Roman"/>
                <w:color w:val="000000" w:themeColor="text1"/>
              </w:rPr>
            </w:pPr>
            <w:r>
              <w:rPr>
                <w:rFonts w:ascii="Times New Roman" w:hAnsi="Times New Roman"/>
                <w:color w:val="000000" w:themeColor="text1"/>
              </w:rPr>
              <w:t>完成环评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4" w:type="dxa"/>
            <w:vAlign w:val="center"/>
          </w:tcPr>
          <w:p>
            <w:pPr>
              <w:pStyle w:val="141"/>
              <w:jc w:val="center"/>
              <w:rPr>
                <w:rFonts w:ascii="Times New Roman" w:hAnsi="Times New Roman"/>
                <w:color w:val="000000" w:themeColor="text1"/>
              </w:rPr>
            </w:pPr>
            <w:r>
              <w:rPr>
                <w:rFonts w:ascii="Times New Roman" w:hAnsi="Times New Roman"/>
                <w:color w:val="000000" w:themeColor="text1"/>
              </w:rPr>
              <w:t>华容大宏生猪交易有限公司</w:t>
            </w:r>
          </w:p>
        </w:tc>
        <w:tc>
          <w:tcPr>
            <w:tcW w:w="677" w:type="dxa"/>
            <w:vAlign w:val="center"/>
          </w:tcPr>
          <w:p>
            <w:pPr>
              <w:pStyle w:val="141"/>
              <w:jc w:val="center"/>
              <w:rPr>
                <w:rFonts w:ascii="Times New Roman" w:hAnsi="Times New Roman"/>
                <w:color w:val="000000" w:themeColor="text1"/>
              </w:rPr>
            </w:pPr>
            <w:r>
              <w:rPr>
                <w:rFonts w:ascii="Times New Roman" w:hAnsi="Times New Roman"/>
                <w:color w:val="000000" w:themeColor="text1"/>
              </w:rPr>
              <w:t>陈天喜</w:t>
            </w:r>
          </w:p>
        </w:tc>
        <w:tc>
          <w:tcPr>
            <w:tcW w:w="983" w:type="dxa"/>
            <w:vAlign w:val="center"/>
          </w:tcPr>
          <w:p>
            <w:pPr>
              <w:pStyle w:val="141"/>
              <w:jc w:val="center"/>
              <w:rPr>
                <w:rFonts w:ascii="Times New Roman" w:hAnsi="Times New Roman"/>
                <w:color w:val="000000" w:themeColor="text1"/>
              </w:rPr>
            </w:pPr>
            <w:r>
              <w:rPr>
                <w:rFonts w:ascii="Times New Roman" w:hAnsi="Times New Roman"/>
                <w:color w:val="000000" w:themeColor="text1"/>
              </w:rPr>
              <w:t>2017年6月21日</w:t>
            </w:r>
          </w:p>
        </w:tc>
        <w:tc>
          <w:tcPr>
            <w:tcW w:w="1305" w:type="dxa"/>
            <w:vAlign w:val="center"/>
          </w:tcPr>
          <w:p>
            <w:pPr>
              <w:pStyle w:val="141"/>
              <w:jc w:val="center"/>
              <w:rPr>
                <w:rFonts w:ascii="Times New Roman" w:hAnsi="Times New Roman"/>
                <w:color w:val="000000" w:themeColor="text1"/>
              </w:rPr>
            </w:pPr>
            <w:r>
              <w:rPr>
                <w:rFonts w:ascii="Times New Roman" w:hAnsi="Times New Roman"/>
                <w:color w:val="000000" w:themeColor="text1"/>
              </w:rPr>
              <w:t>/</w:t>
            </w:r>
          </w:p>
        </w:tc>
        <w:tc>
          <w:tcPr>
            <w:tcW w:w="1336" w:type="dxa"/>
            <w:vAlign w:val="center"/>
          </w:tcPr>
          <w:p>
            <w:pPr>
              <w:pStyle w:val="141"/>
              <w:jc w:val="center"/>
              <w:rPr>
                <w:rFonts w:ascii="Times New Roman" w:hAnsi="Times New Roman"/>
                <w:color w:val="000000" w:themeColor="text1"/>
              </w:rPr>
            </w:pPr>
            <w:r>
              <w:rPr>
                <w:rFonts w:ascii="Times New Roman" w:hAnsi="Times New Roman"/>
                <w:color w:val="000000" w:themeColor="text1"/>
              </w:rPr>
              <w:t>5000</w:t>
            </w:r>
          </w:p>
        </w:tc>
        <w:tc>
          <w:tcPr>
            <w:tcW w:w="1617" w:type="dxa"/>
            <w:vAlign w:val="center"/>
          </w:tcPr>
          <w:p>
            <w:pPr>
              <w:pStyle w:val="141"/>
              <w:jc w:val="center"/>
              <w:rPr>
                <w:rFonts w:ascii="Times New Roman" w:hAnsi="Times New Roman"/>
                <w:color w:val="000000" w:themeColor="text1"/>
              </w:rPr>
            </w:pPr>
            <w:r>
              <w:rPr>
                <w:rFonts w:ascii="Times New Roman" w:hAnsi="Times New Roman"/>
                <w:bCs/>
                <w:color w:val="000000" w:themeColor="text1"/>
              </w:rPr>
              <w:t>日交易生猪300头，不涉及屠宰</w:t>
            </w:r>
          </w:p>
        </w:tc>
        <w:tc>
          <w:tcPr>
            <w:tcW w:w="1028" w:type="dxa"/>
            <w:vAlign w:val="center"/>
          </w:tcPr>
          <w:p>
            <w:pPr>
              <w:pStyle w:val="141"/>
              <w:jc w:val="center"/>
              <w:rPr>
                <w:rFonts w:ascii="Times New Roman" w:hAnsi="Times New Roman"/>
                <w:color w:val="000000" w:themeColor="text1"/>
              </w:rPr>
            </w:pPr>
            <w:r>
              <w:rPr>
                <w:rFonts w:ascii="Times New Roman" w:hAnsi="Times New Roman"/>
                <w:color w:val="000000" w:themeColor="text1"/>
              </w:rPr>
              <w:t>280</w:t>
            </w:r>
          </w:p>
        </w:tc>
        <w:tc>
          <w:tcPr>
            <w:tcW w:w="1312" w:type="dxa"/>
            <w:vAlign w:val="center"/>
          </w:tcPr>
          <w:p>
            <w:pPr>
              <w:pStyle w:val="141"/>
              <w:jc w:val="center"/>
              <w:rPr>
                <w:rFonts w:ascii="Times New Roman" w:hAnsi="Times New Roman"/>
                <w:color w:val="000000" w:themeColor="text1"/>
              </w:rPr>
            </w:pPr>
            <w:r>
              <w:rPr>
                <w:rFonts w:ascii="Times New Roman" w:hAnsi="Times New Roman"/>
                <w:color w:val="000000" w:themeColor="text1"/>
              </w:rPr>
              <w:t>完成环评</w:t>
            </w:r>
          </w:p>
        </w:tc>
      </w:tr>
    </w:tbl>
    <w:p>
      <w:bookmarkStart w:id="132" w:name="_Toc532497647"/>
      <w:bookmarkStart w:id="133" w:name="_Toc532376155"/>
      <w:bookmarkStart w:id="134" w:name="_Toc24611"/>
      <w:bookmarkStart w:id="135" w:name="_Toc532498748"/>
      <w:bookmarkStart w:id="136" w:name="_Toc532763212"/>
    </w:p>
    <w:p>
      <w:pPr>
        <w:pStyle w:val="4"/>
        <w:rPr>
          <w:color w:val="000000" w:themeColor="text1"/>
        </w:rPr>
      </w:pPr>
      <w:r>
        <w:rPr>
          <w:rFonts w:hint="eastAsia"/>
          <w:color w:val="000000" w:themeColor="text1"/>
        </w:rPr>
        <w:t>环境质量现状监测与评价</w:t>
      </w:r>
      <w:bookmarkEnd w:id="132"/>
      <w:bookmarkEnd w:id="133"/>
      <w:bookmarkEnd w:id="134"/>
      <w:bookmarkEnd w:id="135"/>
      <w:bookmarkEnd w:id="136"/>
    </w:p>
    <w:p>
      <w:pPr>
        <w:pStyle w:val="5"/>
        <w:rPr>
          <w:color w:val="000000" w:themeColor="text1"/>
        </w:rPr>
      </w:pPr>
      <w:bookmarkStart w:id="137" w:name="_Toc532497648"/>
      <w:r>
        <w:rPr>
          <w:rFonts w:hint="eastAsia"/>
          <w:color w:val="000000" w:themeColor="text1"/>
        </w:rPr>
        <w:t>地表水环境现状调查及评级</w:t>
      </w:r>
      <w:bookmarkEnd w:id="137"/>
    </w:p>
    <w:p>
      <w:pPr>
        <w:spacing w:line="360" w:lineRule="auto"/>
        <w:ind w:firstLine="480" w:firstLineChars="200"/>
        <w:rPr>
          <w:color w:val="000000" w:themeColor="text1"/>
        </w:rPr>
      </w:pPr>
      <w:r>
        <w:rPr>
          <w:rFonts w:hint="eastAsia"/>
          <w:color w:val="000000" w:themeColor="text1"/>
        </w:rPr>
        <w:t>本项目的现状监测委托</w:t>
      </w:r>
      <w:r>
        <w:rPr>
          <w:rFonts w:hint="eastAsia" w:ascii="Times New Roman" w:hAnsi="Times New Roman" w:eastAsiaTheme="minorEastAsia" w:cstheme="minorBidi"/>
          <w:kern w:val="2"/>
          <w:sz w:val="24"/>
          <w:szCs w:val="21"/>
          <w:lang w:val="en-US" w:eastAsia="zh-CN" w:bidi="ar-SA"/>
        </w:rPr>
        <w:t>湖南昌源环境科技有限公司</w:t>
      </w:r>
      <w:r>
        <w:rPr>
          <w:rFonts w:hint="eastAsia"/>
          <w:color w:val="000000" w:themeColor="text1"/>
        </w:rPr>
        <w:t>进行检测，对项目所在地水环境现状进行评价，监测采样时间为2019年5月20日至2019年5月22日。</w:t>
      </w:r>
    </w:p>
    <w:p>
      <w:pPr>
        <w:spacing w:line="360" w:lineRule="auto"/>
        <w:ind w:firstLine="480" w:firstLineChars="200"/>
        <w:rPr>
          <w:color w:val="000000" w:themeColor="text1"/>
        </w:rPr>
      </w:pPr>
      <w:r>
        <w:rPr>
          <w:rFonts w:hint="eastAsia"/>
          <w:color w:val="000000" w:themeColor="text1"/>
        </w:rPr>
        <w:t>（1）监测因子、布点及监测时间</w:t>
      </w:r>
    </w:p>
    <w:p>
      <w:pPr>
        <w:spacing w:line="360" w:lineRule="auto"/>
        <w:ind w:firstLine="480" w:firstLineChars="200"/>
        <w:rPr>
          <w:color w:val="000000" w:themeColor="text1"/>
        </w:rPr>
      </w:pPr>
      <w:r>
        <w:rPr>
          <w:rFonts w:hint="eastAsia"/>
          <w:color w:val="000000" w:themeColor="text1"/>
        </w:rPr>
        <w:t>评价区域设置2个地表水环境质量现状监测点，具体监测断面见</w:t>
      </w:r>
      <w:r>
        <w:fldChar w:fldCharType="begin"/>
      </w:r>
      <w:r>
        <w:instrText xml:space="preserve"> REF _Ref494362163 \h  \* MERGEFORMAT </w:instrText>
      </w:r>
      <w:r>
        <w:fldChar w:fldCharType="separate"/>
      </w:r>
      <w:r>
        <w:rPr>
          <w:rFonts w:hint="eastAsia"/>
          <w:color w:val="000000" w:themeColor="text1"/>
        </w:rPr>
        <w:t>表</w:t>
      </w:r>
      <w:r>
        <w:rPr>
          <w:color w:val="000000" w:themeColor="text1"/>
        </w:rPr>
        <w:t>4.3</w:t>
      </w:r>
      <w:r>
        <w:rPr>
          <w:color w:val="000000" w:themeColor="text1"/>
        </w:rPr>
        <w:noBreakHyphen/>
      </w:r>
      <w:r>
        <w:rPr>
          <w:color w:val="000000" w:themeColor="text1"/>
        </w:rPr>
        <w:t>1</w:t>
      </w:r>
      <w:r>
        <w:rPr>
          <w:color w:val="000000" w:themeColor="text1"/>
        </w:rPr>
        <w:fldChar w:fldCharType="end"/>
      </w:r>
      <w:r>
        <w:rPr>
          <w:rFonts w:hint="eastAsia"/>
          <w:color w:val="000000" w:themeColor="text1"/>
        </w:rPr>
        <w:t>。</w:t>
      </w:r>
    </w:p>
    <w:p>
      <w:pPr>
        <w:pStyle w:val="14"/>
        <w:adjustRightInd w:val="0"/>
        <w:snapToGrid w:val="0"/>
        <w:spacing w:line="240" w:lineRule="auto"/>
        <w:rPr>
          <w:color w:val="000000" w:themeColor="text1"/>
        </w:rPr>
      </w:pPr>
      <w:bookmarkStart w:id="138" w:name="_Ref466993248"/>
      <w:bookmarkStart w:id="139" w:name="_Ref494362163"/>
      <w:bookmarkStart w:id="140" w:name="_Ref466993231"/>
      <w:r>
        <w:rPr>
          <w:rFonts w:hint="eastAsia"/>
          <w:color w:val="000000" w:themeColor="text1"/>
        </w:rPr>
        <w:t>表</w:t>
      </w:r>
      <w:bookmarkEnd w:id="138"/>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1</w:t>
      </w:r>
      <w:r>
        <w:rPr>
          <w:color w:val="000000" w:themeColor="text1"/>
        </w:rPr>
        <w:fldChar w:fldCharType="end"/>
      </w:r>
      <w:bookmarkEnd w:id="139"/>
      <w:r>
        <w:rPr>
          <w:rFonts w:hint="eastAsia"/>
          <w:color w:val="000000" w:themeColor="text1"/>
        </w:rPr>
        <w:t xml:space="preserve"> 地表水监测因子、布点及监测时间和频率表</w:t>
      </w:r>
    </w:p>
    <w:bookmarkEnd w:id="140"/>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2"/>
        <w:gridCol w:w="1786"/>
        <w:gridCol w:w="3224"/>
        <w:gridCol w:w="34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90" w:hRule="atLeast"/>
        </w:trPr>
        <w:tc>
          <w:tcPr>
            <w:tcW w:w="792" w:type="dxa"/>
            <w:tcBorders>
              <w:top w:val="single" w:color="auto" w:sz="12" w:space="0"/>
              <w:bottom w:val="single" w:color="auto" w:sz="6" w:space="0"/>
            </w:tcBorders>
            <w:vAlign w:val="center"/>
          </w:tcPr>
          <w:p>
            <w:pPr>
              <w:adjustRightInd w:val="0"/>
              <w:snapToGrid w:val="0"/>
              <w:jc w:val="center"/>
              <w:rPr>
                <w:color w:val="000000" w:themeColor="text1"/>
                <w:sz w:val="21"/>
              </w:rPr>
            </w:pPr>
            <w:r>
              <w:rPr>
                <w:color w:val="000000" w:themeColor="text1"/>
                <w:sz w:val="21"/>
              </w:rPr>
              <w:t>断面编号</w:t>
            </w:r>
          </w:p>
        </w:tc>
        <w:tc>
          <w:tcPr>
            <w:tcW w:w="1786" w:type="dxa"/>
            <w:tcBorders>
              <w:top w:val="single" w:color="auto" w:sz="12" w:space="0"/>
              <w:bottom w:val="single" w:color="auto" w:sz="6" w:space="0"/>
            </w:tcBorders>
            <w:vAlign w:val="center"/>
          </w:tcPr>
          <w:p>
            <w:pPr>
              <w:adjustRightInd w:val="0"/>
              <w:snapToGrid w:val="0"/>
              <w:ind w:firstLine="482"/>
              <w:jc w:val="center"/>
              <w:rPr>
                <w:color w:val="000000" w:themeColor="text1"/>
                <w:sz w:val="21"/>
              </w:rPr>
            </w:pPr>
            <w:r>
              <w:rPr>
                <w:color w:val="000000" w:themeColor="text1"/>
                <w:sz w:val="21"/>
              </w:rPr>
              <w:t>断面所属河流</w:t>
            </w:r>
          </w:p>
        </w:tc>
        <w:tc>
          <w:tcPr>
            <w:tcW w:w="3224" w:type="dxa"/>
            <w:tcBorders>
              <w:top w:val="single" w:color="auto" w:sz="12" w:space="0"/>
              <w:bottom w:val="single" w:color="auto" w:sz="6" w:space="0"/>
            </w:tcBorders>
            <w:vAlign w:val="center"/>
          </w:tcPr>
          <w:p>
            <w:pPr>
              <w:jc w:val="center"/>
              <w:rPr>
                <w:color w:val="000000" w:themeColor="text1"/>
                <w:sz w:val="21"/>
              </w:rPr>
            </w:pPr>
            <w:r>
              <w:rPr>
                <w:rFonts w:hint="eastAsia"/>
                <w:color w:val="000000" w:themeColor="text1"/>
                <w:sz w:val="21"/>
              </w:rPr>
              <w:t>监测项目</w:t>
            </w:r>
          </w:p>
        </w:tc>
        <w:tc>
          <w:tcPr>
            <w:tcW w:w="3440" w:type="dxa"/>
            <w:tcBorders>
              <w:top w:val="single" w:color="auto" w:sz="12" w:space="0"/>
              <w:bottom w:val="single" w:color="auto" w:sz="6" w:space="0"/>
            </w:tcBorders>
            <w:vAlign w:val="center"/>
          </w:tcPr>
          <w:p>
            <w:pPr>
              <w:jc w:val="center"/>
              <w:rPr>
                <w:color w:val="000000" w:themeColor="text1"/>
                <w:sz w:val="21"/>
              </w:rPr>
            </w:pPr>
            <w:r>
              <w:rPr>
                <w:rFonts w:hint="eastAsia"/>
                <w:color w:val="000000" w:themeColor="text1"/>
                <w:sz w:val="21"/>
              </w:rPr>
              <w:t>监测时间及频率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792" w:type="dxa"/>
            <w:tcBorders>
              <w:top w:val="single" w:color="auto" w:sz="6" w:space="0"/>
              <w:bottom w:val="single" w:color="auto" w:sz="6" w:space="0"/>
            </w:tcBorders>
            <w:vAlign w:val="center"/>
          </w:tcPr>
          <w:p>
            <w:pPr>
              <w:adjustRightInd w:val="0"/>
              <w:snapToGrid w:val="0"/>
              <w:jc w:val="center"/>
              <w:rPr>
                <w:color w:val="000000" w:themeColor="text1"/>
                <w:sz w:val="21"/>
              </w:rPr>
            </w:pPr>
            <w:r>
              <w:rPr>
                <w:rFonts w:hint="eastAsia"/>
                <w:color w:val="000000" w:themeColor="text1"/>
                <w:sz w:val="21"/>
              </w:rPr>
              <w:t>W</w:t>
            </w:r>
            <w:r>
              <w:rPr>
                <w:color w:val="000000" w:themeColor="text1"/>
                <w:sz w:val="21"/>
              </w:rPr>
              <w:t>1</w:t>
            </w:r>
          </w:p>
        </w:tc>
        <w:tc>
          <w:tcPr>
            <w:tcW w:w="1786" w:type="dxa"/>
            <w:tcBorders>
              <w:top w:val="single" w:color="auto" w:sz="6" w:space="0"/>
              <w:bottom w:val="single" w:color="auto" w:sz="6" w:space="0"/>
            </w:tcBorders>
            <w:vAlign w:val="center"/>
          </w:tcPr>
          <w:p>
            <w:pPr>
              <w:jc w:val="center"/>
              <w:rPr>
                <w:color w:val="000000" w:themeColor="text1"/>
                <w:kern w:val="0"/>
                <w:sz w:val="21"/>
              </w:rPr>
            </w:pPr>
            <w:r>
              <w:rPr>
                <w:rFonts w:hint="eastAsia"/>
                <w:color w:val="000000" w:themeColor="text1"/>
                <w:sz w:val="21"/>
              </w:rPr>
              <w:t>污水处理厂排放口上游500m</w:t>
            </w:r>
          </w:p>
        </w:tc>
        <w:tc>
          <w:tcPr>
            <w:tcW w:w="3224" w:type="dxa"/>
            <w:vMerge w:val="restart"/>
            <w:tcBorders>
              <w:top w:val="single" w:color="auto" w:sz="6" w:space="0"/>
              <w:bottom w:val="single" w:color="auto" w:sz="6" w:space="0"/>
            </w:tcBorders>
            <w:vAlign w:val="center"/>
          </w:tcPr>
          <w:p>
            <w:pPr>
              <w:adjustRightInd w:val="0"/>
              <w:snapToGrid w:val="0"/>
              <w:ind w:firstLine="482"/>
              <w:jc w:val="center"/>
              <w:rPr>
                <w:color w:val="000000" w:themeColor="text1"/>
                <w:sz w:val="21"/>
              </w:rPr>
            </w:pPr>
            <w:r>
              <w:rPr>
                <w:kern w:val="0"/>
                <w:sz w:val="21"/>
              </w:rPr>
              <w:t>pH、COD、</w:t>
            </w:r>
            <w:r>
              <w:rPr>
                <w:sz w:val="21"/>
              </w:rPr>
              <w:t>BOD</w:t>
            </w:r>
            <w:r>
              <w:rPr>
                <w:sz w:val="21"/>
                <w:vertAlign w:val="subscript"/>
              </w:rPr>
              <w:t>5</w:t>
            </w:r>
            <w:r>
              <w:rPr>
                <w:sz w:val="21"/>
              </w:rPr>
              <w:t>、</w:t>
            </w:r>
            <w:r>
              <w:rPr>
                <w:kern w:val="0"/>
                <w:sz w:val="21"/>
              </w:rPr>
              <w:t>氨氮、</w:t>
            </w:r>
            <w:r>
              <w:rPr>
                <w:sz w:val="21"/>
              </w:rPr>
              <w:t>总磷、</w:t>
            </w:r>
            <w:r>
              <w:rPr>
                <w:rFonts w:hint="eastAsia"/>
                <w:sz w:val="21"/>
              </w:rPr>
              <w:t>SS、总氮、粪大肠菌群</w:t>
            </w:r>
          </w:p>
        </w:tc>
        <w:tc>
          <w:tcPr>
            <w:tcW w:w="3440" w:type="dxa"/>
            <w:vMerge w:val="restart"/>
            <w:tcBorders>
              <w:top w:val="single" w:color="auto" w:sz="6" w:space="0"/>
              <w:bottom w:val="single" w:color="auto" w:sz="6" w:space="0"/>
            </w:tcBorders>
            <w:vAlign w:val="center"/>
          </w:tcPr>
          <w:p>
            <w:pPr>
              <w:adjustRightInd w:val="0"/>
              <w:snapToGrid w:val="0"/>
              <w:ind w:firstLine="482"/>
              <w:jc w:val="center"/>
              <w:rPr>
                <w:color w:val="000000" w:themeColor="text1"/>
                <w:sz w:val="21"/>
              </w:rPr>
            </w:pPr>
            <w:r>
              <w:rPr>
                <w:color w:val="000000" w:themeColor="text1"/>
                <w:sz w:val="21"/>
              </w:rPr>
              <w:t>201</w:t>
            </w:r>
            <w:r>
              <w:rPr>
                <w:rFonts w:hint="eastAsia"/>
                <w:color w:val="000000" w:themeColor="text1"/>
                <w:sz w:val="21"/>
              </w:rPr>
              <w:t>9</w:t>
            </w:r>
            <w:r>
              <w:rPr>
                <w:color w:val="000000" w:themeColor="text1"/>
                <w:sz w:val="21"/>
              </w:rPr>
              <w:t>年</w:t>
            </w:r>
            <w:r>
              <w:rPr>
                <w:rFonts w:hint="eastAsia"/>
                <w:color w:val="000000" w:themeColor="text1"/>
                <w:sz w:val="21"/>
              </w:rPr>
              <w:t>5</w:t>
            </w:r>
            <w:r>
              <w:rPr>
                <w:color w:val="000000" w:themeColor="text1"/>
                <w:sz w:val="21"/>
              </w:rPr>
              <w:t>月</w:t>
            </w:r>
            <w:r>
              <w:rPr>
                <w:rFonts w:hint="eastAsia"/>
                <w:color w:val="000000" w:themeColor="text1"/>
                <w:sz w:val="21"/>
              </w:rPr>
              <w:t>20</w:t>
            </w:r>
            <w:r>
              <w:rPr>
                <w:color w:val="000000" w:themeColor="text1"/>
                <w:sz w:val="21"/>
              </w:rPr>
              <w:t>日-</w:t>
            </w:r>
            <w:r>
              <w:rPr>
                <w:rFonts w:hint="eastAsia"/>
                <w:color w:val="000000" w:themeColor="text1"/>
                <w:sz w:val="21"/>
              </w:rPr>
              <w:t>5</w:t>
            </w:r>
            <w:r>
              <w:rPr>
                <w:color w:val="000000" w:themeColor="text1"/>
                <w:sz w:val="21"/>
              </w:rPr>
              <w:t>月</w:t>
            </w:r>
            <w:r>
              <w:rPr>
                <w:rFonts w:hint="eastAsia"/>
                <w:color w:val="000000" w:themeColor="text1"/>
                <w:sz w:val="21"/>
              </w:rPr>
              <w:t>22</w:t>
            </w:r>
            <w:r>
              <w:rPr>
                <w:color w:val="000000" w:themeColor="text1"/>
                <w:sz w:val="21"/>
              </w:rPr>
              <w:t>日</w:t>
            </w:r>
            <w:r>
              <w:rPr>
                <w:rFonts w:hint="eastAsia"/>
                <w:color w:val="000000" w:themeColor="text1"/>
                <w:sz w:val="21"/>
              </w:rPr>
              <w:t>连续监测3天，每日采样监测一次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792" w:type="dxa"/>
            <w:tcBorders>
              <w:top w:val="single" w:color="auto" w:sz="6" w:space="0"/>
            </w:tcBorders>
            <w:vAlign w:val="center"/>
          </w:tcPr>
          <w:p>
            <w:pPr>
              <w:adjustRightInd w:val="0"/>
              <w:snapToGrid w:val="0"/>
              <w:jc w:val="center"/>
              <w:rPr>
                <w:color w:val="000000" w:themeColor="text1"/>
                <w:sz w:val="21"/>
              </w:rPr>
            </w:pPr>
            <w:r>
              <w:rPr>
                <w:rFonts w:hint="eastAsia"/>
                <w:color w:val="000000" w:themeColor="text1"/>
                <w:sz w:val="21"/>
              </w:rPr>
              <w:t>W2</w:t>
            </w:r>
          </w:p>
        </w:tc>
        <w:tc>
          <w:tcPr>
            <w:tcW w:w="1786" w:type="dxa"/>
            <w:tcBorders>
              <w:top w:val="single" w:color="auto" w:sz="6" w:space="0"/>
            </w:tcBorders>
            <w:vAlign w:val="center"/>
          </w:tcPr>
          <w:p>
            <w:pPr>
              <w:jc w:val="center"/>
              <w:rPr>
                <w:color w:val="000000" w:themeColor="text1"/>
                <w:kern w:val="0"/>
                <w:sz w:val="21"/>
              </w:rPr>
            </w:pPr>
            <w:r>
              <w:rPr>
                <w:rFonts w:hint="eastAsia"/>
                <w:color w:val="000000" w:themeColor="text1"/>
                <w:sz w:val="21"/>
              </w:rPr>
              <w:t>污水处理厂排放口下游1500m</w:t>
            </w:r>
          </w:p>
        </w:tc>
        <w:tc>
          <w:tcPr>
            <w:tcW w:w="3224" w:type="dxa"/>
            <w:vMerge w:val="continue"/>
            <w:tcBorders>
              <w:top w:val="single" w:color="auto" w:sz="6" w:space="0"/>
            </w:tcBorders>
            <w:vAlign w:val="center"/>
          </w:tcPr>
          <w:p>
            <w:pPr>
              <w:adjustRightInd w:val="0"/>
              <w:snapToGrid w:val="0"/>
              <w:ind w:firstLine="482"/>
              <w:jc w:val="center"/>
              <w:rPr>
                <w:color w:val="000000" w:themeColor="text1"/>
                <w:sz w:val="21"/>
              </w:rPr>
            </w:pPr>
          </w:p>
        </w:tc>
        <w:tc>
          <w:tcPr>
            <w:tcW w:w="3440" w:type="dxa"/>
            <w:vMerge w:val="continue"/>
            <w:tcBorders>
              <w:top w:val="single" w:color="auto" w:sz="6" w:space="0"/>
            </w:tcBorders>
            <w:vAlign w:val="center"/>
          </w:tcPr>
          <w:p>
            <w:pPr>
              <w:adjustRightInd w:val="0"/>
              <w:snapToGrid w:val="0"/>
              <w:ind w:firstLine="482"/>
              <w:jc w:val="center"/>
              <w:rPr>
                <w:color w:val="000000" w:themeColor="text1"/>
                <w:sz w:val="21"/>
              </w:rPr>
            </w:pPr>
          </w:p>
        </w:tc>
      </w:tr>
    </w:tbl>
    <w:p>
      <w:pPr>
        <w:spacing w:line="360" w:lineRule="auto"/>
        <w:ind w:firstLine="482"/>
        <w:rPr>
          <w:color w:val="000000" w:themeColor="text1"/>
        </w:rPr>
      </w:pPr>
      <w:r>
        <w:rPr>
          <w:rFonts w:hint="eastAsia"/>
          <w:color w:val="000000" w:themeColor="text1"/>
        </w:rPr>
        <w:t>（2）评价标准与评价方法</w:t>
      </w:r>
    </w:p>
    <w:p>
      <w:pPr>
        <w:pStyle w:val="14"/>
        <w:ind w:firstLine="482"/>
        <w:jc w:val="both"/>
        <w:rPr>
          <w:b w:val="0"/>
          <w:color w:val="000000" w:themeColor="text1"/>
        </w:rPr>
      </w:pPr>
      <w:r>
        <w:rPr>
          <w:rFonts w:hint="eastAsia"/>
          <w:b w:val="0"/>
          <w:color w:val="000000" w:themeColor="text1"/>
        </w:rPr>
        <w:t>执行《地表水环境质量标准》（</w:t>
      </w:r>
      <w:r>
        <w:rPr>
          <w:b w:val="0"/>
          <w:color w:val="000000" w:themeColor="text1"/>
        </w:rPr>
        <w:t>GB3838-2002</w:t>
      </w:r>
      <w:r>
        <w:rPr>
          <w:rFonts w:hint="eastAsia"/>
          <w:b w:val="0"/>
          <w:color w:val="000000" w:themeColor="text1"/>
        </w:rPr>
        <w:t>）中Ⅲ类标准。本次评价采用超标率、单因子标准指数法进行评价。</w:t>
      </w:r>
    </w:p>
    <w:p>
      <w:pPr>
        <w:spacing w:line="360" w:lineRule="auto"/>
        <w:ind w:firstLine="480" w:firstLineChars="200"/>
        <w:rPr>
          <w:rFonts w:eastAsia="宋体" w:cstheme="majorBidi"/>
          <w:color w:val="FF0000"/>
          <w:szCs w:val="20"/>
        </w:rPr>
      </w:pPr>
      <w:r>
        <w:rPr>
          <w:rFonts w:hint="eastAsia" w:eastAsia="宋体" w:cstheme="majorBidi"/>
          <w:color w:val="000000" w:themeColor="text1"/>
          <w:szCs w:val="20"/>
        </w:rPr>
        <w:t>（3）监测结果统计与评价</w:t>
      </w:r>
    </w:p>
    <w:p>
      <w:pPr>
        <w:spacing w:line="360" w:lineRule="auto"/>
        <w:ind w:firstLine="480" w:firstLineChars="200"/>
        <w:rPr>
          <w:rFonts w:eastAsia="宋体" w:cstheme="majorBidi"/>
          <w:color w:val="000000" w:themeColor="text1"/>
          <w:szCs w:val="20"/>
        </w:rPr>
      </w:pPr>
      <w:r>
        <w:rPr>
          <w:rFonts w:hint="eastAsia" w:eastAsia="宋体" w:cstheme="majorBidi"/>
          <w:color w:val="000000" w:themeColor="text1"/>
          <w:szCs w:val="20"/>
        </w:rPr>
        <w:t>监测结果统计见下表所示：</w:t>
      </w:r>
    </w:p>
    <w:p>
      <w:pPr>
        <w:ind w:firstLine="482" w:firstLineChars="200"/>
        <w:jc w:val="center"/>
        <w:rPr>
          <w:rFonts w:eastAsia="宋体" w:cstheme="majorBidi"/>
          <w:b/>
          <w:color w:val="000000" w:themeColor="text1"/>
          <w:szCs w:val="20"/>
        </w:rPr>
      </w:pPr>
      <w:r>
        <w:rPr>
          <w:rFonts w:hint="eastAsia"/>
          <w:b/>
          <w:color w:val="000000" w:themeColor="text1"/>
        </w:rPr>
        <w:t>表</w:t>
      </w:r>
      <w:r>
        <w:rPr>
          <w:b/>
          <w:color w:val="000000" w:themeColor="text1"/>
        </w:rPr>
        <w:fldChar w:fldCharType="begin"/>
      </w:r>
      <w:r>
        <w:rPr>
          <w:rFonts w:hint="eastAsia"/>
          <w:b/>
          <w:color w:val="000000" w:themeColor="text1"/>
        </w:rPr>
        <w:instrText xml:space="preserve">STYLEREF 2 \s</w:instrText>
      </w:r>
      <w:r>
        <w:rPr>
          <w:b/>
          <w:color w:val="000000" w:themeColor="text1"/>
        </w:rPr>
        <w:fldChar w:fldCharType="separate"/>
      </w:r>
      <w:r>
        <w:rPr>
          <w:b/>
          <w:color w:val="000000" w:themeColor="text1"/>
        </w:rPr>
        <w:t>3.3</w:t>
      </w:r>
      <w:r>
        <w:rPr>
          <w:b/>
          <w:color w:val="000000" w:themeColor="text1"/>
        </w:rPr>
        <w:fldChar w:fldCharType="end"/>
      </w:r>
      <w:r>
        <w:rPr>
          <w:b/>
          <w:color w:val="000000" w:themeColor="text1"/>
        </w:rPr>
        <w:noBreakHyphen/>
      </w:r>
      <w:r>
        <w:rPr>
          <w:b/>
          <w:color w:val="000000" w:themeColor="text1"/>
        </w:rPr>
        <w:fldChar w:fldCharType="begin"/>
      </w:r>
      <w:r>
        <w:rPr>
          <w:rFonts w:hint="eastAsia"/>
          <w:b/>
          <w:color w:val="000000" w:themeColor="text1"/>
        </w:rPr>
        <w:instrText xml:space="preserve">SEQ 表 \* ARABIC \s 2</w:instrText>
      </w:r>
      <w:r>
        <w:rPr>
          <w:b/>
          <w:color w:val="000000" w:themeColor="text1"/>
        </w:rPr>
        <w:fldChar w:fldCharType="separate"/>
      </w:r>
      <w:r>
        <w:rPr>
          <w:rFonts w:hint="eastAsia"/>
          <w:b/>
          <w:color w:val="000000" w:themeColor="text1"/>
        </w:rPr>
        <w:t>2</w:t>
      </w:r>
      <w:r>
        <w:rPr>
          <w:b/>
          <w:color w:val="000000" w:themeColor="text1"/>
        </w:rPr>
        <w:fldChar w:fldCharType="end"/>
      </w:r>
      <w:r>
        <w:rPr>
          <w:rFonts w:hint="eastAsia"/>
          <w:b/>
          <w:color w:val="000000" w:themeColor="text1"/>
        </w:rPr>
        <w:t xml:space="preserve"> 地表水环境现状监测及评价表</w:t>
      </w:r>
    </w:p>
    <w:tbl>
      <w:tblPr>
        <w:tblStyle w:val="3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030"/>
        <w:gridCol w:w="1031"/>
        <w:gridCol w:w="824"/>
        <w:gridCol w:w="806"/>
        <w:gridCol w:w="891"/>
        <w:gridCol w:w="952"/>
        <w:gridCol w:w="824"/>
        <w:gridCol w:w="1547"/>
        <w:gridCol w:w="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tcBorders>
              <w:top w:val="single" w:color="auto" w:sz="12" w:space="0"/>
              <w:bottom w:val="single" w:color="auto" w:sz="4" w:space="0"/>
            </w:tcBorders>
            <w:vAlign w:val="center"/>
          </w:tcPr>
          <w:p>
            <w:pPr>
              <w:jc w:val="center"/>
              <w:rPr>
                <w:color w:val="000000" w:themeColor="text1"/>
                <w:sz w:val="21"/>
              </w:rPr>
            </w:pPr>
            <w:r>
              <w:rPr>
                <w:rFonts w:hint="eastAsia"/>
                <w:color w:val="000000" w:themeColor="text1"/>
                <w:sz w:val="21"/>
              </w:rPr>
              <w:t>监测</w:t>
            </w:r>
          </w:p>
          <w:p>
            <w:pPr>
              <w:jc w:val="center"/>
              <w:rPr>
                <w:color w:val="000000" w:themeColor="text1"/>
                <w:sz w:val="21"/>
              </w:rPr>
            </w:pPr>
            <w:r>
              <w:rPr>
                <w:rFonts w:hint="eastAsia"/>
                <w:color w:val="000000" w:themeColor="text1"/>
                <w:sz w:val="21"/>
              </w:rPr>
              <w:t>点位</w:t>
            </w:r>
          </w:p>
        </w:tc>
        <w:tc>
          <w:tcPr>
            <w:tcW w:w="1115" w:type="pct"/>
            <w:gridSpan w:val="2"/>
            <w:vMerge w:val="restart"/>
            <w:tcBorders>
              <w:top w:val="single" w:color="auto" w:sz="12" w:space="0"/>
              <w:bottom w:val="single" w:color="auto" w:sz="4" w:space="0"/>
            </w:tcBorders>
            <w:vAlign w:val="center"/>
          </w:tcPr>
          <w:p>
            <w:pPr>
              <w:jc w:val="center"/>
              <w:rPr>
                <w:color w:val="000000" w:themeColor="text1"/>
                <w:sz w:val="21"/>
              </w:rPr>
            </w:pPr>
            <w:r>
              <w:rPr>
                <w:rFonts w:hint="eastAsia"/>
                <w:color w:val="000000" w:themeColor="text1"/>
                <w:sz w:val="21"/>
              </w:rPr>
              <w:t>检测</w:t>
            </w:r>
          </w:p>
          <w:p>
            <w:pPr>
              <w:jc w:val="center"/>
              <w:rPr>
                <w:color w:val="000000" w:themeColor="text1"/>
                <w:sz w:val="21"/>
              </w:rPr>
            </w:pPr>
            <w:r>
              <w:rPr>
                <w:rFonts w:hint="eastAsia"/>
                <w:color w:val="000000" w:themeColor="text1"/>
                <w:sz w:val="21"/>
              </w:rPr>
              <w:t>日期</w:t>
            </w:r>
          </w:p>
        </w:tc>
        <w:tc>
          <w:tcPr>
            <w:tcW w:w="3464" w:type="pct"/>
            <w:gridSpan w:val="7"/>
            <w:tcBorders>
              <w:top w:val="single" w:color="auto" w:sz="12" w:space="0"/>
              <w:bottom w:val="single" w:color="auto" w:sz="4" w:space="0"/>
            </w:tcBorders>
            <w:vAlign w:val="center"/>
          </w:tcPr>
          <w:p>
            <w:pPr>
              <w:jc w:val="center"/>
              <w:rPr>
                <w:color w:val="000000" w:themeColor="text1"/>
                <w:sz w:val="21"/>
              </w:rPr>
            </w:pPr>
            <w:r>
              <w:rPr>
                <w:rFonts w:hint="eastAsia"/>
                <w:color w:val="000000" w:themeColor="text1"/>
                <w:sz w:val="21"/>
              </w:rPr>
              <w:t>监测项目及结果</w:t>
            </w:r>
            <w:r>
              <w:rPr>
                <w:color w:val="000000" w:themeColor="text1"/>
                <w:sz w:val="21"/>
              </w:rPr>
              <w:t>mg/L</w:t>
            </w:r>
            <w:r>
              <w:rPr>
                <w:rFonts w:hint="eastAsia"/>
                <w:color w:val="000000" w:themeColor="text1"/>
                <w:sz w:val="21"/>
              </w:rPr>
              <w:t>（</w:t>
            </w:r>
            <w:r>
              <w:rPr>
                <w:color w:val="000000" w:themeColor="text1"/>
                <w:sz w:val="21"/>
              </w:rPr>
              <w:t>PH</w:t>
            </w:r>
            <w:r>
              <w:rPr>
                <w:rFonts w:hint="eastAsia"/>
                <w:color w:val="000000" w:themeColor="text1"/>
                <w:sz w:val="21"/>
              </w:rPr>
              <w:t>除外）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vMerge w:val="continue"/>
            <w:tcBorders>
              <w:top w:val="single" w:color="auto" w:sz="4" w:space="0"/>
              <w:bottom w:val="single" w:color="auto" w:sz="4" w:space="0"/>
            </w:tcBorders>
            <w:vAlign w:val="center"/>
          </w:tcPr>
          <w:p>
            <w:pPr>
              <w:jc w:val="center"/>
              <w:rPr>
                <w:color w:val="000000" w:themeColor="text1"/>
                <w:sz w:val="21"/>
              </w:rPr>
            </w:pPr>
          </w:p>
        </w:tc>
        <w:tc>
          <w:tcPr>
            <w:tcW w:w="44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pH</w:t>
            </w:r>
          </w:p>
        </w:tc>
        <w:tc>
          <w:tcPr>
            <w:tcW w:w="43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COD</w:t>
            </w:r>
          </w:p>
        </w:tc>
        <w:tc>
          <w:tcPr>
            <w:tcW w:w="482"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BOD</w:t>
            </w:r>
            <w:r>
              <w:rPr>
                <w:color w:val="000000" w:themeColor="text1"/>
                <w:sz w:val="21"/>
                <w:vertAlign w:val="subscript"/>
              </w:rPr>
              <w:t>5</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氨氮</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总磷</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粪大肠菌群</w:t>
            </w:r>
          </w:p>
        </w:tc>
        <w:tc>
          <w:tcPr>
            <w:tcW w:w="299"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tcBorders>
              <w:top w:val="single" w:color="auto" w:sz="4" w:space="0"/>
              <w:bottom w:val="single" w:color="auto" w:sz="4" w:space="0"/>
            </w:tcBorders>
            <w:vAlign w:val="center"/>
          </w:tcPr>
          <w:p>
            <w:pPr>
              <w:jc w:val="center"/>
              <w:rPr>
                <w:color w:val="000000" w:themeColor="text1"/>
                <w:sz w:val="21"/>
              </w:rPr>
            </w:pPr>
            <w:r>
              <w:rPr>
                <w:color w:val="000000" w:themeColor="text1"/>
                <w:sz w:val="21"/>
              </w:rPr>
              <w:t>W1</w:t>
            </w: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2019.5.20</w:t>
            </w:r>
          </w:p>
        </w:tc>
        <w:tc>
          <w:tcPr>
            <w:tcW w:w="446"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7.92</w:t>
            </w:r>
          </w:p>
        </w:tc>
        <w:tc>
          <w:tcPr>
            <w:tcW w:w="436" w:type="pct"/>
            <w:tcBorders>
              <w:top w:val="single" w:color="auto" w:sz="4" w:space="0"/>
              <w:bottom w:val="single" w:color="auto" w:sz="4" w:space="0"/>
            </w:tcBorders>
            <w:vAlign w:val="center"/>
          </w:tcPr>
          <w:p>
            <w:pPr>
              <w:ind w:right="91"/>
              <w:jc w:val="center"/>
              <w:rPr>
                <w:color w:val="000000" w:themeColor="text1"/>
                <w:sz w:val="21"/>
              </w:rPr>
            </w:pPr>
            <w:r>
              <w:rPr>
                <w:rFonts w:hint="eastAsia"/>
                <w:color w:val="000000" w:themeColor="text1"/>
                <w:sz w:val="21"/>
              </w:rPr>
              <w:t>10</w:t>
            </w:r>
          </w:p>
        </w:tc>
        <w:tc>
          <w:tcPr>
            <w:tcW w:w="482" w:type="pct"/>
            <w:tcBorders>
              <w:top w:val="single" w:color="auto" w:sz="4" w:space="0"/>
              <w:bottom w:val="single" w:color="auto" w:sz="4" w:space="0"/>
            </w:tcBorders>
            <w:vAlign w:val="center"/>
          </w:tcPr>
          <w:p>
            <w:pPr>
              <w:ind w:right="91"/>
              <w:jc w:val="center"/>
              <w:rPr>
                <w:color w:val="000000" w:themeColor="text1"/>
                <w:sz w:val="21"/>
              </w:rPr>
            </w:pPr>
            <w:r>
              <w:rPr>
                <w:rFonts w:hint="eastAsia"/>
                <w:color w:val="000000" w:themeColor="text1"/>
                <w:sz w:val="21"/>
              </w:rPr>
              <w:t>3.6</w:t>
            </w:r>
          </w:p>
        </w:tc>
        <w:tc>
          <w:tcPr>
            <w:tcW w:w="515"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0.817</w:t>
            </w:r>
          </w:p>
        </w:tc>
        <w:tc>
          <w:tcPr>
            <w:tcW w:w="446"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0.13</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7900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2019.5.21</w:t>
            </w:r>
          </w:p>
        </w:tc>
        <w:tc>
          <w:tcPr>
            <w:tcW w:w="446"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7.86</w:t>
            </w:r>
          </w:p>
        </w:tc>
        <w:tc>
          <w:tcPr>
            <w:tcW w:w="436" w:type="pct"/>
            <w:tcBorders>
              <w:top w:val="single" w:color="auto" w:sz="4" w:space="0"/>
              <w:bottom w:val="single" w:color="auto" w:sz="4" w:space="0"/>
            </w:tcBorders>
            <w:vAlign w:val="center"/>
          </w:tcPr>
          <w:p>
            <w:pPr>
              <w:ind w:right="91"/>
              <w:jc w:val="center"/>
              <w:rPr>
                <w:color w:val="000000" w:themeColor="text1"/>
                <w:sz w:val="21"/>
              </w:rPr>
            </w:pPr>
            <w:r>
              <w:rPr>
                <w:rFonts w:hint="eastAsia"/>
                <w:color w:val="000000" w:themeColor="text1"/>
                <w:sz w:val="21"/>
              </w:rPr>
              <w:t>9</w:t>
            </w:r>
          </w:p>
        </w:tc>
        <w:tc>
          <w:tcPr>
            <w:tcW w:w="482" w:type="pct"/>
            <w:tcBorders>
              <w:top w:val="single" w:color="auto" w:sz="4" w:space="0"/>
              <w:bottom w:val="single" w:color="auto" w:sz="4" w:space="0"/>
            </w:tcBorders>
            <w:vAlign w:val="center"/>
          </w:tcPr>
          <w:p>
            <w:pPr>
              <w:adjustRightInd w:val="0"/>
              <w:snapToGrid w:val="0"/>
              <w:jc w:val="center"/>
              <w:rPr>
                <w:bCs/>
                <w:color w:val="000000" w:themeColor="text1"/>
                <w:sz w:val="21"/>
              </w:rPr>
            </w:pPr>
            <w:r>
              <w:rPr>
                <w:rFonts w:hint="eastAsia"/>
                <w:bCs/>
                <w:color w:val="000000" w:themeColor="text1"/>
                <w:sz w:val="21"/>
              </w:rPr>
              <w:t>3.1</w:t>
            </w:r>
          </w:p>
        </w:tc>
        <w:tc>
          <w:tcPr>
            <w:tcW w:w="515"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0.645</w:t>
            </w:r>
          </w:p>
        </w:tc>
        <w:tc>
          <w:tcPr>
            <w:tcW w:w="446"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0.16</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7000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2019.5.22</w:t>
            </w:r>
          </w:p>
        </w:tc>
        <w:tc>
          <w:tcPr>
            <w:tcW w:w="446"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7.86</w:t>
            </w:r>
          </w:p>
        </w:tc>
        <w:tc>
          <w:tcPr>
            <w:tcW w:w="436" w:type="pct"/>
            <w:tcBorders>
              <w:top w:val="single" w:color="auto" w:sz="4" w:space="0"/>
              <w:bottom w:val="single" w:color="auto" w:sz="4" w:space="0"/>
            </w:tcBorders>
            <w:vAlign w:val="center"/>
          </w:tcPr>
          <w:p>
            <w:pPr>
              <w:ind w:right="91"/>
              <w:jc w:val="center"/>
              <w:rPr>
                <w:color w:val="000000" w:themeColor="text1"/>
                <w:sz w:val="21"/>
              </w:rPr>
            </w:pPr>
            <w:r>
              <w:rPr>
                <w:rFonts w:hint="eastAsia"/>
                <w:color w:val="000000" w:themeColor="text1"/>
                <w:sz w:val="21"/>
              </w:rPr>
              <w:t>11</w:t>
            </w:r>
          </w:p>
        </w:tc>
        <w:tc>
          <w:tcPr>
            <w:tcW w:w="482" w:type="pct"/>
            <w:tcBorders>
              <w:top w:val="single" w:color="auto" w:sz="4" w:space="0"/>
              <w:bottom w:val="single" w:color="auto" w:sz="4" w:space="0"/>
            </w:tcBorders>
            <w:vAlign w:val="center"/>
          </w:tcPr>
          <w:p>
            <w:pPr>
              <w:adjustRightInd w:val="0"/>
              <w:snapToGrid w:val="0"/>
              <w:jc w:val="center"/>
              <w:rPr>
                <w:bCs/>
                <w:color w:val="000000" w:themeColor="text1"/>
                <w:sz w:val="21"/>
              </w:rPr>
            </w:pPr>
            <w:r>
              <w:rPr>
                <w:rFonts w:hint="eastAsia"/>
                <w:bCs/>
                <w:color w:val="000000" w:themeColor="text1"/>
                <w:sz w:val="21"/>
              </w:rPr>
              <w:t>3.5</w:t>
            </w:r>
          </w:p>
        </w:tc>
        <w:tc>
          <w:tcPr>
            <w:tcW w:w="515"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0.751</w:t>
            </w:r>
          </w:p>
        </w:tc>
        <w:tc>
          <w:tcPr>
            <w:tcW w:w="446" w:type="pct"/>
            <w:tcBorders>
              <w:top w:val="single" w:color="auto" w:sz="4" w:space="0"/>
              <w:bottom w:val="single" w:color="auto" w:sz="4" w:space="0"/>
            </w:tcBorders>
            <w:vAlign w:val="center"/>
          </w:tcPr>
          <w:p>
            <w:pPr>
              <w:ind w:right="91"/>
              <w:jc w:val="center"/>
              <w:rPr>
                <w:bCs/>
                <w:color w:val="000000" w:themeColor="text1"/>
                <w:sz w:val="21"/>
              </w:rPr>
            </w:pPr>
            <w:r>
              <w:rPr>
                <w:rFonts w:hint="eastAsia"/>
                <w:bCs/>
                <w:color w:val="000000" w:themeColor="text1"/>
                <w:sz w:val="21"/>
              </w:rPr>
              <w:t>0.1</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6300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限值标准</w:t>
            </w:r>
          </w:p>
        </w:tc>
        <w:tc>
          <w:tcPr>
            <w:tcW w:w="44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6~9</w:t>
            </w:r>
          </w:p>
        </w:tc>
        <w:tc>
          <w:tcPr>
            <w:tcW w:w="43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20</w:t>
            </w:r>
          </w:p>
        </w:tc>
        <w:tc>
          <w:tcPr>
            <w:tcW w:w="482"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4</w:t>
            </w:r>
          </w:p>
        </w:tc>
        <w:tc>
          <w:tcPr>
            <w:tcW w:w="515"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1</w:t>
            </w:r>
          </w:p>
        </w:tc>
        <w:tc>
          <w:tcPr>
            <w:tcW w:w="44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0.2</w:t>
            </w:r>
          </w:p>
        </w:tc>
        <w:tc>
          <w:tcPr>
            <w:tcW w:w="837" w:type="pct"/>
            <w:tcBorders>
              <w:top w:val="single" w:color="auto" w:sz="4" w:space="0"/>
              <w:bottom w:val="single" w:color="auto" w:sz="4" w:space="0"/>
            </w:tcBorders>
            <w:vAlign w:val="center"/>
          </w:tcPr>
          <w:p>
            <w:pPr>
              <w:jc w:val="center"/>
              <w:rPr>
                <w:color w:val="000000" w:themeColor="text1"/>
                <w:sz w:val="21"/>
              </w:rPr>
            </w:pPr>
            <w:r>
              <w:rPr>
                <w:rFonts w:cs="Times New Roman"/>
                <w:color w:val="000000" w:themeColor="text1"/>
                <w:sz w:val="21"/>
              </w:rPr>
              <w:t>≤</w:t>
            </w:r>
            <w:r>
              <w:rPr>
                <w:rFonts w:eastAsia="宋体" w:cs="Times New Roman"/>
                <w:color w:val="000000" w:themeColor="text1"/>
                <w:kern w:val="0"/>
                <w:sz w:val="21"/>
              </w:rPr>
              <w:t>10000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超标率</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最大单因子指数</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0.46</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0.55</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0.9</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0.817</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0.8</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0.79</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restart"/>
            <w:tcBorders>
              <w:top w:val="single" w:color="auto" w:sz="4" w:space="0"/>
              <w:bottom w:val="single" w:color="auto" w:sz="4" w:space="0"/>
            </w:tcBorders>
            <w:vAlign w:val="center"/>
          </w:tcPr>
          <w:p>
            <w:pPr>
              <w:jc w:val="center"/>
              <w:rPr>
                <w:color w:val="000000" w:themeColor="text1"/>
                <w:sz w:val="21"/>
              </w:rPr>
            </w:pPr>
            <w:r>
              <w:rPr>
                <w:color w:val="000000" w:themeColor="text1"/>
                <w:sz w:val="21"/>
              </w:rPr>
              <w:t>W</w:t>
            </w:r>
            <w:r>
              <w:rPr>
                <w:rFonts w:hint="eastAsia"/>
                <w:color w:val="000000" w:themeColor="text1"/>
                <w:sz w:val="21"/>
              </w:rPr>
              <w:t>2</w:t>
            </w: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2019.5.20</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7.84</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11</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3.3</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0.697</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0.14</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7000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2019.5.21</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7.82</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11</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3.4</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0.749</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0.19</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4900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2019.5.22</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7.74</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10</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3.5</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0.771</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0.12</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4600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限值标准</w:t>
            </w:r>
          </w:p>
        </w:tc>
        <w:tc>
          <w:tcPr>
            <w:tcW w:w="44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6~9</w:t>
            </w:r>
          </w:p>
        </w:tc>
        <w:tc>
          <w:tcPr>
            <w:tcW w:w="43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20</w:t>
            </w:r>
          </w:p>
        </w:tc>
        <w:tc>
          <w:tcPr>
            <w:tcW w:w="482"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4</w:t>
            </w:r>
          </w:p>
        </w:tc>
        <w:tc>
          <w:tcPr>
            <w:tcW w:w="515"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1</w:t>
            </w:r>
          </w:p>
        </w:tc>
        <w:tc>
          <w:tcPr>
            <w:tcW w:w="446" w:type="pct"/>
            <w:tcBorders>
              <w:top w:val="single" w:color="auto" w:sz="4" w:space="0"/>
              <w:bottom w:val="single" w:color="auto" w:sz="4" w:space="0"/>
            </w:tcBorders>
            <w:vAlign w:val="center"/>
          </w:tcPr>
          <w:p>
            <w:pPr>
              <w:jc w:val="center"/>
              <w:rPr>
                <w:color w:val="000000" w:themeColor="text1"/>
                <w:sz w:val="21"/>
              </w:rPr>
            </w:pPr>
            <w:r>
              <w:rPr>
                <w:color w:val="000000" w:themeColor="text1"/>
                <w:sz w:val="21"/>
              </w:rPr>
              <w:t>≤</w:t>
            </w:r>
            <w:r>
              <w:rPr>
                <w:rFonts w:hint="eastAsia"/>
                <w:color w:val="000000" w:themeColor="text1"/>
                <w:sz w:val="21"/>
              </w:rPr>
              <w:t>0.2</w:t>
            </w:r>
          </w:p>
        </w:tc>
        <w:tc>
          <w:tcPr>
            <w:tcW w:w="837" w:type="pct"/>
            <w:tcBorders>
              <w:top w:val="single" w:color="auto" w:sz="4" w:space="0"/>
              <w:bottom w:val="single" w:color="auto" w:sz="4" w:space="0"/>
            </w:tcBorders>
            <w:vAlign w:val="center"/>
          </w:tcPr>
          <w:p>
            <w:pPr>
              <w:jc w:val="center"/>
              <w:rPr>
                <w:color w:val="000000" w:themeColor="text1"/>
                <w:sz w:val="21"/>
              </w:rPr>
            </w:pPr>
            <w:r>
              <w:rPr>
                <w:rFonts w:cs="Times New Roman"/>
                <w:color w:val="000000" w:themeColor="text1"/>
                <w:sz w:val="21"/>
              </w:rPr>
              <w:t>≤</w:t>
            </w:r>
            <w:r>
              <w:rPr>
                <w:rFonts w:eastAsia="宋体" w:cs="Times New Roman"/>
                <w:color w:val="000000" w:themeColor="text1"/>
                <w:kern w:val="0"/>
                <w:sz w:val="21"/>
              </w:rPr>
              <w:t>10000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超标率</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op w:val="single" w:color="auto" w:sz="4" w:space="0"/>
              <w:bottom w:val="single" w:color="auto" w:sz="4" w:space="0"/>
            </w:tcBorders>
            <w:vAlign w:val="center"/>
          </w:tcPr>
          <w:p>
            <w:pPr>
              <w:jc w:val="center"/>
              <w:rPr>
                <w:color w:val="000000" w:themeColor="text1"/>
                <w:sz w:val="21"/>
              </w:rPr>
            </w:pPr>
          </w:p>
        </w:tc>
        <w:tc>
          <w:tcPr>
            <w:tcW w:w="1115" w:type="pct"/>
            <w:gridSpan w:val="2"/>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标准指数范围</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0.42</w:t>
            </w:r>
          </w:p>
        </w:tc>
        <w:tc>
          <w:tcPr>
            <w:tcW w:w="43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0.55</w:t>
            </w:r>
          </w:p>
        </w:tc>
        <w:tc>
          <w:tcPr>
            <w:tcW w:w="482"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0.875</w:t>
            </w:r>
          </w:p>
        </w:tc>
        <w:tc>
          <w:tcPr>
            <w:tcW w:w="515"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0.771</w:t>
            </w:r>
          </w:p>
        </w:tc>
        <w:tc>
          <w:tcPr>
            <w:tcW w:w="446"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0.95</w:t>
            </w:r>
          </w:p>
        </w:tc>
        <w:tc>
          <w:tcPr>
            <w:tcW w:w="837"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0.7</w:t>
            </w:r>
          </w:p>
        </w:tc>
        <w:tc>
          <w:tcPr>
            <w:tcW w:w="299" w:type="pct"/>
            <w:tcBorders>
              <w:top w:val="single" w:color="auto" w:sz="4" w:space="0"/>
              <w:bottom w:val="single" w:color="auto" w:sz="4" w:space="0"/>
            </w:tcBorders>
            <w:vAlign w:val="center"/>
          </w:tcPr>
          <w:p>
            <w:pPr>
              <w:jc w:val="center"/>
              <w:rPr>
                <w:color w:val="000000" w:themeColor="text1"/>
                <w:sz w:val="21"/>
              </w:rPr>
            </w:pPr>
            <w:r>
              <w:rPr>
                <w:rFonts w:hint="eastAsia"/>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6" w:type="pct"/>
            <w:gridSpan w:val="2"/>
            <w:tcBorders>
              <w:top w:val="single" w:color="auto" w:sz="4" w:space="0"/>
              <w:bottom w:val="single" w:color="auto" w:sz="12" w:space="0"/>
            </w:tcBorders>
            <w:vAlign w:val="center"/>
          </w:tcPr>
          <w:p>
            <w:pPr>
              <w:jc w:val="center"/>
              <w:rPr>
                <w:color w:val="000000" w:themeColor="text1"/>
                <w:sz w:val="21"/>
              </w:rPr>
            </w:pPr>
            <w:r>
              <w:rPr>
                <w:rFonts w:hint="eastAsia"/>
                <w:color w:val="000000" w:themeColor="text1"/>
                <w:sz w:val="21"/>
              </w:rPr>
              <w:t>备注</w:t>
            </w:r>
          </w:p>
        </w:tc>
        <w:tc>
          <w:tcPr>
            <w:tcW w:w="4023" w:type="pct"/>
            <w:gridSpan w:val="8"/>
            <w:tcBorders>
              <w:top w:val="single" w:color="auto" w:sz="4" w:space="0"/>
              <w:bottom w:val="single" w:color="auto" w:sz="12" w:space="0"/>
            </w:tcBorders>
            <w:vAlign w:val="center"/>
          </w:tcPr>
          <w:p>
            <w:pPr>
              <w:jc w:val="center"/>
              <w:rPr>
                <w:color w:val="000000" w:themeColor="text1"/>
                <w:sz w:val="21"/>
              </w:rPr>
            </w:pPr>
            <w:r>
              <w:rPr>
                <w:color w:val="000000" w:themeColor="text1"/>
                <w:sz w:val="21"/>
              </w:rPr>
              <w:t>“L”</w:t>
            </w:r>
            <w:r>
              <w:rPr>
                <w:rFonts w:hint="eastAsia"/>
                <w:color w:val="000000" w:themeColor="text1"/>
                <w:sz w:val="21"/>
              </w:rPr>
              <w:t>表示检测结果低于该检测项目检出限。</w:t>
            </w:r>
          </w:p>
        </w:tc>
      </w:tr>
    </w:tbl>
    <w:p>
      <w:pPr>
        <w:pStyle w:val="14"/>
        <w:adjustRightInd w:val="0"/>
        <w:snapToGrid w:val="0"/>
        <w:ind w:firstLine="480" w:firstLineChars="200"/>
        <w:jc w:val="both"/>
        <w:rPr>
          <w:rFonts w:cs="Times New Roman"/>
          <w:b w:val="0"/>
          <w:color w:val="000000" w:themeColor="text1"/>
          <w:szCs w:val="24"/>
        </w:rPr>
      </w:pPr>
      <w:r>
        <w:rPr>
          <w:rFonts w:cs="Times New Roman"/>
          <w:b w:val="0"/>
          <w:color w:val="000000" w:themeColor="text1"/>
          <w:szCs w:val="24"/>
        </w:rPr>
        <w:t>由检测结果可知，</w:t>
      </w:r>
      <w:r>
        <w:rPr>
          <w:rFonts w:hint="eastAsia" w:cs="Times New Roman"/>
          <w:b w:val="0"/>
          <w:color w:val="000000" w:themeColor="text1"/>
          <w:szCs w:val="24"/>
        </w:rPr>
        <w:t>各检测点的</w:t>
      </w:r>
      <w:r>
        <w:rPr>
          <w:rFonts w:cs="Times New Roman"/>
          <w:b w:val="0"/>
          <w:color w:val="000000" w:themeColor="text1"/>
          <w:szCs w:val="24"/>
        </w:rPr>
        <w:t>pH、COD、BOD</w:t>
      </w:r>
      <w:r>
        <w:rPr>
          <w:rFonts w:cs="Times New Roman"/>
          <w:b w:val="0"/>
          <w:color w:val="000000" w:themeColor="text1"/>
          <w:szCs w:val="24"/>
          <w:vertAlign w:val="subscript"/>
        </w:rPr>
        <w:t>5</w:t>
      </w:r>
      <w:r>
        <w:rPr>
          <w:rFonts w:hint="eastAsia" w:cs="Times New Roman"/>
          <w:b w:val="0"/>
          <w:color w:val="000000" w:themeColor="text1"/>
          <w:szCs w:val="24"/>
          <w:vertAlign w:val="subscript"/>
        </w:rPr>
        <w:t>、</w:t>
      </w:r>
      <w:r>
        <w:rPr>
          <w:rFonts w:cs="Times New Roman"/>
          <w:b w:val="0"/>
          <w:color w:val="000000" w:themeColor="text1"/>
          <w:szCs w:val="24"/>
        </w:rPr>
        <w:t>氨氮、总磷、粪大肠菌群、SS</w:t>
      </w:r>
      <w:r>
        <w:rPr>
          <w:rFonts w:hint="eastAsia" w:cs="Times New Roman"/>
          <w:b w:val="0"/>
          <w:color w:val="000000" w:themeColor="text1"/>
          <w:szCs w:val="24"/>
        </w:rPr>
        <w:t>、</w:t>
      </w:r>
      <w:r>
        <w:rPr>
          <w:rFonts w:cs="Times New Roman"/>
          <w:b w:val="0"/>
          <w:color w:val="000000" w:themeColor="text1"/>
          <w:szCs w:val="24"/>
        </w:rPr>
        <w:t>总氮均满足《地表水环境质量标准》（GB3838-2002）Ⅲ类水质要求。</w:t>
      </w:r>
    </w:p>
    <w:p>
      <w:pPr>
        <w:pStyle w:val="6"/>
        <w:bidi w:val="0"/>
      </w:pPr>
      <w:r>
        <w:t>华容河北支水质</w:t>
      </w:r>
      <w:r>
        <w:rPr>
          <w:rFonts w:hint="eastAsia"/>
          <w:lang w:eastAsia="zh-CN"/>
        </w:rPr>
        <w:t>现状</w:t>
      </w:r>
      <w:r>
        <w:t>监测</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firstLine="444" w:firstLineChars="200"/>
        <w:textAlignment w:val="auto"/>
        <w:rPr>
          <w:u w:val="single"/>
        </w:rPr>
      </w:pPr>
      <w:r>
        <w:rPr>
          <w:rFonts w:hint="eastAsia"/>
          <w:spacing w:val="-9"/>
          <w:u w:val="single"/>
          <w:lang w:eastAsia="zh-CN"/>
        </w:rPr>
        <w:t>本项目引用了《桥东污水处理厂入河排污口论证报告》中岳阳市衡润检测有限公司</w:t>
      </w:r>
      <w:r>
        <w:rPr>
          <w:rFonts w:hint="eastAsia"/>
          <w:spacing w:val="-16"/>
          <w:u w:val="single"/>
          <w:lang w:eastAsia="zh-CN"/>
        </w:rPr>
        <w:t>于</w:t>
      </w:r>
      <w:r>
        <w:rPr>
          <w:spacing w:val="-16"/>
          <w:u w:val="single"/>
        </w:rPr>
        <w:t xml:space="preserve"> </w:t>
      </w:r>
      <w:r>
        <w:rPr>
          <w:rFonts w:ascii="Times New Roman" w:eastAsia="Times New Roman"/>
          <w:u w:val="single"/>
        </w:rPr>
        <w:t xml:space="preserve">2020.06.09-2020.06.11 </w:t>
      </w:r>
      <w:r>
        <w:rPr>
          <w:spacing w:val="-5"/>
          <w:u w:val="single"/>
        </w:rPr>
        <w:t>对华容河北支水质监测</w:t>
      </w:r>
      <w:r>
        <w:rPr>
          <w:rFonts w:hint="eastAsia"/>
          <w:spacing w:val="-5"/>
          <w:u w:val="single"/>
          <w:lang w:eastAsia="zh-CN"/>
        </w:rPr>
        <w:t>数据</w:t>
      </w:r>
      <w:r>
        <w:rPr>
          <w:u w:val="single"/>
        </w:rPr>
        <w:t>，具体监测断面见下表。</w:t>
      </w:r>
    </w:p>
    <w:p>
      <w:pPr>
        <w:pStyle w:val="14"/>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default" w:eastAsia="宋体"/>
          <w:spacing w:val="-5"/>
          <w:u w:val="single"/>
          <w:lang w:val="en-US" w:eastAsia="zh-CN"/>
        </w:rPr>
      </w:pPr>
      <w:r>
        <w:rPr>
          <w:u w:val="single"/>
        </w:rPr>
        <w:t>表</w:t>
      </w:r>
      <w:r>
        <w:rPr>
          <w:u w:val="single"/>
        </w:rPr>
        <w:fldChar w:fldCharType="begin"/>
      </w:r>
      <w:r>
        <w:rPr>
          <w:u w:val="single"/>
        </w:rPr>
        <w:instrText xml:space="preserve"> STYLEREF 2 \s </w:instrText>
      </w:r>
      <w:r>
        <w:rPr>
          <w:u w:val="single"/>
        </w:rPr>
        <w:fldChar w:fldCharType="separate"/>
      </w:r>
      <w:r>
        <w:rPr>
          <w:u w:val="single"/>
        </w:rPr>
        <w:t>3</w:t>
      </w:r>
      <w:r>
        <w:rPr>
          <w:rFonts w:hint="eastAsia"/>
          <w:u w:val="single"/>
          <w:lang w:val="en-US" w:eastAsia="zh-CN"/>
        </w:rPr>
        <w:t>.</w:t>
      </w:r>
      <w:r>
        <w:rPr>
          <w:u w:val="single"/>
        </w:rPr>
        <w:t>3</w:t>
      </w:r>
      <w:r>
        <w:rPr>
          <w:u w:val="single"/>
        </w:rPr>
        <w:fldChar w:fldCharType="end"/>
      </w:r>
      <w:r>
        <w:rPr>
          <w:rFonts w:hint="eastAsia"/>
          <w:u w:val="single"/>
          <w:lang w:eastAsia="zh-CN"/>
        </w:rPr>
        <w:t>-</w:t>
      </w:r>
      <w:r>
        <w:rPr>
          <w:u w:val="single"/>
        </w:rPr>
        <w:fldChar w:fldCharType="begin"/>
      </w:r>
      <w:r>
        <w:rPr>
          <w:u w:val="single"/>
        </w:rPr>
        <w:instrText xml:space="preserve"> SEQ 表 \* ARABIC \s 2 </w:instrText>
      </w:r>
      <w:r>
        <w:rPr>
          <w:u w:val="single"/>
        </w:rPr>
        <w:fldChar w:fldCharType="separate"/>
      </w:r>
      <w:r>
        <w:rPr>
          <w:u w:val="single"/>
        </w:rPr>
        <w:t>3</w:t>
      </w:r>
      <w:r>
        <w:rPr>
          <w:u w:val="single"/>
        </w:rPr>
        <w:fldChar w:fldCharType="end"/>
      </w:r>
      <w:r>
        <w:rPr>
          <w:rFonts w:hint="eastAsia"/>
          <w:u w:val="single"/>
          <w:lang w:val="en-US" w:eastAsia="zh-CN"/>
        </w:rPr>
        <w:t xml:space="preserve">  </w:t>
      </w:r>
      <w:r>
        <w:rPr>
          <w:b/>
          <w:sz w:val="21"/>
          <w:u w:val="single"/>
        </w:rPr>
        <w:t>地表水监测因子、布点及监测时间和频率表</w:t>
      </w:r>
    </w:p>
    <w:tbl>
      <w:tblPr>
        <w:tblStyle w:val="38"/>
        <w:tblW w:w="0" w:type="auto"/>
        <w:tblInd w:w="12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9"/>
        <w:gridCol w:w="1783"/>
        <w:gridCol w:w="3224"/>
        <w:gridCol w:w="34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89" w:type="dxa"/>
            <w:tcBorders>
              <w:tl2br w:val="nil"/>
              <w:tr2bl w:val="nil"/>
            </w:tcBorders>
            <w:vAlign w:val="center"/>
          </w:tcPr>
          <w:p>
            <w:pPr>
              <w:pStyle w:val="159"/>
              <w:ind w:right="54"/>
              <w:jc w:val="center"/>
              <w:rPr>
                <w:sz w:val="21"/>
                <w:szCs w:val="21"/>
                <w:u w:val="single"/>
              </w:rPr>
            </w:pPr>
            <w:r>
              <w:rPr>
                <w:sz w:val="21"/>
                <w:szCs w:val="21"/>
                <w:u w:val="single"/>
              </w:rPr>
              <w:t>断面</w:t>
            </w:r>
          </w:p>
          <w:p>
            <w:pPr>
              <w:pStyle w:val="159"/>
              <w:ind w:right="54"/>
              <w:jc w:val="center"/>
              <w:rPr>
                <w:sz w:val="21"/>
                <w:szCs w:val="21"/>
                <w:u w:val="single"/>
              </w:rPr>
            </w:pPr>
            <w:r>
              <w:rPr>
                <w:sz w:val="21"/>
                <w:szCs w:val="21"/>
                <w:u w:val="single"/>
              </w:rPr>
              <w:t>编号</w:t>
            </w:r>
          </w:p>
        </w:tc>
        <w:tc>
          <w:tcPr>
            <w:tcW w:w="1783" w:type="dxa"/>
            <w:tcBorders>
              <w:tl2br w:val="nil"/>
              <w:tr2bl w:val="nil"/>
            </w:tcBorders>
            <w:vAlign w:val="center"/>
          </w:tcPr>
          <w:p>
            <w:pPr>
              <w:pStyle w:val="159"/>
              <w:ind w:right="54"/>
              <w:jc w:val="center"/>
              <w:rPr>
                <w:sz w:val="21"/>
                <w:szCs w:val="21"/>
                <w:u w:val="single"/>
              </w:rPr>
            </w:pPr>
            <w:r>
              <w:rPr>
                <w:sz w:val="21"/>
                <w:szCs w:val="21"/>
                <w:u w:val="single"/>
              </w:rPr>
              <w:t>断面所属河</w:t>
            </w:r>
            <w:r>
              <w:rPr>
                <w:w w:val="99"/>
                <w:sz w:val="21"/>
                <w:szCs w:val="21"/>
                <w:u w:val="single"/>
              </w:rPr>
              <w:t>流</w:t>
            </w:r>
          </w:p>
        </w:tc>
        <w:tc>
          <w:tcPr>
            <w:tcW w:w="3224" w:type="dxa"/>
            <w:tcBorders>
              <w:tl2br w:val="nil"/>
              <w:tr2bl w:val="nil"/>
            </w:tcBorders>
            <w:vAlign w:val="center"/>
          </w:tcPr>
          <w:p>
            <w:pPr>
              <w:pStyle w:val="159"/>
              <w:spacing w:before="135"/>
              <w:ind w:left="1169" w:right="1154"/>
              <w:jc w:val="center"/>
              <w:rPr>
                <w:sz w:val="21"/>
                <w:szCs w:val="21"/>
                <w:u w:val="single"/>
              </w:rPr>
            </w:pPr>
            <w:r>
              <w:rPr>
                <w:sz w:val="21"/>
                <w:szCs w:val="21"/>
                <w:u w:val="single"/>
              </w:rPr>
              <w:t>监测项目</w:t>
            </w:r>
          </w:p>
        </w:tc>
        <w:tc>
          <w:tcPr>
            <w:tcW w:w="3439" w:type="dxa"/>
            <w:tcBorders>
              <w:tl2br w:val="nil"/>
              <w:tr2bl w:val="nil"/>
            </w:tcBorders>
            <w:vAlign w:val="center"/>
          </w:tcPr>
          <w:p>
            <w:pPr>
              <w:pStyle w:val="159"/>
              <w:spacing w:before="135"/>
              <w:ind w:left="983"/>
              <w:jc w:val="center"/>
              <w:rPr>
                <w:sz w:val="21"/>
                <w:szCs w:val="21"/>
                <w:u w:val="single"/>
              </w:rPr>
            </w:pPr>
            <w:r>
              <w:rPr>
                <w:sz w:val="21"/>
                <w:szCs w:val="21"/>
                <w:u w:val="single"/>
              </w:rPr>
              <w:t>监测时间及频率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789" w:type="dxa"/>
            <w:tcBorders>
              <w:tl2br w:val="nil"/>
              <w:tr2bl w:val="nil"/>
            </w:tcBorders>
            <w:vAlign w:val="center"/>
          </w:tcPr>
          <w:p>
            <w:pPr>
              <w:pStyle w:val="159"/>
              <w:ind w:right="54"/>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W1</w:t>
            </w:r>
          </w:p>
        </w:tc>
        <w:tc>
          <w:tcPr>
            <w:tcW w:w="1783" w:type="dxa"/>
            <w:tcBorders>
              <w:tl2br w:val="nil"/>
              <w:tr2bl w:val="nil"/>
            </w:tcBorders>
            <w:vAlign w:val="center"/>
          </w:tcPr>
          <w:p>
            <w:pPr>
              <w:pStyle w:val="159"/>
              <w:spacing w:before="1"/>
              <w:jc w:val="center"/>
              <w:rPr>
                <w:sz w:val="21"/>
                <w:szCs w:val="21"/>
                <w:u w:val="single"/>
              </w:rPr>
            </w:pPr>
            <w:r>
              <w:rPr>
                <w:rFonts w:hint="default" w:ascii="Times New Roman" w:hAnsi="Times New Roman" w:cs="Times New Roman"/>
                <w:sz w:val="21"/>
                <w:szCs w:val="21"/>
                <w:u w:val="single"/>
              </w:rPr>
              <w:t>污水处理厂排放口上游 500m 断面</w:t>
            </w:r>
          </w:p>
        </w:tc>
        <w:tc>
          <w:tcPr>
            <w:tcW w:w="3224" w:type="dxa"/>
            <w:vMerge w:val="restart"/>
            <w:tcBorders>
              <w:tl2br w:val="nil"/>
              <w:tr2bl w:val="nil"/>
            </w:tcBorders>
            <w:vAlign w:val="center"/>
          </w:tcPr>
          <w:p>
            <w:pPr>
              <w:pStyle w:val="159"/>
              <w:spacing w:before="163"/>
              <w:ind w:left="235" w:right="112" w:firstLine="384"/>
              <w:jc w:val="center"/>
              <w:rPr>
                <w:sz w:val="21"/>
                <w:szCs w:val="21"/>
                <w:u w:val="single"/>
              </w:rPr>
            </w:pPr>
            <w:r>
              <w:rPr>
                <w:rFonts w:ascii="Times New Roman" w:eastAsia="Times New Roman"/>
                <w:position w:val="2"/>
                <w:sz w:val="21"/>
                <w:szCs w:val="21"/>
                <w:u w:val="single"/>
              </w:rPr>
              <w:t>pH</w:t>
            </w:r>
            <w:r>
              <w:rPr>
                <w:position w:val="2"/>
                <w:sz w:val="21"/>
                <w:szCs w:val="21"/>
                <w:u w:val="single"/>
              </w:rPr>
              <w:t>、</w:t>
            </w:r>
            <w:r>
              <w:rPr>
                <w:rFonts w:ascii="Times New Roman" w:eastAsia="Times New Roman"/>
                <w:position w:val="2"/>
                <w:sz w:val="21"/>
                <w:szCs w:val="21"/>
                <w:u w:val="single"/>
              </w:rPr>
              <w:t>COD</w:t>
            </w:r>
            <w:r>
              <w:rPr>
                <w:position w:val="2"/>
                <w:sz w:val="21"/>
                <w:szCs w:val="21"/>
                <w:u w:val="single"/>
              </w:rPr>
              <w:t>、</w:t>
            </w:r>
            <w:r>
              <w:rPr>
                <w:rFonts w:ascii="Times New Roman" w:eastAsia="Times New Roman"/>
                <w:position w:val="2"/>
                <w:sz w:val="21"/>
                <w:szCs w:val="21"/>
                <w:u w:val="single"/>
              </w:rPr>
              <w:t>BOD</w:t>
            </w:r>
            <w:r>
              <w:rPr>
                <w:rFonts w:ascii="Times New Roman" w:eastAsia="Times New Roman"/>
                <w:position w:val="2"/>
                <w:sz w:val="21"/>
                <w:szCs w:val="21"/>
                <w:u w:val="single"/>
                <w:vertAlign w:val="subscript"/>
              </w:rPr>
              <w:t>5</w:t>
            </w:r>
            <w:r>
              <w:rPr>
                <w:position w:val="2"/>
                <w:sz w:val="21"/>
                <w:szCs w:val="21"/>
                <w:u w:val="single"/>
                <w:vertAlign w:val="baseline"/>
              </w:rPr>
              <w:t>、氨氮、</w:t>
            </w:r>
            <w:r>
              <w:rPr>
                <w:sz w:val="21"/>
                <w:szCs w:val="21"/>
                <w:u w:val="single"/>
                <w:vertAlign w:val="baseline"/>
              </w:rPr>
              <w:t>总磷、</w:t>
            </w:r>
            <w:r>
              <w:rPr>
                <w:rFonts w:ascii="Times New Roman" w:eastAsia="Times New Roman"/>
                <w:sz w:val="21"/>
                <w:szCs w:val="21"/>
                <w:u w:val="single"/>
                <w:vertAlign w:val="baseline"/>
              </w:rPr>
              <w:t>SS</w:t>
            </w:r>
            <w:r>
              <w:rPr>
                <w:sz w:val="21"/>
                <w:szCs w:val="21"/>
                <w:u w:val="single"/>
                <w:vertAlign w:val="baseline"/>
              </w:rPr>
              <w:t>、总氮、粪大肠菌群</w:t>
            </w:r>
          </w:p>
        </w:tc>
        <w:tc>
          <w:tcPr>
            <w:tcW w:w="3439" w:type="dxa"/>
            <w:vMerge w:val="restart"/>
            <w:tcBorders>
              <w:tl2br w:val="nil"/>
              <w:tr2bl w:val="nil"/>
            </w:tcBorders>
            <w:vAlign w:val="center"/>
          </w:tcPr>
          <w:p>
            <w:pPr>
              <w:pStyle w:val="159"/>
              <w:spacing w:before="163"/>
              <w:ind w:right="112"/>
              <w:jc w:val="center"/>
              <w:rPr>
                <w:sz w:val="21"/>
                <w:szCs w:val="21"/>
                <w:u w:val="single"/>
              </w:rPr>
            </w:pPr>
            <w:r>
              <w:rPr>
                <w:rFonts w:ascii="Times New Roman" w:eastAsia="Times New Roman"/>
                <w:position w:val="2"/>
                <w:sz w:val="21"/>
                <w:szCs w:val="21"/>
                <w:u w:val="single"/>
              </w:rPr>
              <w:t>2020.06.09-2020.06.11连续监测3 天，每日采样监测一次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89" w:type="dxa"/>
            <w:tcBorders>
              <w:tl2br w:val="nil"/>
              <w:tr2bl w:val="nil"/>
            </w:tcBorders>
            <w:vAlign w:val="center"/>
          </w:tcPr>
          <w:p>
            <w:pPr>
              <w:pStyle w:val="159"/>
              <w:ind w:right="54"/>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W2</w:t>
            </w:r>
          </w:p>
        </w:tc>
        <w:tc>
          <w:tcPr>
            <w:tcW w:w="1783" w:type="dxa"/>
            <w:tcBorders>
              <w:tl2br w:val="nil"/>
              <w:tr2bl w:val="nil"/>
            </w:tcBorders>
            <w:vAlign w:val="center"/>
          </w:tcPr>
          <w:p>
            <w:pPr>
              <w:pStyle w:val="159"/>
              <w:spacing w:before="1"/>
              <w:jc w:val="center"/>
              <w:rPr>
                <w:sz w:val="21"/>
                <w:szCs w:val="21"/>
                <w:u w:val="single"/>
              </w:rPr>
            </w:pPr>
            <w:r>
              <w:rPr>
                <w:rFonts w:hint="default" w:ascii="Times New Roman" w:hAnsi="Times New Roman" w:cs="Times New Roman"/>
                <w:sz w:val="21"/>
                <w:szCs w:val="21"/>
                <w:u w:val="single"/>
              </w:rPr>
              <w:t>污水处理厂排放口断面</w:t>
            </w:r>
          </w:p>
        </w:tc>
        <w:tc>
          <w:tcPr>
            <w:tcW w:w="3224" w:type="dxa"/>
            <w:vMerge w:val="continue"/>
            <w:tcBorders>
              <w:tl2br w:val="nil"/>
              <w:tr2bl w:val="nil"/>
            </w:tcBorders>
            <w:vAlign w:val="center"/>
          </w:tcPr>
          <w:p>
            <w:pPr>
              <w:jc w:val="center"/>
              <w:rPr>
                <w:sz w:val="21"/>
                <w:szCs w:val="21"/>
                <w:u w:val="single"/>
              </w:rPr>
            </w:pPr>
          </w:p>
        </w:tc>
        <w:tc>
          <w:tcPr>
            <w:tcW w:w="3439" w:type="dxa"/>
            <w:vMerge w:val="continue"/>
            <w:tcBorders>
              <w:tl2br w:val="nil"/>
              <w:tr2bl w:val="nil"/>
            </w:tcBorders>
            <w:vAlign w:val="center"/>
          </w:tcPr>
          <w:p>
            <w:pPr>
              <w:jc w:val="center"/>
              <w:rPr>
                <w:sz w:val="21"/>
                <w:szCs w:val="21"/>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89" w:type="dxa"/>
            <w:tcBorders>
              <w:tl2br w:val="nil"/>
              <w:tr2bl w:val="nil"/>
            </w:tcBorders>
            <w:vAlign w:val="center"/>
          </w:tcPr>
          <w:p>
            <w:pPr>
              <w:pStyle w:val="159"/>
              <w:ind w:right="54"/>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W3</w:t>
            </w:r>
          </w:p>
        </w:tc>
        <w:tc>
          <w:tcPr>
            <w:tcW w:w="1783" w:type="dxa"/>
            <w:tcBorders>
              <w:tl2br w:val="nil"/>
              <w:tr2bl w:val="nil"/>
            </w:tcBorders>
            <w:vAlign w:val="center"/>
          </w:tcPr>
          <w:p>
            <w:pPr>
              <w:pStyle w:val="159"/>
              <w:spacing w:before="1"/>
              <w:jc w:val="center"/>
              <w:rPr>
                <w:sz w:val="21"/>
                <w:szCs w:val="21"/>
                <w:u w:val="single"/>
              </w:rPr>
            </w:pPr>
            <w:r>
              <w:rPr>
                <w:sz w:val="21"/>
                <w:szCs w:val="21"/>
                <w:u w:val="single"/>
              </w:rPr>
              <w:t>排污口下游</w:t>
            </w:r>
            <w:r>
              <w:rPr>
                <w:rFonts w:ascii="Times New Roman" w:eastAsia="Times New Roman"/>
                <w:sz w:val="21"/>
                <w:szCs w:val="21"/>
                <w:u w:val="single"/>
              </w:rPr>
              <w:t>500m</w:t>
            </w:r>
            <w:r>
              <w:rPr>
                <w:rFonts w:ascii="Times New Roman" w:eastAsia="Times New Roman"/>
                <w:spacing w:val="-2"/>
                <w:sz w:val="21"/>
                <w:szCs w:val="21"/>
                <w:u w:val="single"/>
              </w:rPr>
              <w:t xml:space="preserve"> </w:t>
            </w:r>
            <w:r>
              <w:rPr>
                <w:sz w:val="21"/>
                <w:szCs w:val="21"/>
                <w:u w:val="single"/>
              </w:rPr>
              <w:t>段面</w:t>
            </w:r>
          </w:p>
        </w:tc>
        <w:tc>
          <w:tcPr>
            <w:tcW w:w="3224" w:type="dxa"/>
            <w:vMerge w:val="continue"/>
            <w:tcBorders>
              <w:tl2br w:val="nil"/>
              <w:tr2bl w:val="nil"/>
            </w:tcBorders>
            <w:vAlign w:val="center"/>
          </w:tcPr>
          <w:p>
            <w:pPr>
              <w:jc w:val="center"/>
              <w:rPr>
                <w:sz w:val="21"/>
                <w:szCs w:val="21"/>
                <w:u w:val="single"/>
              </w:rPr>
            </w:pPr>
          </w:p>
        </w:tc>
        <w:tc>
          <w:tcPr>
            <w:tcW w:w="3439" w:type="dxa"/>
            <w:vMerge w:val="continue"/>
            <w:tcBorders>
              <w:tl2br w:val="nil"/>
              <w:tr2bl w:val="nil"/>
            </w:tcBorders>
            <w:vAlign w:val="center"/>
          </w:tcPr>
          <w:p>
            <w:pPr>
              <w:jc w:val="center"/>
              <w:rPr>
                <w:sz w:val="21"/>
                <w:szCs w:val="21"/>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89" w:type="dxa"/>
            <w:tcBorders>
              <w:tl2br w:val="nil"/>
              <w:tr2bl w:val="nil"/>
            </w:tcBorders>
            <w:vAlign w:val="center"/>
          </w:tcPr>
          <w:p>
            <w:pPr>
              <w:pStyle w:val="159"/>
              <w:ind w:right="54"/>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W4</w:t>
            </w:r>
          </w:p>
        </w:tc>
        <w:tc>
          <w:tcPr>
            <w:tcW w:w="1783" w:type="dxa"/>
            <w:tcBorders>
              <w:tl2br w:val="nil"/>
              <w:tr2bl w:val="nil"/>
            </w:tcBorders>
            <w:vAlign w:val="center"/>
          </w:tcPr>
          <w:p>
            <w:pPr>
              <w:pStyle w:val="159"/>
              <w:spacing w:before="1"/>
              <w:jc w:val="center"/>
              <w:rPr>
                <w:sz w:val="21"/>
                <w:szCs w:val="21"/>
                <w:u w:val="single"/>
              </w:rPr>
            </w:pPr>
            <w:r>
              <w:rPr>
                <w:sz w:val="21"/>
                <w:szCs w:val="21"/>
                <w:u w:val="single"/>
              </w:rPr>
              <w:t>排污口下游</w:t>
            </w:r>
            <w:r>
              <w:rPr>
                <w:rFonts w:ascii="Times New Roman" w:eastAsia="Times New Roman"/>
                <w:sz w:val="21"/>
                <w:szCs w:val="21"/>
                <w:u w:val="single"/>
              </w:rPr>
              <w:t>1000m</w:t>
            </w:r>
            <w:r>
              <w:rPr>
                <w:rFonts w:ascii="Times New Roman" w:eastAsia="Times New Roman"/>
                <w:spacing w:val="-2"/>
                <w:sz w:val="21"/>
                <w:szCs w:val="21"/>
                <w:u w:val="single"/>
              </w:rPr>
              <w:t xml:space="preserve"> </w:t>
            </w:r>
            <w:r>
              <w:rPr>
                <w:sz w:val="21"/>
                <w:szCs w:val="21"/>
                <w:u w:val="single"/>
              </w:rPr>
              <w:t>段面</w:t>
            </w:r>
          </w:p>
        </w:tc>
        <w:tc>
          <w:tcPr>
            <w:tcW w:w="3224" w:type="dxa"/>
            <w:vMerge w:val="continue"/>
            <w:tcBorders>
              <w:tl2br w:val="nil"/>
              <w:tr2bl w:val="nil"/>
            </w:tcBorders>
            <w:vAlign w:val="center"/>
          </w:tcPr>
          <w:p>
            <w:pPr>
              <w:jc w:val="center"/>
              <w:rPr>
                <w:sz w:val="21"/>
                <w:szCs w:val="21"/>
                <w:u w:val="single"/>
              </w:rPr>
            </w:pPr>
          </w:p>
        </w:tc>
        <w:tc>
          <w:tcPr>
            <w:tcW w:w="3439" w:type="dxa"/>
            <w:vMerge w:val="continue"/>
            <w:tcBorders>
              <w:tl2br w:val="nil"/>
              <w:tr2bl w:val="nil"/>
            </w:tcBorders>
            <w:vAlign w:val="center"/>
          </w:tcPr>
          <w:p>
            <w:pPr>
              <w:jc w:val="center"/>
              <w:rPr>
                <w:sz w:val="21"/>
                <w:szCs w:val="21"/>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89" w:type="dxa"/>
            <w:tcBorders>
              <w:tl2br w:val="nil"/>
              <w:tr2bl w:val="nil"/>
            </w:tcBorders>
            <w:vAlign w:val="center"/>
          </w:tcPr>
          <w:p>
            <w:pPr>
              <w:pStyle w:val="159"/>
              <w:ind w:right="54"/>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W5</w:t>
            </w:r>
          </w:p>
        </w:tc>
        <w:tc>
          <w:tcPr>
            <w:tcW w:w="1783" w:type="dxa"/>
            <w:tcBorders>
              <w:tl2br w:val="nil"/>
              <w:tr2bl w:val="nil"/>
            </w:tcBorders>
            <w:vAlign w:val="center"/>
          </w:tcPr>
          <w:p>
            <w:pPr>
              <w:pStyle w:val="159"/>
              <w:spacing w:before="3"/>
              <w:jc w:val="center"/>
              <w:rPr>
                <w:sz w:val="21"/>
                <w:szCs w:val="21"/>
                <w:u w:val="single"/>
              </w:rPr>
            </w:pPr>
            <w:r>
              <w:rPr>
                <w:sz w:val="21"/>
                <w:szCs w:val="21"/>
                <w:u w:val="single"/>
              </w:rPr>
              <w:t>排污口下游</w:t>
            </w:r>
            <w:r>
              <w:rPr>
                <w:rFonts w:ascii="Times New Roman" w:eastAsia="Times New Roman"/>
                <w:sz w:val="21"/>
                <w:szCs w:val="21"/>
                <w:u w:val="single"/>
              </w:rPr>
              <w:t>5000m</w:t>
            </w:r>
            <w:r>
              <w:rPr>
                <w:rFonts w:ascii="Times New Roman" w:eastAsia="Times New Roman"/>
                <w:spacing w:val="-2"/>
                <w:sz w:val="21"/>
                <w:szCs w:val="21"/>
                <w:u w:val="single"/>
              </w:rPr>
              <w:t xml:space="preserve"> </w:t>
            </w:r>
            <w:r>
              <w:rPr>
                <w:sz w:val="21"/>
                <w:szCs w:val="21"/>
                <w:u w:val="single"/>
              </w:rPr>
              <w:t>段面</w:t>
            </w:r>
          </w:p>
        </w:tc>
        <w:tc>
          <w:tcPr>
            <w:tcW w:w="3224" w:type="dxa"/>
            <w:vMerge w:val="continue"/>
            <w:tcBorders>
              <w:tl2br w:val="nil"/>
              <w:tr2bl w:val="nil"/>
            </w:tcBorders>
            <w:vAlign w:val="center"/>
          </w:tcPr>
          <w:p>
            <w:pPr>
              <w:jc w:val="center"/>
              <w:rPr>
                <w:sz w:val="21"/>
                <w:szCs w:val="21"/>
                <w:u w:val="single"/>
              </w:rPr>
            </w:pPr>
          </w:p>
        </w:tc>
        <w:tc>
          <w:tcPr>
            <w:tcW w:w="3439" w:type="dxa"/>
            <w:vMerge w:val="continue"/>
            <w:tcBorders>
              <w:tl2br w:val="nil"/>
              <w:tr2bl w:val="nil"/>
            </w:tcBorders>
            <w:vAlign w:val="center"/>
          </w:tcPr>
          <w:p>
            <w:pPr>
              <w:jc w:val="center"/>
              <w:rPr>
                <w:sz w:val="21"/>
                <w:szCs w:val="21"/>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89" w:type="dxa"/>
            <w:tcBorders>
              <w:tl2br w:val="nil"/>
              <w:tr2bl w:val="nil"/>
            </w:tcBorders>
            <w:vAlign w:val="center"/>
          </w:tcPr>
          <w:p>
            <w:pPr>
              <w:pStyle w:val="159"/>
              <w:ind w:right="54"/>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W6</w:t>
            </w:r>
          </w:p>
        </w:tc>
        <w:tc>
          <w:tcPr>
            <w:tcW w:w="1783" w:type="dxa"/>
            <w:tcBorders>
              <w:tl2br w:val="nil"/>
              <w:tr2bl w:val="nil"/>
            </w:tcBorders>
            <w:vAlign w:val="center"/>
          </w:tcPr>
          <w:p>
            <w:pPr>
              <w:pStyle w:val="159"/>
              <w:ind w:left="170" w:hanging="32"/>
              <w:jc w:val="center"/>
              <w:rPr>
                <w:rFonts w:ascii="Times New Roman" w:eastAsia="Times New Roman"/>
                <w:sz w:val="21"/>
                <w:szCs w:val="21"/>
                <w:u w:val="single"/>
              </w:rPr>
            </w:pPr>
            <w:r>
              <w:rPr>
                <w:sz w:val="21"/>
                <w:szCs w:val="21"/>
                <w:u w:val="single"/>
              </w:rPr>
              <w:t xml:space="preserve">排污口下游 </w:t>
            </w:r>
            <w:r>
              <w:rPr>
                <w:rFonts w:ascii="Times New Roman" w:eastAsia="Times New Roman"/>
                <w:sz w:val="21"/>
                <w:szCs w:val="21"/>
                <w:u w:val="single"/>
              </w:rPr>
              <w:t>10</w:t>
            </w:r>
          </w:p>
          <w:p>
            <w:pPr>
              <w:pStyle w:val="159"/>
              <w:spacing w:before="2" w:line="310" w:lineRule="atLeast"/>
              <w:ind w:left="530" w:right="150" w:hanging="360"/>
              <w:jc w:val="center"/>
              <w:rPr>
                <w:sz w:val="21"/>
                <w:szCs w:val="21"/>
                <w:u w:val="single"/>
              </w:rPr>
            </w:pPr>
            <w:r>
              <w:rPr>
                <w:sz w:val="21"/>
                <w:szCs w:val="21"/>
                <w:u w:val="single"/>
              </w:rPr>
              <w:t>公里潘家渡省空段面</w:t>
            </w:r>
          </w:p>
        </w:tc>
        <w:tc>
          <w:tcPr>
            <w:tcW w:w="3224" w:type="dxa"/>
            <w:vMerge w:val="continue"/>
            <w:tcBorders>
              <w:tl2br w:val="nil"/>
              <w:tr2bl w:val="nil"/>
            </w:tcBorders>
            <w:vAlign w:val="center"/>
          </w:tcPr>
          <w:p>
            <w:pPr>
              <w:jc w:val="center"/>
              <w:rPr>
                <w:sz w:val="21"/>
                <w:szCs w:val="21"/>
                <w:u w:val="single"/>
              </w:rPr>
            </w:pPr>
          </w:p>
        </w:tc>
        <w:tc>
          <w:tcPr>
            <w:tcW w:w="3439" w:type="dxa"/>
            <w:vMerge w:val="continue"/>
            <w:tcBorders>
              <w:tl2br w:val="nil"/>
              <w:tr2bl w:val="nil"/>
            </w:tcBorders>
            <w:vAlign w:val="center"/>
          </w:tcPr>
          <w:p>
            <w:pPr>
              <w:jc w:val="center"/>
              <w:rPr>
                <w:sz w:val="21"/>
                <w:szCs w:val="21"/>
                <w:u w:val="single"/>
              </w:rPr>
            </w:pPr>
          </w:p>
        </w:tc>
      </w:tr>
    </w:tbl>
    <w:p>
      <w:pPr>
        <w:tabs>
          <w:tab w:val="left" w:pos="4191"/>
        </w:tabs>
        <w:spacing w:before="1" w:after="4"/>
        <w:ind w:left="2965" w:right="0" w:firstLine="0"/>
        <w:jc w:val="left"/>
        <w:rPr>
          <w:b/>
          <w:bCs/>
          <w:sz w:val="21"/>
          <w:u w:val="single"/>
        </w:rPr>
      </w:pPr>
      <w:r>
        <w:rPr>
          <w:b/>
          <w:bCs/>
          <w:u w:val="single"/>
        </w:rPr>
        <w:t xml:space="preserve">表 </w:t>
      </w:r>
      <w:r>
        <w:rPr>
          <w:b/>
          <w:bCs/>
          <w:u w:val="single"/>
        </w:rPr>
        <w:fldChar w:fldCharType="begin"/>
      </w:r>
      <w:r>
        <w:rPr>
          <w:b/>
          <w:bCs/>
          <w:u w:val="single"/>
        </w:rPr>
        <w:instrText xml:space="preserve"> STYLEREF 2 \s </w:instrText>
      </w:r>
      <w:r>
        <w:rPr>
          <w:b/>
          <w:bCs/>
          <w:u w:val="single"/>
        </w:rPr>
        <w:fldChar w:fldCharType="separate"/>
      </w:r>
      <w:r>
        <w:rPr>
          <w:b/>
          <w:bCs/>
          <w:u w:val="single"/>
        </w:rPr>
        <w:t>3</w:t>
      </w:r>
      <w:r>
        <w:rPr>
          <w:rFonts w:hint="eastAsia"/>
          <w:b/>
          <w:bCs/>
          <w:u w:val="single"/>
          <w:lang w:val="en-US" w:eastAsia="zh-CN"/>
        </w:rPr>
        <w:t>.</w:t>
      </w:r>
      <w:r>
        <w:rPr>
          <w:b/>
          <w:bCs/>
          <w:u w:val="single"/>
        </w:rPr>
        <w:t>3</w:t>
      </w:r>
      <w:r>
        <w:rPr>
          <w:b/>
          <w:bCs/>
          <w:u w:val="single"/>
        </w:rPr>
        <w:fldChar w:fldCharType="end"/>
      </w:r>
      <w:r>
        <w:rPr>
          <w:rFonts w:hint="eastAsia"/>
          <w:b/>
          <w:bCs/>
          <w:u w:val="single"/>
          <w:lang w:eastAsia="zh-CN"/>
        </w:rPr>
        <w:t>-</w:t>
      </w:r>
      <w:r>
        <w:rPr>
          <w:b/>
          <w:bCs/>
          <w:u w:val="single"/>
        </w:rPr>
        <w:fldChar w:fldCharType="begin"/>
      </w:r>
      <w:r>
        <w:rPr>
          <w:b/>
          <w:bCs/>
          <w:u w:val="single"/>
        </w:rPr>
        <w:instrText xml:space="preserve"> SEQ 表 \* ARABIC \s 2 </w:instrText>
      </w:r>
      <w:r>
        <w:rPr>
          <w:b/>
          <w:bCs/>
          <w:u w:val="single"/>
        </w:rPr>
        <w:fldChar w:fldCharType="separate"/>
      </w:r>
      <w:r>
        <w:rPr>
          <w:b/>
          <w:bCs/>
          <w:u w:val="single"/>
        </w:rPr>
        <w:t>4</w:t>
      </w:r>
      <w:r>
        <w:rPr>
          <w:b/>
          <w:bCs/>
          <w:u w:val="single"/>
        </w:rPr>
        <w:fldChar w:fldCharType="end"/>
      </w:r>
      <w:r>
        <w:rPr>
          <w:rFonts w:hint="eastAsia"/>
          <w:b/>
          <w:bCs/>
          <w:u w:val="single"/>
          <w:lang w:val="en-US" w:eastAsia="zh-CN"/>
        </w:rPr>
        <w:t xml:space="preserve">  </w:t>
      </w:r>
      <w:r>
        <w:rPr>
          <w:b/>
          <w:bCs/>
          <w:sz w:val="21"/>
          <w:u w:val="single"/>
        </w:rPr>
        <w:t>地表水环境现状监测及评价表</w:t>
      </w:r>
    </w:p>
    <w:tbl>
      <w:tblPr>
        <w:tblStyle w:val="38"/>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0"/>
        <w:gridCol w:w="795"/>
        <w:gridCol w:w="743"/>
        <w:gridCol w:w="806"/>
        <w:gridCol w:w="892"/>
        <w:gridCol w:w="995"/>
        <w:gridCol w:w="748"/>
        <w:gridCol w:w="632"/>
        <w:gridCol w:w="542"/>
        <w:gridCol w:w="1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86" w:type="pct"/>
            <w:vMerge w:val="restart"/>
            <w:tcBorders>
              <w:top w:val="single" w:color="000000" w:sz="12" w:space="0"/>
              <w:left w:val="nil"/>
              <w:bottom w:val="single" w:color="000000" w:sz="4" w:space="0"/>
            </w:tcBorders>
            <w:vAlign w:val="center"/>
          </w:tcPr>
          <w:p>
            <w:pPr>
              <w:pStyle w:val="14"/>
              <w:jc w:val="center"/>
              <w:rPr>
                <w:rFonts w:hint="default" w:ascii="Times New Roman" w:hAnsi="Times New Roman" w:cs="Times New Roman"/>
                <w:sz w:val="21"/>
                <w:szCs w:val="21"/>
                <w:u w:val="single"/>
              </w:rPr>
            </w:pPr>
            <w:r>
              <w:rPr>
                <w:rFonts w:hint="default" w:ascii="Times New Roman" w:hAnsi="Times New Roman" w:cs="Times New Roman"/>
                <w:b w:val="0"/>
                <w:bCs/>
                <w:sz w:val="21"/>
                <w:szCs w:val="21"/>
                <w:u w:val="single"/>
              </w:rPr>
              <w:t>时间</w:t>
            </w:r>
          </w:p>
        </w:tc>
        <w:tc>
          <w:tcPr>
            <w:tcW w:w="440" w:type="pct"/>
            <w:vMerge w:val="restart"/>
            <w:tcBorders>
              <w:top w:val="single" w:color="000000" w:sz="12" w:space="0"/>
              <w:bottom w:val="single" w:color="000000" w:sz="4" w:space="0"/>
            </w:tcBorders>
          </w:tcPr>
          <w:p>
            <w:pPr>
              <w:pStyle w:val="159"/>
              <w:spacing w:before="5"/>
              <w:jc w:val="left"/>
              <w:rPr>
                <w:rFonts w:hint="default" w:ascii="Times New Roman" w:hAnsi="Times New Roman" w:cs="Times New Roman"/>
                <w:b/>
                <w:sz w:val="21"/>
                <w:szCs w:val="21"/>
                <w:u w:val="single"/>
              </w:rPr>
            </w:pPr>
          </w:p>
          <w:p>
            <w:pPr>
              <w:pStyle w:val="159"/>
              <w:spacing w:before="1"/>
              <w:ind w:left="200"/>
              <w:jc w:val="left"/>
              <w:rPr>
                <w:rFonts w:hint="default" w:ascii="Times New Roman" w:hAnsi="Times New Roman" w:cs="Times New Roman"/>
                <w:sz w:val="21"/>
                <w:szCs w:val="21"/>
                <w:u w:val="single"/>
              </w:rPr>
            </w:pPr>
            <w:r>
              <w:rPr>
                <w:rFonts w:hint="default" w:ascii="Times New Roman" w:hAnsi="Times New Roman" w:cs="Times New Roman"/>
                <w:sz w:val="21"/>
                <w:szCs w:val="21"/>
                <w:u w:val="single"/>
              </w:rPr>
              <w:t>断面</w:t>
            </w:r>
          </w:p>
        </w:tc>
        <w:tc>
          <w:tcPr>
            <w:tcW w:w="3773" w:type="pct"/>
            <w:gridSpan w:val="8"/>
            <w:tcBorders>
              <w:top w:val="single" w:color="000000" w:sz="12" w:space="0"/>
              <w:bottom w:val="single" w:color="000000" w:sz="4" w:space="0"/>
              <w:right w:val="nil"/>
            </w:tcBorders>
          </w:tcPr>
          <w:p>
            <w:pPr>
              <w:pStyle w:val="159"/>
              <w:ind w:right="3205"/>
              <w:jc w:val="center"/>
              <w:rPr>
                <w:rFonts w:hint="default" w:ascii="Times New Roman" w:hAnsi="Times New Roman" w:cs="Times New Roman"/>
                <w:sz w:val="21"/>
                <w:szCs w:val="21"/>
                <w:u w:val="single"/>
              </w:rPr>
            </w:pPr>
            <w:r>
              <w:rPr>
                <w:rFonts w:hint="eastAsia"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single"/>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vMerge w:val="continue"/>
            <w:tcBorders>
              <w:top w:val="single" w:color="000000" w:sz="4" w:space="0"/>
              <w:bottom w:val="single" w:color="000000" w:sz="4" w:space="0"/>
            </w:tcBorders>
          </w:tcPr>
          <w:p>
            <w:pPr>
              <w:rPr>
                <w:rFonts w:hint="default" w:ascii="Times New Roman" w:hAnsi="Times New Roman" w:cs="Times New Roman"/>
                <w:sz w:val="21"/>
                <w:szCs w:val="21"/>
                <w:u w:val="single"/>
              </w:rPr>
            </w:pPr>
          </w:p>
        </w:tc>
        <w:tc>
          <w:tcPr>
            <w:tcW w:w="411" w:type="pct"/>
            <w:tcBorders>
              <w:top w:val="single" w:color="000000" w:sz="4" w:space="0"/>
              <w:bottom w:val="single" w:color="000000" w:sz="4" w:space="0"/>
            </w:tcBorders>
          </w:tcPr>
          <w:p>
            <w:pPr>
              <w:pStyle w:val="159"/>
              <w:spacing w:before="55"/>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pH</w:t>
            </w:r>
          </w:p>
        </w:tc>
        <w:tc>
          <w:tcPr>
            <w:tcW w:w="446" w:type="pct"/>
            <w:tcBorders>
              <w:top w:val="single" w:color="000000" w:sz="4" w:space="0"/>
              <w:bottom w:val="single" w:color="000000" w:sz="4" w:space="0"/>
            </w:tcBorders>
          </w:tcPr>
          <w:p>
            <w:pPr>
              <w:pStyle w:val="159"/>
              <w:spacing w:before="55"/>
              <w:ind w:left="147"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COD</w:t>
            </w:r>
          </w:p>
        </w:tc>
        <w:tc>
          <w:tcPr>
            <w:tcW w:w="494" w:type="pct"/>
            <w:tcBorders>
              <w:top w:val="single" w:color="000000" w:sz="4" w:space="0"/>
              <w:bottom w:val="single" w:color="000000" w:sz="4" w:space="0"/>
            </w:tcBorders>
          </w:tcPr>
          <w:p>
            <w:pPr>
              <w:pStyle w:val="159"/>
              <w:spacing w:before="52"/>
              <w:ind w:left="154" w:right="143"/>
              <w:rPr>
                <w:rFonts w:hint="default" w:ascii="Times New Roman" w:hAnsi="Times New Roman" w:cs="Times New Roman"/>
                <w:sz w:val="21"/>
                <w:szCs w:val="21"/>
                <w:u w:val="single"/>
              </w:rPr>
            </w:pPr>
            <w:r>
              <w:rPr>
                <w:rFonts w:hint="default" w:ascii="Times New Roman" w:hAnsi="Times New Roman" w:cs="Times New Roman"/>
                <w:position w:val="2"/>
                <w:sz w:val="21"/>
                <w:szCs w:val="21"/>
                <w:u w:val="single"/>
              </w:rPr>
              <w:t>BOD</w:t>
            </w:r>
            <w:r>
              <w:rPr>
                <w:rFonts w:hint="default" w:ascii="Times New Roman" w:hAnsi="Times New Roman" w:cs="Times New Roman"/>
                <w:position w:val="2"/>
                <w:sz w:val="21"/>
                <w:szCs w:val="21"/>
                <w:u w:val="single"/>
                <w:vertAlign w:val="subscript"/>
              </w:rPr>
              <w:t>5</w:t>
            </w:r>
          </w:p>
        </w:tc>
        <w:tc>
          <w:tcPr>
            <w:tcW w:w="551" w:type="pct"/>
            <w:tcBorders>
              <w:top w:val="single" w:color="000000" w:sz="4" w:space="0"/>
              <w:bottom w:val="single" w:color="000000" w:sz="4" w:space="0"/>
            </w:tcBorders>
          </w:tcPr>
          <w:p>
            <w:pPr>
              <w:pStyle w:val="159"/>
              <w:spacing w:before="52"/>
              <w:ind w:left="159" w:right="152"/>
              <w:rPr>
                <w:rFonts w:hint="default" w:ascii="Times New Roman" w:hAnsi="Times New Roman" w:cs="Times New Roman"/>
                <w:sz w:val="21"/>
                <w:szCs w:val="21"/>
                <w:u w:val="single"/>
              </w:rPr>
            </w:pPr>
            <w:r>
              <w:rPr>
                <w:rFonts w:hint="default" w:ascii="Times New Roman" w:hAnsi="Times New Roman" w:cs="Times New Roman"/>
                <w:position w:val="2"/>
                <w:sz w:val="21"/>
                <w:szCs w:val="21"/>
                <w:u w:val="single"/>
              </w:rPr>
              <w:t>NH</w:t>
            </w:r>
            <w:r>
              <w:rPr>
                <w:rFonts w:hint="default" w:ascii="Times New Roman" w:hAnsi="Times New Roman" w:cs="Times New Roman"/>
                <w:position w:val="2"/>
                <w:sz w:val="21"/>
                <w:szCs w:val="21"/>
                <w:u w:val="single"/>
                <w:vertAlign w:val="subscript"/>
              </w:rPr>
              <w:t>3</w:t>
            </w:r>
            <w:r>
              <w:rPr>
                <w:rFonts w:hint="default" w:ascii="Times New Roman" w:hAnsi="Times New Roman" w:cs="Times New Roman"/>
                <w:position w:val="2"/>
                <w:sz w:val="21"/>
                <w:szCs w:val="21"/>
                <w:u w:val="single"/>
                <w:vertAlign w:val="baseline"/>
              </w:rPr>
              <w:t>-N</w:t>
            </w:r>
          </w:p>
        </w:tc>
        <w:tc>
          <w:tcPr>
            <w:tcW w:w="414" w:type="pct"/>
            <w:tcBorders>
              <w:top w:val="single" w:color="000000" w:sz="4" w:space="0"/>
              <w:bottom w:val="single" w:color="000000" w:sz="4" w:space="0"/>
            </w:tcBorders>
          </w:tcPr>
          <w:p>
            <w:pPr>
              <w:pStyle w:val="159"/>
              <w:spacing w:before="41"/>
              <w:ind w:left="143" w:right="137"/>
              <w:rPr>
                <w:rFonts w:hint="default" w:ascii="Times New Roman" w:hAnsi="Times New Roman" w:cs="Times New Roman"/>
                <w:sz w:val="21"/>
                <w:szCs w:val="21"/>
                <w:u w:val="single"/>
              </w:rPr>
            </w:pPr>
            <w:r>
              <w:rPr>
                <w:rFonts w:hint="default" w:ascii="Times New Roman" w:hAnsi="Times New Roman" w:cs="Times New Roman"/>
                <w:sz w:val="21"/>
                <w:szCs w:val="21"/>
                <w:u w:val="single"/>
              </w:rPr>
              <w:t>总磷</w:t>
            </w:r>
          </w:p>
        </w:tc>
        <w:tc>
          <w:tcPr>
            <w:tcW w:w="350" w:type="pct"/>
            <w:tcBorders>
              <w:top w:val="single" w:color="000000" w:sz="4" w:space="0"/>
              <w:bottom w:val="single" w:color="000000" w:sz="4" w:space="0"/>
            </w:tcBorders>
          </w:tcPr>
          <w:p>
            <w:pPr>
              <w:pStyle w:val="159"/>
              <w:spacing w:before="41"/>
              <w:ind w:right="154"/>
              <w:jc w:val="right"/>
              <w:rPr>
                <w:rFonts w:hint="default" w:ascii="Times New Roman" w:hAnsi="Times New Roman" w:cs="Times New Roman"/>
                <w:sz w:val="21"/>
                <w:szCs w:val="21"/>
                <w:u w:val="single"/>
              </w:rPr>
            </w:pPr>
            <w:r>
              <w:rPr>
                <w:rFonts w:hint="default" w:ascii="Times New Roman" w:hAnsi="Times New Roman" w:cs="Times New Roman"/>
                <w:w w:val="95"/>
                <w:sz w:val="21"/>
                <w:szCs w:val="21"/>
                <w:u w:val="single"/>
              </w:rPr>
              <w:t>总氮</w:t>
            </w:r>
          </w:p>
        </w:tc>
        <w:tc>
          <w:tcPr>
            <w:tcW w:w="300" w:type="pct"/>
            <w:tcBorders>
              <w:top w:val="single" w:color="000000" w:sz="4" w:space="0"/>
              <w:bottom w:val="single" w:color="000000" w:sz="4" w:space="0"/>
            </w:tcBorders>
          </w:tcPr>
          <w:p>
            <w:pPr>
              <w:pStyle w:val="159"/>
              <w:spacing w:before="55"/>
              <w:ind w:left="131" w:right="124"/>
              <w:rPr>
                <w:rFonts w:hint="default" w:ascii="Times New Roman" w:hAnsi="Times New Roman" w:cs="Times New Roman"/>
                <w:sz w:val="21"/>
                <w:szCs w:val="21"/>
                <w:u w:val="single"/>
              </w:rPr>
            </w:pPr>
            <w:r>
              <w:rPr>
                <w:rFonts w:hint="default" w:ascii="Times New Roman" w:hAnsi="Times New Roman" w:cs="Times New Roman"/>
                <w:sz w:val="21"/>
                <w:szCs w:val="21"/>
                <w:u w:val="single"/>
              </w:rPr>
              <w:t>SS</w:t>
            </w:r>
          </w:p>
        </w:tc>
        <w:tc>
          <w:tcPr>
            <w:tcW w:w="804" w:type="pct"/>
            <w:tcBorders>
              <w:top w:val="single" w:color="000000" w:sz="4" w:space="0"/>
              <w:bottom w:val="single" w:color="000000" w:sz="4" w:space="0"/>
              <w:right w:val="nil"/>
            </w:tcBorders>
          </w:tcPr>
          <w:p>
            <w:pPr>
              <w:pStyle w:val="159"/>
              <w:spacing w:before="41"/>
              <w:ind w:left="205" w:right="198"/>
              <w:rPr>
                <w:rFonts w:hint="default" w:ascii="Times New Roman" w:hAnsi="Times New Roman" w:cs="Times New Roman"/>
                <w:sz w:val="21"/>
                <w:szCs w:val="21"/>
                <w:u w:val="single"/>
              </w:rPr>
            </w:pPr>
            <w:r>
              <w:rPr>
                <w:rFonts w:hint="default" w:ascii="Times New Roman" w:hAnsi="Times New Roman" w:cs="Times New Roman"/>
                <w:sz w:val="21"/>
                <w:szCs w:val="21"/>
                <w:u w:val="single"/>
              </w:rPr>
              <w:t>粪大肠杆菌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86" w:type="pct"/>
            <w:vMerge w:val="restart"/>
            <w:tcBorders>
              <w:top w:val="single" w:color="000000" w:sz="4" w:space="0"/>
              <w:left w:val="nil"/>
              <w:bottom w:val="single" w:color="000000" w:sz="4" w:space="0"/>
            </w:tcBorders>
          </w:tcPr>
          <w:p>
            <w:pPr>
              <w:pStyle w:val="159"/>
              <w:jc w:val="left"/>
              <w:rPr>
                <w:rFonts w:hint="default" w:ascii="Times New Roman" w:hAnsi="Times New Roman" w:cs="Times New Roman"/>
                <w:b/>
                <w:sz w:val="21"/>
                <w:szCs w:val="21"/>
                <w:u w:val="single"/>
              </w:rPr>
            </w:pPr>
          </w:p>
          <w:p>
            <w:pPr>
              <w:pStyle w:val="159"/>
              <w:jc w:val="left"/>
              <w:rPr>
                <w:rFonts w:hint="default" w:ascii="Times New Roman" w:hAnsi="Times New Roman" w:cs="Times New Roman"/>
                <w:b/>
                <w:sz w:val="21"/>
                <w:szCs w:val="21"/>
                <w:u w:val="single"/>
              </w:rPr>
            </w:pPr>
          </w:p>
          <w:p>
            <w:pPr>
              <w:pStyle w:val="159"/>
              <w:spacing w:before="2"/>
              <w:jc w:val="left"/>
              <w:rPr>
                <w:rFonts w:hint="default" w:ascii="Times New Roman" w:hAnsi="Times New Roman" w:cs="Times New Roman"/>
                <w:b/>
                <w:sz w:val="21"/>
                <w:szCs w:val="21"/>
                <w:u w:val="single"/>
              </w:rPr>
            </w:pPr>
          </w:p>
          <w:p>
            <w:pPr>
              <w:pStyle w:val="159"/>
              <w:ind w:left="292"/>
              <w:jc w:val="left"/>
              <w:rPr>
                <w:rFonts w:hint="default" w:ascii="Times New Roman" w:hAnsi="Times New Roman" w:cs="Times New Roman"/>
                <w:sz w:val="21"/>
                <w:szCs w:val="21"/>
                <w:u w:val="single"/>
              </w:rPr>
            </w:pPr>
            <w:r>
              <w:rPr>
                <w:rFonts w:hint="default" w:ascii="Times New Roman" w:hAnsi="Times New Roman" w:cs="Times New Roman"/>
                <w:sz w:val="21"/>
                <w:szCs w:val="21"/>
                <w:u w:val="single"/>
              </w:rPr>
              <w:t>2020.06.09</w:t>
            </w:r>
          </w:p>
        </w:tc>
        <w:tc>
          <w:tcPr>
            <w:tcW w:w="440" w:type="pct"/>
            <w:tcBorders>
              <w:top w:val="single" w:color="000000" w:sz="4" w:space="0"/>
              <w:bottom w:val="single" w:color="000000" w:sz="4" w:space="0"/>
            </w:tcBorders>
          </w:tcPr>
          <w:p>
            <w:pPr>
              <w:pStyle w:val="159"/>
              <w:spacing w:before="18"/>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W1</w:t>
            </w:r>
          </w:p>
        </w:tc>
        <w:tc>
          <w:tcPr>
            <w:tcW w:w="411" w:type="pct"/>
            <w:tcBorders>
              <w:top w:val="single" w:color="000000" w:sz="4" w:space="0"/>
              <w:bottom w:val="single" w:color="000000" w:sz="4" w:space="0"/>
            </w:tcBorders>
          </w:tcPr>
          <w:p>
            <w:pPr>
              <w:pStyle w:val="159"/>
              <w:spacing w:before="78"/>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7.69</w:t>
            </w:r>
          </w:p>
        </w:tc>
        <w:tc>
          <w:tcPr>
            <w:tcW w:w="446" w:type="pct"/>
            <w:tcBorders>
              <w:top w:val="single" w:color="000000" w:sz="4" w:space="0"/>
              <w:bottom w:val="single" w:color="000000" w:sz="4" w:space="0"/>
            </w:tcBorders>
          </w:tcPr>
          <w:p>
            <w:pPr>
              <w:pStyle w:val="159"/>
              <w:spacing w:before="78"/>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11</w:t>
            </w:r>
          </w:p>
        </w:tc>
        <w:tc>
          <w:tcPr>
            <w:tcW w:w="494" w:type="pct"/>
            <w:tcBorders>
              <w:top w:val="single" w:color="000000" w:sz="4" w:space="0"/>
              <w:bottom w:val="single" w:color="000000" w:sz="4" w:space="0"/>
            </w:tcBorders>
          </w:tcPr>
          <w:p>
            <w:pPr>
              <w:pStyle w:val="159"/>
              <w:spacing w:before="78"/>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1.7</w:t>
            </w:r>
          </w:p>
        </w:tc>
        <w:tc>
          <w:tcPr>
            <w:tcW w:w="551" w:type="pct"/>
            <w:tcBorders>
              <w:top w:val="single" w:color="000000" w:sz="4" w:space="0"/>
              <w:bottom w:val="single" w:color="000000" w:sz="4" w:space="0"/>
            </w:tcBorders>
          </w:tcPr>
          <w:p>
            <w:pPr>
              <w:pStyle w:val="159"/>
              <w:spacing w:before="78"/>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0.35</w:t>
            </w:r>
          </w:p>
        </w:tc>
        <w:tc>
          <w:tcPr>
            <w:tcW w:w="414" w:type="pct"/>
            <w:tcBorders>
              <w:top w:val="single" w:color="000000" w:sz="4" w:space="0"/>
              <w:bottom w:val="single" w:color="000000" w:sz="4" w:space="0"/>
            </w:tcBorders>
          </w:tcPr>
          <w:p>
            <w:pPr>
              <w:pStyle w:val="159"/>
              <w:spacing w:before="78"/>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0.11</w:t>
            </w:r>
          </w:p>
        </w:tc>
        <w:tc>
          <w:tcPr>
            <w:tcW w:w="350" w:type="pct"/>
            <w:tcBorders>
              <w:top w:val="single" w:color="000000" w:sz="4" w:space="0"/>
              <w:bottom w:val="single" w:color="000000" w:sz="4" w:space="0"/>
            </w:tcBorders>
          </w:tcPr>
          <w:p>
            <w:pPr>
              <w:pStyle w:val="159"/>
              <w:spacing w:before="78"/>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2.16</w:t>
            </w:r>
          </w:p>
        </w:tc>
        <w:tc>
          <w:tcPr>
            <w:tcW w:w="300" w:type="pct"/>
            <w:tcBorders>
              <w:top w:val="single" w:color="000000" w:sz="4" w:space="0"/>
              <w:bottom w:val="single" w:color="000000" w:sz="4" w:space="0"/>
            </w:tcBorders>
          </w:tcPr>
          <w:p>
            <w:pPr>
              <w:pStyle w:val="159"/>
              <w:spacing w:before="78"/>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5</w:t>
            </w:r>
          </w:p>
        </w:tc>
        <w:tc>
          <w:tcPr>
            <w:tcW w:w="804" w:type="pct"/>
            <w:tcBorders>
              <w:top w:val="single" w:color="000000" w:sz="4" w:space="0"/>
              <w:bottom w:val="single" w:color="000000" w:sz="4" w:space="0"/>
              <w:right w:val="nil"/>
            </w:tcBorders>
          </w:tcPr>
          <w:p>
            <w:pPr>
              <w:pStyle w:val="159"/>
              <w:spacing w:before="78"/>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5.4×10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line="240" w:lineRule="exact"/>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W2</w:t>
            </w:r>
          </w:p>
        </w:tc>
        <w:tc>
          <w:tcPr>
            <w:tcW w:w="411" w:type="pct"/>
            <w:tcBorders>
              <w:top w:val="single" w:color="000000" w:sz="4" w:space="0"/>
              <w:bottom w:val="single" w:color="000000" w:sz="4" w:space="0"/>
            </w:tcBorders>
          </w:tcPr>
          <w:p>
            <w:pPr>
              <w:pStyle w:val="159"/>
              <w:spacing w:before="59"/>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7.77</w:t>
            </w:r>
          </w:p>
        </w:tc>
        <w:tc>
          <w:tcPr>
            <w:tcW w:w="446" w:type="pct"/>
            <w:tcBorders>
              <w:top w:val="single" w:color="000000" w:sz="4" w:space="0"/>
              <w:bottom w:val="single" w:color="000000" w:sz="4" w:space="0"/>
            </w:tcBorders>
          </w:tcPr>
          <w:p>
            <w:pPr>
              <w:pStyle w:val="159"/>
              <w:spacing w:before="59"/>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59"/>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1.6</w:t>
            </w:r>
          </w:p>
        </w:tc>
        <w:tc>
          <w:tcPr>
            <w:tcW w:w="551" w:type="pct"/>
            <w:tcBorders>
              <w:top w:val="single" w:color="000000" w:sz="4" w:space="0"/>
              <w:bottom w:val="single" w:color="000000" w:sz="4" w:space="0"/>
            </w:tcBorders>
          </w:tcPr>
          <w:p>
            <w:pPr>
              <w:pStyle w:val="159"/>
              <w:spacing w:before="59"/>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0.42</w:t>
            </w:r>
          </w:p>
        </w:tc>
        <w:tc>
          <w:tcPr>
            <w:tcW w:w="414" w:type="pct"/>
            <w:tcBorders>
              <w:top w:val="single" w:color="000000" w:sz="4" w:space="0"/>
              <w:bottom w:val="single" w:color="000000" w:sz="4" w:space="0"/>
            </w:tcBorders>
          </w:tcPr>
          <w:p>
            <w:pPr>
              <w:pStyle w:val="159"/>
              <w:spacing w:before="59"/>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0.17</w:t>
            </w:r>
          </w:p>
        </w:tc>
        <w:tc>
          <w:tcPr>
            <w:tcW w:w="350" w:type="pct"/>
            <w:tcBorders>
              <w:top w:val="single" w:color="000000" w:sz="4" w:space="0"/>
              <w:bottom w:val="single" w:color="000000" w:sz="4" w:space="0"/>
            </w:tcBorders>
          </w:tcPr>
          <w:p>
            <w:pPr>
              <w:pStyle w:val="159"/>
              <w:spacing w:before="59"/>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1.84</w:t>
            </w:r>
          </w:p>
        </w:tc>
        <w:tc>
          <w:tcPr>
            <w:tcW w:w="300" w:type="pct"/>
            <w:tcBorders>
              <w:top w:val="single" w:color="000000" w:sz="4" w:space="0"/>
              <w:bottom w:val="single" w:color="000000" w:sz="4" w:space="0"/>
            </w:tcBorders>
          </w:tcPr>
          <w:p>
            <w:pPr>
              <w:pStyle w:val="159"/>
              <w:spacing w:before="59"/>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59"/>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1.1×10</w:t>
            </w:r>
            <w:r>
              <w:rPr>
                <w:rFonts w:hint="default" w:ascii="Times New Roman" w:hAnsi="Times New Roman" w:cs="Times New Roman"/>
                <w:position w:val="7"/>
                <w:sz w:val="21"/>
                <w:szCs w:val="21"/>
                <w:u w:val="singl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7"/>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W3</w:t>
            </w:r>
          </w:p>
        </w:tc>
        <w:tc>
          <w:tcPr>
            <w:tcW w:w="411" w:type="pct"/>
            <w:tcBorders>
              <w:top w:val="single" w:color="000000" w:sz="4" w:space="0"/>
              <w:bottom w:val="single" w:color="000000" w:sz="4" w:space="0"/>
            </w:tcBorders>
          </w:tcPr>
          <w:p>
            <w:pPr>
              <w:pStyle w:val="159"/>
              <w:spacing w:before="6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7.63</w:t>
            </w:r>
          </w:p>
        </w:tc>
        <w:tc>
          <w:tcPr>
            <w:tcW w:w="446" w:type="pct"/>
            <w:tcBorders>
              <w:top w:val="single" w:color="000000" w:sz="4" w:space="0"/>
              <w:bottom w:val="single" w:color="000000" w:sz="4" w:space="0"/>
            </w:tcBorders>
          </w:tcPr>
          <w:p>
            <w:pPr>
              <w:pStyle w:val="159"/>
              <w:spacing w:before="6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16</w:t>
            </w:r>
          </w:p>
        </w:tc>
        <w:tc>
          <w:tcPr>
            <w:tcW w:w="494" w:type="pct"/>
            <w:tcBorders>
              <w:top w:val="single" w:color="000000" w:sz="4" w:space="0"/>
              <w:bottom w:val="single" w:color="000000" w:sz="4" w:space="0"/>
            </w:tcBorders>
          </w:tcPr>
          <w:p>
            <w:pPr>
              <w:pStyle w:val="159"/>
              <w:spacing w:before="6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1.8</w:t>
            </w:r>
          </w:p>
        </w:tc>
        <w:tc>
          <w:tcPr>
            <w:tcW w:w="551" w:type="pct"/>
            <w:tcBorders>
              <w:top w:val="single" w:color="000000" w:sz="4" w:space="0"/>
              <w:bottom w:val="single" w:color="000000" w:sz="4" w:space="0"/>
            </w:tcBorders>
          </w:tcPr>
          <w:p>
            <w:pPr>
              <w:pStyle w:val="159"/>
              <w:spacing w:before="6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0.50</w:t>
            </w:r>
          </w:p>
        </w:tc>
        <w:tc>
          <w:tcPr>
            <w:tcW w:w="414" w:type="pct"/>
            <w:tcBorders>
              <w:top w:val="single" w:color="000000" w:sz="4" w:space="0"/>
              <w:bottom w:val="single" w:color="000000" w:sz="4" w:space="0"/>
            </w:tcBorders>
          </w:tcPr>
          <w:p>
            <w:pPr>
              <w:pStyle w:val="159"/>
              <w:spacing w:before="6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0.14</w:t>
            </w:r>
          </w:p>
        </w:tc>
        <w:tc>
          <w:tcPr>
            <w:tcW w:w="350" w:type="pct"/>
            <w:tcBorders>
              <w:top w:val="single" w:color="000000" w:sz="4" w:space="0"/>
              <w:bottom w:val="single" w:color="000000" w:sz="4" w:space="0"/>
            </w:tcBorders>
          </w:tcPr>
          <w:p>
            <w:pPr>
              <w:pStyle w:val="159"/>
              <w:spacing w:before="6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2.26</w:t>
            </w:r>
          </w:p>
        </w:tc>
        <w:tc>
          <w:tcPr>
            <w:tcW w:w="300" w:type="pct"/>
            <w:tcBorders>
              <w:top w:val="single" w:color="000000" w:sz="4" w:space="0"/>
              <w:bottom w:val="single" w:color="000000" w:sz="4" w:space="0"/>
            </w:tcBorders>
          </w:tcPr>
          <w:p>
            <w:pPr>
              <w:pStyle w:val="159"/>
              <w:spacing w:before="67"/>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6</w:t>
            </w:r>
          </w:p>
        </w:tc>
        <w:tc>
          <w:tcPr>
            <w:tcW w:w="804" w:type="pct"/>
            <w:tcBorders>
              <w:top w:val="single" w:color="000000" w:sz="4" w:space="0"/>
              <w:bottom w:val="single" w:color="000000" w:sz="4" w:space="0"/>
              <w:right w:val="nil"/>
            </w:tcBorders>
          </w:tcPr>
          <w:p>
            <w:pPr>
              <w:pStyle w:val="159"/>
              <w:spacing w:before="6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7.0×10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9"/>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W4</w:t>
            </w:r>
          </w:p>
        </w:tc>
        <w:tc>
          <w:tcPr>
            <w:tcW w:w="411" w:type="pct"/>
            <w:tcBorders>
              <w:top w:val="single" w:color="000000" w:sz="4" w:space="0"/>
              <w:bottom w:val="single" w:color="000000" w:sz="4" w:space="0"/>
            </w:tcBorders>
          </w:tcPr>
          <w:p>
            <w:pPr>
              <w:pStyle w:val="159"/>
              <w:spacing w:before="79"/>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7.57</w:t>
            </w:r>
          </w:p>
        </w:tc>
        <w:tc>
          <w:tcPr>
            <w:tcW w:w="446" w:type="pct"/>
            <w:tcBorders>
              <w:top w:val="single" w:color="000000" w:sz="4" w:space="0"/>
              <w:bottom w:val="single" w:color="000000" w:sz="4" w:space="0"/>
            </w:tcBorders>
          </w:tcPr>
          <w:p>
            <w:pPr>
              <w:pStyle w:val="159"/>
              <w:spacing w:before="79"/>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79"/>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1.9</w:t>
            </w:r>
          </w:p>
        </w:tc>
        <w:tc>
          <w:tcPr>
            <w:tcW w:w="551" w:type="pct"/>
            <w:tcBorders>
              <w:top w:val="single" w:color="000000" w:sz="4" w:space="0"/>
              <w:bottom w:val="single" w:color="000000" w:sz="4" w:space="0"/>
            </w:tcBorders>
          </w:tcPr>
          <w:p>
            <w:pPr>
              <w:pStyle w:val="159"/>
              <w:spacing w:before="79"/>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0.37</w:t>
            </w:r>
          </w:p>
        </w:tc>
        <w:tc>
          <w:tcPr>
            <w:tcW w:w="414" w:type="pct"/>
            <w:tcBorders>
              <w:top w:val="single" w:color="000000" w:sz="4" w:space="0"/>
              <w:bottom w:val="single" w:color="000000" w:sz="4" w:space="0"/>
            </w:tcBorders>
          </w:tcPr>
          <w:p>
            <w:pPr>
              <w:pStyle w:val="159"/>
              <w:spacing w:before="79"/>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0.11</w:t>
            </w:r>
          </w:p>
        </w:tc>
        <w:tc>
          <w:tcPr>
            <w:tcW w:w="350" w:type="pct"/>
            <w:tcBorders>
              <w:top w:val="single" w:color="000000" w:sz="4" w:space="0"/>
              <w:bottom w:val="single" w:color="000000" w:sz="4" w:space="0"/>
            </w:tcBorders>
          </w:tcPr>
          <w:p>
            <w:pPr>
              <w:pStyle w:val="159"/>
              <w:spacing w:before="79"/>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1.95</w:t>
            </w:r>
          </w:p>
        </w:tc>
        <w:tc>
          <w:tcPr>
            <w:tcW w:w="300" w:type="pct"/>
            <w:tcBorders>
              <w:top w:val="single" w:color="000000" w:sz="4" w:space="0"/>
              <w:bottom w:val="single" w:color="000000" w:sz="4" w:space="0"/>
            </w:tcBorders>
          </w:tcPr>
          <w:p>
            <w:pPr>
              <w:pStyle w:val="159"/>
              <w:spacing w:before="79"/>
              <w:ind w:left="131" w:right="121"/>
              <w:rPr>
                <w:rFonts w:hint="default" w:ascii="Times New Roman" w:hAnsi="Times New Roman" w:cs="Times New Roman"/>
                <w:sz w:val="21"/>
                <w:szCs w:val="21"/>
                <w:u w:val="single"/>
              </w:rPr>
            </w:pPr>
            <w:r>
              <w:rPr>
                <w:rFonts w:hint="default" w:ascii="Times New Roman" w:hAnsi="Times New Roman" w:cs="Times New Roman"/>
                <w:sz w:val="21"/>
                <w:szCs w:val="21"/>
                <w:u w:val="single"/>
              </w:rPr>
              <w:t>11</w:t>
            </w:r>
          </w:p>
        </w:tc>
        <w:tc>
          <w:tcPr>
            <w:tcW w:w="804" w:type="pct"/>
            <w:tcBorders>
              <w:top w:val="single" w:color="000000" w:sz="4" w:space="0"/>
              <w:bottom w:val="single" w:color="000000" w:sz="4" w:space="0"/>
              <w:right w:val="nil"/>
            </w:tcBorders>
          </w:tcPr>
          <w:p>
            <w:pPr>
              <w:pStyle w:val="159"/>
              <w:spacing w:before="79"/>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2.7×10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line="241" w:lineRule="exact"/>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W5</w:t>
            </w:r>
          </w:p>
        </w:tc>
        <w:tc>
          <w:tcPr>
            <w:tcW w:w="411" w:type="pct"/>
            <w:tcBorders>
              <w:top w:val="single" w:color="000000" w:sz="4" w:space="0"/>
              <w:bottom w:val="single" w:color="000000" w:sz="4" w:space="0"/>
            </w:tcBorders>
          </w:tcPr>
          <w:p>
            <w:pPr>
              <w:pStyle w:val="159"/>
              <w:spacing w:before="59"/>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7.58</w:t>
            </w:r>
          </w:p>
        </w:tc>
        <w:tc>
          <w:tcPr>
            <w:tcW w:w="446" w:type="pct"/>
            <w:tcBorders>
              <w:top w:val="single" w:color="000000" w:sz="4" w:space="0"/>
              <w:bottom w:val="single" w:color="000000" w:sz="4" w:space="0"/>
            </w:tcBorders>
          </w:tcPr>
          <w:p>
            <w:pPr>
              <w:pStyle w:val="159"/>
              <w:spacing w:before="59"/>
              <w:ind w:left="8"/>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9</w:t>
            </w:r>
          </w:p>
        </w:tc>
        <w:tc>
          <w:tcPr>
            <w:tcW w:w="494" w:type="pct"/>
            <w:tcBorders>
              <w:top w:val="single" w:color="000000" w:sz="4" w:space="0"/>
              <w:bottom w:val="single" w:color="000000" w:sz="4" w:space="0"/>
            </w:tcBorders>
          </w:tcPr>
          <w:p>
            <w:pPr>
              <w:pStyle w:val="159"/>
              <w:spacing w:before="59"/>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1.9</w:t>
            </w:r>
          </w:p>
        </w:tc>
        <w:tc>
          <w:tcPr>
            <w:tcW w:w="551" w:type="pct"/>
            <w:tcBorders>
              <w:top w:val="single" w:color="000000" w:sz="4" w:space="0"/>
              <w:bottom w:val="single" w:color="000000" w:sz="4" w:space="0"/>
            </w:tcBorders>
          </w:tcPr>
          <w:p>
            <w:pPr>
              <w:pStyle w:val="159"/>
              <w:spacing w:before="59"/>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0.42</w:t>
            </w:r>
          </w:p>
        </w:tc>
        <w:tc>
          <w:tcPr>
            <w:tcW w:w="414" w:type="pct"/>
            <w:tcBorders>
              <w:top w:val="single" w:color="000000" w:sz="4" w:space="0"/>
              <w:bottom w:val="single" w:color="000000" w:sz="4" w:space="0"/>
            </w:tcBorders>
          </w:tcPr>
          <w:p>
            <w:pPr>
              <w:pStyle w:val="159"/>
              <w:spacing w:before="59"/>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0.12</w:t>
            </w:r>
          </w:p>
        </w:tc>
        <w:tc>
          <w:tcPr>
            <w:tcW w:w="350" w:type="pct"/>
            <w:tcBorders>
              <w:top w:val="single" w:color="000000" w:sz="4" w:space="0"/>
              <w:bottom w:val="single" w:color="000000" w:sz="4" w:space="0"/>
            </w:tcBorders>
          </w:tcPr>
          <w:p>
            <w:pPr>
              <w:pStyle w:val="159"/>
              <w:spacing w:before="59"/>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1.93</w:t>
            </w:r>
          </w:p>
        </w:tc>
        <w:tc>
          <w:tcPr>
            <w:tcW w:w="300" w:type="pct"/>
            <w:tcBorders>
              <w:top w:val="single" w:color="000000" w:sz="4" w:space="0"/>
              <w:bottom w:val="single" w:color="000000" w:sz="4" w:space="0"/>
            </w:tcBorders>
          </w:tcPr>
          <w:p>
            <w:pPr>
              <w:pStyle w:val="159"/>
              <w:spacing w:before="59"/>
              <w:ind w:left="131" w:right="121"/>
              <w:rPr>
                <w:rFonts w:hint="default" w:ascii="Times New Roman" w:hAnsi="Times New Roman" w:cs="Times New Roman"/>
                <w:sz w:val="21"/>
                <w:szCs w:val="21"/>
                <w:u w:val="single"/>
              </w:rPr>
            </w:pPr>
            <w:r>
              <w:rPr>
                <w:rFonts w:hint="default" w:ascii="Times New Roman" w:hAnsi="Times New Roman" w:cs="Times New Roman"/>
                <w:sz w:val="21"/>
                <w:szCs w:val="21"/>
                <w:u w:val="single"/>
              </w:rPr>
              <w:t>10</w:t>
            </w:r>
          </w:p>
        </w:tc>
        <w:tc>
          <w:tcPr>
            <w:tcW w:w="804" w:type="pct"/>
            <w:tcBorders>
              <w:top w:val="single" w:color="000000" w:sz="4" w:space="0"/>
              <w:bottom w:val="single" w:color="000000" w:sz="4" w:space="0"/>
              <w:right w:val="nil"/>
            </w:tcBorders>
          </w:tcPr>
          <w:p>
            <w:pPr>
              <w:pStyle w:val="159"/>
              <w:spacing w:before="59"/>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7.9×10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line="241" w:lineRule="exact"/>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W6</w:t>
            </w:r>
          </w:p>
        </w:tc>
        <w:tc>
          <w:tcPr>
            <w:tcW w:w="411" w:type="pct"/>
            <w:tcBorders>
              <w:top w:val="single" w:color="000000" w:sz="4" w:space="0"/>
              <w:bottom w:val="single" w:color="000000" w:sz="4" w:space="0"/>
            </w:tcBorders>
          </w:tcPr>
          <w:p>
            <w:pPr>
              <w:pStyle w:val="159"/>
              <w:spacing w:before="5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7.40</w:t>
            </w:r>
          </w:p>
        </w:tc>
        <w:tc>
          <w:tcPr>
            <w:tcW w:w="446" w:type="pct"/>
            <w:tcBorders>
              <w:top w:val="single" w:color="000000" w:sz="4" w:space="0"/>
              <w:bottom w:val="single" w:color="000000" w:sz="4" w:space="0"/>
            </w:tcBorders>
          </w:tcPr>
          <w:p>
            <w:pPr>
              <w:pStyle w:val="159"/>
              <w:spacing w:before="5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10</w:t>
            </w:r>
          </w:p>
        </w:tc>
        <w:tc>
          <w:tcPr>
            <w:tcW w:w="494" w:type="pct"/>
            <w:tcBorders>
              <w:top w:val="single" w:color="000000" w:sz="4" w:space="0"/>
              <w:bottom w:val="single" w:color="000000" w:sz="4" w:space="0"/>
            </w:tcBorders>
          </w:tcPr>
          <w:p>
            <w:pPr>
              <w:pStyle w:val="159"/>
              <w:spacing w:before="5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1.7</w:t>
            </w:r>
          </w:p>
        </w:tc>
        <w:tc>
          <w:tcPr>
            <w:tcW w:w="551" w:type="pct"/>
            <w:tcBorders>
              <w:top w:val="single" w:color="000000" w:sz="4" w:space="0"/>
              <w:bottom w:val="single" w:color="000000" w:sz="4" w:space="0"/>
            </w:tcBorders>
          </w:tcPr>
          <w:p>
            <w:pPr>
              <w:pStyle w:val="159"/>
              <w:spacing w:before="5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0.32</w:t>
            </w:r>
          </w:p>
        </w:tc>
        <w:tc>
          <w:tcPr>
            <w:tcW w:w="414" w:type="pct"/>
            <w:tcBorders>
              <w:top w:val="single" w:color="000000" w:sz="4" w:space="0"/>
              <w:bottom w:val="single" w:color="000000" w:sz="4" w:space="0"/>
            </w:tcBorders>
          </w:tcPr>
          <w:p>
            <w:pPr>
              <w:pStyle w:val="159"/>
              <w:spacing w:before="5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0.12</w:t>
            </w:r>
          </w:p>
        </w:tc>
        <w:tc>
          <w:tcPr>
            <w:tcW w:w="350" w:type="pct"/>
            <w:tcBorders>
              <w:top w:val="single" w:color="000000" w:sz="4" w:space="0"/>
              <w:bottom w:val="single" w:color="000000" w:sz="4" w:space="0"/>
            </w:tcBorders>
          </w:tcPr>
          <w:p>
            <w:pPr>
              <w:pStyle w:val="159"/>
              <w:spacing w:before="5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2.42</w:t>
            </w:r>
          </w:p>
        </w:tc>
        <w:tc>
          <w:tcPr>
            <w:tcW w:w="300" w:type="pct"/>
            <w:tcBorders>
              <w:top w:val="single" w:color="000000" w:sz="4" w:space="0"/>
              <w:bottom w:val="single" w:color="000000" w:sz="4" w:space="0"/>
            </w:tcBorders>
          </w:tcPr>
          <w:p>
            <w:pPr>
              <w:pStyle w:val="159"/>
              <w:spacing w:before="57"/>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5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4.7×10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786" w:type="pct"/>
            <w:vMerge w:val="restart"/>
            <w:tcBorders>
              <w:top w:val="single" w:color="000000" w:sz="4" w:space="0"/>
              <w:left w:val="nil"/>
              <w:bottom w:val="single" w:color="000000" w:sz="4" w:space="0"/>
            </w:tcBorders>
          </w:tcPr>
          <w:p>
            <w:pPr>
              <w:pStyle w:val="159"/>
              <w:jc w:val="left"/>
              <w:rPr>
                <w:rFonts w:hint="default" w:ascii="Times New Roman" w:hAnsi="Times New Roman" w:cs="Times New Roman"/>
                <w:b/>
                <w:sz w:val="21"/>
                <w:szCs w:val="21"/>
                <w:u w:val="single"/>
              </w:rPr>
            </w:pPr>
          </w:p>
          <w:p>
            <w:pPr>
              <w:pStyle w:val="159"/>
              <w:jc w:val="left"/>
              <w:rPr>
                <w:rFonts w:hint="default" w:ascii="Times New Roman" w:hAnsi="Times New Roman" w:cs="Times New Roman"/>
                <w:b/>
                <w:sz w:val="21"/>
                <w:szCs w:val="21"/>
                <w:u w:val="single"/>
              </w:rPr>
            </w:pPr>
          </w:p>
          <w:p>
            <w:pPr>
              <w:pStyle w:val="159"/>
              <w:jc w:val="left"/>
              <w:rPr>
                <w:rFonts w:hint="default" w:ascii="Times New Roman" w:hAnsi="Times New Roman" w:cs="Times New Roman"/>
                <w:b/>
                <w:sz w:val="21"/>
                <w:szCs w:val="21"/>
                <w:u w:val="single"/>
              </w:rPr>
            </w:pPr>
          </w:p>
          <w:p>
            <w:pPr>
              <w:pStyle w:val="159"/>
              <w:spacing w:before="8"/>
              <w:jc w:val="left"/>
              <w:rPr>
                <w:rFonts w:hint="default" w:ascii="Times New Roman" w:hAnsi="Times New Roman" w:cs="Times New Roman"/>
                <w:b/>
                <w:sz w:val="21"/>
                <w:szCs w:val="21"/>
                <w:u w:val="single"/>
              </w:rPr>
            </w:pPr>
          </w:p>
          <w:p>
            <w:pPr>
              <w:pStyle w:val="159"/>
              <w:spacing w:before="1"/>
              <w:ind w:left="292"/>
              <w:jc w:val="left"/>
              <w:rPr>
                <w:rFonts w:hint="default" w:ascii="Times New Roman" w:hAnsi="Times New Roman" w:cs="Times New Roman"/>
                <w:sz w:val="21"/>
                <w:szCs w:val="21"/>
                <w:u w:val="single"/>
              </w:rPr>
            </w:pPr>
            <w:r>
              <w:rPr>
                <w:rFonts w:hint="default" w:ascii="Times New Roman" w:hAnsi="Times New Roman" w:cs="Times New Roman"/>
                <w:sz w:val="21"/>
                <w:szCs w:val="21"/>
                <w:u w:val="single"/>
              </w:rPr>
              <w:t>2020.06.10</w:t>
            </w:r>
          </w:p>
        </w:tc>
        <w:tc>
          <w:tcPr>
            <w:tcW w:w="440" w:type="pct"/>
            <w:tcBorders>
              <w:top w:val="single" w:color="000000" w:sz="4" w:space="0"/>
              <w:bottom w:val="single" w:color="000000" w:sz="4" w:space="0"/>
            </w:tcBorders>
          </w:tcPr>
          <w:p>
            <w:pPr>
              <w:pStyle w:val="159"/>
              <w:spacing w:before="31"/>
              <w:ind w:left="236" w:right="229"/>
              <w:rPr>
                <w:rFonts w:hint="default" w:ascii="Times New Roman" w:hAnsi="Times New Roman" w:cs="Times New Roman"/>
                <w:sz w:val="21"/>
                <w:szCs w:val="21"/>
                <w:u w:val="single"/>
              </w:rPr>
            </w:pPr>
            <w:r>
              <w:rPr>
                <w:rFonts w:hint="default" w:ascii="Times New Roman" w:hAnsi="Times New Roman" w:cs="Times New Roman"/>
                <w:sz w:val="21"/>
                <w:szCs w:val="21"/>
                <w:u w:val="single"/>
              </w:rPr>
              <w:t>W1</w:t>
            </w:r>
          </w:p>
        </w:tc>
        <w:tc>
          <w:tcPr>
            <w:tcW w:w="411" w:type="pct"/>
            <w:tcBorders>
              <w:top w:val="single" w:color="000000" w:sz="4" w:space="0"/>
              <w:bottom w:val="single" w:color="000000" w:sz="4" w:space="0"/>
            </w:tcBorders>
          </w:tcPr>
          <w:p>
            <w:pPr>
              <w:pStyle w:val="159"/>
              <w:spacing w:before="31"/>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7.67</w:t>
            </w:r>
          </w:p>
        </w:tc>
        <w:tc>
          <w:tcPr>
            <w:tcW w:w="446" w:type="pct"/>
            <w:tcBorders>
              <w:top w:val="single" w:color="000000" w:sz="4" w:space="0"/>
              <w:bottom w:val="single" w:color="000000" w:sz="4" w:space="0"/>
            </w:tcBorders>
          </w:tcPr>
          <w:p>
            <w:pPr>
              <w:pStyle w:val="159"/>
              <w:spacing w:before="31"/>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11</w:t>
            </w:r>
          </w:p>
        </w:tc>
        <w:tc>
          <w:tcPr>
            <w:tcW w:w="494" w:type="pct"/>
            <w:tcBorders>
              <w:top w:val="single" w:color="000000" w:sz="4" w:space="0"/>
              <w:bottom w:val="single" w:color="000000" w:sz="4" w:space="0"/>
            </w:tcBorders>
          </w:tcPr>
          <w:p>
            <w:pPr>
              <w:pStyle w:val="159"/>
              <w:spacing w:before="31"/>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2.8</w:t>
            </w:r>
          </w:p>
        </w:tc>
        <w:tc>
          <w:tcPr>
            <w:tcW w:w="551" w:type="pct"/>
            <w:tcBorders>
              <w:top w:val="single" w:color="000000" w:sz="4" w:space="0"/>
              <w:bottom w:val="single" w:color="000000" w:sz="4" w:space="0"/>
            </w:tcBorders>
          </w:tcPr>
          <w:p>
            <w:pPr>
              <w:pStyle w:val="159"/>
              <w:spacing w:before="31"/>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0.44</w:t>
            </w:r>
          </w:p>
        </w:tc>
        <w:tc>
          <w:tcPr>
            <w:tcW w:w="414" w:type="pct"/>
            <w:tcBorders>
              <w:top w:val="single" w:color="000000" w:sz="4" w:space="0"/>
              <w:bottom w:val="single" w:color="000000" w:sz="4" w:space="0"/>
            </w:tcBorders>
          </w:tcPr>
          <w:p>
            <w:pPr>
              <w:pStyle w:val="159"/>
              <w:spacing w:before="31"/>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0.15</w:t>
            </w:r>
          </w:p>
        </w:tc>
        <w:tc>
          <w:tcPr>
            <w:tcW w:w="350" w:type="pct"/>
            <w:tcBorders>
              <w:top w:val="single" w:color="000000" w:sz="4" w:space="0"/>
              <w:bottom w:val="single" w:color="000000" w:sz="4" w:space="0"/>
            </w:tcBorders>
          </w:tcPr>
          <w:p>
            <w:pPr>
              <w:pStyle w:val="159"/>
              <w:spacing w:before="31"/>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2.22</w:t>
            </w:r>
          </w:p>
        </w:tc>
        <w:tc>
          <w:tcPr>
            <w:tcW w:w="300" w:type="pct"/>
            <w:tcBorders>
              <w:top w:val="single" w:color="000000" w:sz="4" w:space="0"/>
              <w:bottom w:val="single" w:color="000000" w:sz="4" w:space="0"/>
            </w:tcBorders>
          </w:tcPr>
          <w:p>
            <w:pPr>
              <w:pStyle w:val="159"/>
              <w:spacing w:before="31"/>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31"/>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2.7×10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7"/>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W2</w:t>
            </w:r>
          </w:p>
        </w:tc>
        <w:tc>
          <w:tcPr>
            <w:tcW w:w="411" w:type="pct"/>
            <w:tcBorders>
              <w:top w:val="single" w:color="000000" w:sz="4" w:space="0"/>
              <w:bottom w:val="single" w:color="000000" w:sz="4" w:space="0"/>
            </w:tcBorders>
          </w:tcPr>
          <w:p>
            <w:pPr>
              <w:pStyle w:val="159"/>
              <w:spacing w:before="12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7.75</w:t>
            </w:r>
          </w:p>
        </w:tc>
        <w:tc>
          <w:tcPr>
            <w:tcW w:w="446" w:type="pct"/>
            <w:tcBorders>
              <w:top w:val="single" w:color="000000" w:sz="4" w:space="0"/>
              <w:bottom w:val="single" w:color="000000" w:sz="4"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3.2</w:t>
            </w:r>
          </w:p>
        </w:tc>
        <w:tc>
          <w:tcPr>
            <w:tcW w:w="551" w:type="pct"/>
            <w:tcBorders>
              <w:top w:val="single" w:color="000000" w:sz="4" w:space="0"/>
              <w:bottom w:val="single" w:color="000000" w:sz="4"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0.42</w:t>
            </w:r>
          </w:p>
        </w:tc>
        <w:tc>
          <w:tcPr>
            <w:tcW w:w="414" w:type="pct"/>
            <w:tcBorders>
              <w:top w:val="single" w:color="000000" w:sz="4" w:space="0"/>
              <w:bottom w:val="single" w:color="000000" w:sz="4" w:space="0"/>
            </w:tcBorders>
          </w:tcPr>
          <w:p>
            <w:pPr>
              <w:pStyle w:val="159"/>
              <w:spacing w:before="12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0.12</w:t>
            </w:r>
          </w:p>
        </w:tc>
        <w:tc>
          <w:tcPr>
            <w:tcW w:w="350" w:type="pct"/>
            <w:tcBorders>
              <w:top w:val="single" w:color="000000" w:sz="4" w:space="0"/>
              <w:bottom w:val="single" w:color="000000" w:sz="4" w:space="0"/>
            </w:tcBorders>
          </w:tcPr>
          <w:p>
            <w:pPr>
              <w:pStyle w:val="159"/>
              <w:spacing w:before="12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2.34</w:t>
            </w:r>
          </w:p>
        </w:tc>
        <w:tc>
          <w:tcPr>
            <w:tcW w:w="300" w:type="pct"/>
            <w:tcBorders>
              <w:top w:val="single" w:color="000000" w:sz="4" w:space="0"/>
              <w:bottom w:val="single" w:color="000000" w:sz="4" w:space="0"/>
            </w:tcBorders>
          </w:tcPr>
          <w:p>
            <w:pPr>
              <w:pStyle w:val="159"/>
              <w:spacing w:before="127"/>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12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1.3×10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7"/>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W3</w:t>
            </w:r>
          </w:p>
        </w:tc>
        <w:tc>
          <w:tcPr>
            <w:tcW w:w="411" w:type="pct"/>
            <w:tcBorders>
              <w:top w:val="single" w:color="000000" w:sz="4" w:space="0"/>
              <w:bottom w:val="single" w:color="000000" w:sz="4" w:space="0"/>
            </w:tcBorders>
          </w:tcPr>
          <w:p>
            <w:pPr>
              <w:pStyle w:val="159"/>
              <w:spacing w:before="12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7.61</w:t>
            </w:r>
          </w:p>
        </w:tc>
        <w:tc>
          <w:tcPr>
            <w:tcW w:w="446" w:type="pct"/>
            <w:tcBorders>
              <w:top w:val="single" w:color="000000" w:sz="4" w:space="0"/>
              <w:bottom w:val="single" w:color="000000" w:sz="4"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16</w:t>
            </w:r>
          </w:p>
        </w:tc>
        <w:tc>
          <w:tcPr>
            <w:tcW w:w="494" w:type="pct"/>
            <w:tcBorders>
              <w:top w:val="single" w:color="000000" w:sz="4" w:space="0"/>
              <w:bottom w:val="single" w:color="000000" w:sz="4"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4.0</w:t>
            </w:r>
          </w:p>
        </w:tc>
        <w:tc>
          <w:tcPr>
            <w:tcW w:w="551" w:type="pct"/>
            <w:tcBorders>
              <w:top w:val="single" w:color="000000" w:sz="4" w:space="0"/>
              <w:bottom w:val="single" w:color="000000" w:sz="4"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0.34</w:t>
            </w:r>
          </w:p>
        </w:tc>
        <w:tc>
          <w:tcPr>
            <w:tcW w:w="414" w:type="pct"/>
            <w:tcBorders>
              <w:top w:val="single" w:color="000000" w:sz="4" w:space="0"/>
              <w:bottom w:val="single" w:color="000000" w:sz="4" w:space="0"/>
            </w:tcBorders>
          </w:tcPr>
          <w:p>
            <w:pPr>
              <w:pStyle w:val="159"/>
              <w:spacing w:before="12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0.14</w:t>
            </w:r>
          </w:p>
        </w:tc>
        <w:tc>
          <w:tcPr>
            <w:tcW w:w="350" w:type="pct"/>
            <w:tcBorders>
              <w:top w:val="single" w:color="000000" w:sz="4" w:space="0"/>
              <w:bottom w:val="single" w:color="000000" w:sz="4" w:space="0"/>
            </w:tcBorders>
          </w:tcPr>
          <w:p>
            <w:pPr>
              <w:pStyle w:val="159"/>
              <w:spacing w:before="12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2.88</w:t>
            </w:r>
          </w:p>
        </w:tc>
        <w:tc>
          <w:tcPr>
            <w:tcW w:w="300" w:type="pct"/>
            <w:tcBorders>
              <w:top w:val="single" w:color="000000" w:sz="4" w:space="0"/>
              <w:bottom w:val="single" w:color="000000" w:sz="4" w:space="0"/>
            </w:tcBorders>
          </w:tcPr>
          <w:p>
            <w:pPr>
              <w:pStyle w:val="159"/>
              <w:spacing w:before="127"/>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12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1.1×10</w:t>
            </w:r>
            <w:r>
              <w:rPr>
                <w:rFonts w:hint="default" w:ascii="Times New Roman" w:hAnsi="Times New Roman" w:cs="Times New Roman"/>
                <w:position w:val="7"/>
                <w:sz w:val="21"/>
                <w:szCs w:val="21"/>
                <w:u w:val="singl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6"/>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W4</w:t>
            </w:r>
          </w:p>
        </w:tc>
        <w:tc>
          <w:tcPr>
            <w:tcW w:w="411" w:type="pct"/>
            <w:tcBorders>
              <w:top w:val="single" w:color="000000" w:sz="4" w:space="0"/>
              <w:bottom w:val="single" w:color="000000" w:sz="4" w:space="0"/>
            </w:tcBorders>
          </w:tcPr>
          <w:p>
            <w:pPr>
              <w:pStyle w:val="159"/>
              <w:spacing w:before="126"/>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7.55</w:t>
            </w:r>
          </w:p>
        </w:tc>
        <w:tc>
          <w:tcPr>
            <w:tcW w:w="446" w:type="pct"/>
            <w:tcBorders>
              <w:top w:val="single" w:color="000000" w:sz="4" w:space="0"/>
              <w:bottom w:val="single" w:color="000000" w:sz="4" w:space="0"/>
            </w:tcBorders>
          </w:tcPr>
          <w:p>
            <w:pPr>
              <w:pStyle w:val="159"/>
              <w:spacing w:before="126"/>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126"/>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3.3</w:t>
            </w:r>
          </w:p>
        </w:tc>
        <w:tc>
          <w:tcPr>
            <w:tcW w:w="551" w:type="pct"/>
            <w:tcBorders>
              <w:top w:val="single" w:color="000000" w:sz="4" w:space="0"/>
              <w:bottom w:val="single" w:color="000000" w:sz="4" w:space="0"/>
            </w:tcBorders>
          </w:tcPr>
          <w:p>
            <w:pPr>
              <w:pStyle w:val="159"/>
              <w:spacing w:before="126"/>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0.47</w:t>
            </w:r>
          </w:p>
        </w:tc>
        <w:tc>
          <w:tcPr>
            <w:tcW w:w="414" w:type="pct"/>
            <w:tcBorders>
              <w:top w:val="single" w:color="000000" w:sz="4" w:space="0"/>
              <w:bottom w:val="single" w:color="000000" w:sz="4" w:space="0"/>
            </w:tcBorders>
          </w:tcPr>
          <w:p>
            <w:pPr>
              <w:pStyle w:val="159"/>
              <w:spacing w:before="126"/>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0.13</w:t>
            </w:r>
          </w:p>
        </w:tc>
        <w:tc>
          <w:tcPr>
            <w:tcW w:w="350" w:type="pct"/>
            <w:tcBorders>
              <w:top w:val="single" w:color="000000" w:sz="4" w:space="0"/>
              <w:bottom w:val="single" w:color="000000" w:sz="4" w:space="0"/>
            </w:tcBorders>
          </w:tcPr>
          <w:p>
            <w:pPr>
              <w:pStyle w:val="159"/>
              <w:spacing w:before="126"/>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2.50</w:t>
            </w:r>
          </w:p>
        </w:tc>
        <w:tc>
          <w:tcPr>
            <w:tcW w:w="300" w:type="pct"/>
            <w:tcBorders>
              <w:top w:val="single" w:color="000000" w:sz="4" w:space="0"/>
              <w:bottom w:val="single" w:color="000000" w:sz="4" w:space="0"/>
            </w:tcBorders>
          </w:tcPr>
          <w:p>
            <w:pPr>
              <w:pStyle w:val="159"/>
              <w:spacing w:before="126"/>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5</w:t>
            </w:r>
          </w:p>
        </w:tc>
        <w:tc>
          <w:tcPr>
            <w:tcW w:w="804" w:type="pct"/>
            <w:tcBorders>
              <w:top w:val="single" w:color="000000" w:sz="4" w:space="0"/>
              <w:bottom w:val="single" w:color="000000" w:sz="4" w:space="0"/>
              <w:right w:val="nil"/>
            </w:tcBorders>
          </w:tcPr>
          <w:p>
            <w:pPr>
              <w:pStyle w:val="159"/>
              <w:spacing w:before="126"/>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4.9×10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8"/>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W5</w:t>
            </w:r>
          </w:p>
        </w:tc>
        <w:tc>
          <w:tcPr>
            <w:tcW w:w="411" w:type="pct"/>
            <w:tcBorders>
              <w:top w:val="single" w:color="000000" w:sz="4" w:space="0"/>
              <w:bottom w:val="single" w:color="000000" w:sz="4" w:space="0"/>
            </w:tcBorders>
          </w:tcPr>
          <w:p>
            <w:pPr>
              <w:pStyle w:val="159"/>
              <w:spacing w:before="128"/>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7.56</w:t>
            </w:r>
          </w:p>
        </w:tc>
        <w:tc>
          <w:tcPr>
            <w:tcW w:w="446" w:type="pct"/>
            <w:tcBorders>
              <w:top w:val="single" w:color="000000" w:sz="4" w:space="0"/>
              <w:bottom w:val="single" w:color="000000" w:sz="4" w:space="0"/>
            </w:tcBorders>
          </w:tcPr>
          <w:p>
            <w:pPr>
              <w:pStyle w:val="159"/>
              <w:spacing w:before="128"/>
              <w:ind w:left="8"/>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9</w:t>
            </w:r>
          </w:p>
        </w:tc>
        <w:tc>
          <w:tcPr>
            <w:tcW w:w="494" w:type="pct"/>
            <w:tcBorders>
              <w:top w:val="single" w:color="000000" w:sz="4" w:space="0"/>
              <w:bottom w:val="single" w:color="000000" w:sz="4" w:space="0"/>
            </w:tcBorders>
          </w:tcPr>
          <w:p>
            <w:pPr>
              <w:pStyle w:val="159"/>
              <w:spacing w:before="128"/>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2.3</w:t>
            </w:r>
          </w:p>
        </w:tc>
        <w:tc>
          <w:tcPr>
            <w:tcW w:w="551" w:type="pct"/>
            <w:tcBorders>
              <w:top w:val="single" w:color="000000" w:sz="4" w:space="0"/>
              <w:bottom w:val="single" w:color="000000" w:sz="4" w:space="0"/>
            </w:tcBorders>
          </w:tcPr>
          <w:p>
            <w:pPr>
              <w:pStyle w:val="159"/>
              <w:spacing w:before="128"/>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0.42</w:t>
            </w:r>
          </w:p>
        </w:tc>
        <w:tc>
          <w:tcPr>
            <w:tcW w:w="414" w:type="pct"/>
            <w:tcBorders>
              <w:top w:val="single" w:color="000000" w:sz="4" w:space="0"/>
              <w:bottom w:val="single" w:color="000000" w:sz="4" w:space="0"/>
            </w:tcBorders>
          </w:tcPr>
          <w:p>
            <w:pPr>
              <w:pStyle w:val="159"/>
              <w:spacing w:before="128"/>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0.13</w:t>
            </w:r>
          </w:p>
        </w:tc>
        <w:tc>
          <w:tcPr>
            <w:tcW w:w="350" w:type="pct"/>
            <w:tcBorders>
              <w:top w:val="single" w:color="000000" w:sz="4" w:space="0"/>
              <w:bottom w:val="single" w:color="000000" w:sz="4" w:space="0"/>
            </w:tcBorders>
          </w:tcPr>
          <w:p>
            <w:pPr>
              <w:pStyle w:val="159"/>
              <w:spacing w:before="128"/>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2.28</w:t>
            </w:r>
          </w:p>
        </w:tc>
        <w:tc>
          <w:tcPr>
            <w:tcW w:w="300" w:type="pct"/>
            <w:tcBorders>
              <w:top w:val="single" w:color="000000" w:sz="4" w:space="0"/>
              <w:bottom w:val="single" w:color="000000" w:sz="4" w:space="0"/>
            </w:tcBorders>
          </w:tcPr>
          <w:p>
            <w:pPr>
              <w:pStyle w:val="159"/>
              <w:spacing w:before="128"/>
              <w:ind w:left="131" w:right="121"/>
              <w:rPr>
                <w:rFonts w:hint="default" w:ascii="Times New Roman" w:hAnsi="Times New Roman" w:cs="Times New Roman"/>
                <w:sz w:val="21"/>
                <w:szCs w:val="21"/>
                <w:u w:val="single"/>
              </w:rPr>
            </w:pPr>
            <w:r>
              <w:rPr>
                <w:rFonts w:hint="default" w:ascii="Times New Roman" w:hAnsi="Times New Roman" w:cs="Times New Roman"/>
                <w:sz w:val="21"/>
                <w:szCs w:val="21"/>
                <w:u w:val="single"/>
              </w:rPr>
              <w:t>12</w:t>
            </w:r>
          </w:p>
        </w:tc>
        <w:tc>
          <w:tcPr>
            <w:tcW w:w="804" w:type="pct"/>
            <w:tcBorders>
              <w:top w:val="single" w:color="000000" w:sz="4" w:space="0"/>
              <w:bottom w:val="single" w:color="000000" w:sz="4" w:space="0"/>
              <w:right w:val="nil"/>
            </w:tcBorders>
          </w:tcPr>
          <w:p>
            <w:pPr>
              <w:pStyle w:val="159"/>
              <w:spacing w:before="128"/>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1.3×10</w:t>
            </w:r>
            <w:r>
              <w:rPr>
                <w:rFonts w:hint="default" w:ascii="Times New Roman" w:hAnsi="Times New Roman" w:cs="Times New Roman"/>
                <w:position w:val="7"/>
                <w:sz w:val="21"/>
                <w:szCs w:val="21"/>
                <w:u w:val="singl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7"/>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W6</w:t>
            </w:r>
          </w:p>
        </w:tc>
        <w:tc>
          <w:tcPr>
            <w:tcW w:w="411" w:type="pct"/>
            <w:tcBorders>
              <w:top w:val="single" w:color="000000" w:sz="4" w:space="0"/>
              <w:bottom w:val="single" w:color="000000" w:sz="4" w:space="0"/>
            </w:tcBorders>
          </w:tcPr>
          <w:p>
            <w:pPr>
              <w:pStyle w:val="159"/>
              <w:spacing w:before="12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7.38</w:t>
            </w:r>
          </w:p>
        </w:tc>
        <w:tc>
          <w:tcPr>
            <w:tcW w:w="446" w:type="pct"/>
            <w:tcBorders>
              <w:top w:val="single" w:color="000000" w:sz="4" w:space="0"/>
              <w:bottom w:val="single" w:color="000000" w:sz="4"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10</w:t>
            </w:r>
          </w:p>
        </w:tc>
        <w:tc>
          <w:tcPr>
            <w:tcW w:w="494" w:type="pct"/>
            <w:tcBorders>
              <w:top w:val="single" w:color="000000" w:sz="4" w:space="0"/>
              <w:bottom w:val="single" w:color="000000" w:sz="4"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2.4</w:t>
            </w:r>
          </w:p>
        </w:tc>
        <w:tc>
          <w:tcPr>
            <w:tcW w:w="551" w:type="pct"/>
            <w:tcBorders>
              <w:top w:val="single" w:color="000000" w:sz="4" w:space="0"/>
              <w:bottom w:val="single" w:color="000000" w:sz="4"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0.31</w:t>
            </w:r>
          </w:p>
        </w:tc>
        <w:tc>
          <w:tcPr>
            <w:tcW w:w="414" w:type="pct"/>
            <w:tcBorders>
              <w:top w:val="single" w:color="000000" w:sz="4" w:space="0"/>
              <w:bottom w:val="single" w:color="000000" w:sz="4" w:space="0"/>
            </w:tcBorders>
          </w:tcPr>
          <w:p>
            <w:pPr>
              <w:pStyle w:val="159"/>
              <w:spacing w:before="12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0.10</w:t>
            </w:r>
          </w:p>
        </w:tc>
        <w:tc>
          <w:tcPr>
            <w:tcW w:w="350" w:type="pct"/>
            <w:tcBorders>
              <w:top w:val="single" w:color="000000" w:sz="4" w:space="0"/>
              <w:bottom w:val="single" w:color="000000" w:sz="4" w:space="0"/>
            </w:tcBorders>
          </w:tcPr>
          <w:p>
            <w:pPr>
              <w:pStyle w:val="159"/>
              <w:spacing w:before="12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2.11</w:t>
            </w:r>
          </w:p>
        </w:tc>
        <w:tc>
          <w:tcPr>
            <w:tcW w:w="300" w:type="pct"/>
            <w:tcBorders>
              <w:top w:val="single" w:color="000000" w:sz="4" w:space="0"/>
              <w:bottom w:val="single" w:color="000000" w:sz="4" w:space="0"/>
            </w:tcBorders>
          </w:tcPr>
          <w:p>
            <w:pPr>
              <w:pStyle w:val="159"/>
              <w:spacing w:before="127"/>
              <w:ind w:left="131" w:right="121"/>
              <w:rPr>
                <w:rFonts w:hint="default" w:ascii="Times New Roman" w:hAnsi="Times New Roman" w:cs="Times New Roman"/>
                <w:sz w:val="21"/>
                <w:szCs w:val="21"/>
                <w:u w:val="single"/>
              </w:rPr>
            </w:pPr>
            <w:r>
              <w:rPr>
                <w:rFonts w:hint="default" w:ascii="Times New Roman" w:hAnsi="Times New Roman" w:cs="Times New Roman"/>
                <w:sz w:val="21"/>
                <w:szCs w:val="21"/>
                <w:u w:val="single"/>
              </w:rPr>
              <w:t>11</w:t>
            </w:r>
          </w:p>
        </w:tc>
        <w:tc>
          <w:tcPr>
            <w:tcW w:w="804" w:type="pct"/>
            <w:tcBorders>
              <w:top w:val="single" w:color="000000" w:sz="4" w:space="0"/>
              <w:bottom w:val="single" w:color="000000" w:sz="4" w:space="0"/>
              <w:right w:val="nil"/>
            </w:tcBorders>
          </w:tcPr>
          <w:p>
            <w:pPr>
              <w:pStyle w:val="159"/>
              <w:spacing w:before="12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2.8×10</w:t>
            </w:r>
            <w:r>
              <w:rPr>
                <w:rFonts w:hint="default" w:ascii="Times New Roman" w:hAnsi="Times New Roman" w:cs="Times New Roman"/>
                <w:position w:val="7"/>
                <w:sz w:val="21"/>
                <w:szCs w:val="21"/>
                <w:u w:val="singl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86" w:type="pct"/>
            <w:vMerge w:val="restart"/>
            <w:tcBorders>
              <w:top w:val="single" w:color="000000" w:sz="4" w:space="0"/>
              <w:left w:val="nil"/>
              <w:bottom w:val="single" w:color="000000" w:sz="4" w:space="0"/>
            </w:tcBorders>
          </w:tcPr>
          <w:p>
            <w:pPr>
              <w:pStyle w:val="159"/>
              <w:jc w:val="left"/>
              <w:rPr>
                <w:rFonts w:hint="default" w:ascii="Times New Roman" w:hAnsi="Times New Roman" w:cs="Times New Roman"/>
                <w:b/>
                <w:sz w:val="21"/>
                <w:szCs w:val="21"/>
                <w:u w:val="single"/>
              </w:rPr>
            </w:pPr>
          </w:p>
          <w:p>
            <w:pPr>
              <w:pStyle w:val="159"/>
              <w:jc w:val="left"/>
              <w:rPr>
                <w:rFonts w:hint="default" w:ascii="Times New Roman" w:hAnsi="Times New Roman" w:cs="Times New Roman"/>
                <w:b/>
                <w:sz w:val="21"/>
                <w:szCs w:val="21"/>
                <w:u w:val="single"/>
              </w:rPr>
            </w:pPr>
          </w:p>
          <w:p>
            <w:pPr>
              <w:pStyle w:val="159"/>
              <w:spacing w:before="7"/>
              <w:jc w:val="left"/>
              <w:rPr>
                <w:rFonts w:hint="default" w:ascii="Times New Roman" w:hAnsi="Times New Roman" w:cs="Times New Roman"/>
                <w:b/>
                <w:sz w:val="21"/>
                <w:szCs w:val="21"/>
                <w:u w:val="single"/>
              </w:rPr>
            </w:pPr>
          </w:p>
          <w:p>
            <w:pPr>
              <w:pStyle w:val="159"/>
              <w:ind w:left="292"/>
              <w:jc w:val="left"/>
              <w:rPr>
                <w:rFonts w:hint="default" w:ascii="Times New Roman" w:hAnsi="Times New Roman" w:cs="Times New Roman"/>
                <w:sz w:val="21"/>
                <w:szCs w:val="21"/>
                <w:u w:val="single"/>
              </w:rPr>
            </w:pPr>
            <w:r>
              <w:rPr>
                <w:rFonts w:hint="default" w:ascii="Times New Roman" w:hAnsi="Times New Roman" w:cs="Times New Roman"/>
                <w:sz w:val="21"/>
                <w:szCs w:val="21"/>
                <w:u w:val="single"/>
              </w:rPr>
              <w:t>2020.06.11</w:t>
            </w:r>
          </w:p>
        </w:tc>
        <w:tc>
          <w:tcPr>
            <w:tcW w:w="440" w:type="pct"/>
            <w:tcBorders>
              <w:top w:val="single" w:color="000000" w:sz="4" w:space="0"/>
              <w:bottom w:val="single" w:color="000000" w:sz="4" w:space="0"/>
            </w:tcBorders>
          </w:tcPr>
          <w:p>
            <w:pPr>
              <w:pStyle w:val="159"/>
              <w:spacing w:before="127"/>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W1</w:t>
            </w:r>
          </w:p>
        </w:tc>
        <w:tc>
          <w:tcPr>
            <w:tcW w:w="411" w:type="pct"/>
            <w:tcBorders>
              <w:top w:val="single" w:color="000000" w:sz="4" w:space="0"/>
              <w:bottom w:val="single" w:color="000000" w:sz="4" w:space="0"/>
            </w:tcBorders>
          </w:tcPr>
          <w:p>
            <w:pPr>
              <w:pStyle w:val="159"/>
              <w:spacing w:before="12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7.68</w:t>
            </w:r>
          </w:p>
        </w:tc>
        <w:tc>
          <w:tcPr>
            <w:tcW w:w="446" w:type="pct"/>
            <w:tcBorders>
              <w:top w:val="single" w:color="000000" w:sz="4" w:space="0"/>
              <w:bottom w:val="single" w:color="000000" w:sz="4"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2.2</w:t>
            </w:r>
          </w:p>
        </w:tc>
        <w:tc>
          <w:tcPr>
            <w:tcW w:w="551" w:type="pct"/>
            <w:tcBorders>
              <w:top w:val="single" w:color="000000" w:sz="4" w:space="0"/>
              <w:bottom w:val="single" w:color="000000" w:sz="4"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0.35</w:t>
            </w:r>
          </w:p>
        </w:tc>
        <w:tc>
          <w:tcPr>
            <w:tcW w:w="414" w:type="pct"/>
            <w:tcBorders>
              <w:top w:val="single" w:color="000000" w:sz="4" w:space="0"/>
              <w:bottom w:val="single" w:color="000000" w:sz="4" w:space="0"/>
            </w:tcBorders>
          </w:tcPr>
          <w:p>
            <w:pPr>
              <w:pStyle w:val="159"/>
              <w:spacing w:before="12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0.12</w:t>
            </w:r>
          </w:p>
        </w:tc>
        <w:tc>
          <w:tcPr>
            <w:tcW w:w="350" w:type="pct"/>
            <w:tcBorders>
              <w:top w:val="single" w:color="000000" w:sz="4" w:space="0"/>
              <w:bottom w:val="single" w:color="000000" w:sz="4" w:space="0"/>
            </w:tcBorders>
          </w:tcPr>
          <w:p>
            <w:pPr>
              <w:pStyle w:val="159"/>
              <w:spacing w:before="12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1.99</w:t>
            </w:r>
          </w:p>
        </w:tc>
        <w:tc>
          <w:tcPr>
            <w:tcW w:w="300" w:type="pct"/>
            <w:tcBorders>
              <w:top w:val="single" w:color="000000" w:sz="4" w:space="0"/>
              <w:bottom w:val="single" w:color="000000" w:sz="4" w:space="0"/>
            </w:tcBorders>
          </w:tcPr>
          <w:p>
            <w:pPr>
              <w:pStyle w:val="159"/>
              <w:spacing w:before="127"/>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12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2.6×10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6"/>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W2</w:t>
            </w:r>
          </w:p>
        </w:tc>
        <w:tc>
          <w:tcPr>
            <w:tcW w:w="411" w:type="pct"/>
            <w:tcBorders>
              <w:top w:val="single" w:color="000000" w:sz="4" w:space="0"/>
              <w:bottom w:val="single" w:color="000000" w:sz="4" w:space="0"/>
            </w:tcBorders>
          </w:tcPr>
          <w:p>
            <w:pPr>
              <w:pStyle w:val="159"/>
              <w:spacing w:before="126"/>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7.78</w:t>
            </w:r>
          </w:p>
        </w:tc>
        <w:tc>
          <w:tcPr>
            <w:tcW w:w="446" w:type="pct"/>
            <w:tcBorders>
              <w:top w:val="single" w:color="000000" w:sz="4" w:space="0"/>
              <w:bottom w:val="single" w:color="000000" w:sz="4" w:space="0"/>
            </w:tcBorders>
          </w:tcPr>
          <w:p>
            <w:pPr>
              <w:pStyle w:val="159"/>
              <w:spacing w:before="126"/>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126"/>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2.6</w:t>
            </w:r>
          </w:p>
        </w:tc>
        <w:tc>
          <w:tcPr>
            <w:tcW w:w="551" w:type="pct"/>
            <w:tcBorders>
              <w:top w:val="single" w:color="000000" w:sz="4" w:space="0"/>
              <w:bottom w:val="single" w:color="000000" w:sz="4" w:space="0"/>
            </w:tcBorders>
          </w:tcPr>
          <w:p>
            <w:pPr>
              <w:pStyle w:val="159"/>
              <w:spacing w:before="126"/>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0.46</w:t>
            </w:r>
          </w:p>
        </w:tc>
        <w:tc>
          <w:tcPr>
            <w:tcW w:w="414" w:type="pct"/>
            <w:tcBorders>
              <w:top w:val="single" w:color="000000" w:sz="4" w:space="0"/>
              <w:bottom w:val="single" w:color="000000" w:sz="4" w:space="0"/>
            </w:tcBorders>
          </w:tcPr>
          <w:p>
            <w:pPr>
              <w:pStyle w:val="159"/>
              <w:spacing w:before="126"/>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0.11</w:t>
            </w:r>
          </w:p>
        </w:tc>
        <w:tc>
          <w:tcPr>
            <w:tcW w:w="350" w:type="pct"/>
            <w:tcBorders>
              <w:top w:val="single" w:color="000000" w:sz="4" w:space="0"/>
              <w:bottom w:val="single" w:color="000000" w:sz="4" w:space="0"/>
            </w:tcBorders>
          </w:tcPr>
          <w:p>
            <w:pPr>
              <w:pStyle w:val="159"/>
              <w:spacing w:before="126"/>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1.46</w:t>
            </w:r>
          </w:p>
        </w:tc>
        <w:tc>
          <w:tcPr>
            <w:tcW w:w="300" w:type="pct"/>
            <w:tcBorders>
              <w:top w:val="single" w:color="000000" w:sz="4" w:space="0"/>
              <w:bottom w:val="single" w:color="000000" w:sz="4" w:space="0"/>
            </w:tcBorders>
          </w:tcPr>
          <w:p>
            <w:pPr>
              <w:pStyle w:val="159"/>
              <w:spacing w:before="126"/>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126"/>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1.1×10</w:t>
            </w:r>
            <w:r>
              <w:rPr>
                <w:rFonts w:hint="default" w:ascii="Times New Roman" w:hAnsi="Times New Roman" w:cs="Times New Roman"/>
                <w:position w:val="7"/>
                <w:sz w:val="21"/>
                <w:szCs w:val="21"/>
                <w:u w:val="singl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8"/>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W3</w:t>
            </w:r>
          </w:p>
        </w:tc>
        <w:tc>
          <w:tcPr>
            <w:tcW w:w="411" w:type="pct"/>
            <w:tcBorders>
              <w:top w:val="single" w:color="000000" w:sz="4" w:space="0"/>
              <w:bottom w:val="single" w:color="000000" w:sz="4" w:space="0"/>
            </w:tcBorders>
          </w:tcPr>
          <w:p>
            <w:pPr>
              <w:pStyle w:val="159"/>
              <w:spacing w:before="128"/>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7.64</w:t>
            </w:r>
          </w:p>
        </w:tc>
        <w:tc>
          <w:tcPr>
            <w:tcW w:w="446" w:type="pct"/>
            <w:tcBorders>
              <w:top w:val="single" w:color="000000" w:sz="4" w:space="0"/>
              <w:bottom w:val="single" w:color="000000" w:sz="4" w:space="0"/>
            </w:tcBorders>
          </w:tcPr>
          <w:p>
            <w:pPr>
              <w:pStyle w:val="159"/>
              <w:spacing w:before="128"/>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15</w:t>
            </w:r>
          </w:p>
        </w:tc>
        <w:tc>
          <w:tcPr>
            <w:tcW w:w="494" w:type="pct"/>
            <w:tcBorders>
              <w:top w:val="single" w:color="000000" w:sz="4" w:space="0"/>
              <w:bottom w:val="single" w:color="000000" w:sz="4" w:space="0"/>
            </w:tcBorders>
          </w:tcPr>
          <w:p>
            <w:pPr>
              <w:pStyle w:val="159"/>
              <w:spacing w:before="128"/>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3.3</w:t>
            </w:r>
          </w:p>
        </w:tc>
        <w:tc>
          <w:tcPr>
            <w:tcW w:w="551" w:type="pct"/>
            <w:tcBorders>
              <w:top w:val="single" w:color="000000" w:sz="4" w:space="0"/>
              <w:bottom w:val="single" w:color="000000" w:sz="4" w:space="0"/>
            </w:tcBorders>
          </w:tcPr>
          <w:p>
            <w:pPr>
              <w:pStyle w:val="159"/>
              <w:spacing w:before="128"/>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0.38</w:t>
            </w:r>
          </w:p>
        </w:tc>
        <w:tc>
          <w:tcPr>
            <w:tcW w:w="414" w:type="pct"/>
            <w:tcBorders>
              <w:top w:val="single" w:color="000000" w:sz="4" w:space="0"/>
              <w:bottom w:val="single" w:color="000000" w:sz="4" w:space="0"/>
            </w:tcBorders>
          </w:tcPr>
          <w:p>
            <w:pPr>
              <w:pStyle w:val="159"/>
              <w:spacing w:before="128"/>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0.14</w:t>
            </w:r>
          </w:p>
        </w:tc>
        <w:tc>
          <w:tcPr>
            <w:tcW w:w="350" w:type="pct"/>
            <w:tcBorders>
              <w:top w:val="single" w:color="000000" w:sz="4" w:space="0"/>
              <w:bottom w:val="single" w:color="000000" w:sz="4" w:space="0"/>
            </w:tcBorders>
          </w:tcPr>
          <w:p>
            <w:pPr>
              <w:pStyle w:val="159"/>
              <w:spacing w:before="128"/>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2.65</w:t>
            </w:r>
          </w:p>
        </w:tc>
        <w:tc>
          <w:tcPr>
            <w:tcW w:w="300" w:type="pct"/>
            <w:tcBorders>
              <w:top w:val="single" w:color="000000" w:sz="4" w:space="0"/>
              <w:bottom w:val="single" w:color="000000" w:sz="4" w:space="0"/>
            </w:tcBorders>
          </w:tcPr>
          <w:p>
            <w:pPr>
              <w:pStyle w:val="159"/>
              <w:spacing w:before="128"/>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4</w:t>
            </w:r>
          </w:p>
        </w:tc>
        <w:tc>
          <w:tcPr>
            <w:tcW w:w="804" w:type="pct"/>
            <w:tcBorders>
              <w:top w:val="single" w:color="000000" w:sz="4" w:space="0"/>
              <w:bottom w:val="single" w:color="000000" w:sz="4" w:space="0"/>
              <w:right w:val="nil"/>
            </w:tcBorders>
          </w:tcPr>
          <w:p>
            <w:pPr>
              <w:pStyle w:val="159"/>
              <w:spacing w:before="128"/>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4.0×10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786" w:type="pct"/>
            <w:vMerge w:val="continue"/>
            <w:tcBorders>
              <w:top w:val="single" w:color="000000" w:sz="4" w:space="0"/>
              <w:left w:val="nil"/>
              <w:bottom w:val="single" w:color="000000" w:sz="4" w:space="0"/>
            </w:tcBorders>
          </w:tcPr>
          <w:p>
            <w:pPr>
              <w:rPr>
                <w:rFonts w:hint="default" w:ascii="Times New Roman" w:hAnsi="Times New Roman" w:cs="Times New Roman"/>
                <w:sz w:val="21"/>
                <w:szCs w:val="21"/>
                <w:u w:val="single"/>
              </w:rPr>
            </w:pPr>
          </w:p>
        </w:tc>
        <w:tc>
          <w:tcPr>
            <w:tcW w:w="440" w:type="pct"/>
            <w:tcBorders>
              <w:top w:val="single" w:color="000000" w:sz="4" w:space="0"/>
              <w:bottom w:val="single" w:color="000000" w:sz="4" w:space="0"/>
            </w:tcBorders>
          </w:tcPr>
          <w:p>
            <w:pPr>
              <w:pStyle w:val="159"/>
              <w:spacing w:before="127"/>
              <w:ind w:left="234" w:right="230"/>
              <w:rPr>
                <w:rFonts w:hint="default" w:ascii="Times New Roman" w:hAnsi="Times New Roman" w:cs="Times New Roman"/>
                <w:sz w:val="21"/>
                <w:szCs w:val="21"/>
                <w:u w:val="single"/>
              </w:rPr>
            </w:pPr>
            <w:r>
              <w:rPr>
                <w:rFonts w:hint="default" w:ascii="Times New Roman" w:hAnsi="Times New Roman" w:cs="Times New Roman"/>
                <w:sz w:val="21"/>
                <w:szCs w:val="21"/>
                <w:u w:val="single"/>
              </w:rPr>
              <w:t>W4</w:t>
            </w:r>
          </w:p>
        </w:tc>
        <w:tc>
          <w:tcPr>
            <w:tcW w:w="411" w:type="pct"/>
            <w:tcBorders>
              <w:top w:val="single" w:color="000000" w:sz="4" w:space="0"/>
              <w:bottom w:val="single" w:color="000000" w:sz="4" w:space="0"/>
            </w:tcBorders>
          </w:tcPr>
          <w:p>
            <w:pPr>
              <w:pStyle w:val="159"/>
              <w:spacing w:before="12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7.58</w:t>
            </w:r>
          </w:p>
        </w:tc>
        <w:tc>
          <w:tcPr>
            <w:tcW w:w="446" w:type="pct"/>
            <w:tcBorders>
              <w:top w:val="single" w:color="000000" w:sz="4" w:space="0"/>
              <w:bottom w:val="single" w:color="000000" w:sz="4"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13</w:t>
            </w:r>
          </w:p>
        </w:tc>
        <w:tc>
          <w:tcPr>
            <w:tcW w:w="494" w:type="pct"/>
            <w:tcBorders>
              <w:top w:val="single" w:color="000000" w:sz="4" w:space="0"/>
              <w:bottom w:val="single" w:color="000000" w:sz="4"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3.3</w:t>
            </w:r>
          </w:p>
        </w:tc>
        <w:tc>
          <w:tcPr>
            <w:tcW w:w="551" w:type="pct"/>
            <w:tcBorders>
              <w:top w:val="single" w:color="000000" w:sz="4" w:space="0"/>
              <w:bottom w:val="single" w:color="000000" w:sz="4"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0.37</w:t>
            </w:r>
          </w:p>
        </w:tc>
        <w:tc>
          <w:tcPr>
            <w:tcW w:w="414" w:type="pct"/>
            <w:tcBorders>
              <w:top w:val="single" w:color="000000" w:sz="4" w:space="0"/>
              <w:bottom w:val="single" w:color="000000" w:sz="4" w:space="0"/>
            </w:tcBorders>
          </w:tcPr>
          <w:p>
            <w:pPr>
              <w:pStyle w:val="159"/>
              <w:spacing w:before="127"/>
              <w:ind w:left="143" w:right="133"/>
              <w:rPr>
                <w:rFonts w:hint="default" w:ascii="Times New Roman" w:hAnsi="Times New Roman" w:cs="Times New Roman"/>
                <w:sz w:val="21"/>
                <w:szCs w:val="21"/>
                <w:u w:val="single"/>
              </w:rPr>
            </w:pPr>
            <w:r>
              <w:rPr>
                <w:rFonts w:hint="default" w:ascii="Times New Roman" w:hAnsi="Times New Roman" w:cs="Times New Roman"/>
                <w:sz w:val="21"/>
                <w:szCs w:val="21"/>
                <w:u w:val="single"/>
              </w:rPr>
              <w:t>0.10</w:t>
            </w:r>
          </w:p>
        </w:tc>
        <w:tc>
          <w:tcPr>
            <w:tcW w:w="350" w:type="pct"/>
            <w:tcBorders>
              <w:top w:val="single" w:color="000000" w:sz="4" w:space="0"/>
              <w:bottom w:val="single" w:color="000000" w:sz="4" w:space="0"/>
            </w:tcBorders>
          </w:tcPr>
          <w:p>
            <w:pPr>
              <w:pStyle w:val="159"/>
              <w:spacing w:before="127"/>
              <w:ind w:right="179"/>
              <w:jc w:val="right"/>
              <w:rPr>
                <w:rFonts w:hint="default" w:ascii="Times New Roman" w:hAnsi="Times New Roman" w:cs="Times New Roman"/>
                <w:sz w:val="21"/>
                <w:szCs w:val="21"/>
                <w:u w:val="single"/>
              </w:rPr>
            </w:pPr>
            <w:r>
              <w:rPr>
                <w:rFonts w:hint="default" w:ascii="Times New Roman" w:hAnsi="Times New Roman" w:cs="Times New Roman"/>
                <w:sz w:val="21"/>
                <w:szCs w:val="21"/>
                <w:u w:val="single"/>
              </w:rPr>
              <w:t>2.27</w:t>
            </w:r>
          </w:p>
        </w:tc>
        <w:tc>
          <w:tcPr>
            <w:tcW w:w="300" w:type="pct"/>
            <w:tcBorders>
              <w:top w:val="single" w:color="000000" w:sz="4" w:space="0"/>
              <w:bottom w:val="single" w:color="000000" w:sz="4" w:space="0"/>
            </w:tcBorders>
          </w:tcPr>
          <w:p>
            <w:pPr>
              <w:pStyle w:val="159"/>
              <w:spacing w:before="127"/>
              <w:ind w:left="10"/>
              <w:rPr>
                <w:rFonts w:hint="default" w:ascii="Times New Roman" w:hAnsi="Times New Roman" w:cs="Times New Roman"/>
                <w:sz w:val="21"/>
                <w:szCs w:val="21"/>
                <w:u w:val="single"/>
              </w:rPr>
            </w:pPr>
            <w:r>
              <w:rPr>
                <w:rFonts w:hint="default" w:ascii="Times New Roman" w:hAnsi="Times New Roman" w:cs="Times New Roman"/>
                <w:w w:val="99"/>
                <w:sz w:val="21"/>
                <w:szCs w:val="21"/>
                <w:u w:val="single"/>
              </w:rPr>
              <w:t>6</w:t>
            </w:r>
          </w:p>
        </w:tc>
        <w:tc>
          <w:tcPr>
            <w:tcW w:w="804" w:type="pct"/>
            <w:tcBorders>
              <w:top w:val="single" w:color="000000" w:sz="4" w:space="0"/>
              <w:bottom w:val="single" w:color="000000" w:sz="4" w:space="0"/>
              <w:right w:val="nil"/>
            </w:tcBorders>
          </w:tcPr>
          <w:p>
            <w:pPr>
              <w:pStyle w:val="159"/>
              <w:spacing w:before="127"/>
              <w:ind w:left="205" w:right="195"/>
              <w:rPr>
                <w:rFonts w:hint="default" w:ascii="Times New Roman" w:hAnsi="Times New Roman" w:cs="Times New Roman"/>
                <w:sz w:val="21"/>
                <w:szCs w:val="21"/>
                <w:u w:val="single"/>
              </w:rPr>
            </w:pPr>
            <w:r>
              <w:rPr>
                <w:rFonts w:hint="default" w:ascii="Times New Roman" w:hAnsi="Times New Roman" w:cs="Times New Roman"/>
                <w:sz w:val="21"/>
                <w:szCs w:val="21"/>
                <w:u w:val="single"/>
              </w:rPr>
              <w:t>3.3×10</w:t>
            </w:r>
            <w:r>
              <w:rPr>
                <w:rFonts w:hint="default" w:ascii="Times New Roman" w:hAnsi="Times New Roman" w:cs="Times New Roman"/>
                <w:position w:val="7"/>
                <w:sz w:val="21"/>
                <w:szCs w:val="21"/>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26" w:type="pct"/>
            <w:gridSpan w:val="2"/>
            <w:tcBorders>
              <w:top w:val="single" w:color="000000" w:sz="4" w:space="0"/>
              <w:left w:val="nil"/>
              <w:bottom w:val="single" w:color="000000" w:sz="4" w:space="0"/>
            </w:tcBorders>
          </w:tcPr>
          <w:p>
            <w:pPr>
              <w:pStyle w:val="159"/>
              <w:spacing w:before="127"/>
              <w:ind w:left="234" w:right="2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标准</w:t>
            </w:r>
          </w:p>
        </w:tc>
        <w:tc>
          <w:tcPr>
            <w:tcW w:w="411" w:type="pct"/>
            <w:tcBorders>
              <w:top w:val="single" w:color="000000" w:sz="4" w:space="0"/>
              <w:bottom w:val="single" w:color="000000" w:sz="4" w:space="0"/>
            </w:tcBorders>
          </w:tcPr>
          <w:p>
            <w:pPr>
              <w:pStyle w:val="159"/>
              <w:spacing w:before="127"/>
              <w:ind w:left="143" w:right="134"/>
              <w:rPr>
                <w:rFonts w:hint="default" w:ascii="Times New Roman" w:hAnsi="Times New Roman" w:cs="Times New Roman"/>
                <w:sz w:val="21"/>
                <w:szCs w:val="21"/>
                <w:u w:val="single"/>
              </w:rPr>
            </w:pPr>
            <w:r>
              <w:rPr>
                <w:rFonts w:hint="default" w:ascii="Times New Roman" w:hAnsi="Times New Roman" w:cs="Times New Roman"/>
                <w:sz w:val="21"/>
                <w:szCs w:val="21"/>
                <w:u w:val="single"/>
              </w:rPr>
              <w:t>6~9</w:t>
            </w:r>
          </w:p>
        </w:tc>
        <w:tc>
          <w:tcPr>
            <w:tcW w:w="446" w:type="pct"/>
            <w:tcBorders>
              <w:top w:val="single" w:color="000000" w:sz="4" w:space="0"/>
              <w:bottom w:val="single" w:color="000000" w:sz="4"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rPr>
              <w:t>≤20</w:t>
            </w:r>
          </w:p>
        </w:tc>
        <w:tc>
          <w:tcPr>
            <w:tcW w:w="494" w:type="pct"/>
            <w:tcBorders>
              <w:top w:val="single" w:color="000000" w:sz="4" w:space="0"/>
              <w:bottom w:val="single" w:color="000000" w:sz="4"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rPr>
              <w:t>≤4</w:t>
            </w:r>
          </w:p>
        </w:tc>
        <w:tc>
          <w:tcPr>
            <w:tcW w:w="551" w:type="pct"/>
            <w:tcBorders>
              <w:top w:val="single" w:color="000000" w:sz="4" w:space="0"/>
              <w:bottom w:val="single" w:color="000000" w:sz="4"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rPr>
              <w:t>≤1.0</w:t>
            </w:r>
          </w:p>
        </w:tc>
        <w:tc>
          <w:tcPr>
            <w:tcW w:w="414" w:type="pct"/>
            <w:tcBorders>
              <w:top w:val="single" w:color="000000" w:sz="4" w:space="0"/>
              <w:bottom w:val="single" w:color="000000" w:sz="4" w:space="0"/>
            </w:tcBorders>
          </w:tcPr>
          <w:p>
            <w:pPr>
              <w:pStyle w:val="159"/>
              <w:spacing w:before="127"/>
              <w:ind w:left="143" w:right="133"/>
              <w:jc w:val="both"/>
              <w:rPr>
                <w:rFonts w:hint="default" w:ascii="Times New Roman" w:hAnsi="Times New Roman" w:cs="Times New Roman"/>
                <w:sz w:val="21"/>
                <w:szCs w:val="21"/>
                <w:u w:val="single"/>
              </w:rPr>
            </w:pPr>
            <w:r>
              <w:rPr>
                <w:rFonts w:hint="default" w:ascii="Times New Roman" w:hAnsi="Times New Roman" w:cs="Times New Roman"/>
                <w:sz w:val="21"/>
                <w:szCs w:val="21"/>
                <w:u w:val="single"/>
              </w:rPr>
              <w:t>≤0.2</w:t>
            </w:r>
          </w:p>
        </w:tc>
        <w:tc>
          <w:tcPr>
            <w:tcW w:w="350" w:type="pct"/>
            <w:tcBorders>
              <w:top w:val="single" w:color="000000" w:sz="4" w:space="0"/>
              <w:bottom w:val="single" w:color="000000" w:sz="4" w:space="0"/>
            </w:tcBorders>
          </w:tcPr>
          <w:p>
            <w:pPr>
              <w:pStyle w:val="159"/>
              <w:spacing w:before="127"/>
              <w:ind w:right="179"/>
              <w:jc w:val="right"/>
              <w:rPr>
                <w:rFonts w:hint="default" w:ascii="Times New Roman" w:hAnsi="Times New Roman" w:cs="Times New Roman"/>
                <w:sz w:val="21"/>
                <w:szCs w:val="21"/>
                <w:u w:val="single"/>
              </w:rPr>
            </w:pPr>
            <w:r>
              <w:rPr>
                <w:rFonts w:hint="default" w:ascii="Times New Roman" w:hAnsi="Times New Roman" w:eastAsia="宋体" w:cs="Times New Roman"/>
                <w:color w:val="000000" w:themeColor="text1"/>
                <w:kern w:val="0"/>
                <w:sz w:val="21"/>
                <w:szCs w:val="21"/>
                <w:u w:val="single"/>
              </w:rPr>
              <w:t>≤</w:t>
            </w:r>
            <w:r>
              <w:rPr>
                <w:rFonts w:hint="default" w:ascii="Times New Roman" w:hAnsi="Times New Roman" w:cs="Times New Roman"/>
                <w:color w:val="000000" w:themeColor="text1"/>
                <w:sz w:val="21"/>
                <w:szCs w:val="21"/>
                <w:u w:val="single"/>
              </w:rPr>
              <w:t>1</w:t>
            </w:r>
          </w:p>
        </w:tc>
        <w:tc>
          <w:tcPr>
            <w:tcW w:w="300" w:type="pct"/>
            <w:tcBorders>
              <w:top w:val="single" w:color="000000" w:sz="4" w:space="0"/>
              <w:bottom w:val="single" w:color="000000" w:sz="4" w:space="0"/>
            </w:tcBorders>
          </w:tcPr>
          <w:p>
            <w:pPr>
              <w:pStyle w:val="159"/>
              <w:spacing w:before="127"/>
              <w:ind w:left="10"/>
              <w:rPr>
                <w:rFonts w:hint="default" w:ascii="Times New Roman" w:hAnsi="Times New Roman" w:eastAsia="宋体" w:cs="Times New Roman"/>
                <w:w w:val="99"/>
                <w:sz w:val="21"/>
                <w:szCs w:val="21"/>
                <w:u w:val="single"/>
                <w:lang w:val="en-US" w:eastAsia="zh-CN"/>
              </w:rPr>
            </w:pPr>
            <w:r>
              <w:rPr>
                <w:rFonts w:hint="default" w:ascii="Times New Roman" w:hAnsi="Times New Roman" w:cs="Times New Roman"/>
                <w:w w:val="99"/>
                <w:sz w:val="21"/>
                <w:szCs w:val="21"/>
                <w:u w:val="single"/>
                <w:lang w:val="en-US" w:eastAsia="zh-CN"/>
              </w:rPr>
              <w:t>/</w:t>
            </w:r>
          </w:p>
        </w:tc>
        <w:tc>
          <w:tcPr>
            <w:tcW w:w="804" w:type="pct"/>
            <w:tcBorders>
              <w:top w:val="single" w:color="000000" w:sz="4" w:space="0"/>
              <w:bottom w:val="single" w:color="000000" w:sz="4" w:space="0"/>
              <w:right w:val="nil"/>
            </w:tcBorders>
          </w:tcPr>
          <w:p>
            <w:pPr>
              <w:pStyle w:val="159"/>
              <w:spacing w:before="127"/>
              <w:ind w:left="205" w:right="195"/>
              <w:rPr>
                <w:rFonts w:hint="default" w:ascii="Times New Roman" w:hAnsi="Times New Roman" w:cs="Times New Roman"/>
                <w:sz w:val="21"/>
                <w:szCs w:val="21"/>
                <w:u w:val="single"/>
              </w:rPr>
            </w:pPr>
            <w:r>
              <w:rPr>
                <w:rFonts w:hint="default" w:ascii="Times New Roman" w:hAnsi="Times New Roman" w:cs="Times New Roman"/>
                <w:color w:val="000000" w:themeColor="text1"/>
                <w:sz w:val="21"/>
                <w:szCs w:val="21"/>
                <w:u w:val="single"/>
              </w:rPr>
              <w:t>≤</w:t>
            </w:r>
            <w:r>
              <w:rPr>
                <w:rFonts w:hint="default" w:ascii="Times New Roman" w:hAnsi="Times New Roman" w:eastAsia="宋体" w:cs="Times New Roman"/>
                <w:color w:val="000000" w:themeColor="text1"/>
                <w:kern w:val="0"/>
                <w:sz w:val="21"/>
                <w:szCs w:val="21"/>
                <w:u w:val="singl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26" w:type="pct"/>
            <w:gridSpan w:val="2"/>
            <w:tcBorders>
              <w:top w:val="single" w:color="000000" w:sz="4" w:space="0"/>
              <w:left w:val="nil"/>
              <w:bottom w:val="single" w:color="000000" w:sz="12" w:space="0"/>
            </w:tcBorders>
          </w:tcPr>
          <w:p>
            <w:pPr>
              <w:pStyle w:val="159"/>
              <w:spacing w:before="127"/>
              <w:ind w:left="234" w:right="2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是否超标</w:t>
            </w:r>
          </w:p>
        </w:tc>
        <w:tc>
          <w:tcPr>
            <w:tcW w:w="411" w:type="pct"/>
            <w:tcBorders>
              <w:top w:val="single" w:color="000000" w:sz="4" w:space="0"/>
              <w:bottom w:val="single" w:color="000000" w:sz="12" w:space="0"/>
            </w:tcBorders>
          </w:tcPr>
          <w:p>
            <w:pPr>
              <w:pStyle w:val="159"/>
              <w:spacing w:before="127"/>
              <w:ind w:left="143" w:right="134"/>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达标</w:t>
            </w:r>
          </w:p>
        </w:tc>
        <w:tc>
          <w:tcPr>
            <w:tcW w:w="446" w:type="pct"/>
            <w:tcBorders>
              <w:top w:val="single" w:color="000000" w:sz="4" w:space="0"/>
              <w:bottom w:val="single" w:color="000000" w:sz="12" w:space="0"/>
            </w:tcBorders>
          </w:tcPr>
          <w:p>
            <w:pPr>
              <w:pStyle w:val="159"/>
              <w:spacing w:before="127"/>
              <w:ind w:left="146" w:right="138"/>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达标</w:t>
            </w:r>
          </w:p>
        </w:tc>
        <w:tc>
          <w:tcPr>
            <w:tcW w:w="494" w:type="pct"/>
            <w:tcBorders>
              <w:top w:val="single" w:color="000000" w:sz="4" w:space="0"/>
              <w:bottom w:val="single" w:color="000000" w:sz="12" w:space="0"/>
            </w:tcBorders>
          </w:tcPr>
          <w:p>
            <w:pPr>
              <w:pStyle w:val="159"/>
              <w:spacing w:before="127"/>
              <w:ind w:left="154" w:right="143"/>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达标</w:t>
            </w:r>
          </w:p>
        </w:tc>
        <w:tc>
          <w:tcPr>
            <w:tcW w:w="551" w:type="pct"/>
            <w:tcBorders>
              <w:top w:val="single" w:color="000000" w:sz="4" w:space="0"/>
              <w:bottom w:val="single" w:color="000000" w:sz="12" w:space="0"/>
            </w:tcBorders>
          </w:tcPr>
          <w:p>
            <w:pPr>
              <w:pStyle w:val="159"/>
              <w:spacing w:before="127"/>
              <w:ind w:left="159" w:right="148"/>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达标</w:t>
            </w:r>
          </w:p>
        </w:tc>
        <w:tc>
          <w:tcPr>
            <w:tcW w:w="414" w:type="pct"/>
            <w:tcBorders>
              <w:top w:val="single" w:color="000000" w:sz="4" w:space="0"/>
              <w:bottom w:val="single" w:color="000000" w:sz="12" w:space="0"/>
            </w:tcBorders>
          </w:tcPr>
          <w:p>
            <w:pPr>
              <w:pStyle w:val="159"/>
              <w:spacing w:before="127"/>
              <w:ind w:left="143" w:right="133"/>
              <w:jc w:val="both"/>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达标</w:t>
            </w:r>
          </w:p>
        </w:tc>
        <w:tc>
          <w:tcPr>
            <w:tcW w:w="350" w:type="pct"/>
            <w:tcBorders>
              <w:top w:val="single" w:color="000000" w:sz="4" w:space="0"/>
              <w:bottom w:val="single" w:color="000000" w:sz="12" w:space="0"/>
            </w:tcBorders>
          </w:tcPr>
          <w:p>
            <w:pPr>
              <w:pStyle w:val="159"/>
              <w:spacing w:before="127"/>
              <w:ind w:right="179"/>
              <w:jc w:val="right"/>
              <w:rPr>
                <w:rFonts w:hint="default" w:ascii="Times New Roman" w:hAnsi="Times New Roman" w:eastAsia="宋体" w:cs="Times New Roman"/>
                <w:color w:val="000000" w:themeColor="text1"/>
                <w:kern w:val="0"/>
                <w:sz w:val="21"/>
                <w:szCs w:val="21"/>
                <w:u w:val="single"/>
                <w:lang w:eastAsia="zh-CN"/>
              </w:rPr>
            </w:pPr>
            <w:r>
              <w:rPr>
                <w:rFonts w:hint="default" w:ascii="Times New Roman" w:hAnsi="Times New Roman" w:cs="Times New Roman"/>
                <w:color w:val="000000" w:themeColor="text1"/>
                <w:kern w:val="0"/>
                <w:sz w:val="21"/>
                <w:szCs w:val="21"/>
                <w:u w:val="single"/>
                <w:lang w:eastAsia="zh-CN"/>
              </w:rPr>
              <w:t>超标</w:t>
            </w:r>
          </w:p>
        </w:tc>
        <w:tc>
          <w:tcPr>
            <w:tcW w:w="300" w:type="pct"/>
            <w:tcBorders>
              <w:top w:val="single" w:color="000000" w:sz="4" w:space="0"/>
              <w:bottom w:val="single" w:color="000000" w:sz="12" w:space="0"/>
            </w:tcBorders>
          </w:tcPr>
          <w:p>
            <w:pPr>
              <w:pStyle w:val="159"/>
              <w:spacing w:before="127"/>
              <w:ind w:left="10"/>
              <w:rPr>
                <w:rFonts w:hint="default" w:ascii="Times New Roman" w:hAnsi="Times New Roman" w:cs="Times New Roman"/>
                <w:w w:val="99"/>
                <w:sz w:val="21"/>
                <w:szCs w:val="21"/>
                <w:u w:val="single"/>
                <w:lang w:val="en-US" w:eastAsia="zh-CN"/>
              </w:rPr>
            </w:pPr>
            <w:r>
              <w:rPr>
                <w:rFonts w:hint="default" w:ascii="Times New Roman" w:hAnsi="Times New Roman" w:cs="Times New Roman"/>
                <w:w w:val="99"/>
                <w:sz w:val="21"/>
                <w:szCs w:val="21"/>
                <w:u w:val="single"/>
                <w:lang w:val="en-US" w:eastAsia="zh-CN"/>
              </w:rPr>
              <w:t>/</w:t>
            </w:r>
          </w:p>
        </w:tc>
        <w:tc>
          <w:tcPr>
            <w:tcW w:w="804" w:type="pct"/>
            <w:tcBorders>
              <w:top w:val="single" w:color="000000" w:sz="4" w:space="0"/>
              <w:bottom w:val="single" w:color="000000" w:sz="12" w:space="0"/>
              <w:right w:val="nil"/>
            </w:tcBorders>
          </w:tcPr>
          <w:p>
            <w:pPr>
              <w:pStyle w:val="159"/>
              <w:spacing w:before="127"/>
              <w:ind w:left="205" w:right="195"/>
              <w:jc w:val="center"/>
              <w:rPr>
                <w:rFonts w:hint="default" w:ascii="Times New Roman" w:hAnsi="Times New Roman" w:eastAsia="宋体" w:cs="Times New Roman"/>
                <w:color w:val="000000" w:themeColor="text1"/>
                <w:sz w:val="21"/>
                <w:szCs w:val="21"/>
                <w:u w:val="single"/>
                <w:lang w:val="en-US" w:eastAsia="zh-CN"/>
              </w:rPr>
            </w:pPr>
            <w:r>
              <w:rPr>
                <w:rFonts w:hint="default" w:ascii="Times New Roman" w:hAnsi="Times New Roman" w:cs="Times New Roman"/>
                <w:color w:val="000000" w:themeColor="text1"/>
                <w:sz w:val="21"/>
                <w:szCs w:val="21"/>
                <w:u w:val="singl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eastAsiaTheme="minorEastAsia"/>
          <w:color w:val="000000" w:themeColor="text1"/>
          <w:szCs w:val="24"/>
          <w:u w:val="single"/>
          <w:lang w:eastAsia="zh-CN"/>
        </w:rPr>
      </w:pPr>
      <w:r>
        <w:rPr>
          <w:rFonts w:hint="eastAsia"/>
          <w:u w:val="single"/>
          <w:lang w:val="en-US" w:eastAsia="zh-CN"/>
        </w:rPr>
        <w:t>从</w:t>
      </w:r>
      <w:r>
        <w:rPr>
          <w:spacing w:val="-5"/>
          <w:u w:val="single"/>
        </w:rPr>
        <w:t>潘家渡省控断面</w:t>
      </w:r>
      <w:r>
        <w:rPr>
          <w:u w:val="single"/>
        </w:rPr>
        <w:t>近三年的监测数据</w:t>
      </w:r>
      <w:r>
        <w:rPr>
          <w:rFonts w:hint="eastAsia"/>
          <w:u w:val="single"/>
          <w:lang w:eastAsia="zh-CN"/>
        </w:rPr>
        <w:t>和</w:t>
      </w:r>
      <w:r>
        <w:rPr>
          <w:rFonts w:hint="eastAsia"/>
          <w:spacing w:val="-9"/>
          <w:u w:val="single"/>
          <w:lang w:eastAsia="zh-CN"/>
        </w:rPr>
        <w:t>岳阳市衡润检测有限公司</w:t>
      </w:r>
      <w:r>
        <w:rPr>
          <w:rFonts w:hint="eastAsia"/>
          <w:spacing w:val="-16"/>
          <w:u w:val="single"/>
          <w:lang w:eastAsia="zh-CN"/>
        </w:rPr>
        <w:t>于</w:t>
      </w:r>
      <w:r>
        <w:rPr>
          <w:spacing w:val="-16"/>
          <w:u w:val="single"/>
        </w:rPr>
        <w:t xml:space="preserve"> </w:t>
      </w:r>
      <w:r>
        <w:rPr>
          <w:rFonts w:ascii="Times New Roman" w:eastAsia="Times New Roman"/>
          <w:u w:val="single"/>
        </w:rPr>
        <w:t xml:space="preserve">2020.06.09-2020.06.11 </w:t>
      </w:r>
      <w:r>
        <w:rPr>
          <w:spacing w:val="-5"/>
          <w:u w:val="single"/>
        </w:rPr>
        <w:t>对华容河北支水质监测</w:t>
      </w:r>
      <w:r>
        <w:rPr>
          <w:rFonts w:hint="eastAsia"/>
          <w:spacing w:val="-5"/>
          <w:u w:val="single"/>
          <w:lang w:eastAsia="zh-CN"/>
        </w:rPr>
        <w:t>数据可知，目前污水处理厂排入华容河的水质断面处，除</w:t>
      </w:r>
      <w:r>
        <w:rPr>
          <w:rFonts w:ascii="Times New Roman" w:hAnsi="Times New Roman" w:eastAsia="Times New Roman"/>
          <w:u w:val="single"/>
        </w:rPr>
        <w:t>TN</w:t>
      </w:r>
      <w:r>
        <w:rPr>
          <w:u w:val="single"/>
        </w:rPr>
        <w:t>超标</w:t>
      </w:r>
      <w:r>
        <w:rPr>
          <w:rFonts w:hint="eastAsia"/>
          <w:u w:val="single"/>
          <w:lang w:eastAsia="zh-CN"/>
        </w:rPr>
        <w:t>，其他的水质因子都可满足</w:t>
      </w:r>
      <w:r>
        <w:rPr>
          <w:u w:val="single"/>
        </w:rPr>
        <w:t>《地表水环境质量标准》（</w:t>
      </w:r>
      <w:r>
        <w:rPr>
          <w:rFonts w:ascii="Times New Roman" w:hAnsi="Times New Roman" w:eastAsia="Times New Roman"/>
          <w:u w:val="single"/>
        </w:rPr>
        <w:t>GB3838-2002</w:t>
      </w:r>
      <w:r>
        <w:rPr>
          <w:u w:val="single"/>
        </w:rPr>
        <w:t>）</w:t>
      </w:r>
      <w:r>
        <w:rPr>
          <w:rFonts w:ascii="Times New Roman" w:hAnsi="Times New Roman" w:eastAsia="Times New Roman"/>
          <w:u w:val="single"/>
        </w:rPr>
        <w:t>Ⅲ</w:t>
      </w:r>
      <w:r>
        <w:rPr>
          <w:u w:val="single"/>
        </w:rPr>
        <w:t>类水质要求</w:t>
      </w:r>
      <w:r>
        <w:rPr>
          <w:rFonts w:hint="eastAsia"/>
          <w:u w:val="single"/>
          <w:lang w:eastAsia="zh-CN"/>
        </w:rPr>
        <w:t>。</w:t>
      </w:r>
    </w:p>
    <w:p>
      <w:pPr>
        <w:pStyle w:val="5"/>
        <w:rPr>
          <w:color w:val="000000" w:themeColor="text1"/>
        </w:rPr>
      </w:pPr>
      <w:bookmarkStart w:id="141" w:name="_Toc532497649"/>
      <w:r>
        <w:rPr>
          <w:rFonts w:hint="eastAsia"/>
          <w:color w:val="000000" w:themeColor="text1"/>
        </w:rPr>
        <w:t>地下水环境现状调查及评价</w:t>
      </w:r>
      <w:bookmarkEnd w:id="141"/>
    </w:p>
    <w:p>
      <w:pPr>
        <w:spacing w:line="360" w:lineRule="auto"/>
        <w:ind w:firstLine="480" w:firstLineChars="200"/>
        <w:rPr>
          <w:color w:val="000000" w:themeColor="text1"/>
        </w:rPr>
      </w:pPr>
      <w:r>
        <w:rPr>
          <w:rFonts w:hint="eastAsia"/>
          <w:color w:val="000000" w:themeColor="text1"/>
        </w:rPr>
        <w:t>（1）监测因子、布点及监测时间</w:t>
      </w:r>
    </w:p>
    <w:p>
      <w:pPr>
        <w:spacing w:line="360" w:lineRule="auto"/>
        <w:ind w:firstLine="480" w:firstLineChars="200"/>
        <w:rPr>
          <w:color w:val="000000" w:themeColor="text1"/>
        </w:rPr>
      </w:pPr>
      <w:r>
        <w:rPr>
          <w:rFonts w:hint="eastAsia"/>
          <w:color w:val="000000" w:themeColor="text1"/>
        </w:rPr>
        <w:t>评价区域地下水</w:t>
      </w:r>
      <w:r>
        <w:rPr>
          <w:color w:val="000000" w:themeColor="text1"/>
        </w:rPr>
        <w:t>监测共布设</w:t>
      </w:r>
      <w:r>
        <w:rPr>
          <w:rFonts w:hint="eastAsia"/>
          <w:color w:val="000000" w:themeColor="text1"/>
        </w:rPr>
        <w:t>3</w:t>
      </w:r>
      <w:r>
        <w:rPr>
          <w:color w:val="000000" w:themeColor="text1"/>
        </w:rPr>
        <w:t>个环境监测点，</w:t>
      </w:r>
      <w:r>
        <w:rPr>
          <w:rFonts w:hint="eastAsia"/>
          <w:color w:val="000000" w:themeColor="text1"/>
        </w:rPr>
        <w:t>地下水</w:t>
      </w:r>
      <w:r>
        <w:rPr>
          <w:color w:val="000000" w:themeColor="text1"/>
        </w:rPr>
        <w:t>监测点的具体布设位置详见</w:t>
      </w:r>
      <w:r>
        <w:fldChar w:fldCharType="begin"/>
      </w:r>
      <w:r>
        <w:instrText xml:space="preserve"> REF _Ref494369353 \h  \* MERGEFORMAT </w:instrText>
      </w:r>
      <w:r>
        <w:fldChar w:fldCharType="separate"/>
      </w:r>
      <w:r>
        <w:rPr>
          <w:rFonts w:hint="eastAsia"/>
          <w:color w:val="000000" w:themeColor="text1"/>
        </w:rPr>
        <w:t>表</w:t>
      </w:r>
      <w:r>
        <w:rPr>
          <w:rFonts w:hint="eastAsia"/>
          <w:color w:val="000000" w:themeColor="text1"/>
        </w:rPr>
        <w:fldChar w:fldCharType="begin"/>
      </w:r>
      <w:r>
        <w:rPr>
          <w:rFonts w:hint="eastAsia"/>
          <w:color w:val="000000" w:themeColor="text1"/>
        </w:rPr>
        <w:instrText xml:space="preserve">STYLEREF 2</w:instrText>
      </w:r>
      <w:r>
        <w:rPr>
          <w:rFonts w:hint="eastAsia"/>
        </w:rPr>
        <w:instrText xml:space="preserve"> \s</w:instrText>
      </w:r>
      <w:r>
        <w:fldChar w:fldCharType="separate"/>
      </w:r>
      <w:r>
        <w:t>3.3</w:t>
      </w:r>
      <w:r>
        <w:fldChar w:fldCharType="end"/>
      </w:r>
      <w:r>
        <w:noBreakHyphen/>
      </w:r>
      <w:r>
        <w:rPr>
          <w:rFonts w:hint="eastAsia"/>
        </w:rPr>
        <w:t>3</w:t>
      </w:r>
      <w:r>
        <w:rPr>
          <w:color w:val="000000" w:themeColor="text1"/>
        </w:rPr>
        <w:fldChar w:fldCharType="end"/>
      </w:r>
      <w:r>
        <w:rPr>
          <w:rFonts w:hint="eastAsia"/>
          <w:color w:val="000000" w:themeColor="text1"/>
        </w:rPr>
        <w:t>。</w:t>
      </w:r>
    </w:p>
    <w:p>
      <w:pPr>
        <w:pStyle w:val="14"/>
        <w:spacing w:line="240" w:lineRule="auto"/>
        <w:rPr>
          <w:color w:val="000000" w:themeColor="text1"/>
        </w:rPr>
      </w:pPr>
      <w:bookmarkStart w:id="142" w:name="_Ref494369353"/>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5</w:t>
      </w:r>
      <w:r>
        <w:rPr>
          <w:color w:val="000000" w:themeColor="text1"/>
        </w:rPr>
        <w:fldChar w:fldCharType="end"/>
      </w:r>
      <w:bookmarkEnd w:id="142"/>
      <w:r>
        <w:rPr>
          <w:rFonts w:hint="eastAsia"/>
          <w:color w:val="000000" w:themeColor="text1"/>
        </w:rPr>
        <w:t xml:space="preserve"> 地下水监测因子、布点及监测时间和频率表</w:t>
      </w:r>
    </w:p>
    <w:tbl>
      <w:tblPr>
        <w:tblStyle w:val="38"/>
        <w:tblW w:w="93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90"/>
        <w:gridCol w:w="2878"/>
        <w:gridCol w:w="2737"/>
        <w:gridCol w:w="23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90" w:type="dxa"/>
            <w:vAlign w:val="center"/>
          </w:tcPr>
          <w:p>
            <w:pPr>
              <w:jc w:val="center"/>
              <w:rPr>
                <w:color w:val="000000" w:themeColor="text1"/>
                <w:sz w:val="21"/>
              </w:rPr>
            </w:pPr>
            <w:r>
              <w:rPr>
                <w:color w:val="000000" w:themeColor="text1"/>
                <w:sz w:val="21"/>
              </w:rPr>
              <w:t>断面编号</w:t>
            </w:r>
          </w:p>
        </w:tc>
        <w:tc>
          <w:tcPr>
            <w:tcW w:w="2878" w:type="dxa"/>
            <w:vAlign w:val="center"/>
          </w:tcPr>
          <w:p>
            <w:pPr>
              <w:jc w:val="center"/>
              <w:rPr>
                <w:color w:val="000000" w:themeColor="text1"/>
                <w:sz w:val="21"/>
              </w:rPr>
            </w:pPr>
            <w:r>
              <w:rPr>
                <w:rFonts w:hint="eastAsia"/>
                <w:color w:val="000000" w:themeColor="text1"/>
                <w:sz w:val="21"/>
              </w:rPr>
              <w:t>监测点位</w:t>
            </w:r>
          </w:p>
        </w:tc>
        <w:tc>
          <w:tcPr>
            <w:tcW w:w="2737" w:type="dxa"/>
            <w:vAlign w:val="center"/>
          </w:tcPr>
          <w:p>
            <w:pPr>
              <w:jc w:val="center"/>
              <w:rPr>
                <w:color w:val="000000" w:themeColor="text1"/>
                <w:sz w:val="21"/>
              </w:rPr>
            </w:pPr>
            <w:r>
              <w:rPr>
                <w:rFonts w:hint="eastAsia"/>
                <w:color w:val="000000" w:themeColor="text1"/>
                <w:sz w:val="21"/>
              </w:rPr>
              <w:t>监测项目</w:t>
            </w:r>
          </w:p>
        </w:tc>
        <w:tc>
          <w:tcPr>
            <w:tcW w:w="2317" w:type="dxa"/>
          </w:tcPr>
          <w:p>
            <w:pPr>
              <w:jc w:val="center"/>
              <w:rPr>
                <w:color w:val="000000" w:themeColor="text1"/>
                <w:sz w:val="21"/>
              </w:rPr>
            </w:pPr>
            <w:r>
              <w:rPr>
                <w:rFonts w:hint="eastAsia"/>
                <w:color w:val="000000" w:themeColor="text1"/>
                <w:sz w:val="21"/>
              </w:rPr>
              <w:t>监测时间及频率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390" w:type="dxa"/>
            <w:vAlign w:val="center"/>
          </w:tcPr>
          <w:p>
            <w:pPr>
              <w:jc w:val="center"/>
              <w:rPr>
                <w:color w:val="000000" w:themeColor="text1"/>
                <w:sz w:val="21"/>
              </w:rPr>
            </w:pPr>
            <w:r>
              <w:rPr>
                <w:rFonts w:hint="eastAsia"/>
                <w:color w:val="000000" w:themeColor="text1"/>
                <w:sz w:val="21"/>
              </w:rPr>
              <w:t>S</w:t>
            </w:r>
            <w:r>
              <w:rPr>
                <w:color w:val="000000" w:themeColor="text1"/>
                <w:sz w:val="21"/>
              </w:rPr>
              <w:t>1</w:t>
            </w:r>
          </w:p>
        </w:tc>
        <w:tc>
          <w:tcPr>
            <w:tcW w:w="2878" w:type="dxa"/>
            <w:vAlign w:val="center"/>
          </w:tcPr>
          <w:p>
            <w:pPr>
              <w:jc w:val="center"/>
              <w:rPr>
                <w:color w:val="000000" w:themeColor="text1"/>
                <w:sz w:val="21"/>
              </w:rPr>
            </w:pPr>
            <w:r>
              <w:rPr>
                <w:color w:val="000000" w:themeColor="text1"/>
                <w:sz w:val="21"/>
              </w:rPr>
              <w:t>S1石伏村居民点1</w:t>
            </w:r>
          </w:p>
        </w:tc>
        <w:tc>
          <w:tcPr>
            <w:tcW w:w="2737" w:type="dxa"/>
            <w:vMerge w:val="restart"/>
            <w:vAlign w:val="center"/>
          </w:tcPr>
          <w:p>
            <w:pPr>
              <w:jc w:val="center"/>
              <w:rPr>
                <w:color w:val="000000" w:themeColor="text1"/>
                <w:sz w:val="21"/>
              </w:rPr>
            </w:pPr>
            <w:r>
              <w:rPr>
                <w:color w:val="000000" w:themeColor="text1"/>
                <w:sz w:val="21"/>
              </w:rPr>
              <w:t>pH、溶解性总固体、总硬度、氨氮、硝酸盐、亚硝酸、挥发性酚类、耗氧量、砷、汞、六价铬、铅、镍</w:t>
            </w:r>
          </w:p>
        </w:tc>
        <w:tc>
          <w:tcPr>
            <w:tcW w:w="2317" w:type="dxa"/>
            <w:vMerge w:val="restart"/>
            <w:vAlign w:val="center"/>
          </w:tcPr>
          <w:p>
            <w:pPr>
              <w:jc w:val="center"/>
              <w:rPr>
                <w:color w:val="000000" w:themeColor="text1"/>
                <w:sz w:val="21"/>
              </w:rPr>
            </w:pPr>
            <w:r>
              <w:rPr>
                <w:color w:val="000000" w:themeColor="text1"/>
                <w:sz w:val="21"/>
              </w:rPr>
              <w:t>201</w:t>
            </w:r>
            <w:r>
              <w:rPr>
                <w:rFonts w:hint="eastAsia"/>
                <w:color w:val="000000" w:themeColor="text1"/>
                <w:sz w:val="21"/>
              </w:rPr>
              <w:t>9</w:t>
            </w:r>
            <w:r>
              <w:rPr>
                <w:color w:val="000000" w:themeColor="text1"/>
                <w:sz w:val="21"/>
              </w:rPr>
              <w:t>年</w:t>
            </w:r>
            <w:r>
              <w:rPr>
                <w:rFonts w:hint="eastAsia"/>
                <w:color w:val="000000" w:themeColor="text1"/>
                <w:sz w:val="21"/>
              </w:rPr>
              <w:t>5</w:t>
            </w:r>
            <w:r>
              <w:rPr>
                <w:color w:val="000000" w:themeColor="text1"/>
                <w:sz w:val="21"/>
              </w:rPr>
              <w:t>月</w:t>
            </w:r>
            <w:r>
              <w:rPr>
                <w:rFonts w:hint="eastAsia"/>
                <w:color w:val="000000" w:themeColor="text1"/>
                <w:sz w:val="21"/>
              </w:rPr>
              <w:t>20</w:t>
            </w:r>
            <w:r>
              <w:rPr>
                <w:color w:val="000000" w:themeColor="text1"/>
                <w:sz w:val="21"/>
              </w:rPr>
              <w:t>日-</w:t>
            </w:r>
            <w:r>
              <w:rPr>
                <w:rFonts w:hint="eastAsia"/>
                <w:color w:val="000000" w:themeColor="text1"/>
                <w:sz w:val="21"/>
              </w:rPr>
              <w:t>5</w:t>
            </w:r>
            <w:r>
              <w:rPr>
                <w:color w:val="000000" w:themeColor="text1"/>
                <w:sz w:val="21"/>
              </w:rPr>
              <w:t>月</w:t>
            </w:r>
            <w:r>
              <w:rPr>
                <w:rFonts w:hint="eastAsia"/>
                <w:color w:val="000000" w:themeColor="text1"/>
                <w:sz w:val="21"/>
              </w:rPr>
              <w:t>22</w:t>
            </w:r>
            <w:r>
              <w:rPr>
                <w:color w:val="000000" w:themeColor="text1"/>
                <w:sz w:val="21"/>
              </w:rPr>
              <w:t>日</w:t>
            </w:r>
            <w:r>
              <w:rPr>
                <w:rFonts w:hint="eastAsia"/>
                <w:color w:val="000000" w:themeColor="text1"/>
                <w:sz w:val="21"/>
              </w:rPr>
              <w:t>连续监测3天，每日采样监测一次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390" w:type="dxa"/>
            <w:vAlign w:val="center"/>
          </w:tcPr>
          <w:p>
            <w:pPr>
              <w:jc w:val="center"/>
              <w:rPr>
                <w:color w:val="000000" w:themeColor="text1"/>
                <w:sz w:val="21"/>
              </w:rPr>
            </w:pPr>
            <w:r>
              <w:rPr>
                <w:rFonts w:hint="eastAsia"/>
                <w:color w:val="000000" w:themeColor="text1"/>
                <w:sz w:val="21"/>
              </w:rPr>
              <w:t>S2</w:t>
            </w:r>
          </w:p>
        </w:tc>
        <w:tc>
          <w:tcPr>
            <w:tcW w:w="2878" w:type="dxa"/>
            <w:vAlign w:val="center"/>
          </w:tcPr>
          <w:p>
            <w:pPr>
              <w:jc w:val="center"/>
              <w:rPr>
                <w:color w:val="000000" w:themeColor="text1"/>
                <w:sz w:val="21"/>
              </w:rPr>
            </w:pPr>
            <w:r>
              <w:rPr>
                <w:color w:val="000000" w:themeColor="text1"/>
                <w:sz w:val="21"/>
              </w:rPr>
              <w:t>S2石伏村居民点2</w:t>
            </w:r>
          </w:p>
        </w:tc>
        <w:tc>
          <w:tcPr>
            <w:tcW w:w="2737" w:type="dxa"/>
            <w:vMerge w:val="continue"/>
            <w:vAlign w:val="center"/>
          </w:tcPr>
          <w:p>
            <w:pPr>
              <w:jc w:val="center"/>
              <w:rPr>
                <w:color w:val="000000" w:themeColor="text1"/>
                <w:sz w:val="21"/>
              </w:rPr>
            </w:pPr>
          </w:p>
        </w:tc>
        <w:tc>
          <w:tcPr>
            <w:tcW w:w="2317" w:type="dxa"/>
            <w:vMerge w:val="continue"/>
          </w:tcPr>
          <w:p>
            <w:pPr>
              <w:jc w:val="center"/>
              <w:rPr>
                <w:color w:val="000000" w:themeColor="text1"/>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390" w:type="dxa"/>
            <w:vAlign w:val="center"/>
          </w:tcPr>
          <w:p>
            <w:pPr>
              <w:jc w:val="center"/>
              <w:rPr>
                <w:color w:val="000000" w:themeColor="text1"/>
                <w:sz w:val="21"/>
              </w:rPr>
            </w:pPr>
            <w:r>
              <w:rPr>
                <w:color w:val="000000" w:themeColor="text1"/>
                <w:sz w:val="21"/>
              </w:rPr>
              <w:t>S</w:t>
            </w:r>
            <w:r>
              <w:rPr>
                <w:rFonts w:hint="eastAsia"/>
                <w:color w:val="000000" w:themeColor="text1"/>
                <w:sz w:val="21"/>
              </w:rPr>
              <w:t>3</w:t>
            </w:r>
          </w:p>
        </w:tc>
        <w:tc>
          <w:tcPr>
            <w:tcW w:w="2878" w:type="dxa"/>
            <w:vAlign w:val="center"/>
          </w:tcPr>
          <w:p>
            <w:pPr>
              <w:jc w:val="center"/>
              <w:rPr>
                <w:color w:val="000000" w:themeColor="text1"/>
                <w:sz w:val="21"/>
              </w:rPr>
            </w:pPr>
            <w:r>
              <w:rPr>
                <w:color w:val="000000" w:themeColor="text1"/>
                <w:sz w:val="21"/>
              </w:rPr>
              <w:t>S3石伏村居民点3</w:t>
            </w:r>
          </w:p>
        </w:tc>
        <w:tc>
          <w:tcPr>
            <w:tcW w:w="2737" w:type="dxa"/>
            <w:vMerge w:val="continue"/>
            <w:vAlign w:val="center"/>
          </w:tcPr>
          <w:p>
            <w:pPr>
              <w:jc w:val="center"/>
              <w:rPr>
                <w:color w:val="000000" w:themeColor="text1"/>
                <w:sz w:val="21"/>
              </w:rPr>
            </w:pPr>
          </w:p>
        </w:tc>
        <w:tc>
          <w:tcPr>
            <w:tcW w:w="2317" w:type="dxa"/>
            <w:vMerge w:val="continue"/>
          </w:tcPr>
          <w:p>
            <w:pPr>
              <w:jc w:val="center"/>
              <w:rPr>
                <w:color w:val="000000" w:themeColor="text1"/>
                <w:sz w:val="21"/>
              </w:rPr>
            </w:pPr>
          </w:p>
        </w:tc>
      </w:tr>
    </w:tbl>
    <w:p>
      <w:pPr>
        <w:spacing w:line="360" w:lineRule="auto"/>
        <w:ind w:firstLine="480" w:firstLineChars="200"/>
        <w:rPr>
          <w:color w:val="000000" w:themeColor="text1"/>
        </w:rPr>
      </w:pPr>
      <w:r>
        <w:rPr>
          <w:rFonts w:hint="eastAsia"/>
          <w:color w:val="000000" w:themeColor="text1"/>
        </w:rPr>
        <w:t>（2）评价标准与评价方法</w:t>
      </w:r>
    </w:p>
    <w:p>
      <w:pPr>
        <w:spacing w:line="360" w:lineRule="auto"/>
        <w:ind w:firstLine="480" w:firstLineChars="200"/>
        <w:rPr>
          <w:color w:val="000000" w:themeColor="text1"/>
        </w:rPr>
      </w:pPr>
      <w:r>
        <w:rPr>
          <w:rFonts w:hint="eastAsia"/>
          <w:color w:val="000000" w:themeColor="text1"/>
        </w:rPr>
        <w:t>执行标准：本次地下水执行《地下水质量标准》（HJ610-2017）Ⅲ类水质标准。本次评价采用单因子指数法、超标率进行评价。</w:t>
      </w:r>
    </w:p>
    <w:p>
      <w:pPr>
        <w:spacing w:line="360" w:lineRule="auto"/>
        <w:ind w:firstLine="480" w:firstLineChars="200"/>
        <w:rPr>
          <w:rFonts w:hint="eastAsia"/>
          <w:color w:val="000000" w:themeColor="text1"/>
        </w:rPr>
      </w:pPr>
      <w:r>
        <w:rPr>
          <w:rFonts w:hint="eastAsia"/>
          <w:color w:val="000000" w:themeColor="text1"/>
        </w:rPr>
        <w:t>（3）监测结果统计与评价</w:t>
      </w:r>
    </w:p>
    <w:p>
      <w:pPr>
        <w:spacing w:line="360" w:lineRule="auto"/>
        <w:ind w:firstLine="480" w:firstLineChars="200"/>
        <w:rPr>
          <w:color w:val="000000" w:themeColor="text1"/>
        </w:rPr>
      </w:pPr>
      <w:r>
        <w:rPr>
          <w:rFonts w:hint="eastAsia"/>
          <w:color w:val="000000" w:themeColor="text1"/>
        </w:rPr>
        <w:t>监测结果统计详见下表。</w:t>
      </w:r>
    </w:p>
    <w:p>
      <w:pPr>
        <w:pStyle w:val="14"/>
        <w:spacing w:line="240" w:lineRule="auto"/>
        <w:rPr>
          <w:color w:val="000000" w:themeColor="text1"/>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6</w:t>
      </w:r>
      <w:r>
        <w:rPr>
          <w:color w:val="000000" w:themeColor="text1"/>
        </w:rPr>
        <w:fldChar w:fldCharType="end"/>
      </w:r>
      <w:r>
        <w:rPr>
          <w:rFonts w:hint="eastAsia"/>
          <w:color w:val="000000" w:themeColor="text1"/>
        </w:rPr>
        <w:t xml:space="preserve"> 地下水环境现状监测及评价表mg/L（PH除外）</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277"/>
        <w:gridCol w:w="1277"/>
        <w:gridCol w:w="1277"/>
        <w:gridCol w:w="1501"/>
        <w:gridCol w:w="1185"/>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监测点位</w:t>
            </w:r>
          </w:p>
        </w:tc>
        <w:tc>
          <w:tcPr>
            <w:tcW w:w="6517" w:type="dxa"/>
            <w:gridSpan w:val="5"/>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bCs/>
                <w:color w:val="000000" w:themeColor="text1"/>
                <w:kern w:val="0"/>
                <w:sz w:val="21"/>
              </w:rPr>
              <w:t>S1石伏村居民点1</w:t>
            </w:r>
          </w:p>
        </w:tc>
        <w:tc>
          <w:tcPr>
            <w:tcW w:w="1022" w:type="dxa"/>
            <w:vMerge w:val="restart"/>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检测日期</w:t>
            </w:r>
          </w:p>
        </w:tc>
        <w:tc>
          <w:tcPr>
            <w:tcW w:w="1277"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5月20日</w:t>
            </w:r>
          </w:p>
        </w:tc>
        <w:tc>
          <w:tcPr>
            <w:tcW w:w="1277"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5月21日</w:t>
            </w:r>
          </w:p>
        </w:tc>
        <w:tc>
          <w:tcPr>
            <w:tcW w:w="1277"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5月22日</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最高单因子指数</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超标率</w:t>
            </w:r>
          </w:p>
        </w:tc>
        <w:tc>
          <w:tcPr>
            <w:tcW w:w="1022" w:type="dxa"/>
            <w:vMerge w:val="continue"/>
            <w:vAlign w:val="center"/>
          </w:tcPr>
          <w:p>
            <w:pPr>
              <w:jc w:val="center"/>
              <w:rPr>
                <w:rFonts w:hint="default" w:ascii="Times New Roman" w:hAnsi="Times New Roman"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pH</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7.28</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7.36</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7.31</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0.24</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溶解性总固体</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211</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206</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215</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0.215</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总硬度</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100</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108</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102</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0.24</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bCs/>
                <w:color w:val="000000" w:themeColor="text1"/>
                <w:kern w:val="0"/>
                <w:sz w:val="21"/>
              </w:rPr>
              <w:t>氨氮</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0.060</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0.050</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0.075</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0.375</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硝酸盐</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vertAlign w:val="superscript"/>
              </w:rPr>
            </w:pPr>
            <w:r>
              <w:rPr>
                <w:rFonts w:hint="default" w:ascii="Times New Roman" w:hAnsi="Times New Roman" w:eastAsia="宋体" w:cs="Times New Roman"/>
                <w:color w:val="000000"/>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0.016ND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0.0008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亚硝酸盐</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vertAlign w:val="superscript"/>
              </w:rPr>
            </w:pPr>
            <w:r>
              <w:rPr>
                <w:rFonts w:hint="default" w:ascii="Times New Roman" w:hAnsi="Times New Roman" w:eastAsia="宋体" w:cs="Times New Roman"/>
                <w:color w:val="000000"/>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0.016ND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1"/>
              <w:snapToGrid w:val="0"/>
              <w:jc w:val="center"/>
              <w:rPr>
                <w:rFonts w:hint="default" w:ascii="Times New Roman" w:hAnsi="Times New Roman" w:cs="Times New Roman"/>
                <w:color w:val="000000"/>
              </w:rPr>
            </w:pPr>
            <w:r>
              <w:rPr>
                <w:rFonts w:hint="default" w:ascii="Times New Roman" w:hAnsi="Times New Roman" w:cs="Times New Roman"/>
                <w:color w:val="000000"/>
              </w:rPr>
              <w:t>耗氧量</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0.7</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0.8</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0.8</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0.26</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hint="default" w:ascii="Times New Roman" w:hAnsi="Times New Roman" w:cs="Times New Roman"/>
              </w:rPr>
            </w:pPr>
            <w:r>
              <w:rPr>
                <w:rFonts w:hint="default" w:ascii="Times New Roman" w:hAnsi="Times New Roman" w:cs="Times New Roman"/>
              </w:rPr>
              <w:t>砷</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0.0003ND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0.0003ND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0.0003ND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0.03</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hint="default" w:ascii="Times New Roman" w:hAnsi="Times New Roman" w:cs="Times New Roman"/>
              </w:rPr>
            </w:pPr>
            <w:r>
              <w:rPr>
                <w:rFonts w:hint="default" w:ascii="Times New Roman" w:hAnsi="Times New Roman" w:cs="Times New Roman"/>
              </w:rPr>
              <w:t>汞</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4×10</w:t>
            </w:r>
            <w:r>
              <w:rPr>
                <w:rFonts w:hint="default" w:ascii="Times New Roman" w:hAnsi="Times New Roman" w:eastAsia="宋体" w:cs="Times New Roman"/>
                <w:color w:val="000000"/>
                <w:sz w:val="21"/>
                <w:vertAlign w:val="superscript"/>
              </w:rPr>
              <w:t>-5</w:t>
            </w:r>
            <w:r>
              <w:rPr>
                <w:rFonts w:hint="default" w:ascii="Times New Roman" w:hAnsi="Times New Roman" w:eastAsia="宋体" w:cs="Times New Roman"/>
                <w:color w:val="000000"/>
                <w:sz w:val="21"/>
              </w:rPr>
              <w:t>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5×10</w:t>
            </w:r>
            <w:r>
              <w:rPr>
                <w:rFonts w:hint="default" w:ascii="Times New Roman" w:hAnsi="Times New Roman" w:eastAsia="宋体" w:cs="Times New Roman"/>
                <w:color w:val="000000"/>
                <w:sz w:val="21"/>
                <w:vertAlign w:val="superscript"/>
              </w:rPr>
              <w:t>-5</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4×10</w:t>
            </w:r>
            <w:r>
              <w:rPr>
                <w:rFonts w:hint="default" w:ascii="Times New Roman" w:hAnsi="Times New Roman" w:eastAsia="宋体" w:cs="Times New Roman"/>
                <w:color w:val="000000"/>
                <w:sz w:val="21"/>
                <w:vertAlign w:val="superscript"/>
              </w:rPr>
              <w:t>-5</w:t>
            </w:r>
            <w:r>
              <w:rPr>
                <w:rFonts w:hint="default" w:ascii="Times New Roman" w:hAnsi="Times New Roman" w:eastAsia="宋体" w:cs="Times New Roman"/>
                <w:color w:val="000000"/>
                <w:sz w:val="21"/>
              </w:rPr>
              <w:t>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0.04</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hint="default" w:ascii="Times New Roman" w:hAnsi="Times New Roman" w:cs="Times New Roman"/>
              </w:rPr>
            </w:pPr>
            <w:r>
              <w:rPr>
                <w:rFonts w:hint="default" w:ascii="Times New Roman" w:hAnsi="Times New Roman" w:cs="Times New Roman"/>
              </w:rPr>
              <w:t>六价铬</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0.008</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0.004ND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0.004ND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铅</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1×10</w:t>
            </w:r>
            <w:r>
              <w:rPr>
                <w:rFonts w:hint="default" w:ascii="Times New Roman" w:hAnsi="Times New Roman" w:eastAsia="宋体" w:cs="Times New Roman"/>
                <w:color w:val="000000"/>
                <w:sz w:val="21"/>
                <w:vertAlign w:val="superscript"/>
              </w:rPr>
              <w:t>-3</w:t>
            </w:r>
            <w:r>
              <w:rPr>
                <w:rFonts w:hint="default" w:ascii="Times New Roman" w:hAnsi="Times New Roman" w:eastAsia="宋体" w:cs="Times New Roman"/>
                <w:color w:val="000000"/>
                <w:sz w:val="21"/>
              </w:rPr>
              <w:t>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1×10</w:t>
            </w:r>
            <w:r>
              <w:rPr>
                <w:rFonts w:hint="default" w:ascii="Times New Roman" w:hAnsi="Times New Roman" w:eastAsia="宋体" w:cs="Times New Roman"/>
                <w:color w:val="000000"/>
                <w:sz w:val="21"/>
                <w:vertAlign w:val="superscript"/>
              </w:rPr>
              <w:t>-3</w:t>
            </w:r>
            <w:r>
              <w:rPr>
                <w:rFonts w:hint="default" w:ascii="Times New Roman" w:hAnsi="Times New Roman" w:eastAsia="宋体" w:cs="Times New Roman"/>
                <w:color w:val="000000"/>
                <w:sz w:val="21"/>
              </w:rPr>
              <w:t>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1×10</w:t>
            </w:r>
            <w:r>
              <w:rPr>
                <w:rFonts w:hint="default" w:ascii="Times New Roman" w:hAnsi="Times New Roman" w:eastAsia="宋体" w:cs="Times New Roman"/>
                <w:color w:val="000000"/>
                <w:sz w:val="21"/>
                <w:vertAlign w:val="superscript"/>
              </w:rPr>
              <w:t>-3</w:t>
            </w:r>
            <w:r>
              <w:rPr>
                <w:rFonts w:hint="default" w:ascii="Times New Roman" w:hAnsi="Times New Roman" w:eastAsia="宋体" w:cs="Times New Roman"/>
                <w:color w:val="000000"/>
                <w:sz w:val="21"/>
              </w:rPr>
              <w:t>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0.1</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镍</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0.01ND</w:t>
            </w:r>
          </w:p>
        </w:tc>
        <w:tc>
          <w:tcPr>
            <w:tcW w:w="1277" w:type="dxa"/>
            <w:vAlign w:val="center"/>
          </w:tcPr>
          <w:p>
            <w:pPr>
              <w:autoSpaceDE w:val="0"/>
              <w:adjustRightInd w:val="0"/>
              <w:snapToGrid w:val="0"/>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0.01ND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0.5</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监测点位</w:t>
            </w:r>
          </w:p>
        </w:tc>
        <w:tc>
          <w:tcPr>
            <w:tcW w:w="6517" w:type="dxa"/>
            <w:gridSpan w:val="5"/>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S2石伏村居民点2</w:t>
            </w:r>
          </w:p>
        </w:tc>
        <w:tc>
          <w:tcPr>
            <w:tcW w:w="1022" w:type="dxa"/>
            <w:vMerge w:val="restart"/>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检测日期</w:t>
            </w:r>
          </w:p>
        </w:tc>
        <w:tc>
          <w:tcPr>
            <w:tcW w:w="1277"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5月20日</w:t>
            </w:r>
          </w:p>
        </w:tc>
        <w:tc>
          <w:tcPr>
            <w:tcW w:w="1277"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5月21日</w:t>
            </w:r>
          </w:p>
        </w:tc>
        <w:tc>
          <w:tcPr>
            <w:tcW w:w="1277"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5月22日</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单因子标准指数范围</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超标率</w:t>
            </w:r>
          </w:p>
        </w:tc>
        <w:tc>
          <w:tcPr>
            <w:tcW w:w="1022" w:type="dxa"/>
            <w:vMerge w:val="continue"/>
            <w:vAlign w:val="center"/>
          </w:tcPr>
          <w:p>
            <w:pPr>
              <w:jc w:val="center"/>
              <w:rPr>
                <w:rFonts w:hint="default" w:ascii="Times New Roman" w:hAnsi="Times New Roman"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pH</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7.34</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7.31</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7.38</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0.25</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溶解性总固体</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236</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241</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237</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0.241</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总硬度</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110</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116</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112</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0.26</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bCs/>
                <w:color w:val="000000" w:themeColor="text1"/>
                <w:kern w:val="0"/>
                <w:sz w:val="21"/>
              </w:rPr>
              <w:t>氨氮</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0.077</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0.025ND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0.034</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0.38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ind w:right="91"/>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硝酸盐</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0.016ND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0.0008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ind w:right="91"/>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亚硝酸盐</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0.016ND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0.016ND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1"/>
              <w:snapToGrid w:val="0"/>
              <w:jc w:val="center"/>
              <w:rPr>
                <w:rFonts w:hint="default" w:ascii="Times New Roman" w:hAnsi="Times New Roman" w:cs="Times New Roman"/>
                <w:color w:val="000000"/>
              </w:rPr>
            </w:pPr>
            <w:r>
              <w:rPr>
                <w:rFonts w:hint="default" w:ascii="Times New Roman" w:hAnsi="Times New Roman" w:cs="Times New Roman"/>
                <w:color w:val="000000"/>
              </w:rPr>
              <w:t>耗氧量</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0.8</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0.9</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0.9</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0.3</w:t>
            </w:r>
          </w:p>
        </w:tc>
        <w:tc>
          <w:tcPr>
            <w:tcW w:w="1185" w:type="dxa"/>
            <w:vAlign w:val="center"/>
          </w:tcPr>
          <w:p>
            <w:pPr>
              <w:jc w:val="center"/>
              <w:rPr>
                <w:rFonts w:hint="default" w:ascii="Times New Roman" w:hAnsi="Times New Roman" w:eastAsia="宋体" w:cs="Times New Roman"/>
                <w:kern w:val="0"/>
                <w:szCs w:val="20"/>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hint="default" w:ascii="Times New Roman" w:hAnsi="Times New Roman" w:cs="Times New Roman"/>
              </w:rPr>
            </w:pPr>
            <w:r>
              <w:rPr>
                <w:rFonts w:hint="default" w:ascii="Times New Roman" w:hAnsi="Times New Roman" w:cs="Times New Roman"/>
              </w:rPr>
              <w:t>砷</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0.0003ND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0.0003ND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0.0003ND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0.03</w:t>
            </w:r>
          </w:p>
        </w:tc>
        <w:tc>
          <w:tcPr>
            <w:tcW w:w="1185" w:type="dxa"/>
            <w:vAlign w:val="center"/>
          </w:tcPr>
          <w:p>
            <w:pPr>
              <w:jc w:val="center"/>
              <w:rPr>
                <w:rFonts w:hint="default" w:ascii="Times New Roman" w:hAnsi="Times New Roman" w:eastAsia="宋体" w:cs="Times New Roman"/>
                <w:kern w:val="0"/>
                <w:szCs w:val="20"/>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hint="default" w:ascii="Times New Roman" w:hAnsi="Times New Roman" w:cs="Times New Roman"/>
              </w:rPr>
            </w:pPr>
            <w:r>
              <w:rPr>
                <w:rFonts w:hint="default" w:ascii="Times New Roman" w:hAnsi="Times New Roman" w:cs="Times New Roman"/>
              </w:rPr>
              <w:t>汞</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4×10</w:t>
            </w:r>
            <w:r>
              <w:rPr>
                <w:rFonts w:hint="default" w:ascii="Times New Roman" w:hAnsi="Times New Roman" w:eastAsia="宋体" w:cs="Times New Roman"/>
                <w:sz w:val="21"/>
                <w:vertAlign w:val="superscript"/>
              </w:rPr>
              <w:t>-5</w:t>
            </w:r>
            <w:r>
              <w:rPr>
                <w:rFonts w:hint="default" w:ascii="Times New Roman" w:hAnsi="Times New Roman" w:eastAsia="宋体" w:cs="Times New Roman"/>
                <w:sz w:val="21"/>
              </w:rPr>
              <w:t>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4×10</w:t>
            </w:r>
            <w:r>
              <w:rPr>
                <w:rFonts w:hint="default" w:ascii="Times New Roman" w:hAnsi="Times New Roman" w:eastAsia="宋体" w:cs="Times New Roman"/>
                <w:sz w:val="21"/>
                <w:vertAlign w:val="superscript"/>
              </w:rPr>
              <w:t>-5</w:t>
            </w:r>
            <w:r>
              <w:rPr>
                <w:rFonts w:hint="default" w:ascii="Times New Roman" w:hAnsi="Times New Roman" w:eastAsia="宋体" w:cs="Times New Roman"/>
                <w:sz w:val="21"/>
              </w:rPr>
              <w:t>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6×10</w:t>
            </w:r>
            <w:r>
              <w:rPr>
                <w:rFonts w:hint="default" w:ascii="Times New Roman" w:hAnsi="Times New Roman" w:eastAsia="宋体" w:cs="Times New Roman"/>
                <w:sz w:val="21"/>
                <w:vertAlign w:val="superscript"/>
              </w:rPr>
              <w:t>-5</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0.06</w:t>
            </w:r>
          </w:p>
        </w:tc>
        <w:tc>
          <w:tcPr>
            <w:tcW w:w="1185" w:type="dxa"/>
            <w:vAlign w:val="center"/>
          </w:tcPr>
          <w:p>
            <w:pPr>
              <w:jc w:val="center"/>
              <w:rPr>
                <w:rFonts w:hint="default" w:ascii="Times New Roman" w:hAnsi="Times New Roman" w:eastAsia="宋体" w:cs="Times New Roman"/>
                <w:kern w:val="0"/>
                <w:szCs w:val="20"/>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hint="default" w:ascii="Times New Roman" w:hAnsi="Times New Roman" w:cs="Times New Roman"/>
              </w:rPr>
            </w:pPr>
            <w:r>
              <w:rPr>
                <w:rFonts w:hint="default" w:ascii="Times New Roman" w:hAnsi="Times New Roman" w:cs="Times New Roman"/>
              </w:rPr>
              <w:t>六价铬</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0.005</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0.004ND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0.004ND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0.1</w:t>
            </w:r>
          </w:p>
        </w:tc>
        <w:tc>
          <w:tcPr>
            <w:tcW w:w="1185" w:type="dxa"/>
            <w:vAlign w:val="center"/>
          </w:tcPr>
          <w:p>
            <w:pPr>
              <w:jc w:val="center"/>
              <w:rPr>
                <w:rFonts w:hint="default" w:ascii="Times New Roman" w:hAnsi="Times New Roman" w:eastAsia="宋体" w:cs="Times New Roman"/>
                <w:kern w:val="0"/>
                <w:szCs w:val="20"/>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铅</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1×10</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1×10</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1×10</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0.03</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镍</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0.01ND</w:t>
            </w:r>
          </w:p>
        </w:tc>
        <w:tc>
          <w:tcPr>
            <w:tcW w:w="1277" w:type="dxa"/>
            <w:vAlign w:val="center"/>
          </w:tcPr>
          <w:p>
            <w:pPr>
              <w:autoSpaceDE w:val="0"/>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0.01ND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0.5</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tcBorders>
              <w:bottom w:val="single" w:color="auto" w:sz="4" w:space="0"/>
            </w:tcBorders>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color w:val="000000" w:themeColor="text1"/>
                <w:kern w:val="0"/>
                <w:sz w:val="21"/>
              </w:rPr>
              <w:t>监测点位</w:t>
            </w:r>
          </w:p>
        </w:tc>
        <w:tc>
          <w:tcPr>
            <w:tcW w:w="6517" w:type="dxa"/>
            <w:gridSpan w:val="5"/>
            <w:tcBorders>
              <w:bottom w:val="single" w:color="auto" w:sz="4" w:space="0"/>
            </w:tcBorders>
            <w:vAlign w:val="center"/>
          </w:tcPr>
          <w:p>
            <w:pPr>
              <w:spacing w:line="320" w:lineRule="exact"/>
              <w:ind w:right="91"/>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S3石伏村居民点3</w:t>
            </w:r>
          </w:p>
        </w:tc>
        <w:tc>
          <w:tcPr>
            <w:tcW w:w="1022" w:type="dxa"/>
            <w:vMerge w:val="restart"/>
            <w:tcBorders>
              <w:top w:val="single" w:color="auto" w:sz="4" w:space="0"/>
              <w:bottom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tcBorders>
              <w:top w:val="single" w:color="auto" w:sz="4" w:space="0"/>
              <w:bottom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检测日期</w:t>
            </w:r>
          </w:p>
        </w:tc>
        <w:tc>
          <w:tcPr>
            <w:tcW w:w="1277"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5月20日</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5月21日</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5月22日</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单因子标准指数范围</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超标率</w:t>
            </w:r>
          </w:p>
        </w:tc>
        <w:tc>
          <w:tcPr>
            <w:tcW w:w="1022" w:type="dxa"/>
            <w:vMerge w:val="continue"/>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color w:val="000000" w:themeColor="text1"/>
                <w:kern w:val="0"/>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pH</w:t>
            </w:r>
          </w:p>
        </w:tc>
        <w:tc>
          <w:tcPr>
            <w:tcW w:w="1277"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7.31</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7.42</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7.36</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0.28</w:t>
            </w:r>
          </w:p>
        </w:tc>
        <w:tc>
          <w:tcPr>
            <w:tcW w:w="118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溶解性总固体</w:t>
            </w:r>
          </w:p>
        </w:tc>
        <w:tc>
          <w:tcPr>
            <w:tcW w:w="1277"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239</w:t>
            </w:r>
          </w:p>
        </w:tc>
        <w:tc>
          <w:tcPr>
            <w:tcW w:w="1277"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249</w:t>
            </w:r>
          </w:p>
        </w:tc>
        <w:tc>
          <w:tcPr>
            <w:tcW w:w="1277"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237</w:t>
            </w:r>
          </w:p>
        </w:tc>
        <w:tc>
          <w:tcPr>
            <w:tcW w:w="1501"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0.249</w:t>
            </w:r>
          </w:p>
        </w:tc>
        <w:tc>
          <w:tcPr>
            <w:tcW w:w="1185" w:type="dxa"/>
            <w:tcBorders>
              <w:top w:val="single" w:color="auto" w:sz="4" w:space="0"/>
            </w:tcBorders>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总硬度</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118</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117</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116</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0.26</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bCs/>
                <w:color w:val="000000" w:themeColor="text1"/>
                <w:kern w:val="0"/>
                <w:sz w:val="21"/>
              </w:rPr>
              <w:t>氨氮</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0.025ND</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0.045</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0.053</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0.265</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硝酸盐</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0.016ND</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0.016ND</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0.016ND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0.0008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hint="default" w:ascii="Times New Roman" w:hAnsi="Times New Roman" w:eastAsia="宋体" w:cs="Times New Roman"/>
                <w:bCs/>
                <w:color w:val="000000" w:themeColor="text1"/>
                <w:kern w:val="0"/>
                <w:sz w:val="21"/>
              </w:rPr>
            </w:pPr>
            <w:r>
              <w:rPr>
                <w:rFonts w:hint="default" w:ascii="Times New Roman" w:hAnsi="Times New Roman" w:eastAsia="宋体" w:cs="Times New Roman"/>
                <w:bCs/>
                <w:color w:val="000000" w:themeColor="text1"/>
                <w:kern w:val="0"/>
                <w:sz w:val="21"/>
              </w:rPr>
              <w:t>亚硝酸盐</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0.016ND</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0.016ND</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0.016ND</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0.8</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1"/>
              <w:snapToGrid w:val="0"/>
              <w:jc w:val="center"/>
              <w:rPr>
                <w:rFonts w:hint="default" w:ascii="Times New Roman" w:hAnsi="Times New Roman" w:cs="Times New Roman"/>
                <w:color w:val="000000"/>
              </w:rPr>
            </w:pPr>
            <w:r>
              <w:rPr>
                <w:rFonts w:hint="default" w:ascii="Times New Roman" w:hAnsi="Times New Roman" w:cs="Times New Roman"/>
                <w:color w:val="000000"/>
              </w:rPr>
              <w:t>耗氧量</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0.6</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0.8</w:t>
            </w:r>
          </w:p>
        </w:tc>
        <w:tc>
          <w:tcPr>
            <w:tcW w:w="1277"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0.7</w:t>
            </w:r>
          </w:p>
        </w:tc>
        <w:tc>
          <w:tcPr>
            <w:tcW w:w="1501"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0.26</w:t>
            </w:r>
          </w:p>
        </w:tc>
        <w:tc>
          <w:tcPr>
            <w:tcW w:w="1185" w:type="dxa"/>
            <w:vAlign w:val="center"/>
          </w:tcPr>
          <w:p>
            <w:pPr>
              <w:jc w:val="center"/>
              <w:rPr>
                <w:rFonts w:hint="default" w:ascii="Times New Roman" w:hAnsi="Times New Roman" w:eastAsia="宋体" w:cs="Times New Roman"/>
                <w:color w:val="000000" w:themeColor="text1"/>
                <w:kern w:val="0"/>
                <w:sz w:val="21"/>
              </w:rPr>
            </w:pPr>
            <w:r>
              <w:rPr>
                <w:rFonts w:hint="default" w:ascii="Times New Roman" w:hAnsi="Times New Roman" w:eastAsia="宋体" w:cs="Times New Roman"/>
                <w:color w:val="000000" w:themeColor="text1"/>
                <w:kern w:val="0"/>
                <w:sz w:val="21"/>
              </w:rPr>
              <w:t>0</w:t>
            </w:r>
          </w:p>
        </w:tc>
        <w:tc>
          <w:tcPr>
            <w:tcW w:w="1022"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themeColor="text1"/>
                <w:kern w:val="0"/>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ascii="Times New Roman" w:hAnsi="Times New Roman"/>
              </w:rPr>
            </w:pPr>
            <w:r>
              <w:rPr>
                <w:rFonts w:ascii="Times New Roman" w:hAnsi="Times New Roman"/>
              </w:rPr>
              <w:t>砷</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0.0003ND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0.0003ND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0.0003ND</w:t>
            </w:r>
          </w:p>
        </w:tc>
        <w:tc>
          <w:tcPr>
            <w:tcW w:w="150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0.03</w:t>
            </w:r>
          </w:p>
        </w:tc>
        <w:tc>
          <w:tcPr>
            <w:tcW w:w="1185"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w:t>
            </w:r>
          </w:p>
        </w:tc>
        <w:tc>
          <w:tcPr>
            <w:tcW w:w="1022" w:type="dxa"/>
            <w:vAlign w:val="center"/>
          </w:tcPr>
          <w:p>
            <w:pPr>
              <w:jc w:val="center"/>
              <w:rPr>
                <w:rFonts w:eastAsia="宋体" w:cs="Times New Roman"/>
              </w:rPr>
            </w:pPr>
            <w:r>
              <w:rPr>
                <w:rFonts w:eastAsia="宋体" w:cs="Times New Roman"/>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ascii="Times New Roman" w:hAnsi="Times New Roman"/>
              </w:rPr>
            </w:pPr>
            <w:r>
              <w:rPr>
                <w:rFonts w:ascii="Times New Roman" w:hAnsi="Times New Roman"/>
              </w:rPr>
              <w:t>汞</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5×10</w:t>
            </w:r>
            <w:r>
              <w:rPr>
                <w:rFonts w:eastAsia="宋体" w:cs="Times New Roman"/>
                <w:color w:val="000000" w:themeColor="text1"/>
                <w:kern w:val="0"/>
                <w:sz w:val="21"/>
                <w:vertAlign w:val="superscript"/>
              </w:rPr>
              <w:t>-5</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4×10-</w:t>
            </w:r>
            <w:r>
              <w:rPr>
                <w:rFonts w:eastAsia="宋体" w:cs="Times New Roman"/>
                <w:color w:val="000000" w:themeColor="text1"/>
                <w:kern w:val="0"/>
                <w:sz w:val="21"/>
                <w:vertAlign w:val="superscript"/>
              </w:rPr>
              <w:t>5</w:t>
            </w:r>
            <w:r>
              <w:rPr>
                <w:rFonts w:eastAsia="宋体" w:cs="Times New Roman"/>
                <w:color w:val="000000" w:themeColor="text1"/>
                <w:kern w:val="0"/>
                <w:sz w:val="21"/>
              </w:rPr>
              <w:t>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6×10</w:t>
            </w:r>
            <w:r>
              <w:rPr>
                <w:rFonts w:eastAsia="宋体" w:cs="Times New Roman"/>
                <w:color w:val="000000" w:themeColor="text1"/>
                <w:kern w:val="0"/>
                <w:sz w:val="21"/>
                <w:vertAlign w:val="superscript"/>
              </w:rPr>
              <w:t>-5</w:t>
            </w:r>
          </w:p>
        </w:tc>
        <w:tc>
          <w:tcPr>
            <w:tcW w:w="150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0.06</w:t>
            </w:r>
          </w:p>
        </w:tc>
        <w:tc>
          <w:tcPr>
            <w:tcW w:w="1185"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w:t>
            </w:r>
          </w:p>
        </w:tc>
        <w:tc>
          <w:tcPr>
            <w:tcW w:w="1022" w:type="dxa"/>
            <w:vAlign w:val="center"/>
          </w:tcPr>
          <w:p>
            <w:pPr>
              <w:jc w:val="center"/>
              <w:rPr>
                <w:rFonts w:eastAsia="宋体" w:cs="Times New Roman"/>
              </w:rPr>
            </w:pPr>
            <w:r>
              <w:rPr>
                <w:rFonts w:eastAsia="宋体" w:cs="Times New Roman"/>
                <w:color w:val="000000" w:themeColor="text1"/>
                <w:kern w:val="0"/>
                <w:sz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pStyle w:val="142"/>
              <w:rPr>
                <w:rFonts w:ascii="Times New Roman" w:hAnsi="Times New Roman"/>
              </w:rPr>
            </w:pPr>
            <w:r>
              <w:rPr>
                <w:rFonts w:ascii="Times New Roman" w:hAnsi="Times New Roman"/>
              </w:rPr>
              <w:t>六价铬</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0.004ND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0.004ND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0.004ND</w:t>
            </w:r>
          </w:p>
        </w:tc>
        <w:tc>
          <w:tcPr>
            <w:tcW w:w="150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0.08</w:t>
            </w:r>
          </w:p>
        </w:tc>
        <w:tc>
          <w:tcPr>
            <w:tcW w:w="1185"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w:t>
            </w:r>
          </w:p>
        </w:tc>
        <w:tc>
          <w:tcPr>
            <w:tcW w:w="1022" w:type="dxa"/>
            <w:vAlign w:val="center"/>
          </w:tcPr>
          <w:p>
            <w:pPr>
              <w:jc w:val="center"/>
              <w:rPr>
                <w:rFonts w:eastAsia="宋体" w:cs="Times New Roman"/>
              </w:rPr>
            </w:pPr>
            <w:r>
              <w:rPr>
                <w:rFonts w:eastAsia="宋体" w:cs="Times New Roman"/>
                <w:color w:val="000000" w:themeColor="text1"/>
                <w:kern w:val="0"/>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eastAsia="宋体" w:cs="Times New Roman"/>
                <w:color w:val="000000"/>
                <w:sz w:val="21"/>
              </w:rPr>
            </w:pPr>
            <w:r>
              <w:rPr>
                <w:rFonts w:eastAsia="宋体" w:cs="Times New Roman"/>
                <w:color w:val="000000"/>
                <w:sz w:val="21"/>
              </w:rPr>
              <w:t>铅</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1×10</w:t>
            </w:r>
            <w:r>
              <w:rPr>
                <w:rFonts w:eastAsia="宋体" w:cs="Times New Roman"/>
                <w:color w:val="000000" w:themeColor="text1"/>
                <w:kern w:val="0"/>
                <w:sz w:val="21"/>
                <w:vertAlign w:val="superscript"/>
              </w:rPr>
              <w:t>-3</w:t>
            </w:r>
            <w:r>
              <w:rPr>
                <w:rFonts w:eastAsia="宋体" w:cs="Times New Roman"/>
                <w:color w:val="000000" w:themeColor="text1"/>
                <w:kern w:val="0"/>
                <w:sz w:val="21"/>
              </w:rPr>
              <w:t>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1×10</w:t>
            </w:r>
            <w:r>
              <w:rPr>
                <w:rFonts w:eastAsia="宋体" w:cs="Times New Roman"/>
                <w:color w:val="000000" w:themeColor="text1"/>
                <w:kern w:val="0"/>
                <w:sz w:val="21"/>
                <w:vertAlign w:val="superscript"/>
              </w:rPr>
              <w:t>-3</w:t>
            </w:r>
            <w:r>
              <w:rPr>
                <w:rFonts w:eastAsia="宋体" w:cs="Times New Roman"/>
                <w:color w:val="000000" w:themeColor="text1"/>
                <w:kern w:val="0"/>
                <w:sz w:val="21"/>
              </w:rPr>
              <w:t>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1×10</w:t>
            </w:r>
            <w:r>
              <w:rPr>
                <w:rFonts w:eastAsia="宋体" w:cs="Times New Roman"/>
                <w:color w:val="000000" w:themeColor="text1"/>
                <w:kern w:val="0"/>
                <w:sz w:val="21"/>
                <w:vertAlign w:val="superscript"/>
              </w:rPr>
              <w:t>-3</w:t>
            </w:r>
            <w:r>
              <w:rPr>
                <w:rFonts w:eastAsia="宋体" w:cs="Times New Roman"/>
                <w:color w:val="000000" w:themeColor="text1"/>
                <w:kern w:val="0"/>
                <w:sz w:val="21"/>
              </w:rPr>
              <w:t>ND</w:t>
            </w:r>
          </w:p>
        </w:tc>
        <w:tc>
          <w:tcPr>
            <w:tcW w:w="150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0.1</w:t>
            </w:r>
          </w:p>
        </w:tc>
        <w:tc>
          <w:tcPr>
            <w:tcW w:w="1185"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w:t>
            </w:r>
          </w:p>
        </w:tc>
        <w:tc>
          <w:tcPr>
            <w:tcW w:w="1022" w:type="dxa"/>
            <w:vAlign w:val="center"/>
          </w:tcPr>
          <w:p>
            <w:pPr>
              <w:jc w:val="center"/>
              <w:rPr>
                <w:rFonts w:eastAsia="宋体" w:cs="Times New Roman"/>
              </w:rPr>
            </w:pPr>
            <w:r>
              <w:rPr>
                <w:rFonts w:eastAsia="宋体" w:cs="Times New Roman"/>
                <w:color w:val="000000" w:themeColor="text1"/>
                <w:kern w:val="0"/>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pPr>
              <w:jc w:val="center"/>
              <w:rPr>
                <w:rFonts w:eastAsia="宋体" w:cs="Times New Roman"/>
                <w:color w:val="000000"/>
                <w:sz w:val="21"/>
              </w:rPr>
            </w:pPr>
            <w:r>
              <w:rPr>
                <w:rFonts w:hAnsi="宋体" w:eastAsia="宋体" w:cs="Times New Roman"/>
                <w:color w:val="000000"/>
                <w:sz w:val="21"/>
              </w:rPr>
              <w:t>镍</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0.01ND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0.01ND</w:t>
            </w:r>
          </w:p>
        </w:tc>
        <w:tc>
          <w:tcPr>
            <w:tcW w:w="1277"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0.01ND</w:t>
            </w:r>
          </w:p>
        </w:tc>
        <w:tc>
          <w:tcPr>
            <w:tcW w:w="150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0.5</w:t>
            </w:r>
          </w:p>
        </w:tc>
        <w:tc>
          <w:tcPr>
            <w:tcW w:w="1185"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0</w:t>
            </w:r>
          </w:p>
        </w:tc>
        <w:tc>
          <w:tcPr>
            <w:tcW w:w="1022" w:type="dxa"/>
            <w:vAlign w:val="center"/>
          </w:tcPr>
          <w:p>
            <w:pPr>
              <w:jc w:val="center"/>
              <w:rPr>
                <w:rFonts w:eastAsia="宋体" w:cs="Times New Roman"/>
              </w:rPr>
            </w:pPr>
            <w:r>
              <w:rPr>
                <w:rFonts w:eastAsia="宋体" w:cs="Times New Roman"/>
                <w:color w:val="000000" w:themeColor="text1"/>
                <w:kern w:val="0"/>
                <w:sz w:val="21"/>
              </w:rPr>
              <w:t>≤0.02</w:t>
            </w:r>
          </w:p>
        </w:tc>
      </w:tr>
    </w:tbl>
    <w:p>
      <w:pPr>
        <w:spacing w:line="360" w:lineRule="auto"/>
        <w:ind w:firstLine="480" w:firstLineChars="200"/>
        <w:rPr>
          <w:rFonts w:cs="Times New Roman"/>
          <w:sz w:val="24"/>
          <w:szCs w:val="24"/>
        </w:rPr>
      </w:pPr>
      <w:bookmarkStart w:id="143" w:name="_Toc532497650"/>
      <w:r>
        <w:rPr>
          <w:rFonts w:hint="eastAsia" w:cs="Times New Roman"/>
          <w:sz w:val="24"/>
          <w:szCs w:val="24"/>
        </w:rPr>
        <w:t>由上表可知，</w:t>
      </w:r>
      <w:r>
        <w:rPr>
          <w:bCs/>
          <w:color w:val="000000" w:themeColor="text1"/>
          <w:kern w:val="0"/>
          <w:sz w:val="24"/>
          <w:szCs w:val="24"/>
        </w:rPr>
        <w:t>S</w:t>
      </w:r>
      <w:r>
        <w:rPr>
          <w:rFonts w:hint="eastAsia"/>
          <w:bCs/>
          <w:color w:val="000000" w:themeColor="text1"/>
          <w:kern w:val="0"/>
          <w:sz w:val="24"/>
          <w:szCs w:val="24"/>
        </w:rPr>
        <w:t>1</w:t>
      </w:r>
      <w:r>
        <w:rPr>
          <w:bCs/>
          <w:color w:val="000000" w:themeColor="text1"/>
          <w:kern w:val="0"/>
          <w:sz w:val="24"/>
          <w:szCs w:val="24"/>
        </w:rPr>
        <w:t>石伏村居民点</w:t>
      </w:r>
      <w:r>
        <w:rPr>
          <w:rFonts w:hint="eastAsia"/>
          <w:bCs/>
          <w:color w:val="000000" w:themeColor="text1"/>
          <w:kern w:val="0"/>
          <w:sz w:val="24"/>
          <w:szCs w:val="24"/>
        </w:rPr>
        <w:t>、</w:t>
      </w:r>
      <w:r>
        <w:rPr>
          <w:bCs/>
          <w:color w:val="000000" w:themeColor="text1"/>
          <w:kern w:val="0"/>
          <w:sz w:val="24"/>
          <w:szCs w:val="24"/>
        </w:rPr>
        <w:t>S2石伏村居民点和S</w:t>
      </w:r>
      <w:r>
        <w:rPr>
          <w:rFonts w:hint="eastAsia"/>
          <w:bCs/>
          <w:color w:val="000000" w:themeColor="text1"/>
          <w:kern w:val="0"/>
          <w:sz w:val="24"/>
          <w:szCs w:val="24"/>
        </w:rPr>
        <w:t>3</w:t>
      </w:r>
      <w:r>
        <w:rPr>
          <w:bCs/>
          <w:color w:val="000000" w:themeColor="text1"/>
          <w:kern w:val="0"/>
          <w:sz w:val="24"/>
          <w:szCs w:val="24"/>
        </w:rPr>
        <w:t>石伏村居民点的监测因子可满足</w:t>
      </w:r>
      <w:r>
        <w:rPr>
          <w:rFonts w:hint="eastAsia"/>
          <w:color w:val="000000" w:themeColor="text1"/>
          <w:sz w:val="24"/>
          <w:szCs w:val="24"/>
        </w:rPr>
        <w:t>《地下水质量标准》（HJ610-2017）Ⅲ类水质标准中的标准限值要求。</w:t>
      </w:r>
    </w:p>
    <w:p>
      <w:pPr>
        <w:spacing w:line="360" w:lineRule="auto"/>
        <w:ind w:firstLine="480" w:firstLineChars="200"/>
        <w:rPr>
          <w:rFonts w:cs="Times New Roman"/>
          <w:sz w:val="24"/>
          <w:szCs w:val="24"/>
          <w:u w:val="single"/>
        </w:rPr>
      </w:pPr>
      <w:r>
        <w:rPr>
          <w:rFonts w:cs="Times New Roman"/>
          <w:sz w:val="24"/>
          <w:szCs w:val="24"/>
          <w:u w:val="single"/>
        </w:rPr>
        <w:t>为了解项目周边地下水环境质量</w:t>
      </w:r>
      <w:r>
        <w:rPr>
          <w:rFonts w:hint="eastAsia" w:cs="Times New Roman"/>
          <w:sz w:val="24"/>
          <w:szCs w:val="24"/>
          <w:u w:val="single"/>
        </w:rPr>
        <w:t>，</w:t>
      </w:r>
      <w:r>
        <w:rPr>
          <w:rFonts w:cs="Times New Roman"/>
          <w:sz w:val="24"/>
          <w:szCs w:val="24"/>
          <w:u w:val="single"/>
        </w:rPr>
        <w:t>本项目还引用了</w:t>
      </w:r>
      <w:r>
        <w:rPr>
          <w:rFonts w:hint="eastAsia" w:cs="Times New Roman"/>
          <w:sz w:val="24"/>
          <w:szCs w:val="24"/>
          <w:u w:val="single"/>
        </w:rPr>
        <w:t>《华容县虎尾山垃圾场生态治理工程项目》中2018年9月17日</w:t>
      </w:r>
      <w:r>
        <w:rPr>
          <w:rFonts w:cs="Times New Roman"/>
          <w:sz w:val="24"/>
          <w:szCs w:val="24"/>
          <w:u w:val="single"/>
        </w:rPr>
        <w:t>长沙崇德检测科技有限公司监测的</w:t>
      </w:r>
      <w:r>
        <w:rPr>
          <w:rFonts w:hint="eastAsia" w:cs="Times New Roman"/>
          <w:sz w:val="24"/>
          <w:szCs w:val="24"/>
          <w:u w:val="single"/>
        </w:rPr>
        <w:t>地下水的监测数据，引用数据中点位</w:t>
      </w:r>
      <w:r>
        <w:rPr>
          <w:rFonts w:cs="Times New Roman"/>
          <w:color w:val="000000" w:themeColor="text1"/>
          <w:sz w:val="24"/>
          <w:szCs w:val="24"/>
          <w:u w:val="single"/>
        </w:rPr>
        <w:t>GW9</w:t>
      </w:r>
      <w:r>
        <w:rPr>
          <w:rFonts w:cs="Times New Roman"/>
          <w:sz w:val="24"/>
          <w:szCs w:val="24"/>
          <w:u w:val="single"/>
        </w:rPr>
        <w:t>位于本项目的西北侧的</w:t>
      </w:r>
      <w:r>
        <w:rPr>
          <w:rFonts w:hint="eastAsia" w:cs="Times New Roman"/>
          <w:sz w:val="24"/>
          <w:szCs w:val="24"/>
          <w:u w:val="single"/>
        </w:rPr>
        <w:t>3km处；引用数据中点位</w:t>
      </w:r>
      <w:r>
        <w:rPr>
          <w:rFonts w:cs="Times New Roman"/>
          <w:sz w:val="24"/>
          <w:szCs w:val="24"/>
          <w:u w:val="single"/>
        </w:rPr>
        <w:t>GW12位于本项目西北侧的</w:t>
      </w:r>
      <w:r>
        <w:rPr>
          <w:rFonts w:hint="eastAsia" w:cs="Times New Roman"/>
          <w:sz w:val="24"/>
          <w:szCs w:val="24"/>
          <w:u w:val="single"/>
        </w:rPr>
        <w:t>3.3km处，具体监测数据见下表所示。</w:t>
      </w:r>
    </w:p>
    <w:p>
      <w:pPr>
        <w:pStyle w:val="14"/>
        <w:spacing w:line="240" w:lineRule="auto"/>
      </w:pPr>
      <w:r>
        <w:rPr>
          <w:rFonts w:hint="eastAsia" w:cs="Times New Roman"/>
          <w:szCs w:val="24"/>
        </w:rPr>
        <w:t>表</w:t>
      </w:r>
      <w:r>
        <w:rPr>
          <w:rFonts w:cs="Times New Roman"/>
          <w:szCs w:val="24"/>
        </w:rPr>
        <w:fldChar w:fldCharType="begin"/>
      </w:r>
      <w:r>
        <w:rPr>
          <w:rFonts w:hint="eastAsia" w:cs="Times New Roman"/>
          <w:szCs w:val="24"/>
        </w:rPr>
        <w:instrText xml:space="preserve">STYLEREF 2 \s</w:instrText>
      </w:r>
      <w:r>
        <w:rPr>
          <w:rFonts w:cs="Times New Roman"/>
          <w:szCs w:val="24"/>
        </w:rPr>
        <w:fldChar w:fldCharType="separate"/>
      </w:r>
      <w:r>
        <w:rPr>
          <w:rFonts w:cs="Times New Roman"/>
          <w:szCs w:val="24"/>
        </w:rPr>
        <w:t>3.3</w:t>
      </w:r>
      <w:r>
        <w:rPr>
          <w:rFonts w:cs="Times New Roman"/>
          <w:szCs w:val="24"/>
        </w:rPr>
        <w:fldChar w:fldCharType="end"/>
      </w:r>
      <w:r>
        <w:rPr>
          <w:rFonts w:cs="Times New Roman"/>
          <w:szCs w:val="24"/>
        </w:rPr>
        <w:noBreakHyphen/>
      </w:r>
      <w:r>
        <w:rPr>
          <w:rFonts w:cs="Times New Roman"/>
          <w:szCs w:val="24"/>
        </w:rPr>
        <w:fldChar w:fldCharType="begin"/>
      </w:r>
      <w:r>
        <w:rPr>
          <w:rFonts w:hint="eastAsia" w:cs="Times New Roman"/>
          <w:szCs w:val="24"/>
        </w:rPr>
        <w:instrText xml:space="preserve">SEQ 表 \* ARABIC \s 2</w:instrText>
      </w:r>
      <w:r>
        <w:rPr>
          <w:rFonts w:cs="Times New Roman"/>
          <w:szCs w:val="24"/>
        </w:rPr>
        <w:fldChar w:fldCharType="separate"/>
      </w:r>
      <w:r>
        <w:rPr>
          <w:rFonts w:hint="eastAsia" w:cs="Times New Roman"/>
          <w:szCs w:val="24"/>
        </w:rPr>
        <w:t>7</w:t>
      </w:r>
      <w:r>
        <w:rPr>
          <w:rFonts w:cs="Times New Roman"/>
          <w:szCs w:val="24"/>
        </w:rPr>
        <w:fldChar w:fldCharType="end"/>
      </w:r>
      <w:r>
        <w:rPr>
          <w:rFonts w:hint="eastAsia"/>
          <w:color w:val="000000" w:themeColor="text1"/>
        </w:rPr>
        <w:t>地下水监测因子、布点及监测时间和频率表</w:t>
      </w:r>
    </w:p>
    <w:tbl>
      <w:tblPr>
        <w:tblStyle w:val="38"/>
        <w:tblW w:w="93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1"/>
        <w:gridCol w:w="1701"/>
        <w:gridCol w:w="4536"/>
        <w:gridCol w:w="19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1" w:type="dxa"/>
            <w:tcBorders>
              <w:tl2br w:val="nil"/>
              <w:tr2bl w:val="nil"/>
            </w:tcBorders>
            <w:vAlign w:val="center"/>
          </w:tcPr>
          <w:p>
            <w:pPr>
              <w:jc w:val="center"/>
              <w:rPr>
                <w:color w:val="000000" w:themeColor="text1"/>
                <w:sz w:val="21"/>
              </w:rPr>
            </w:pPr>
            <w:r>
              <w:rPr>
                <w:color w:val="000000" w:themeColor="text1"/>
                <w:sz w:val="21"/>
              </w:rPr>
              <w:t>断面编号</w:t>
            </w:r>
          </w:p>
        </w:tc>
        <w:tc>
          <w:tcPr>
            <w:tcW w:w="1701" w:type="dxa"/>
            <w:tcBorders>
              <w:tl2br w:val="nil"/>
              <w:tr2bl w:val="nil"/>
            </w:tcBorders>
            <w:vAlign w:val="center"/>
          </w:tcPr>
          <w:p>
            <w:pPr>
              <w:jc w:val="center"/>
              <w:rPr>
                <w:color w:val="000000" w:themeColor="text1"/>
                <w:sz w:val="21"/>
              </w:rPr>
            </w:pPr>
            <w:r>
              <w:rPr>
                <w:rFonts w:hint="eastAsia"/>
                <w:color w:val="000000" w:themeColor="text1"/>
                <w:sz w:val="21"/>
              </w:rPr>
              <w:t>监测点位</w:t>
            </w:r>
          </w:p>
        </w:tc>
        <w:tc>
          <w:tcPr>
            <w:tcW w:w="4536" w:type="dxa"/>
            <w:tcBorders>
              <w:tl2br w:val="nil"/>
              <w:tr2bl w:val="nil"/>
            </w:tcBorders>
            <w:vAlign w:val="center"/>
          </w:tcPr>
          <w:p>
            <w:pPr>
              <w:jc w:val="center"/>
              <w:rPr>
                <w:color w:val="000000" w:themeColor="text1"/>
                <w:sz w:val="21"/>
              </w:rPr>
            </w:pPr>
            <w:r>
              <w:rPr>
                <w:rFonts w:hint="eastAsia"/>
                <w:color w:val="000000" w:themeColor="text1"/>
                <w:sz w:val="21"/>
              </w:rPr>
              <w:t>监测项目</w:t>
            </w:r>
          </w:p>
        </w:tc>
        <w:tc>
          <w:tcPr>
            <w:tcW w:w="1944" w:type="dxa"/>
            <w:tcBorders>
              <w:tl2br w:val="nil"/>
              <w:tr2bl w:val="nil"/>
            </w:tcBorders>
          </w:tcPr>
          <w:p>
            <w:pPr>
              <w:jc w:val="center"/>
              <w:rPr>
                <w:color w:val="000000" w:themeColor="text1"/>
                <w:sz w:val="21"/>
              </w:rPr>
            </w:pPr>
            <w:r>
              <w:rPr>
                <w:rFonts w:hint="eastAsia"/>
                <w:color w:val="000000" w:themeColor="text1"/>
                <w:sz w:val="21"/>
              </w:rPr>
              <w:t>监测时间及频率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0" w:hRule="atLeast"/>
          <w:jc w:val="center"/>
        </w:trPr>
        <w:tc>
          <w:tcPr>
            <w:tcW w:w="1141" w:type="dxa"/>
            <w:tcBorders>
              <w:tl2br w:val="nil"/>
              <w:tr2bl w:val="nil"/>
            </w:tcBorders>
            <w:vAlign w:val="center"/>
          </w:tcPr>
          <w:p>
            <w:pPr>
              <w:jc w:val="center"/>
              <w:rPr>
                <w:color w:val="000000" w:themeColor="text1"/>
                <w:sz w:val="21"/>
                <w:u w:val="single"/>
              </w:rPr>
            </w:pPr>
            <w:r>
              <w:rPr>
                <w:rFonts w:cs="Times New Roman"/>
                <w:color w:val="000000" w:themeColor="text1"/>
                <w:sz w:val="21"/>
                <w:u w:val="single"/>
              </w:rPr>
              <w:t>GW9</w:t>
            </w:r>
          </w:p>
        </w:tc>
        <w:tc>
          <w:tcPr>
            <w:tcW w:w="1701" w:type="dxa"/>
            <w:tcBorders>
              <w:tl2br w:val="nil"/>
              <w:tr2bl w:val="nil"/>
            </w:tcBorders>
            <w:vAlign w:val="center"/>
          </w:tcPr>
          <w:p>
            <w:pPr>
              <w:jc w:val="center"/>
              <w:rPr>
                <w:color w:val="000000" w:themeColor="text1"/>
                <w:sz w:val="21"/>
                <w:u w:val="single"/>
              </w:rPr>
            </w:pPr>
            <w:r>
              <w:rPr>
                <w:rFonts w:cs="Times New Roman"/>
                <w:color w:val="000000" w:themeColor="text1"/>
                <w:sz w:val="21"/>
                <w:u w:val="single"/>
              </w:rPr>
              <w:t>胜峰砖厂以南居民点</w:t>
            </w:r>
          </w:p>
        </w:tc>
        <w:tc>
          <w:tcPr>
            <w:tcW w:w="4536" w:type="dxa"/>
            <w:vMerge w:val="restart"/>
            <w:tcBorders>
              <w:tl2br w:val="nil"/>
              <w:tr2bl w:val="nil"/>
            </w:tcBorders>
            <w:vAlign w:val="center"/>
          </w:tcPr>
          <w:p>
            <w:pPr>
              <w:jc w:val="center"/>
              <w:rPr>
                <w:color w:val="000000" w:themeColor="text1"/>
                <w:sz w:val="21"/>
                <w:u w:val="single"/>
              </w:rPr>
            </w:pPr>
            <w:r>
              <w:rPr>
                <w:rFonts w:cs="Times New Roman"/>
                <w:sz w:val="21"/>
                <w:u w:val="single"/>
              </w:rPr>
              <w:t>pH、高锰酸盐指数、溶解性总固体、氨氮、氯化物、碱度(CaCO</w:t>
            </w:r>
            <w:r>
              <w:rPr>
                <w:rFonts w:cs="Times New Roman"/>
                <w:sz w:val="21"/>
                <w:u w:val="single"/>
                <w:vertAlign w:val="subscript"/>
              </w:rPr>
              <w:t>3</w:t>
            </w:r>
            <w:r>
              <w:rPr>
                <w:rFonts w:cs="Times New Roman"/>
                <w:sz w:val="21"/>
                <w:u w:val="single"/>
              </w:rPr>
              <w:t>)、导电率、硝酸盐氮、硫酸盐(SO</w:t>
            </w:r>
            <w:r>
              <w:rPr>
                <w:rFonts w:cs="Times New Roman"/>
                <w:sz w:val="21"/>
                <w:u w:val="single"/>
                <w:vertAlign w:val="subscript"/>
              </w:rPr>
              <w:t>4</w:t>
            </w:r>
            <w:r>
              <w:rPr>
                <w:rFonts w:cs="Times New Roman"/>
                <w:sz w:val="21"/>
                <w:u w:val="single"/>
              </w:rPr>
              <w:t>)、亚硝酸盐氮、磷酸盐(P)、钠、镁、钾、钙、铬、六价铬、锰、铁、镍、铜、锌、镉、铅、砷、汞、悬浮物、石油类、细菌总数。</w:t>
            </w:r>
          </w:p>
        </w:tc>
        <w:tc>
          <w:tcPr>
            <w:tcW w:w="1944" w:type="dxa"/>
            <w:vMerge w:val="restart"/>
            <w:tcBorders>
              <w:tl2br w:val="nil"/>
              <w:tr2bl w:val="nil"/>
            </w:tcBorders>
            <w:vAlign w:val="center"/>
          </w:tcPr>
          <w:p>
            <w:pPr>
              <w:jc w:val="center"/>
              <w:rPr>
                <w:color w:val="000000" w:themeColor="text1"/>
                <w:sz w:val="21"/>
                <w:u w:val="single"/>
              </w:rPr>
            </w:pPr>
            <w:r>
              <w:rPr>
                <w:color w:val="000000" w:themeColor="text1"/>
                <w:sz w:val="21"/>
                <w:u w:val="single"/>
              </w:rPr>
              <w:t>201</w:t>
            </w:r>
            <w:r>
              <w:rPr>
                <w:rFonts w:hint="eastAsia"/>
                <w:color w:val="000000" w:themeColor="text1"/>
                <w:sz w:val="21"/>
                <w:u w:val="single"/>
              </w:rPr>
              <w:t>8</w:t>
            </w:r>
            <w:r>
              <w:rPr>
                <w:color w:val="000000" w:themeColor="text1"/>
                <w:sz w:val="21"/>
                <w:u w:val="single"/>
              </w:rPr>
              <w:t>年</w:t>
            </w:r>
            <w:r>
              <w:rPr>
                <w:rFonts w:hint="eastAsia"/>
                <w:color w:val="000000" w:themeColor="text1"/>
                <w:sz w:val="21"/>
                <w:u w:val="single"/>
              </w:rPr>
              <w:t>9</w:t>
            </w:r>
            <w:r>
              <w:rPr>
                <w:color w:val="000000" w:themeColor="text1"/>
                <w:sz w:val="21"/>
                <w:u w:val="single"/>
              </w:rPr>
              <w:t>月</w:t>
            </w:r>
            <w:r>
              <w:rPr>
                <w:rFonts w:hint="eastAsia"/>
                <w:color w:val="000000" w:themeColor="text1"/>
                <w:sz w:val="21"/>
                <w:u w:val="single"/>
              </w:rPr>
              <w:t>17</w:t>
            </w:r>
            <w:r>
              <w:rPr>
                <w:color w:val="000000" w:themeColor="text1"/>
                <w:sz w:val="21"/>
                <w:u w:val="single"/>
              </w:rPr>
              <w:t>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8" w:hRule="atLeast"/>
          <w:jc w:val="center"/>
        </w:trPr>
        <w:tc>
          <w:tcPr>
            <w:tcW w:w="1141" w:type="dxa"/>
            <w:tcBorders>
              <w:tl2br w:val="nil"/>
              <w:tr2bl w:val="nil"/>
            </w:tcBorders>
            <w:vAlign w:val="center"/>
          </w:tcPr>
          <w:p>
            <w:pPr>
              <w:jc w:val="center"/>
              <w:rPr>
                <w:color w:val="000000" w:themeColor="text1"/>
                <w:sz w:val="21"/>
                <w:u w:val="single"/>
              </w:rPr>
            </w:pPr>
            <w:r>
              <w:rPr>
                <w:color w:val="000000" w:themeColor="text1"/>
                <w:sz w:val="21"/>
                <w:u w:val="single"/>
              </w:rPr>
              <w:t>GW12</w:t>
            </w:r>
          </w:p>
        </w:tc>
        <w:tc>
          <w:tcPr>
            <w:tcW w:w="1701" w:type="dxa"/>
            <w:tcBorders>
              <w:tl2br w:val="nil"/>
              <w:tr2bl w:val="nil"/>
            </w:tcBorders>
            <w:vAlign w:val="center"/>
          </w:tcPr>
          <w:p>
            <w:pPr>
              <w:jc w:val="center"/>
              <w:rPr>
                <w:color w:val="000000" w:themeColor="text1"/>
                <w:sz w:val="21"/>
                <w:u w:val="single"/>
              </w:rPr>
            </w:pPr>
            <w:r>
              <w:rPr>
                <w:rFonts w:cs="Times New Roman"/>
                <w:sz w:val="21"/>
                <w:u w:val="single"/>
              </w:rPr>
              <w:t>楚王台居民点</w:t>
            </w:r>
          </w:p>
        </w:tc>
        <w:tc>
          <w:tcPr>
            <w:tcW w:w="4536" w:type="dxa"/>
            <w:vMerge w:val="continue"/>
            <w:tcBorders>
              <w:tl2br w:val="nil"/>
              <w:tr2bl w:val="nil"/>
            </w:tcBorders>
            <w:vAlign w:val="center"/>
          </w:tcPr>
          <w:p>
            <w:pPr>
              <w:jc w:val="center"/>
              <w:rPr>
                <w:color w:val="000000" w:themeColor="text1"/>
                <w:sz w:val="21"/>
              </w:rPr>
            </w:pPr>
          </w:p>
        </w:tc>
        <w:tc>
          <w:tcPr>
            <w:tcW w:w="1944" w:type="dxa"/>
            <w:vMerge w:val="continue"/>
            <w:tcBorders>
              <w:tl2br w:val="nil"/>
              <w:tr2bl w:val="nil"/>
            </w:tcBorders>
          </w:tcPr>
          <w:p>
            <w:pPr>
              <w:jc w:val="center"/>
              <w:rPr>
                <w:color w:val="000000" w:themeColor="text1"/>
                <w:sz w:val="21"/>
              </w:rPr>
            </w:pPr>
          </w:p>
        </w:tc>
      </w:tr>
    </w:tbl>
    <w:p>
      <w:pPr>
        <w:pStyle w:val="14"/>
      </w:pPr>
      <w:r>
        <w:pict>
          <v:shape id="_x0000_i1028" o:spt="75" alt="地下水引用数据监测点位图" type="#_x0000_t75" style="height:258.1pt;width:423pt;" filled="f" o:preferrelative="t" stroked="f" coordsize="21600,21600">
            <v:path/>
            <v:fill on="f" focussize="0,0"/>
            <v:stroke on="f"/>
            <v:imagedata r:id="rId14" cropleft="3036f" croptop="5243f" cropright="2960f" cropbottom="9060f" o:title="地下水引用数据监测点位图"/>
            <o:lock v:ext="edit" aspectratio="t"/>
            <w10:wrap type="none"/>
            <w10:anchorlock/>
          </v:shape>
        </w:pict>
      </w:r>
    </w:p>
    <w:p>
      <w:pPr>
        <w:pStyle w:val="14"/>
      </w:pPr>
      <w:r>
        <w:rPr>
          <w:rFonts w:hint="eastAsia"/>
        </w:rPr>
        <w:t>图</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w:t>
      </w:r>
      <w:r>
        <w:fldChar w:fldCharType="end"/>
      </w:r>
      <w:r>
        <w:rPr>
          <w:rFonts w:hint="eastAsia"/>
        </w:rPr>
        <w:t xml:space="preserve">  地表水引用点位与本项目位置关系图</w:t>
      </w:r>
    </w:p>
    <w:p>
      <w:pPr>
        <w:pStyle w:val="69"/>
        <w:numPr>
          <w:ilvl w:val="0"/>
          <w:numId w:val="9"/>
        </w:numPr>
        <w:wordWrap w:val="0"/>
        <w:spacing w:line="360" w:lineRule="auto"/>
        <w:ind w:left="0" w:firstLine="432" w:firstLineChars="0"/>
        <w:rPr>
          <w:szCs w:val="24"/>
          <w:u w:val="single"/>
        </w:rPr>
      </w:pPr>
      <w:r>
        <w:rPr>
          <w:rFonts w:cs="Times New Roman"/>
          <w:u w:val="single"/>
        </w:rPr>
        <w:t>监测因子</w:t>
      </w:r>
      <w:r>
        <w:rPr>
          <w:rFonts w:cs="Times New Roman"/>
          <w:szCs w:val="24"/>
          <w:u w:val="single"/>
        </w:rPr>
        <w:t>：pH、高锰酸盐指数、溶解性总固体、氨氮、氯化物、碱度(CaCO</w:t>
      </w:r>
      <w:r>
        <w:rPr>
          <w:rFonts w:cs="Times New Roman"/>
          <w:szCs w:val="24"/>
          <w:u w:val="single"/>
          <w:vertAlign w:val="subscript"/>
        </w:rPr>
        <w:t>3</w:t>
      </w:r>
      <w:r>
        <w:rPr>
          <w:rFonts w:cs="Times New Roman"/>
          <w:szCs w:val="24"/>
          <w:u w:val="single"/>
        </w:rPr>
        <w:t>)、导电率、硝酸盐氮、硫酸盐(SO</w:t>
      </w:r>
      <w:r>
        <w:rPr>
          <w:rFonts w:cs="Times New Roman"/>
          <w:szCs w:val="24"/>
          <w:u w:val="single"/>
          <w:vertAlign w:val="subscript"/>
        </w:rPr>
        <w:t>4</w:t>
      </w:r>
      <w:r>
        <w:rPr>
          <w:rFonts w:cs="Times New Roman"/>
          <w:szCs w:val="24"/>
          <w:u w:val="single"/>
        </w:rPr>
        <w:t>)、亚硝酸盐氮、磷酸盐(P)、钠、镁、钾、钙、铬、六价铬、锰、铁、镍、铜、锌、镉、铅、砷、汞、悬浮物、石油类、细菌总数。</w:t>
      </w:r>
    </w:p>
    <w:p>
      <w:pPr>
        <w:pStyle w:val="69"/>
        <w:numPr>
          <w:ilvl w:val="0"/>
          <w:numId w:val="9"/>
        </w:numPr>
        <w:wordWrap w:val="0"/>
        <w:spacing w:line="360" w:lineRule="auto"/>
        <w:ind w:firstLineChars="0"/>
        <w:rPr>
          <w:u w:val="single"/>
        </w:rPr>
      </w:pPr>
      <w:r>
        <w:rPr>
          <w:rFonts w:cs="Times New Roman"/>
          <w:u w:val="single"/>
        </w:rPr>
        <w:t>监测频次：采样1次。</w:t>
      </w:r>
    </w:p>
    <w:p>
      <w:pPr>
        <w:pStyle w:val="69"/>
        <w:numPr>
          <w:ilvl w:val="0"/>
          <w:numId w:val="9"/>
        </w:numPr>
        <w:wordWrap w:val="0"/>
        <w:spacing w:line="360" w:lineRule="auto"/>
        <w:ind w:firstLineChars="0"/>
        <w:rPr>
          <w:u w:val="single"/>
        </w:rPr>
      </w:pPr>
      <w:r>
        <w:rPr>
          <w:rFonts w:cs="Times New Roman"/>
          <w:u w:val="single"/>
        </w:rPr>
        <w:t>评价标准：执行《地下水质量标准》（GB/T14848-2017）III类标准。</w:t>
      </w:r>
    </w:p>
    <w:p>
      <w:pPr>
        <w:pStyle w:val="69"/>
        <w:numPr>
          <w:ilvl w:val="0"/>
          <w:numId w:val="9"/>
        </w:numPr>
        <w:wordWrap w:val="0"/>
        <w:spacing w:line="360" w:lineRule="auto"/>
        <w:ind w:firstLineChars="0"/>
        <w:rPr>
          <w:rFonts w:cs="Times New Roman"/>
          <w:u w:val="single"/>
        </w:rPr>
      </w:pPr>
      <w:r>
        <w:rPr>
          <w:rFonts w:hint="eastAsia" w:cs="Times New Roman"/>
          <w:u w:val="single"/>
        </w:rPr>
        <w:t>监测数据见下表所示。</w:t>
      </w:r>
    </w:p>
    <w:p>
      <w:pPr>
        <w:pStyle w:val="14"/>
        <w:adjustRightInd w:val="0"/>
        <w:snapToGrid w:val="0"/>
        <w:spacing w:line="240" w:lineRule="auto"/>
        <w:rPr>
          <w:u w:val="single"/>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3.3</w:t>
      </w:r>
      <w:r>
        <w:rPr>
          <w:u w:val="single"/>
        </w:rPr>
        <w:fldChar w:fldCharType="end"/>
      </w:r>
      <w:r>
        <w:rPr>
          <w:u w:val="single"/>
        </w:rPr>
        <w:noBreakHyphen/>
      </w:r>
      <w:r>
        <w:rPr>
          <w:u w:val="single"/>
        </w:rPr>
        <w:fldChar w:fldCharType="begin"/>
      </w:r>
      <w:r>
        <w:rPr>
          <w:u w:val="single"/>
        </w:rPr>
        <w:instrText xml:space="preserve"> SEQ 表 \* ARABIC \s 2 </w:instrText>
      </w:r>
      <w:r>
        <w:rPr>
          <w:u w:val="single"/>
        </w:rPr>
        <w:fldChar w:fldCharType="separate"/>
      </w:r>
      <w:r>
        <w:rPr>
          <w:u w:val="single"/>
        </w:rPr>
        <w:t>8</w:t>
      </w:r>
      <w:r>
        <w:rPr>
          <w:u w:val="single"/>
        </w:rPr>
        <w:fldChar w:fldCharType="end"/>
      </w:r>
      <w:r>
        <w:rPr>
          <w:rFonts w:hint="eastAsia"/>
          <w:u w:val="single"/>
        </w:rPr>
        <w:t xml:space="preserve">  地下水监测结果一览表（引用数据）</w:t>
      </w:r>
      <w:r>
        <w:rPr>
          <w:rFonts w:cs="Times New Roman"/>
          <w:szCs w:val="24"/>
          <w:u w:val="single"/>
        </w:rPr>
        <w:t>单位：mg/L  pH无量纲</w:t>
      </w:r>
    </w:p>
    <w:tbl>
      <w:tblPr>
        <w:tblStyle w:val="1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1224"/>
        <w:gridCol w:w="1911"/>
        <w:gridCol w:w="1275"/>
        <w:gridCol w:w="1275"/>
        <w:gridCol w:w="1275"/>
        <w:gridCol w:w="12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545"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序号</w:t>
            </w:r>
          </w:p>
        </w:tc>
        <w:tc>
          <w:tcPr>
            <w:tcW w:w="662"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检测</w:t>
            </w:r>
          </w:p>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项目</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监测结果</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GW9</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GW12</w:t>
            </w:r>
          </w:p>
        </w:tc>
        <w:tc>
          <w:tcPr>
            <w:tcW w:w="690" w:type="pct"/>
            <w:vAlign w:val="center"/>
          </w:tcPr>
          <w:p>
            <w:pPr>
              <w:wordWrap w:val="0"/>
              <w:adjustRightInd w:val="0"/>
              <w:snapToGrid w:val="0"/>
              <w:jc w:val="center"/>
              <w:rPr>
                <w:rFonts w:eastAsia="宋体" w:cs="Times New Roman"/>
                <w:sz w:val="21"/>
                <w:u w:val="single"/>
              </w:rPr>
            </w:pPr>
            <w:r>
              <w:rPr>
                <w:rFonts w:eastAsia="宋体" w:cs="Times New Roman"/>
                <w:sz w:val="21"/>
                <w:u w:val="single"/>
              </w:rPr>
              <w:t>评价</w:t>
            </w:r>
          </w:p>
          <w:p>
            <w:pPr>
              <w:wordWrap w:val="0"/>
              <w:adjustRightInd w:val="0"/>
              <w:snapToGrid w:val="0"/>
              <w:jc w:val="center"/>
              <w:rPr>
                <w:rFonts w:eastAsia="宋体" w:cs="Times New Roman"/>
                <w:sz w:val="21"/>
                <w:u w:val="single"/>
              </w:rPr>
            </w:pPr>
            <w:r>
              <w:rPr>
                <w:rFonts w:eastAsia="宋体" w:cs="Times New Roman"/>
                <w:sz w:val="21"/>
                <w:u w:val="single"/>
              </w:rPr>
              <w:t>标准</w:t>
            </w:r>
          </w:p>
        </w:tc>
        <w:tc>
          <w:tcPr>
            <w:tcW w:w="689" w:type="pct"/>
            <w:vAlign w:val="center"/>
          </w:tcPr>
          <w:p>
            <w:pPr>
              <w:wordWrap w:val="0"/>
              <w:adjustRightInd w:val="0"/>
              <w:snapToGrid w:val="0"/>
              <w:jc w:val="center"/>
              <w:rPr>
                <w:rFonts w:eastAsia="宋体" w:cs="Times New Roman"/>
                <w:sz w:val="21"/>
                <w:u w:val="single"/>
              </w:rPr>
            </w:pPr>
            <w:r>
              <w:rPr>
                <w:rFonts w:eastAsia="宋体" w:cs="Times New Roman"/>
                <w:sz w:val="21"/>
                <w:u w:val="single"/>
              </w:rPr>
              <w:t>是否超标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pH</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7.33</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6.76</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6.5～8.5</w:t>
            </w:r>
          </w:p>
        </w:tc>
        <w:tc>
          <w:tcPr>
            <w:tcW w:w="689"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单因子</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0.22</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0.48</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2</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高锰酸盐指数</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0.9</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0.8</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≤3.0</w:t>
            </w:r>
          </w:p>
        </w:tc>
        <w:tc>
          <w:tcPr>
            <w:tcW w:w="689"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0.30</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0.27</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3</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溶解性总固体</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218</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144</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≤1000</w:t>
            </w:r>
          </w:p>
        </w:tc>
        <w:tc>
          <w:tcPr>
            <w:tcW w:w="689"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0.22</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0.14</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4</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氨氮</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0.182</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0.044</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≤0.5</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0.36</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0.09</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氯化物</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1.49</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7.59</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≤250</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0.006</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0.03</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6</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碱度</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145</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67.7</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7</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电导率</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264</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185</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8</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硝酸</w:t>
            </w:r>
          </w:p>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盐氮</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0.427</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3.34</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≤20</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0.02</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0.17</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最大超标倍数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9</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硫酸盐</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3.25</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12.2</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≤250</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0.013</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0.05</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10</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亚硝酸盐氮</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≤1.0</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最大超标倍数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11</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磷酸盐</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0.03</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0.02</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12</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钠</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21.3</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14.4</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≤200</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0.11</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0.07</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13</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镁</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3.81</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2.32</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14</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钾</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5.39</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5.98</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15</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钙</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5.79</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4.93</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16</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铬</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17</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六价铬</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≤0.05</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1.6</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最大超标倍数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0.6</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18</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铁</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≤0.3</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19</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镍</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0.011</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0.006</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≤0.02</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0.55</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0.3</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20</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铜</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≤1.0</w:t>
            </w:r>
          </w:p>
        </w:tc>
        <w:tc>
          <w:tcPr>
            <w:tcW w:w="689"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21</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锌</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≤1.0</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22</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镉</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≤0.005</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23</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铅</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≤0.01</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24</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砷</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0.0008</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0.0004</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≤0.01</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0.08</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0.04</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25</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汞</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0.00064</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0.00025</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≤0.001</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0.64</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0.25</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26</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悬浮物</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27</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石油数</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ND</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w:t>
            </w:r>
          </w:p>
        </w:tc>
        <w:tc>
          <w:tcPr>
            <w:tcW w:w="689" w:type="pct"/>
            <w:vMerge w:val="restart"/>
            <w:vAlign w:val="center"/>
          </w:tcPr>
          <w:p>
            <w:pPr>
              <w:adjustRightInd w:val="0"/>
              <w:snapToGrid w:val="0"/>
              <w:jc w:val="center"/>
              <w:rPr>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w:t>
            </w:r>
          </w:p>
        </w:tc>
        <w:tc>
          <w:tcPr>
            <w:tcW w:w="690" w:type="pct"/>
            <w:vMerge w:val="continue"/>
            <w:vAlign w:val="center"/>
          </w:tcPr>
          <w:p>
            <w:pPr>
              <w:wordWrap w:val="0"/>
              <w:adjustRightInd w:val="0"/>
              <w:snapToGrid w:val="0"/>
              <w:jc w:val="center"/>
              <w:rPr>
                <w:rFonts w:eastAsia="宋体" w:cs="Times New Roman"/>
                <w:sz w:val="21"/>
                <w:u w:val="single"/>
              </w:rPr>
            </w:pPr>
          </w:p>
        </w:tc>
        <w:tc>
          <w:tcPr>
            <w:tcW w:w="689" w:type="pct"/>
            <w:vMerge w:val="continue"/>
            <w:vAlign w:val="center"/>
          </w:tcPr>
          <w:p>
            <w:pPr>
              <w:wordWrap w:val="0"/>
              <w:adjustRightInd w:val="0"/>
              <w:snapToGrid w:val="0"/>
              <w:jc w:val="center"/>
              <w:rPr>
                <w:rFonts w:eastAsia="宋体" w:cs="Times New Roman"/>
                <w:sz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restart"/>
            <w:vAlign w:val="center"/>
          </w:tcPr>
          <w:p>
            <w:pPr>
              <w:wordWrap w:val="0"/>
              <w:adjustRightInd w:val="0"/>
              <w:snapToGrid w:val="0"/>
              <w:jc w:val="center"/>
              <w:rPr>
                <w:rFonts w:eastAsia="宋体" w:cs="Times New Roman"/>
                <w:b w:val="0"/>
                <w:bCs w:val="0"/>
                <w:sz w:val="21"/>
                <w:u w:val="single"/>
              </w:rPr>
            </w:pPr>
            <w:r>
              <w:rPr>
                <w:rFonts w:hint="eastAsia" w:eastAsia="宋体" w:cs="Times New Roman"/>
                <w:b w:val="0"/>
                <w:bCs w:val="0"/>
                <w:sz w:val="21"/>
                <w:u w:val="single"/>
              </w:rPr>
              <w:t>28</w:t>
            </w:r>
          </w:p>
        </w:tc>
        <w:tc>
          <w:tcPr>
            <w:tcW w:w="662" w:type="pct"/>
            <w:vMerge w:val="restar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细菌</w:t>
            </w:r>
          </w:p>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总数</w:t>
            </w: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浓度</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11</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59</w:t>
            </w:r>
          </w:p>
        </w:tc>
        <w:tc>
          <w:tcPr>
            <w:tcW w:w="690"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≤100</w:t>
            </w:r>
          </w:p>
        </w:tc>
        <w:tc>
          <w:tcPr>
            <w:tcW w:w="689" w:type="pct"/>
            <w:vMerge w:val="restart"/>
            <w:vAlign w:val="center"/>
          </w:tcPr>
          <w:p>
            <w:pPr>
              <w:wordWrap w:val="0"/>
              <w:adjustRightInd w:val="0"/>
              <w:snapToGrid w:val="0"/>
              <w:jc w:val="center"/>
              <w:rPr>
                <w:rFonts w:eastAsia="宋体" w:cs="Times New Roman"/>
                <w:sz w:val="21"/>
                <w:u w:val="single"/>
              </w:rPr>
            </w:pPr>
            <w:r>
              <w:rPr>
                <w:rFonts w:eastAsia="宋体" w:cs="Times New Roman"/>
                <w:sz w:val="21"/>
                <w:u w:val="single"/>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5" w:type="pct"/>
            <w:vMerge w:val="continue"/>
            <w:vAlign w:val="center"/>
          </w:tcPr>
          <w:p>
            <w:pPr>
              <w:wordWrap w:val="0"/>
              <w:adjustRightInd w:val="0"/>
              <w:snapToGrid w:val="0"/>
              <w:jc w:val="center"/>
              <w:rPr>
                <w:rFonts w:eastAsia="宋体" w:cs="Times New Roman"/>
                <w:b w:val="0"/>
                <w:bCs w:val="0"/>
                <w:sz w:val="21"/>
                <w:u w:val="single"/>
              </w:rPr>
            </w:pPr>
          </w:p>
        </w:tc>
        <w:tc>
          <w:tcPr>
            <w:tcW w:w="662" w:type="pct"/>
            <w:vMerge w:val="continue"/>
            <w:vAlign w:val="center"/>
          </w:tcPr>
          <w:p>
            <w:pPr>
              <w:wordWrap w:val="0"/>
              <w:adjustRightInd w:val="0"/>
              <w:snapToGrid w:val="0"/>
              <w:jc w:val="center"/>
              <w:rPr>
                <w:rFonts w:eastAsia="宋体" w:cs="Times New Roman"/>
                <w:b w:val="0"/>
                <w:bCs w:val="0"/>
                <w:sz w:val="21"/>
                <w:u w:val="single"/>
              </w:rPr>
            </w:pPr>
          </w:p>
        </w:tc>
        <w:tc>
          <w:tcPr>
            <w:tcW w:w="1034"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标准指数</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0.11</w:t>
            </w:r>
          </w:p>
        </w:tc>
        <w:tc>
          <w:tcPr>
            <w:tcW w:w="690" w:type="pct"/>
            <w:vAlign w:val="center"/>
          </w:tcPr>
          <w:p>
            <w:pPr>
              <w:wordWrap w:val="0"/>
              <w:adjustRightInd w:val="0"/>
              <w:snapToGrid w:val="0"/>
              <w:jc w:val="center"/>
              <w:rPr>
                <w:rFonts w:eastAsia="宋体" w:cs="Times New Roman"/>
                <w:b w:val="0"/>
                <w:bCs w:val="0"/>
                <w:sz w:val="21"/>
                <w:u w:val="single"/>
              </w:rPr>
            </w:pPr>
            <w:r>
              <w:rPr>
                <w:rFonts w:eastAsia="宋体" w:cs="Times New Roman"/>
                <w:b w:val="0"/>
                <w:bCs w:val="0"/>
                <w:sz w:val="21"/>
                <w:u w:val="single"/>
              </w:rPr>
              <w:t>0.59</w:t>
            </w:r>
          </w:p>
        </w:tc>
        <w:tc>
          <w:tcPr>
            <w:tcW w:w="690" w:type="pct"/>
            <w:vMerge w:val="continue"/>
            <w:vAlign w:val="center"/>
          </w:tcPr>
          <w:p>
            <w:pPr>
              <w:wordWrap w:val="0"/>
              <w:adjustRightInd w:val="0"/>
              <w:snapToGrid w:val="0"/>
              <w:rPr>
                <w:rFonts w:eastAsia="宋体" w:cs="Times New Roman"/>
                <w:sz w:val="21"/>
                <w:u w:val="single"/>
              </w:rPr>
            </w:pPr>
          </w:p>
        </w:tc>
        <w:tc>
          <w:tcPr>
            <w:tcW w:w="689" w:type="pct"/>
            <w:vMerge w:val="continue"/>
            <w:vAlign w:val="center"/>
          </w:tcPr>
          <w:p>
            <w:pPr>
              <w:wordWrap w:val="0"/>
              <w:adjustRightInd w:val="0"/>
              <w:snapToGrid w:val="0"/>
              <w:rPr>
                <w:rFonts w:eastAsia="宋体" w:cs="Times New Roman"/>
                <w:sz w:val="21"/>
                <w:u w:val="single"/>
              </w:rPr>
            </w:pPr>
          </w:p>
        </w:tc>
      </w:tr>
    </w:tbl>
    <w:p>
      <w:pPr>
        <w:pStyle w:val="14"/>
        <w:ind w:firstLine="480" w:firstLineChars="200"/>
        <w:jc w:val="left"/>
        <w:rPr>
          <w:b w:val="0"/>
          <w:u w:val="single"/>
        </w:rPr>
      </w:pPr>
      <w:r>
        <w:rPr>
          <w:rFonts w:hint="eastAsia"/>
          <w:b w:val="0"/>
          <w:u w:val="single"/>
        </w:rPr>
        <w:t>由上表可知， 监测点位数据可满足</w:t>
      </w:r>
      <w:r>
        <w:rPr>
          <w:b w:val="0"/>
          <w:u w:val="single"/>
        </w:rPr>
        <w:t>《地下水质量标准》（GB/T14848-2017）III类标准中限值要求</w:t>
      </w:r>
      <w:r>
        <w:rPr>
          <w:rFonts w:hint="eastAsia"/>
          <w:b w:val="0"/>
          <w:u w:val="single"/>
        </w:rPr>
        <w:t>。</w:t>
      </w:r>
    </w:p>
    <w:p>
      <w:pPr>
        <w:pStyle w:val="5"/>
        <w:rPr>
          <w:color w:val="000000" w:themeColor="text1"/>
        </w:rPr>
      </w:pPr>
      <w:r>
        <w:rPr>
          <w:rFonts w:hint="eastAsia"/>
          <w:color w:val="000000" w:themeColor="text1"/>
        </w:rPr>
        <w:t>环境空气现状调查及评级</w:t>
      </w:r>
      <w:bookmarkEnd w:id="143"/>
    </w:p>
    <w:p>
      <w:pPr>
        <w:widowControl/>
        <w:spacing w:line="360" w:lineRule="auto"/>
        <w:ind w:firstLine="480" w:firstLineChars="200"/>
        <w:jc w:val="left"/>
        <w:rPr>
          <w:rFonts w:cs="Times New Roman"/>
          <w:szCs w:val="24"/>
        </w:rPr>
      </w:pPr>
      <w:r>
        <w:rPr>
          <w:rFonts w:hAnsi="宋体" w:cs="Times New Roman"/>
          <w:szCs w:val="24"/>
        </w:rPr>
        <w:t>根据《环境影响评价技术导则</w:t>
      </w:r>
      <w:r>
        <w:rPr>
          <w:rFonts w:cs="Times New Roman"/>
          <w:szCs w:val="24"/>
        </w:rPr>
        <w:t>-</w:t>
      </w:r>
      <w:r>
        <w:rPr>
          <w:rFonts w:hAnsi="宋体" w:cs="Times New Roman"/>
          <w:szCs w:val="24"/>
        </w:rPr>
        <w:t>大气环境》（</w:t>
      </w:r>
      <w:r>
        <w:rPr>
          <w:rFonts w:cs="Times New Roman"/>
          <w:szCs w:val="24"/>
        </w:rPr>
        <w:t>HJ2.2-2018</w:t>
      </w:r>
      <w:r>
        <w:rPr>
          <w:rFonts w:hAnsi="宋体" w:cs="Times New Roman"/>
          <w:szCs w:val="24"/>
        </w:rPr>
        <w:t>）中</w:t>
      </w:r>
      <w:r>
        <w:rPr>
          <w:rFonts w:cs="Times New Roman"/>
          <w:szCs w:val="24"/>
        </w:rPr>
        <w:t>“6</w:t>
      </w:r>
      <w:r>
        <w:rPr>
          <w:rFonts w:hAnsi="宋体" w:cs="Times New Roman"/>
          <w:szCs w:val="24"/>
        </w:rPr>
        <w:t>环境空气质量现状调查与评价</w:t>
      </w:r>
      <w:r>
        <w:rPr>
          <w:rFonts w:cs="Times New Roman"/>
          <w:szCs w:val="24"/>
        </w:rPr>
        <w:t>”</w:t>
      </w:r>
      <w:r>
        <w:rPr>
          <w:rFonts w:hAnsi="宋体" w:cs="Times New Roman"/>
          <w:szCs w:val="24"/>
        </w:rPr>
        <w:t>内容，首先需要调查项目所在区域环境质量达标情况，作为项目所在区域是否为达标区的判定依据。并且根据导则</w:t>
      </w:r>
      <w:r>
        <w:rPr>
          <w:rFonts w:cs="Times New Roman"/>
          <w:szCs w:val="24"/>
        </w:rPr>
        <w:t>“5.5</w:t>
      </w:r>
      <w:r>
        <w:rPr>
          <w:rFonts w:hAnsi="宋体" w:cs="Times New Roman"/>
          <w:szCs w:val="24"/>
        </w:rPr>
        <w:t>依据评价所需环境空气质量现状、气象资料等故据的可获得性、故量质量、代表性等因素，选择近</w:t>
      </w:r>
      <w:r>
        <w:rPr>
          <w:rFonts w:cs="Times New Roman"/>
          <w:szCs w:val="24"/>
        </w:rPr>
        <w:t>3</w:t>
      </w:r>
      <w:r>
        <w:rPr>
          <w:rFonts w:hAnsi="宋体" w:cs="Times New Roman"/>
          <w:szCs w:val="24"/>
        </w:rPr>
        <w:t>年中数据相对完整的</w:t>
      </w:r>
      <w:r>
        <w:rPr>
          <w:rFonts w:cs="Times New Roman"/>
          <w:szCs w:val="24"/>
        </w:rPr>
        <w:t>1</w:t>
      </w:r>
      <w:r>
        <w:rPr>
          <w:rFonts w:hAnsi="宋体" w:cs="Times New Roman"/>
          <w:szCs w:val="24"/>
        </w:rPr>
        <w:t>个日历年作为评价基准年</w:t>
      </w:r>
      <w:r>
        <w:rPr>
          <w:rFonts w:cs="Times New Roman"/>
          <w:szCs w:val="24"/>
        </w:rPr>
        <w:t>”</w:t>
      </w:r>
      <w:r>
        <w:rPr>
          <w:rFonts w:hAnsi="宋体" w:cs="Times New Roman"/>
          <w:szCs w:val="24"/>
        </w:rPr>
        <w:t>的内容，本项目筛选的评价基准年为</w:t>
      </w:r>
      <w:r>
        <w:rPr>
          <w:rFonts w:cs="Times New Roman"/>
          <w:szCs w:val="24"/>
        </w:rPr>
        <w:t>2018</w:t>
      </w:r>
      <w:r>
        <w:rPr>
          <w:rFonts w:hAnsi="宋体" w:cs="Times New Roman"/>
          <w:szCs w:val="24"/>
        </w:rPr>
        <w:t>年。由于本项目评价范围为以厂址为中心，边长为</w:t>
      </w:r>
      <w:r>
        <w:rPr>
          <w:rFonts w:cs="Times New Roman"/>
          <w:szCs w:val="24"/>
        </w:rPr>
        <w:t>5km</w:t>
      </w:r>
      <w:r>
        <w:rPr>
          <w:rFonts w:hAnsi="宋体" w:cs="Times New Roman"/>
          <w:szCs w:val="24"/>
        </w:rPr>
        <w:t>的矩形区域，在评价范围内没有环境空气质量监测网数据，故区域达标判定所用数据引用</w:t>
      </w:r>
      <w:r>
        <w:rPr>
          <w:rFonts w:cs="Times New Roman"/>
          <w:szCs w:val="24"/>
        </w:rPr>
        <w:t>2018</w:t>
      </w:r>
      <w:r>
        <w:rPr>
          <w:rFonts w:hAnsi="宋体" w:cs="Times New Roman"/>
          <w:szCs w:val="24"/>
        </w:rPr>
        <w:t>年岳阳市华容县环境监测站点的基本污染物环境质量现状数据，结论来自岳阳市环境保护局公开发布的</w:t>
      </w:r>
      <w:r>
        <w:rPr>
          <w:rFonts w:cs="Times New Roman"/>
          <w:szCs w:val="24"/>
        </w:rPr>
        <w:t>2018</w:t>
      </w:r>
      <w:r>
        <w:rPr>
          <w:rFonts w:hAnsi="宋体" w:cs="Times New Roman"/>
          <w:szCs w:val="24"/>
        </w:rPr>
        <w:t>年环境质量公报，根据《环境空气质量监测点位布设技术规范（实行）》（</w:t>
      </w:r>
      <w:r>
        <w:rPr>
          <w:rFonts w:cs="Times New Roman"/>
          <w:szCs w:val="24"/>
        </w:rPr>
        <w:t>HJ664-2013</w:t>
      </w:r>
      <w:r>
        <w:rPr>
          <w:rFonts w:hAnsi="宋体" w:cs="Times New Roman"/>
          <w:szCs w:val="24"/>
        </w:rPr>
        <w:t>）中对</w:t>
      </w:r>
      <w:r>
        <w:rPr>
          <w:rFonts w:cs="Times New Roman"/>
          <w:szCs w:val="24"/>
        </w:rPr>
        <w:t>“</w:t>
      </w:r>
      <w:r>
        <w:rPr>
          <w:rFonts w:hAnsi="宋体" w:cs="Times New Roman"/>
          <w:szCs w:val="24"/>
        </w:rPr>
        <w:t>环境空气质量评价区域点</w:t>
      </w:r>
      <w:r>
        <w:rPr>
          <w:rFonts w:cs="Times New Roman"/>
          <w:szCs w:val="24"/>
        </w:rPr>
        <w:t>”</w:t>
      </w:r>
      <w:r>
        <w:rPr>
          <w:rFonts w:hAnsi="宋体" w:cs="Times New Roman"/>
          <w:szCs w:val="24"/>
        </w:rPr>
        <w:t>的定义，其代表范围一般为半径几十千米，</w:t>
      </w:r>
      <w:r>
        <w:rPr>
          <w:rFonts w:cs="Times New Roman"/>
          <w:color w:val="000000" w:themeColor="text1"/>
          <w:szCs w:val="24"/>
        </w:rPr>
        <w:t>本项目厂界距离该监测站点4.8km，</w:t>
      </w:r>
      <w:r>
        <w:rPr>
          <w:rFonts w:hAnsi="宋体" w:cs="Times New Roman"/>
          <w:szCs w:val="24"/>
        </w:rPr>
        <w:t>并且与评价范围地理位置紧近，地形、气候条件相近，故引用数据来源可靠，有效性符合导则要求。</w:t>
      </w:r>
    </w:p>
    <w:p>
      <w:pPr>
        <w:spacing w:line="360" w:lineRule="auto"/>
        <w:ind w:firstLine="480" w:firstLineChars="200"/>
        <w:rPr>
          <w:rFonts w:ascii="宋体" w:hAnsi="宋体"/>
          <w:szCs w:val="24"/>
          <w:u w:val="single"/>
        </w:rPr>
      </w:pPr>
      <w:r>
        <w:rPr>
          <w:rFonts w:ascii="宋体" w:hAnsi="宋体"/>
          <w:szCs w:val="24"/>
          <w:u w:val="single"/>
        </w:rPr>
        <w:t>具体达标判定监测数据及评价结果见下表。</w:t>
      </w:r>
    </w:p>
    <w:p>
      <w:pPr>
        <w:pStyle w:val="14"/>
        <w:spacing w:line="240" w:lineRule="auto"/>
        <w:rPr>
          <w:rFonts w:cs="Times New Roman"/>
          <w:u w:val="single"/>
        </w:rPr>
      </w:pPr>
      <w:r>
        <w:rPr>
          <w:rFonts w:cs="Times New Roman"/>
          <w:u w:val="single"/>
        </w:rPr>
        <w:t>表</w:t>
      </w:r>
      <w:r>
        <w:rPr>
          <w:rFonts w:cs="Times New Roman"/>
          <w:u w:val="single"/>
        </w:rPr>
        <w:fldChar w:fldCharType="begin"/>
      </w:r>
      <w:r>
        <w:rPr>
          <w:rFonts w:cs="Times New Roman"/>
          <w:u w:val="single"/>
        </w:rPr>
        <w:instrText xml:space="preserve"> STYLEREF 2 \s </w:instrText>
      </w:r>
      <w:r>
        <w:rPr>
          <w:rFonts w:cs="Times New Roman"/>
          <w:u w:val="single"/>
        </w:rPr>
        <w:fldChar w:fldCharType="separate"/>
      </w:r>
      <w:r>
        <w:rPr>
          <w:rFonts w:cs="Times New Roman"/>
          <w:u w:val="single"/>
        </w:rPr>
        <w:t>3.3</w:t>
      </w:r>
      <w:r>
        <w:rPr>
          <w:rFonts w:cs="Times New Roman"/>
          <w:u w:val="single"/>
        </w:rPr>
        <w:fldChar w:fldCharType="end"/>
      </w:r>
      <w:r>
        <w:rPr>
          <w:rFonts w:cs="Times New Roman"/>
          <w:u w:val="single"/>
        </w:rPr>
        <w:noBreakHyphen/>
      </w:r>
      <w:r>
        <w:rPr>
          <w:rFonts w:cs="Times New Roman"/>
          <w:u w:val="single"/>
        </w:rPr>
        <w:fldChar w:fldCharType="begin"/>
      </w:r>
      <w:r>
        <w:rPr>
          <w:rFonts w:cs="Times New Roman"/>
          <w:u w:val="single"/>
        </w:rPr>
        <w:instrText xml:space="preserve"> SEQ 表 \* ARABIC \s 2 </w:instrText>
      </w:r>
      <w:r>
        <w:rPr>
          <w:rFonts w:cs="Times New Roman"/>
          <w:u w:val="single"/>
        </w:rPr>
        <w:fldChar w:fldCharType="separate"/>
      </w:r>
      <w:r>
        <w:rPr>
          <w:rFonts w:cs="Times New Roman"/>
          <w:u w:val="single"/>
        </w:rPr>
        <w:t>9</w:t>
      </w:r>
      <w:r>
        <w:rPr>
          <w:rFonts w:cs="Times New Roman"/>
          <w:u w:val="single"/>
        </w:rPr>
        <w:fldChar w:fldCharType="end"/>
      </w:r>
      <w:r>
        <w:rPr>
          <w:rFonts w:cs="Times New Roman"/>
          <w:u w:val="single"/>
        </w:rPr>
        <w:t xml:space="preserve">  2018年华容县环境空气质量均值统计表  单位：mg/m</w:t>
      </w:r>
      <w:r>
        <w:rPr>
          <w:rFonts w:cs="Times New Roman"/>
          <w:u w:val="single"/>
          <w:vertAlign w:val="superscript"/>
        </w:rPr>
        <w:t>3</w:t>
      </w:r>
    </w:p>
    <w:tbl>
      <w:tblPr>
        <w:tblStyle w:val="38"/>
        <w:tblW w:w="92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5"/>
        <w:gridCol w:w="2026"/>
        <w:gridCol w:w="903"/>
        <w:gridCol w:w="1448"/>
        <w:gridCol w:w="1448"/>
        <w:gridCol w:w="1215"/>
        <w:gridCol w:w="13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805" w:type="dxa"/>
            <w:tcBorders>
              <w:top w:val="single" w:color="auto" w:sz="12"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评价因子</w:t>
            </w:r>
          </w:p>
        </w:tc>
        <w:tc>
          <w:tcPr>
            <w:tcW w:w="2026" w:type="dxa"/>
            <w:tcBorders>
              <w:top w:val="single" w:color="auto" w:sz="12"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评均时段</w:t>
            </w:r>
          </w:p>
        </w:tc>
        <w:tc>
          <w:tcPr>
            <w:tcW w:w="903" w:type="dxa"/>
            <w:tcBorders>
              <w:top w:val="single" w:color="auto" w:sz="12"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百分位</w:t>
            </w:r>
          </w:p>
        </w:tc>
        <w:tc>
          <w:tcPr>
            <w:tcW w:w="1448" w:type="dxa"/>
            <w:tcBorders>
              <w:top w:val="single" w:color="auto" w:sz="12" w:space="0"/>
              <w:left w:val="nil"/>
              <w:bottom w:val="single" w:color="auto" w:sz="6" w:space="0"/>
              <w:right w:val="single" w:color="auto" w:sz="6" w:space="0"/>
            </w:tcBorders>
            <w:noWrap/>
            <w:vAlign w:val="center"/>
          </w:tcPr>
          <w:p>
            <w:pPr>
              <w:jc w:val="center"/>
              <w:rPr>
                <w:rFonts w:cs="Times New Roman"/>
                <w:sz w:val="21"/>
                <w:u w:val="single"/>
              </w:rPr>
            </w:pPr>
            <w:r>
              <w:rPr>
                <w:rFonts w:cs="Times New Roman"/>
                <w:sz w:val="21"/>
                <w:u w:val="single"/>
              </w:rPr>
              <w:t>现状浓度/</w:t>
            </w:r>
          </w:p>
          <w:p>
            <w:pPr>
              <w:jc w:val="center"/>
              <w:rPr>
                <w:rFonts w:eastAsia="宋体" w:cs="Times New Roman"/>
                <w:sz w:val="21"/>
                <w:u w:val="single"/>
              </w:rPr>
            </w:pPr>
            <w:r>
              <w:rPr>
                <w:rFonts w:cs="Times New Roman"/>
                <w:sz w:val="21"/>
                <w:u w:val="single"/>
              </w:rPr>
              <w:t>μg/m</w:t>
            </w:r>
            <w:r>
              <w:rPr>
                <w:rFonts w:cs="Times New Roman"/>
                <w:sz w:val="21"/>
                <w:u w:val="single"/>
                <w:vertAlign w:val="superscript"/>
              </w:rPr>
              <w:t>3</w:t>
            </w:r>
          </w:p>
        </w:tc>
        <w:tc>
          <w:tcPr>
            <w:tcW w:w="1448" w:type="dxa"/>
            <w:tcBorders>
              <w:top w:val="single" w:color="auto" w:sz="12" w:space="0"/>
              <w:left w:val="nil"/>
              <w:bottom w:val="single" w:color="auto" w:sz="6" w:space="0"/>
              <w:right w:val="single" w:color="auto" w:sz="6" w:space="0"/>
            </w:tcBorders>
            <w:noWrap/>
            <w:vAlign w:val="center"/>
          </w:tcPr>
          <w:p>
            <w:pPr>
              <w:jc w:val="center"/>
              <w:rPr>
                <w:rFonts w:cs="Times New Roman"/>
                <w:sz w:val="21"/>
                <w:u w:val="single"/>
              </w:rPr>
            </w:pPr>
            <w:r>
              <w:rPr>
                <w:rFonts w:cs="Times New Roman"/>
                <w:sz w:val="21"/>
                <w:u w:val="single"/>
              </w:rPr>
              <w:t>标准浓度/</w:t>
            </w:r>
          </w:p>
          <w:p>
            <w:pPr>
              <w:jc w:val="center"/>
              <w:rPr>
                <w:rFonts w:eastAsia="宋体" w:cs="Times New Roman"/>
                <w:sz w:val="21"/>
                <w:u w:val="single"/>
              </w:rPr>
            </w:pPr>
            <w:r>
              <w:rPr>
                <w:rFonts w:cs="Times New Roman"/>
                <w:sz w:val="21"/>
                <w:u w:val="single"/>
              </w:rPr>
              <w:t>μg/m</w:t>
            </w:r>
            <w:r>
              <w:rPr>
                <w:rFonts w:cs="Times New Roman"/>
                <w:sz w:val="21"/>
                <w:u w:val="single"/>
                <w:vertAlign w:val="superscript"/>
              </w:rPr>
              <w:t>3</w:t>
            </w:r>
          </w:p>
        </w:tc>
        <w:tc>
          <w:tcPr>
            <w:tcW w:w="1215" w:type="dxa"/>
            <w:tcBorders>
              <w:top w:val="single" w:color="auto" w:sz="12"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占标率/</w:t>
            </w:r>
            <w:r>
              <w:rPr>
                <w:rFonts w:hint="eastAsia" w:cs="Times New Roman"/>
                <w:sz w:val="21"/>
                <w:u w:val="single"/>
              </w:rPr>
              <w:t>%</w:t>
            </w:r>
          </w:p>
        </w:tc>
        <w:tc>
          <w:tcPr>
            <w:tcW w:w="1355" w:type="dxa"/>
            <w:tcBorders>
              <w:top w:val="single" w:color="auto" w:sz="12"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restart"/>
            <w:tcBorders>
              <w:top w:val="nil"/>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SO</w:t>
            </w:r>
            <w:r>
              <w:rPr>
                <w:rFonts w:cs="Times New Roman"/>
                <w:sz w:val="21"/>
                <w:u w:val="single"/>
                <w:vertAlign w:val="subscript"/>
              </w:rPr>
              <w:t>2</w:t>
            </w: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年平均浓度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18</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60</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0.300</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continue"/>
            <w:tcBorders>
              <w:top w:val="nil"/>
              <w:left w:val="nil"/>
              <w:bottom w:val="single" w:color="auto" w:sz="6" w:space="0"/>
              <w:right w:val="single" w:color="auto" w:sz="6" w:space="0"/>
            </w:tcBorders>
            <w:vAlign w:val="center"/>
          </w:tcPr>
          <w:p>
            <w:pPr>
              <w:widowControl/>
              <w:jc w:val="left"/>
              <w:rPr>
                <w:rFonts w:eastAsia="宋体" w:cs="Times New Roman"/>
                <w:sz w:val="21"/>
                <w:u w:val="single"/>
              </w:rPr>
            </w:pP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百分位上日平均</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98</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49</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150</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0.327</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restart"/>
            <w:tcBorders>
              <w:top w:val="nil"/>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NO</w:t>
            </w:r>
            <w:r>
              <w:rPr>
                <w:rFonts w:cs="Times New Roman"/>
                <w:sz w:val="21"/>
                <w:u w:val="single"/>
                <w:vertAlign w:val="subscript"/>
              </w:rPr>
              <w:t>2</w:t>
            </w: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年平均浓度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26</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40</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0.650</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continue"/>
            <w:tcBorders>
              <w:top w:val="nil"/>
              <w:left w:val="nil"/>
              <w:bottom w:val="single" w:color="auto" w:sz="6" w:space="0"/>
              <w:right w:val="single" w:color="auto" w:sz="6" w:space="0"/>
            </w:tcBorders>
            <w:vAlign w:val="center"/>
          </w:tcPr>
          <w:p>
            <w:pPr>
              <w:widowControl/>
              <w:jc w:val="left"/>
              <w:rPr>
                <w:rFonts w:eastAsia="宋体" w:cs="Times New Roman"/>
                <w:sz w:val="21"/>
                <w:u w:val="single"/>
              </w:rPr>
            </w:pP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百分位上日平均</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98</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55</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80</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0.688</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restart"/>
            <w:tcBorders>
              <w:top w:val="nil"/>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CO</w:t>
            </w: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年平均浓度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continue"/>
            <w:tcBorders>
              <w:top w:val="nil"/>
              <w:left w:val="nil"/>
              <w:bottom w:val="single" w:color="auto" w:sz="6" w:space="0"/>
              <w:right w:val="single" w:color="auto" w:sz="6" w:space="0"/>
            </w:tcBorders>
            <w:vAlign w:val="center"/>
          </w:tcPr>
          <w:p>
            <w:pPr>
              <w:widowControl/>
              <w:jc w:val="left"/>
              <w:rPr>
                <w:rFonts w:eastAsia="宋体" w:cs="Times New Roman"/>
                <w:sz w:val="21"/>
                <w:u w:val="single"/>
              </w:rPr>
            </w:pP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百分位上日平均</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95</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1.9</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4mg/m</w:t>
            </w:r>
            <w:r>
              <w:rPr>
                <w:rFonts w:cs="Times New Roman"/>
                <w:sz w:val="21"/>
                <w:u w:val="single"/>
                <w:vertAlign w:val="superscript"/>
              </w:rPr>
              <w:t>3</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0.475</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restart"/>
            <w:tcBorders>
              <w:top w:val="nil"/>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臭氧</w:t>
            </w: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年平均浓度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continue"/>
            <w:tcBorders>
              <w:top w:val="nil"/>
              <w:left w:val="nil"/>
              <w:bottom w:val="single" w:color="auto" w:sz="6" w:space="0"/>
              <w:right w:val="single" w:color="auto" w:sz="6" w:space="0"/>
            </w:tcBorders>
            <w:vAlign w:val="center"/>
          </w:tcPr>
          <w:p>
            <w:pPr>
              <w:widowControl/>
              <w:jc w:val="left"/>
              <w:rPr>
                <w:rFonts w:eastAsia="宋体" w:cs="Times New Roman"/>
                <w:sz w:val="21"/>
                <w:u w:val="single"/>
              </w:rPr>
            </w:pP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8h</w:t>
            </w:r>
            <w:r>
              <w:rPr>
                <w:rFonts w:hAnsi="宋体" w:cs="Times New Roman"/>
                <w:sz w:val="21"/>
                <w:u w:val="single"/>
              </w:rPr>
              <w:t>平均质量浓度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90</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156</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160</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0.975</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5" w:type="dxa"/>
            <w:vMerge w:val="restart"/>
            <w:tcBorders>
              <w:top w:val="nil"/>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PM</w:t>
            </w:r>
            <w:r>
              <w:rPr>
                <w:rFonts w:cs="Times New Roman"/>
                <w:sz w:val="21"/>
                <w:u w:val="single"/>
                <w:vertAlign w:val="subscript"/>
              </w:rPr>
              <w:t>2.5</w:t>
            </w: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年平均浓度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48</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35</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1.371</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continue"/>
            <w:tcBorders>
              <w:top w:val="nil"/>
              <w:left w:val="nil"/>
              <w:bottom w:val="single" w:color="auto" w:sz="6" w:space="0"/>
              <w:right w:val="single" w:color="auto" w:sz="6" w:space="0"/>
            </w:tcBorders>
            <w:vAlign w:val="center"/>
          </w:tcPr>
          <w:p>
            <w:pPr>
              <w:widowControl/>
              <w:jc w:val="left"/>
              <w:rPr>
                <w:rFonts w:eastAsia="宋体" w:cs="Times New Roman"/>
                <w:sz w:val="21"/>
                <w:u w:val="single"/>
              </w:rPr>
            </w:pP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百分位上日平均</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95</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116</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75</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1.547</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805" w:type="dxa"/>
            <w:vMerge w:val="restart"/>
            <w:tcBorders>
              <w:top w:val="nil"/>
              <w:left w:val="nil"/>
              <w:bottom w:val="single" w:color="auto" w:sz="12" w:space="0"/>
              <w:right w:val="single" w:color="auto" w:sz="6" w:space="0"/>
            </w:tcBorders>
            <w:noWrap/>
            <w:vAlign w:val="center"/>
          </w:tcPr>
          <w:p>
            <w:pPr>
              <w:jc w:val="center"/>
              <w:rPr>
                <w:rFonts w:eastAsia="宋体" w:cs="Times New Roman"/>
                <w:sz w:val="21"/>
                <w:u w:val="single"/>
              </w:rPr>
            </w:pPr>
            <w:r>
              <w:rPr>
                <w:rFonts w:cs="Times New Roman"/>
                <w:sz w:val="21"/>
                <w:u w:val="single"/>
              </w:rPr>
              <w:t>PM</w:t>
            </w:r>
            <w:r>
              <w:rPr>
                <w:rFonts w:cs="Times New Roman"/>
                <w:sz w:val="21"/>
                <w:u w:val="single"/>
                <w:vertAlign w:val="subscript"/>
              </w:rPr>
              <w:t>10</w:t>
            </w:r>
          </w:p>
        </w:tc>
        <w:tc>
          <w:tcPr>
            <w:tcW w:w="2026"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年平均浓度</w:t>
            </w:r>
          </w:p>
        </w:tc>
        <w:tc>
          <w:tcPr>
            <w:tcW w:w="903"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86</w:t>
            </w:r>
          </w:p>
        </w:tc>
        <w:tc>
          <w:tcPr>
            <w:tcW w:w="1448"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70</w:t>
            </w:r>
          </w:p>
        </w:tc>
        <w:tc>
          <w:tcPr>
            <w:tcW w:w="1215" w:type="dxa"/>
            <w:tcBorders>
              <w:top w:val="single" w:color="auto" w:sz="6" w:space="0"/>
              <w:left w:val="nil"/>
              <w:bottom w:val="single" w:color="auto" w:sz="6" w:space="0"/>
              <w:right w:val="single" w:color="auto" w:sz="6" w:space="0"/>
            </w:tcBorders>
            <w:noWrap/>
            <w:vAlign w:val="center"/>
          </w:tcPr>
          <w:p>
            <w:pPr>
              <w:jc w:val="center"/>
              <w:rPr>
                <w:rFonts w:eastAsia="宋体" w:cs="Times New Roman"/>
                <w:sz w:val="21"/>
                <w:u w:val="single"/>
              </w:rPr>
            </w:pPr>
            <w:r>
              <w:rPr>
                <w:rFonts w:cs="Times New Roman"/>
                <w:sz w:val="21"/>
                <w:u w:val="single"/>
              </w:rPr>
              <w:t>1.229</w:t>
            </w:r>
          </w:p>
        </w:tc>
        <w:tc>
          <w:tcPr>
            <w:tcW w:w="1355" w:type="dxa"/>
            <w:tcBorders>
              <w:top w:val="single" w:color="auto" w:sz="6" w:space="0"/>
              <w:left w:val="nil"/>
              <w:bottom w:val="single" w:color="auto" w:sz="6" w:space="0"/>
              <w:right w:val="nil"/>
            </w:tcBorders>
            <w:noWrap/>
            <w:vAlign w:val="center"/>
          </w:tcPr>
          <w:p>
            <w:pPr>
              <w:jc w:val="center"/>
              <w:rPr>
                <w:rFonts w:eastAsia="宋体" w:cs="Times New Roman"/>
                <w:sz w:val="21"/>
                <w:u w:val="single"/>
              </w:rPr>
            </w:pPr>
            <w:r>
              <w:rPr>
                <w:rFonts w:cs="Times New Roman"/>
                <w:sz w:val="21"/>
                <w:u w:val="singl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805" w:type="dxa"/>
            <w:vMerge w:val="continue"/>
            <w:tcBorders>
              <w:top w:val="nil"/>
              <w:left w:val="nil"/>
              <w:bottom w:val="single" w:color="auto" w:sz="12" w:space="0"/>
              <w:right w:val="single" w:color="auto" w:sz="6" w:space="0"/>
            </w:tcBorders>
            <w:vAlign w:val="center"/>
          </w:tcPr>
          <w:p>
            <w:pPr>
              <w:widowControl/>
              <w:jc w:val="left"/>
              <w:rPr>
                <w:rFonts w:eastAsia="宋体" w:cs="Times New Roman"/>
                <w:sz w:val="21"/>
                <w:u w:val="single"/>
              </w:rPr>
            </w:pPr>
          </w:p>
        </w:tc>
        <w:tc>
          <w:tcPr>
            <w:tcW w:w="2026" w:type="dxa"/>
            <w:tcBorders>
              <w:top w:val="single" w:color="auto" w:sz="6" w:space="0"/>
              <w:left w:val="nil"/>
              <w:bottom w:val="single" w:color="auto" w:sz="12" w:space="0"/>
              <w:right w:val="single" w:color="auto" w:sz="6" w:space="0"/>
            </w:tcBorders>
            <w:noWrap/>
            <w:vAlign w:val="center"/>
          </w:tcPr>
          <w:p>
            <w:pPr>
              <w:jc w:val="center"/>
              <w:rPr>
                <w:rFonts w:eastAsia="宋体" w:cs="Times New Roman"/>
                <w:sz w:val="21"/>
                <w:u w:val="single"/>
              </w:rPr>
            </w:pPr>
            <w:r>
              <w:rPr>
                <w:rFonts w:cs="Times New Roman"/>
                <w:sz w:val="21"/>
                <w:u w:val="single"/>
              </w:rPr>
              <w:t>百分位上日平均</w:t>
            </w:r>
          </w:p>
        </w:tc>
        <w:tc>
          <w:tcPr>
            <w:tcW w:w="903" w:type="dxa"/>
            <w:tcBorders>
              <w:top w:val="single" w:color="auto" w:sz="6" w:space="0"/>
              <w:left w:val="nil"/>
              <w:bottom w:val="single" w:color="auto" w:sz="12" w:space="0"/>
              <w:right w:val="single" w:color="auto" w:sz="6" w:space="0"/>
            </w:tcBorders>
            <w:noWrap/>
            <w:vAlign w:val="center"/>
          </w:tcPr>
          <w:p>
            <w:pPr>
              <w:jc w:val="center"/>
              <w:rPr>
                <w:rFonts w:eastAsia="宋体" w:cs="Times New Roman"/>
                <w:sz w:val="21"/>
                <w:u w:val="single"/>
              </w:rPr>
            </w:pPr>
            <w:r>
              <w:rPr>
                <w:rFonts w:cs="Times New Roman"/>
                <w:sz w:val="21"/>
                <w:u w:val="single"/>
              </w:rPr>
              <w:t>95</w:t>
            </w:r>
          </w:p>
        </w:tc>
        <w:tc>
          <w:tcPr>
            <w:tcW w:w="1448" w:type="dxa"/>
            <w:tcBorders>
              <w:top w:val="single" w:color="auto" w:sz="6" w:space="0"/>
              <w:left w:val="nil"/>
              <w:bottom w:val="single" w:color="auto" w:sz="12" w:space="0"/>
              <w:right w:val="single" w:color="auto" w:sz="6" w:space="0"/>
            </w:tcBorders>
            <w:noWrap/>
            <w:vAlign w:val="center"/>
          </w:tcPr>
          <w:p>
            <w:pPr>
              <w:jc w:val="center"/>
              <w:rPr>
                <w:rFonts w:eastAsia="宋体" w:cs="Times New Roman"/>
                <w:sz w:val="21"/>
                <w:u w:val="single"/>
              </w:rPr>
            </w:pPr>
            <w:r>
              <w:rPr>
                <w:rFonts w:cs="Times New Roman"/>
                <w:sz w:val="21"/>
                <w:u w:val="single"/>
              </w:rPr>
              <w:t>156</w:t>
            </w:r>
          </w:p>
        </w:tc>
        <w:tc>
          <w:tcPr>
            <w:tcW w:w="1448" w:type="dxa"/>
            <w:tcBorders>
              <w:top w:val="single" w:color="auto" w:sz="6" w:space="0"/>
              <w:left w:val="nil"/>
              <w:bottom w:val="single" w:color="auto" w:sz="12" w:space="0"/>
              <w:right w:val="single" w:color="auto" w:sz="6" w:space="0"/>
            </w:tcBorders>
            <w:noWrap/>
            <w:vAlign w:val="center"/>
          </w:tcPr>
          <w:p>
            <w:pPr>
              <w:jc w:val="center"/>
              <w:rPr>
                <w:rFonts w:eastAsia="宋体" w:cs="Times New Roman"/>
                <w:sz w:val="21"/>
                <w:u w:val="single"/>
              </w:rPr>
            </w:pPr>
            <w:r>
              <w:rPr>
                <w:rFonts w:cs="Times New Roman"/>
                <w:sz w:val="21"/>
                <w:u w:val="single"/>
              </w:rPr>
              <w:t>160</w:t>
            </w:r>
          </w:p>
        </w:tc>
        <w:tc>
          <w:tcPr>
            <w:tcW w:w="1215" w:type="dxa"/>
            <w:tcBorders>
              <w:top w:val="single" w:color="auto" w:sz="6" w:space="0"/>
              <w:left w:val="nil"/>
              <w:bottom w:val="single" w:color="auto" w:sz="12" w:space="0"/>
              <w:right w:val="single" w:color="auto" w:sz="6" w:space="0"/>
            </w:tcBorders>
            <w:noWrap/>
            <w:vAlign w:val="center"/>
          </w:tcPr>
          <w:p>
            <w:pPr>
              <w:jc w:val="center"/>
              <w:rPr>
                <w:rFonts w:eastAsia="宋体" w:cs="Times New Roman"/>
                <w:sz w:val="21"/>
                <w:u w:val="single"/>
              </w:rPr>
            </w:pPr>
            <w:r>
              <w:rPr>
                <w:rFonts w:cs="Times New Roman"/>
                <w:sz w:val="21"/>
                <w:u w:val="single"/>
              </w:rPr>
              <w:t>0.975</w:t>
            </w:r>
          </w:p>
        </w:tc>
        <w:tc>
          <w:tcPr>
            <w:tcW w:w="1355" w:type="dxa"/>
            <w:tcBorders>
              <w:top w:val="single" w:color="auto" w:sz="6" w:space="0"/>
              <w:left w:val="nil"/>
              <w:bottom w:val="single" w:color="auto" w:sz="12" w:space="0"/>
              <w:right w:val="nil"/>
            </w:tcBorders>
            <w:noWrap/>
            <w:vAlign w:val="center"/>
          </w:tcPr>
          <w:p>
            <w:pPr>
              <w:jc w:val="center"/>
              <w:rPr>
                <w:rFonts w:eastAsia="宋体" w:cs="Times New Roman"/>
                <w:sz w:val="21"/>
                <w:u w:val="single"/>
              </w:rPr>
            </w:pPr>
            <w:r>
              <w:rPr>
                <w:rFonts w:cs="Times New Roman"/>
                <w:sz w:val="21"/>
                <w:u w:val="single"/>
              </w:rPr>
              <w:t>达标</w:t>
            </w:r>
          </w:p>
        </w:tc>
      </w:tr>
    </w:tbl>
    <w:p>
      <w:pPr>
        <w:spacing w:line="360" w:lineRule="auto"/>
        <w:ind w:firstLine="480" w:firstLineChars="200"/>
        <w:rPr>
          <w:kern w:val="0"/>
          <w:szCs w:val="24"/>
          <w:u w:val="single"/>
        </w:rPr>
      </w:pPr>
      <w:r>
        <w:rPr>
          <w:rFonts w:ascii="宋体" w:hAnsi="宋体"/>
          <w:kern w:val="0"/>
          <w:szCs w:val="24"/>
          <w:u w:val="single"/>
        </w:rPr>
        <w:t>由上表中监测数据可知项目所在区域为不达标区域。</w:t>
      </w:r>
    </w:p>
    <w:p>
      <w:pPr>
        <w:spacing w:line="360" w:lineRule="auto"/>
        <w:ind w:firstLine="480" w:firstLineChars="200"/>
        <w:rPr>
          <w:rFonts w:hAnsi="宋体" w:cs="Times New Roman"/>
          <w:szCs w:val="24"/>
          <w:u w:val="single"/>
        </w:rPr>
      </w:pPr>
      <w:r>
        <w:rPr>
          <w:rFonts w:hAnsi="宋体" w:cs="Times New Roman"/>
          <w:kern w:val="0"/>
          <w:szCs w:val="24"/>
          <w:u w:val="single"/>
        </w:rPr>
        <w:t>根据</w:t>
      </w:r>
      <w:r>
        <w:rPr>
          <w:rFonts w:hAnsi="宋体" w:cs="Times New Roman"/>
          <w:szCs w:val="24"/>
          <w:u w:val="single"/>
        </w:rPr>
        <w:t>湖南省人民政府</w:t>
      </w:r>
      <w:r>
        <w:rPr>
          <w:rFonts w:cs="Times New Roman"/>
          <w:szCs w:val="24"/>
          <w:u w:val="single"/>
        </w:rPr>
        <w:t xml:space="preserve"> 2018 </w:t>
      </w:r>
      <w:r>
        <w:rPr>
          <w:rFonts w:hAnsi="宋体" w:cs="Times New Roman"/>
          <w:szCs w:val="24"/>
          <w:u w:val="single"/>
        </w:rPr>
        <w:t>年</w:t>
      </w:r>
      <w:r>
        <w:rPr>
          <w:rFonts w:cs="Times New Roman"/>
          <w:szCs w:val="24"/>
          <w:u w:val="single"/>
        </w:rPr>
        <w:t>6</w:t>
      </w:r>
      <w:r>
        <w:rPr>
          <w:rFonts w:hAnsi="宋体" w:cs="Times New Roman"/>
          <w:szCs w:val="24"/>
          <w:u w:val="single"/>
        </w:rPr>
        <w:t>月</w:t>
      </w:r>
      <w:r>
        <w:rPr>
          <w:rFonts w:cs="Times New Roman"/>
          <w:szCs w:val="24"/>
          <w:u w:val="single"/>
        </w:rPr>
        <w:t>18</w:t>
      </w:r>
      <w:r>
        <w:rPr>
          <w:rFonts w:hAnsi="宋体" w:cs="Times New Roman"/>
          <w:szCs w:val="24"/>
          <w:u w:val="single"/>
        </w:rPr>
        <w:t>日发布的《湖南省污染防治攻坚战三年行动计划（</w:t>
      </w:r>
      <w:r>
        <w:rPr>
          <w:rFonts w:cs="Times New Roman"/>
          <w:szCs w:val="24"/>
          <w:u w:val="single"/>
        </w:rPr>
        <w:t>2018—2020</w:t>
      </w:r>
      <w:r>
        <w:rPr>
          <w:rFonts w:hAnsi="宋体" w:cs="Times New Roman"/>
          <w:szCs w:val="24"/>
          <w:u w:val="single"/>
        </w:rPr>
        <w:t>）年》的通知（湘政发〔</w:t>
      </w:r>
      <w:r>
        <w:rPr>
          <w:rFonts w:cs="Times New Roman"/>
          <w:szCs w:val="24"/>
          <w:u w:val="single"/>
        </w:rPr>
        <w:t>2018</w:t>
      </w:r>
      <w:r>
        <w:rPr>
          <w:rFonts w:hAnsi="宋体" w:cs="Times New Roman"/>
          <w:szCs w:val="24"/>
          <w:u w:val="single"/>
        </w:rPr>
        <w:t>〕</w:t>
      </w:r>
      <w:r>
        <w:rPr>
          <w:rFonts w:cs="Times New Roman"/>
          <w:szCs w:val="24"/>
          <w:u w:val="single"/>
        </w:rPr>
        <w:t>17</w:t>
      </w:r>
      <w:r>
        <w:rPr>
          <w:rFonts w:hAnsi="宋体" w:cs="Times New Roman"/>
          <w:szCs w:val="24"/>
          <w:u w:val="single"/>
        </w:rPr>
        <w:t>号）要求：到</w:t>
      </w:r>
      <w:r>
        <w:rPr>
          <w:rFonts w:cs="Times New Roman"/>
          <w:szCs w:val="24"/>
          <w:u w:val="single"/>
        </w:rPr>
        <w:t>2020</w:t>
      </w:r>
      <w:r>
        <w:rPr>
          <w:rFonts w:hAnsi="宋体" w:cs="Times New Roman"/>
          <w:szCs w:val="24"/>
          <w:u w:val="single"/>
        </w:rPr>
        <w:t>年，岳阳、益阳</w:t>
      </w:r>
      <w:r>
        <w:rPr>
          <w:rFonts w:cs="Times New Roman"/>
          <w:szCs w:val="24"/>
          <w:u w:val="single"/>
        </w:rPr>
        <w:t xml:space="preserve"> PM</w:t>
      </w:r>
      <w:r>
        <w:rPr>
          <w:rFonts w:cs="Times New Roman"/>
          <w:szCs w:val="24"/>
          <w:u w:val="single"/>
          <w:vertAlign w:val="subscript"/>
        </w:rPr>
        <w:t>2.5</w:t>
      </w:r>
      <w:r>
        <w:rPr>
          <w:rFonts w:hAnsi="宋体" w:cs="Times New Roman"/>
          <w:szCs w:val="24"/>
          <w:u w:val="single"/>
        </w:rPr>
        <w:t>年均浓度平均值下降到</w:t>
      </w:r>
      <w:r>
        <w:rPr>
          <w:rFonts w:cs="Times New Roman"/>
          <w:szCs w:val="24"/>
          <w:u w:val="single"/>
        </w:rPr>
        <w:t>41μg/m</w:t>
      </w:r>
      <w:r>
        <w:rPr>
          <w:rFonts w:cs="Times New Roman"/>
          <w:szCs w:val="24"/>
          <w:u w:val="single"/>
          <w:vertAlign w:val="superscript"/>
        </w:rPr>
        <w:t>3</w:t>
      </w:r>
      <w:r>
        <w:rPr>
          <w:rFonts w:hAnsi="宋体" w:cs="Times New Roman"/>
          <w:szCs w:val="24"/>
          <w:u w:val="single"/>
        </w:rPr>
        <w:t>以下</w:t>
      </w:r>
      <w:r>
        <w:rPr>
          <w:rFonts w:hint="eastAsia" w:hAnsi="宋体" w:cs="Times New Roman"/>
          <w:szCs w:val="24"/>
          <w:u w:val="single"/>
        </w:rPr>
        <w:t>。</w:t>
      </w:r>
    </w:p>
    <w:p>
      <w:pPr>
        <w:spacing w:line="360" w:lineRule="auto"/>
        <w:ind w:firstLine="480" w:firstLineChars="200"/>
        <w:rPr>
          <w:rFonts w:cs="Times New Roman"/>
          <w:sz w:val="21"/>
          <w:u w:val="single"/>
        </w:rPr>
      </w:pPr>
      <w:r>
        <w:rPr>
          <w:rFonts w:cs="Times New Roman"/>
          <w:szCs w:val="24"/>
          <w:u w:val="single"/>
        </w:rPr>
        <w:t>PM</w:t>
      </w:r>
      <w:r>
        <w:rPr>
          <w:rFonts w:cs="Times New Roman"/>
          <w:szCs w:val="24"/>
          <w:u w:val="single"/>
          <w:vertAlign w:val="subscript"/>
        </w:rPr>
        <w:t>10</w:t>
      </w:r>
      <w:r>
        <w:rPr>
          <w:rFonts w:hAnsi="宋体" w:cs="Times New Roman"/>
          <w:szCs w:val="24"/>
          <w:u w:val="single"/>
        </w:rPr>
        <w:t>年均浓度平均值下降到</w:t>
      </w:r>
      <w:r>
        <w:rPr>
          <w:rFonts w:cs="Times New Roman"/>
          <w:szCs w:val="24"/>
          <w:u w:val="single"/>
        </w:rPr>
        <w:t>71μg/m</w:t>
      </w:r>
      <w:r>
        <w:rPr>
          <w:rFonts w:cs="Times New Roman"/>
          <w:szCs w:val="24"/>
          <w:u w:val="single"/>
          <w:vertAlign w:val="superscript"/>
        </w:rPr>
        <w:t>3</w:t>
      </w:r>
      <w:r>
        <w:rPr>
          <w:rFonts w:hAnsi="宋体" w:cs="Times New Roman"/>
          <w:szCs w:val="24"/>
          <w:u w:val="single"/>
        </w:rPr>
        <w:t>以下。同时根据岳阳市大气污染防治行动计划要求，当地政府加大环境治理力度，采取更为严格的大气防治手段，在岳阳市及华容县</w:t>
      </w:r>
      <w:r>
        <w:rPr>
          <w:rFonts w:cs="Times New Roman"/>
          <w:szCs w:val="24"/>
          <w:u w:val="single"/>
        </w:rPr>
        <w:t>2020</w:t>
      </w:r>
      <w:r>
        <w:rPr>
          <w:rFonts w:hAnsi="宋体" w:cs="Times New Roman"/>
          <w:szCs w:val="24"/>
          <w:u w:val="single"/>
        </w:rPr>
        <w:t>年</w:t>
      </w:r>
      <w:r>
        <w:rPr>
          <w:rFonts w:cs="Times New Roman"/>
          <w:szCs w:val="24"/>
          <w:u w:val="single"/>
        </w:rPr>
        <w:t>PM</w:t>
      </w:r>
      <w:r>
        <w:rPr>
          <w:rFonts w:cs="Times New Roman"/>
          <w:szCs w:val="24"/>
          <w:u w:val="single"/>
          <w:vertAlign w:val="subscript"/>
        </w:rPr>
        <w:t>10</w:t>
      </w:r>
      <w:r>
        <w:rPr>
          <w:rFonts w:hAnsi="宋体" w:cs="Times New Roman"/>
          <w:szCs w:val="24"/>
          <w:u w:val="single"/>
        </w:rPr>
        <w:t>限期达标规划值后，</w:t>
      </w:r>
      <w:r>
        <w:rPr>
          <w:rFonts w:cs="Times New Roman"/>
          <w:szCs w:val="24"/>
          <w:u w:val="single"/>
        </w:rPr>
        <w:t>2020</w:t>
      </w:r>
      <w:r>
        <w:rPr>
          <w:rFonts w:hAnsi="宋体" w:cs="Times New Roman"/>
          <w:szCs w:val="24"/>
          <w:u w:val="single"/>
        </w:rPr>
        <w:t>年的</w:t>
      </w:r>
      <w:r>
        <w:rPr>
          <w:rFonts w:cs="Times New Roman"/>
          <w:szCs w:val="24"/>
          <w:u w:val="single"/>
        </w:rPr>
        <w:t>PM</w:t>
      </w:r>
      <w:r>
        <w:rPr>
          <w:rFonts w:cs="Times New Roman"/>
          <w:szCs w:val="24"/>
          <w:u w:val="single"/>
          <w:vertAlign w:val="subscript"/>
        </w:rPr>
        <w:t>10</w:t>
      </w:r>
      <w:r>
        <w:rPr>
          <w:rFonts w:hAnsi="宋体" w:cs="Times New Roman"/>
          <w:szCs w:val="24"/>
          <w:u w:val="single"/>
        </w:rPr>
        <w:t>年平均质量浓度能符合环境质量标准，满足环境空气功能区二类区的要求，大气环境质量将得到改善。</w:t>
      </w:r>
    </w:p>
    <w:p>
      <w:pPr>
        <w:pStyle w:val="14"/>
        <w:adjustRightInd w:val="0"/>
        <w:snapToGrid w:val="0"/>
        <w:ind w:firstLine="480" w:firstLineChars="200"/>
        <w:jc w:val="both"/>
        <w:rPr>
          <w:b w:val="0"/>
          <w:color w:val="000000" w:themeColor="text1"/>
          <w:u w:val="single"/>
        </w:rPr>
      </w:pPr>
      <w:r>
        <w:rPr>
          <w:b w:val="0"/>
          <w:color w:val="000000" w:themeColor="text1"/>
          <w:u w:val="single"/>
        </w:rPr>
        <w:t>同时</w:t>
      </w:r>
      <w:r>
        <w:rPr>
          <w:rFonts w:hint="eastAsia"/>
          <w:b w:val="0"/>
          <w:color w:val="000000" w:themeColor="text1"/>
          <w:u w:val="single"/>
        </w:rPr>
        <w:t>，</w:t>
      </w:r>
      <w:r>
        <w:rPr>
          <w:b w:val="0"/>
          <w:color w:val="000000" w:themeColor="text1"/>
          <w:u w:val="single"/>
        </w:rPr>
        <w:t>本环评还委托了</w:t>
      </w:r>
      <w:r>
        <w:rPr>
          <w:rFonts w:hint="eastAsia"/>
          <w:b w:val="0"/>
          <w:color w:val="000000" w:themeColor="text1"/>
          <w:u w:val="single"/>
          <w:lang w:val="en-US" w:eastAsia="zh-CN"/>
        </w:rPr>
        <w:t>湖南昌源环境科技有限公司</w:t>
      </w:r>
      <w:r>
        <w:rPr>
          <w:rFonts w:hint="eastAsia"/>
          <w:b w:val="0"/>
          <w:color w:val="000000" w:themeColor="text1"/>
          <w:u w:val="single"/>
        </w:rPr>
        <w:t>进行检测于2019年5月20日~2019年5月26日对本项目特征污染因子</w:t>
      </w:r>
      <w:r>
        <w:rPr>
          <w:b w:val="0"/>
          <w:color w:val="000000" w:themeColor="text1"/>
          <w:u w:val="single"/>
        </w:rPr>
        <w:t>NH</w:t>
      </w:r>
      <w:r>
        <w:rPr>
          <w:b w:val="0"/>
          <w:color w:val="000000" w:themeColor="text1"/>
          <w:u w:val="single"/>
          <w:vertAlign w:val="subscript"/>
        </w:rPr>
        <w:t>3</w:t>
      </w:r>
      <w:r>
        <w:rPr>
          <w:b w:val="0"/>
          <w:color w:val="000000" w:themeColor="text1"/>
          <w:u w:val="single"/>
        </w:rPr>
        <w:t>、H</w:t>
      </w:r>
      <w:r>
        <w:rPr>
          <w:b w:val="0"/>
          <w:color w:val="000000" w:themeColor="text1"/>
          <w:u w:val="single"/>
          <w:vertAlign w:val="subscript"/>
        </w:rPr>
        <w:t>2</w:t>
      </w:r>
      <w:r>
        <w:rPr>
          <w:b w:val="0"/>
          <w:color w:val="000000" w:themeColor="text1"/>
          <w:u w:val="single"/>
        </w:rPr>
        <w:t>S进行了现状监测</w:t>
      </w:r>
      <w:r>
        <w:rPr>
          <w:rFonts w:hint="eastAsia"/>
          <w:b w:val="0"/>
          <w:color w:val="000000" w:themeColor="text1"/>
          <w:u w:val="single"/>
        </w:rPr>
        <w:t>，大气监测布点具体见下表所示。</w:t>
      </w:r>
    </w:p>
    <w:p>
      <w:pPr>
        <w:pStyle w:val="14"/>
        <w:spacing w:line="240" w:lineRule="auto"/>
        <w:rPr>
          <w:u w:val="single"/>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3.3</w:t>
      </w:r>
      <w:r>
        <w:rPr>
          <w:u w:val="single"/>
        </w:rPr>
        <w:fldChar w:fldCharType="end"/>
      </w:r>
      <w:r>
        <w:rPr>
          <w:u w:val="single"/>
        </w:rPr>
        <w:noBreakHyphen/>
      </w:r>
      <w:r>
        <w:rPr>
          <w:u w:val="single"/>
        </w:rPr>
        <w:fldChar w:fldCharType="begin"/>
      </w:r>
      <w:r>
        <w:rPr>
          <w:rFonts w:hint="eastAsia"/>
          <w:u w:val="single"/>
        </w:rPr>
        <w:instrText xml:space="preserve">SEQ 表 \* ARABIC \s 2</w:instrText>
      </w:r>
      <w:r>
        <w:rPr>
          <w:u w:val="single"/>
        </w:rPr>
        <w:fldChar w:fldCharType="separate"/>
      </w:r>
      <w:r>
        <w:rPr>
          <w:rFonts w:hint="eastAsia"/>
          <w:u w:val="single"/>
        </w:rPr>
        <w:t>10</w:t>
      </w:r>
      <w:r>
        <w:rPr>
          <w:u w:val="single"/>
        </w:rPr>
        <w:fldChar w:fldCharType="end"/>
      </w:r>
      <w:r>
        <w:rPr>
          <w:rFonts w:hint="eastAsia"/>
          <w:u w:val="single"/>
        </w:rPr>
        <w:t xml:space="preserve">  大气环境监测布点一览表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00"/>
        <w:gridCol w:w="3671"/>
        <w:gridCol w:w="33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2200" w:type="dxa"/>
            <w:vAlign w:val="center"/>
          </w:tcPr>
          <w:p>
            <w:pPr>
              <w:adjustRightInd w:val="0"/>
              <w:snapToGrid w:val="0"/>
              <w:jc w:val="center"/>
              <w:rPr>
                <w:color w:val="000000" w:themeColor="text1"/>
                <w:sz w:val="21"/>
                <w:u w:val="single"/>
              </w:rPr>
            </w:pPr>
            <w:r>
              <w:rPr>
                <w:color w:val="000000" w:themeColor="text1"/>
                <w:sz w:val="21"/>
                <w:u w:val="single"/>
              </w:rPr>
              <w:t>序号</w:t>
            </w:r>
          </w:p>
        </w:tc>
        <w:tc>
          <w:tcPr>
            <w:tcW w:w="3671" w:type="dxa"/>
            <w:vAlign w:val="center"/>
          </w:tcPr>
          <w:p>
            <w:pPr>
              <w:adjustRightInd w:val="0"/>
              <w:snapToGrid w:val="0"/>
              <w:jc w:val="center"/>
              <w:rPr>
                <w:color w:val="000000" w:themeColor="text1"/>
                <w:sz w:val="21"/>
                <w:u w:val="single"/>
              </w:rPr>
            </w:pPr>
            <w:r>
              <w:rPr>
                <w:color w:val="000000" w:themeColor="text1"/>
                <w:sz w:val="21"/>
                <w:u w:val="single"/>
              </w:rPr>
              <w:t>监测点位</w:t>
            </w:r>
          </w:p>
        </w:tc>
        <w:tc>
          <w:tcPr>
            <w:tcW w:w="3371" w:type="dxa"/>
            <w:vAlign w:val="center"/>
          </w:tcPr>
          <w:p>
            <w:pPr>
              <w:adjustRightInd w:val="0"/>
              <w:snapToGrid w:val="0"/>
              <w:jc w:val="center"/>
              <w:rPr>
                <w:color w:val="000000" w:themeColor="text1"/>
                <w:sz w:val="21"/>
                <w:u w:val="single"/>
              </w:rPr>
            </w:pPr>
            <w:r>
              <w:rPr>
                <w:color w:val="000000" w:themeColor="text1"/>
                <w:sz w:val="21"/>
                <w:u w:val="singl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2200" w:type="dxa"/>
            <w:vAlign w:val="center"/>
          </w:tcPr>
          <w:p>
            <w:pPr>
              <w:adjustRightInd w:val="0"/>
              <w:snapToGrid w:val="0"/>
              <w:jc w:val="center"/>
              <w:rPr>
                <w:color w:val="000000" w:themeColor="text1"/>
                <w:sz w:val="21"/>
                <w:u w:val="single"/>
              </w:rPr>
            </w:pPr>
            <w:r>
              <w:rPr>
                <w:rFonts w:hint="eastAsia"/>
                <w:color w:val="000000" w:themeColor="text1"/>
                <w:sz w:val="21"/>
                <w:u w:val="single"/>
              </w:rPr>
              <w:t>Q1</w:t>
            </w:r>
          </w:p>
        </w:tc>
        <w:tc>
          <w:tcPr>
            <w:tcW w:w="3671" w:type="dxa"/>
            <w:vAlign w:val="center"/>
          </w:tcPr>
          <w:p>
            <w:pPr>
              <w:adjustRightInd w:val="0"/>
              <w:snapToGrid w:val="0"/>
              <w:jc w:val="center"/>
              <w:rPr>
                <w:color w:val="000000" w:themeColor="text1"/>
                <w:sz w:val="21"/>
                <w:u w:val="single"/>
              </w:rPr>
            </w:pPr>
            <w:r>
              <w:rPr>
                <w:rFonts w:hint="eastAsia"/>
                <w:color w:val="000000" w:themeColor="text1"/>
                <w:sz w:val="21"/>
                <w:u w:val="single"/>
              </w:rPr>
              <w:t>项目拟建地上风向280m处居民</w:t>
            </w:r>
          </w:p>
        </w:tc>
        <w:tc>
          <w:tcPr>
            <w:tcW w:w="3371" w:type="dxa"/>
            <w:vAlign w:val="center"/>
          </w:tcPr>
          <w:p>
            <w:pPr>
              <w:adjustRightInd w:val="0"/>
              <w:snapToGrid w:val="0"/>
              <w:jc w:val="center"/>
              <w:rPr>
                <w:color w:val="000000" w:themeColor="text1"/>
                <w:sz w:val="21"/>
                <w:u w:val="single"/>
              </w:rPr>
            </w:pPr>
            <w:r>
              <w:rPr>
                <w:color w:val="000000" w:themeColor="text1"/>
                <w:sz w:val="21"/>
                <w:u w:val="single"/>
              </w:rPr>
              <w:t>对照点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2200" w:type="dxa"/>
            <w:vAlign w:val="center"/>
          </w:tcPr>
          <w:p>
            <w:pPr>
              <w:adjustRightInd w:val="0"/>
              <w:snapToGrid w:val="0"/>
              <w:jc w:val="center"/>
              <w:rPr>
                <w:color w:val="000000" w:themeColor="text1"/>
                <w:sz w:val="21"/>
                <w:u w:val="single"/>
              </w:rPr>
            </w:pPr>
            <w:r>
              <w:rPr>
                <w:rFonts w:hint="eastAsia"/>
                <w:color w:val="000000" w:themeColor="text1"/>
                <w:sz w:val="21"/>
                <w:u w:val="single"/>
              </w:rPr>
              <w:t>Q</w:t>
            </w:r>
            <w:r>
              <w:rPr>
                <w:color w:val="000000" w:themeColor="text1"/>
                <w:sz w:val="21"/>
                <w:u w:val="single"/>
              </w:rPr>
              <w:t>2</w:t>
            </w:r>
          </w:p>
        </w:tc>
        <w:tc>
          <w:tcPr>
            <w:tcW w:w="3671" w:type="dxa"/>
            <w:vAlign w:val="center"/>
          </w:tcPr>
          <w:p>
            <w:pPr>
              <w:adjustRightInd w:val="0"/>
              <w:snapToGrid w:val="0"/>
              <w:jc w:val="center"/>
              <w:rPr>
                <w:color w:val="000000" w:themeColor="text1"/>
                <w:sz w:val="21"/>
                <w:u w:val="single"/>
              </w:rPr>
            </w:pPr>
            <w:r>
              <w:rPr>
                <w:rFonts w:hint="eastAsia"/>
                <w:color w:val="000000" w:themeColor="text1"/>
                <w:sz w:val="21"/>
                <w:u w:val="single"/>
              </w:rPr>
              <w:t>项目拟建地下风向340m处居民</w:t>
            </w:r>
          </w:p>
        </w:tc>
        <w:tc>
          <w:tcPr>
            <w:tcW w:w="3371" w:type="dxa"/>
            <w:vAlign w:val="center"/>
          </w:tcPr>
          <w:p>
            <w:pPr>
              <w:adjustRightInd w:val="0"/>
              <w:snapToGrid w:val="0"/>
              <w:jc w:val="center"/>
              <w:rPr>
                <w:color w:val="000000" w:themeColor="text1"/>
                <w:spacing w:val="-4"/>
                <w:sz w:val="21"/>
                <w:u w:val="single"/>
              </w:rPr>
            </w:pPr>
            <w:r>
              <w:rPr>
                <w:rFonts w:hAnsi="宋体"/>
                <w:color w:val="000000" w:themeColor="text1"/>
                <w:spacing w:val="-4"/>
                <w:sz w:val="21"/>
                <w:u w:val="single"/>
              </w:rPr>
              <w:t>关心点</w:t>
            </w:r>
          </w:p>
        </w:tc>
      </w:tr>
    </w:tbl>
    <w:p>
      <w:pPr>
        <w:pStyle w:val="14"/>
        <w:adjustRightInd w:val="0"/>
        <w:snapToGrid w:val="0"/>
        <w:ind w:firstLine="480" w:firstLineChars="200"/>
        <w:jc w:val="both"/>
        <w:rPr>
          <w:rFonts w:eastAsia="方正宋三简体"/>
          <w:b w:val="0"/>
          <w:u w:val="single"/>
        </w:rPr>
      </w:pPr>
      <w:r>
        <w:rPr>
          <w:rFonts w:hint="eastAsia"/>
          <w:b w:val="0"/>
          <w:u w:val="single"/>
        </w:rPr>
        <w:t>（1）监测项目：</w:t>
      </w:r>
      <w:r>
        <w:rPr>
          <w:rFonts w:eastAsia="方正宋三简体"/>
          <w:b w:val="0"/>
          <w:u w:val="single"/>
        </w:rPr>
        <w:t>H</w:t>
      </w:r>
      <w:r>
        <w:rPr>
          <w:rFonts w:eastAsia="方正宋三简体"/>
          <w:b w:val="0"/>
          <w:u w:val="single"/>
          <w:vertAlign w:val="subscript"/>
        </w:rPr>
        <w:t>2</w:t>
      </w:r>
      <w:r>
        <w:rPr>
          <w:rFonts w:eastAsia="方正宋三简体"/>
          <w:b w:val="0"/>
          <w:u w:val="single"/>
        </w:rPr>
        <w:t>S、NH</w:t>
      </w:r>
      <w:r>
        <w:rPr>
          <w:rFonts w:eastAsia="方正宋三简体"/>
          <w:b w:val="0"/>
          <w:u w:val="single"/>
          <w:vertAlign w:val="subscript"/>
        </w:rPr>
        <w:t>3</w:t>
      </w:r>
    </w:p>
    <w:p>
      <w:pPr>
        <w:adjustRightInd w:val="0"/>
        <w:snapToGrid w:val="0"/>
        <w:spacing w:line="360" w:lineRule="auto"/>
        <w:ind w:firstLine="480" w:firstLineChars="200"/>
        <w:rPr>
          <w:u w:val="single"/>
        </w:rPr>
      </w:pPr>
      <w:r>
        <w:rPr>
          <w:rFonts w:hint="eastAsia" w:eastAsia="宋体" w:cstheme="majorBidi"/>
          <w:szCs w:val="20"/>
          <w:u w:val="single"/>
        </w:rPr>
        <w:t>（2）</w:t>
      </w:r>
      <w:r>
        <w:rPr>
          <w:u w:val="single"/>
        </w:rPr>
        <w:t>采样时间和频率：其中特征污染因子：监测进行连续7天采样，小时浓度值采样时间为02时、08时、14时、20时；日均值采样时间参考《环境空气质量标准》（GB3095-2012）中对数据有效性的规定。监测时请记录采样期间气象参数（包括气温、气压、风向、风速、天气状况）。</w:t>
      </w:r>
    </w:p>
    <w:p>
      <w:pPr>
        <w:adjustRightInd w:val="0"/>
        <w:snapToGrid w:val="0"/>
        <w:spacing w:line="360" w:lineRule="auto"/>
        <w:ind w:firstLine="480" w:firstLineChars="200"/>
        <w:rPr>
          <w:u w:val="single"/>
        </w:rPr>
      </w:pPr>
      <w:r>
        <w:rPr>
          <w:rFonts w:hint="eastAsia"/>
          <w:u w:val="single"/>
        </w:rPr>
        <w:t>（3）</w:t>
      </w:r>
      <w:r>
        <w:rPr>
          <w:color w:val="000000" w:themeColor="text1"/>
          <w:u w:val="single"/>
        </w:rPr>
        <w:t>执行标准：执行</w:t>
      </w:r>
      <w:r>
        <w:rPr>
          <w:snapToGrid w:val="0"/>
          <w:color w:val="000000" w:themeColor="text1"/>
          <w:kern w:val="0"/>
          <w:szCs w:val="24"/>
          <w:u w:val="single"/>
        </w:rPr>
        <w:t>《环境影响评价技术导则大气环境》（HJ2.2-2018）中附录 D.1中</w:t>
      </w:r>
      <w:r>
        <w:rPr>
          <w:color w:val="000000" w:themeColor="text1"/>
          <w:u w:val="single"/>
        </w:rPr>
        <w:t>NH</w:t>
      </w:r>
      <w:r>
        <w:rPr>
          <w:color w:val="000000" w:themeColor="text1"/>
          <w:u w:val="single"/>
          <w:vertAlign w:val="subscript"/>
        </w:rPr>
        <w:t>3</w:t>
      </w:r>
      <w:r>
        <w:rPr>
          <w:color w:val="000000" w:themeColor="text1"/>
          <w:u w:val="single"/>
        </w:rPr>
        <w:t>、H</w:t>
      </w:r>
      <w:r>
        <w:rPr>
          <w:color w:val="000000" w:themeColor="text1"/>
          <w:u w:val="single"/>
          <w:vertAlign w:val="subscript"/>
        </w:rPr>
        <w:t>2</w:t>
      </w:r>
      <w:r>
        <w:rPr>
          <w:color w:val="000000" w:themeColor="text1"/>
          <w:u w:val="single"/>
        </w:rPr>
        <w:t>S</w:t>
      </w:r>
      <w:r>
        <w:rPr>
          <w:snapToGrid w:val="0"/>
          <w:color w:val="000000" w:themeColor="text1"/>
          <w:kern w:val="0"/>
          <w:szCs w:val="24"/>
          <w:u w:val="single"/>
        </w:rPr>
        <w:t>空气质量浓度参考限值</w:t>
      </w:r>
      <w:r>
        <w:rPr>
          <w:rFonts w:hint="eastAsia"/>
          <w:color w:val="000000" w:themeColor="text1"/>
          <w:u w:val="single"/>
        </w:rPr>
        <w:t>。</w:t>
      </w:r>
      <w:r>
        <w:rPr>
          <w:u w:val="single"/>
        </w:rPr>
        <w:t>NH</w:t>
      </w:r>
      <w:r>
        <w:rPr>
          <w:u w:val="single"/>
          <w:vertAlign w:val="subscript"/>
        </w:rPr>
        <w:t>3</w:t>
      </w:r>
      <w:r>
        <w:rPr>
          <w:u w:val="single"/>
        </w:rPr>
        <w:t>、H</w:t>
      </w:r>
      <w:r>
        <w:rPr>
          <w:u w:val="single"/>
          <w:vertAlign w:val="subscript"/>
        </w:rPr>
        <w:t>2</w:t>
      </w:r>
      <w:r>
        <w:rPr>
          <w:u w:val="single"/>
        </w:rPr>
        <w:t>S监测结果见下表所示</w:t>
      </w:r>
      <w:r>
        <w:rPr>
          <w:rFonts w:hint="eastAsia"/>
          <w:u w:val="single"/>
        </w:rPr>
        <w:t>。</w:t>
      </w:r>
    </w:p>
    <w:p>
      <w:pPr>
        <w:pStyle w:val="14"/>
        <w:spacing w:line="240" w:lineRule="auto"/>
        <w:rPr>
          <w:u w:val="single"/>
        </w:rPr>
      </w:pPr>
      <w:bookmarkStart w:id="144" w:name="_Ref17382196"/>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3.3</w:t>
      </w:r>
      <w:r>
        <w:rPr>
          <w:u w:val="single"/>
        </w:rPr>
        <w:fldChar w:fldCharType="end"/>
      </w:r>
      <w:r>
        <w:rPr>
          <w:u w:val="single"/>
        </w:rPr>
        <w:noBreakHyphen/>
      </w:r>
      <w:r>
        <w:rPr>
          <w:u w:val="single"/>
        </w:rPr>
        <w:fldChar w:fldCharType="begin"/>
      </w:r>
      <w:r>
        <w:rPr>
          <w:rFonts w:hint="eastAsia"/>
          <w:u w:val="single"/>
        </w:rPr>
        <w:instrText xml:space="preserve">SEQ 表 \* ARABIC \s 2</w:instrText>
      </w:r>
      <w:r>
        <w:rPr>
          <w:u w:val="single"/>
        </w:rPr>
        <w:fldChar w:fldCharType="separate"/>
      </w:r>
      <w:r>
        <w:rPr>
          <w:rFonts w:hint="eastAsia"/>
          <w:u w:val="single"/>
        </w:rPr>
        <w:t>11</w:t>
      </w:r>
      <w:r>
        <w:rPr>
          <w:u w:val="single"/>
        </w:rPr>
        <w:fldChar w:fldCharType="end"/>
      </w:r>
      <w:bookmarkEnd w:id="144"/>
      <w:r>
        <w:rPr>
          <w:rFonts w:hint="eastAsia"/>
          <w:u w:val="single"/>
        </w:rPr>
        <w:t xml:space="preserve">  大气环境监测结果统计一览表</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138"/>
        <w:gridCol w:w="2079"/>
        <w:gridCol w:w="2371"/>
        <w:gridCol w:w="684"/>
        <w:gridCol w:w="1343"/>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Align w:val="center"/>
          </w:tcPr>
          <w:p>
            <w:pPr>
              <w:pStyle w:val="143"/>
              <w:adjustRightInd w:val="0"/>
              <w:rPr>
                <w:rFonts w:ascii="Times New Roman" w:hAnsi="Times New Roman" w:eastAsiaTheme="majorEastAsia"/>
                <w:u w:val="single"/>
              </w:rPr>
            </w:pPr>
            <w:r>
              <w:rPr>
                <w:rFonts w:ascii="Times New Roman" w:hAnsi="Times New Roman"/>
                <w:u w:val="single"/>
              </w:rPr>
              <w:t>检测指标</w:t>
            </w:r>
          </w:p>
        </w:tc>
        <w:tc>
          <w:tcPr>
            <w:tcW w:w="1138" w:type="dxa"/>
            <w:vAlign w:val="center"/>
          </w:tcPr>
          <w:p>
            <w:pPr>
              <w:pStyle w:val="143"/>
              <w:adjustRightInd w:val="0"/>
              <w:rPr>
                <w:rFonts w:ascii="Times New Roman" w:hAnsi="Times New Roman"/>
                <w:color w:val="auto"/>
                <w:u w:val="single"/>
              </w:rPr>
            </w:pPr>
            <w:r>
              <w:rPr>
                <w:rFonts w:ascii="Times New Roman" w:hAnsi="Times New Roman"/>
                <w:u w:val="single"/>
              </w:rPr>
              <w:t>采样日期</w:t>
            </w:r>
          </w:p>
        </w:tc>
        <w:tc>
          <w:tcPr>
            <w:tcW w:w="2079" w:type="dxa"/>
            <w:vAlign w:val="center"/>
          </w:tcPr>
          <w:p>
            <w:pPr>
              <w:adjustRightInd w:val="0"/>
              <w:jc w:val="center"/>
              <w:rPr>
                <w:rFonts w:cs="Times New Roman"/>
                <w:color w:val="000000"/>
                <w:sz w:val="21"/>
                <w:u w:val="single"/>
              </w:rPr>
            </w:pPr>
            <w:r>
              <w:rPr>
                <w:rFonts w:cs="Times New Roman"/>
                <w:sz w:val="21"/>
                <w:u w:val="single"/>
              </w:rPr>
              <w:t>Q1项目拟建地上风向280m处居民</w:t>
            </w:r>
          </w:p>
        </w:tc>
        <w:tc>
          <w:tcPr>
            <w:tcW w:w="2371" w:type="dxa"/>
            <w:vAlign w:val="center"/>
          </w:tcPr>
          <w:p>
            <w:pPr>
              <w:adjustRightInd w:val="0"/>
              <w:jc w:val="center"/>
              <w:rPr>
                <w:rFonts w:eastAsia="宋体" w:cs="Times New Roman"/>
                <w:color w:val="000000" w:themeColor="text1"/>
                <w:sz w:val="21"/>
                <w:u w:val="single"/>
              </w:rPr>
            </w:pPr>
            <w:r>
              <w:rPr>
                <w:rFonts w:cs="Times New Roman"/>
                <w:sz w:val="21"/>
                <w:u w:val="single"/>
              </w:rPr>
              <w:t>Q2项目拟建地下风向340m处居民</w:t>
            </w:r>
          </w:p>
        </w:tc>
        <w:tc>
          <w:tcPr>
            <w:tcW w:w="684" w:type="dxa"/>
            <w:vAlign w:val="center"/>
          </w:tcPr>
          <w:p>
            <w:pPr>
              <w:adjustRightInd w:val="0"/>
              <w:jc w:val="center"/>
              <w:rPr>
                <w:rFonts w:cs="Times New Roman"/>
                <w:sz w:val="21"/>
                <w:u w:val="single"/>
              </w:rPr>
            </w:pPr>
            <w:r>
              <w:rPr>
                <w:rFonts w:cs="Times New Roman"/>
                <w:sz w:val="21"/>
                <w:u w:val="single"/>
              </w:rPr>
              <w:t>标准值</w:t>
            </w:r>
          </w:p>
        </w:tc>
        <w:tc>
          <w:tcPr>
            <w:tcW w:w="1343" w:type="dxa"/>
            <w:vAlign w:val="center"/>
          </w:tcPr>
          <w:p>
            <w:pPr>
              <w:adjustRightInd w:val="0"/>
              <w:jc w:val="center"/>
              <w:rPr>
                <w:rFonts w:cs="Times New Roman"/>
                <w:sz w:val="21"/>
                <w:u w:val="single"/>
              </w:rPr>
            </w:pPr>
            <w:r>
              <w:rPr>
                <w:rFonts w:cs="Times New Roman"/>
                <w:sz w:val="21"/>
                <w:u w:val="single"/>
              </w:rPr>
              <w:t>最高单因子指数</w:t>
            </w:r>
          </w:p>
        </w:tc>
        <w:tc>
          <w:tcPr>
            <w:tcW w:w="814" w:type="dxa"/>
            <w:vAlign w:val="center"/>
          </w:tcPr>
          <w:p>
            <w:pPr>
              <w:adjustRightInd w:val="0"/>
              <w:jc w:val="center"/>
              <w:rPr>
                <w:rFonts w:cs="Times New Roman"/>
                <w:sz w:val="21"/>
                <w:u w:val="single"/>
              </w:rPr>
            </w:pPr>
            <w:r>
              <w:rPr>
                <w:rFonts w:cs="Times New Roman"/>
                <w:sz w:val="21"/>
                <w:u w:val="single"/>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restart"/>
            <w:vAlign w:val="center"/>
          </w:tcPr>
          <w:p>
            <w:pPr>
              <w:pStyle w:val="143"/>
              <w:adjustRightInd w:val="0"/>
              <w:rPr>
                <w:rFonts w:ascii="Times New Roman" w:hAnsi="Times New Roman" w:eastAsiaTheme="majorEastAsia"/>
                <w:u w:val="single"/>
              </w:rPr>
            </w:pPr>
            <w:r>
              <w:rPr>
                <w:rFonts w:hint="eastAsia" w:ascii="Times New Roman" w:hAnsi="Times New Roman" w:eastAsiaTheme="majorEastAsia"/>
                <w:u w:val="single"/>
              </w:rPr>
              <w:t>氨</w:t>
            </w:r>
          </w:p>
        </w:tc>
        <w:tc>
          <w:tcPr>
            <w:tcW w:w="1138" w:type="dxa"/>
            <w:vAlign w:val="center"/>
          </w:tcPr>
          <w:p>
            <w:pPr>
              <w:pStyle w:val="143"/>
              <w:adjustRightInd w:val="0"/>
              <w:rPr>
                <w:rFonts w:ascii="Times New Roman" w:hAnsi="Times New Roman"/>
                <w:u w:val="single"/>
              </w:rPr>
            </w:pPr>
            <w:r>
              <w:rPr>
                <w:rFonts w:hint="eastAsia" w:ascii="Times New Roman" w:hAnsi="Times New Roman"/>
                <w:u w:val="single"/>
              </w:rPr>
              <w:t>5月20日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0.10</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0.14</w:t>
            </w:r>
          </w:p>
        </w:tc>
        <w:tc>
          <w:tcPr>
            <w:tcW w:w="684" w:type="dxa"/>
            <w:vAlign w:val="center"/>
          </w:tcPr>
          <w:p>
            <w:pPr>
              <w:adjustRightInd w:val="0"/>
              <w:jc w:val="center"/>
              <w:rPr>
                <w:rFonts w:cs="Times New Roman"/>
                <w:color w:val="000000"/>
                <w:sz w:val="21"/>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0.014</w:t>
            </w:r>
          </w:p>
        </w:tc>
        <w:tc>
          <w:tcPr>
            <w:tcW w:w="814" w:type="dxa"/>
            <w:vAlign w:val="center"/>
          </w:tcPr>
          <w:p>
            <w:pPr>
              <w:adjustRightInd w:val="0"/>
              <w:jc w:val="center"/>
              <w:rPr>
                <w:rFonts w:cs="Times New Roman"/>
                <w:color w:val="000000"/>
                <w:sz w:val="21"/>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sz w:val="21"/>
                <w:u w:val="single"/>
              </w:rPr>
            </w:pPr>
            <w:r>
              <w:rPr>
                <w:rFonts w:hint="eastAsia" w:cs="Times New Roman"/>
                <w:color w:val="000000"/>
                <w:sz w:val="21"/>
                <w:u w:val="single"/>
              </w:rPr>
              <w:t>5月21日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0.09</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0.10</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0.01</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sz w:val="21"/>
                <w:u w:val="single"/>
              </w:rPr>
            </w:pPr>
            <w:r>
              <w:rPr>
                <w:rFonts w:hint="eastAsia" w:cs="Times New Roman"/>
                <w:color w:val="000000"/>
                <w:sz w:val="21"/>
                <w:u w:val="single"/>
              </w:rPr>
              <w:t>5月22日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0.07</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0.09</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0.009</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5月23日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0.10</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0.14</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0.014</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5月24日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0.11</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0.12</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0.012</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5月25日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0.09</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0.13</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0.013</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5月26日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0.07</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0.10</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0.01</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restart"/>
            <w:vAlign w:val="center"/>
          </w:tcPr>
          <w:p>
            <w:pPr>
              <w:pStyle w:val="143"/>
              <w:adjustRightInd w:val="0"/>
              <w:rPr>
                <w:rFonts w:ascii="Times New Roman" w:hAnsi="Times New Roman" w:eastAsiaTheme="majorEastAsia"/>
                <w:u w:val="single"/>
              </w:rPr>
            </w:pPr>
            <w:r>
              <w:rPr>
                <w:rFonts w:hint="eastAsia" w:ascii="Times New Roman" w:hAnsi="Times New Roman" w:eastAsiaTheme="majorEastAsia"/>
                <w:u w:val="single"/>
              </w:rPr>
              <w:t>硫化氢</w:t>
            </w:r>
          </w:p>
        </w:tc>
        <w:tc>
          <w:tcPr>
            <w:tcW w:w="1138" w:type="dxa"/>
            <w:vAlign w:val="center"/>
          </w:tcPr>
          <w:p>
            <w:pPr>
              <w:pStyle w:val="143"/>
              <w:adjustRightInd w:val="0"/>
              <w:rPr>
                <w:rFonts w:ascii="Times New Roman" w:hAnsi="Times New Roman"/>
                <w:u w:val="single"/>
              </w:rPr>
            </w:pPr>
            <w:r>
              <w:rPr>
                <w:rFonts w:hint="eastAsia" w:ascii="Times New Roman" w:hAnsi="Times New Roman"/>
                <w:u w:val="single"/>
              </w:rPr>
              <w:t>5月20日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0.005</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0.004</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0.0005</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5月21日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0.004</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0.005</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0.0005</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5月22日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0.003</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0.004</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0.0004</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5月23日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0.004</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0.005</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0.0005</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5月24日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0.005</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0.005</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0.0005</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5月25日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0.004</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0.007</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0.0007</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Merge w:val="continue"/>
            <w:vAlign w:val="center"/>
          </w:tcPr>
          <w:p>
            <w:pPr>
              <w:pStyle w:val="143"/>
              <w:adjustRightInd w:val="0"/>
              <w:rPr>
                <w:rFonts w:ascii="Times New Roman" w:hAnsi="Times New Roman" w:eastAsiaTheme="majorEastAsia"/>
                <w:u w:val="single"/>
              </w:rPr>
            </w:pPr>
          </w:p>
        </w:tc>
        <w:tc>
          <w:tcPr>
            <w:tcW w:w="1138" w:type="dxa"/>
            <w:vAlign w:val="center"/>
          </w:tcPr>
          <w:p>
            <w:pPr>
              <w:adjustRightInd w:val="0"/>
              <w:jc w:val="center"/>
              <w:rPr>
                <w:rFonts w:cs="Times New Roman"/>
                <w:color w:val="000000"/>
                <w:sz w:val="21"/>
                <w:u w:val="single"/>
              </w:rPr>
            </w:pPr>
            <w:r>
              <w:rPr>
                <w:rFonts w:hint="eastAsia" w:cs="Times New Roman"/>
                <w:color w:val="000000"/>
                <w:sz w:val="21"/>
                <w:u w:val="single"/>
              </w:rPr>
              <w:t>5月26日</w:t>
            </w:r>
          </w:p>
        </w:tc>
        <w:tc>
          <w:tcPr>
            <w:tcW w:w="2079" w:type="dxa"/>
            <w:vAlign w:val="center"/>
          </w:tcPr>
          <w:p>
            <w:pPr>
              <w:adjustRightInd w:val="0"/>
              <w:jc w:val="center"/>
              <w:rPr>
                <w:rFonts w:cs="Times New Roman"/>
                <w:color w:val="000000"/>
                <w:sz w:val="21"/>
                <w:u w:val="single"/>
              </w:rPr>
            </w:pPr>
            <w:r>
              <w:rPr>
                <w:rFonts w:hint="eastAsia" w:cs="Times New Roman"/>
                <w:color w:val="000000"/>
                <w:sz w:val="21"/>
                <w:u w:val="single"/>
              </w:rPr>
              <w:t>0.004</w:t>
            </w:r>
          </w:p>
        </w:tc>
        <w:tc>
          <w:tcPr>
            <w:tcW w:w="2371" w:type="dxa"/>
            <w:vAlign w:val="center"/>
          </w:tcPr>
          <w:p>
            <w:pPr>
              <w:adjustRightInd w:val="0"/>
              <w:jc w:val="center"/>
              <w:rPr>
                <w:rFonts w:cs="Times New Roman"/>
                <w:color w:val="000000"/>
                <w:sz w:val="21"/>
                <w:u w:val="single"/>
              </w:rPr>
            </w:pPr>
            <w:r>
              <w:rPr>
                <w:rFonts w:hint="eastAsia" w:cs="Times New Roman"/>
                <w:color w:val="000000"/>
                <w:sz w:val="21"/>
                <w:u w:val="single"/>
              </w:rPr>
              <w:t>0.006</w:t>
            </w:r>
          </w:p>
        </w:tc>
        <w:tc>
          <w:tcPr>
            <w:tcW w:w="684" w:type="dxa"/>
            <w:vAlign w:val="center"/>
          </w:tcPr>
          <w:p>
            <w:pPr>
              <w:jc w:val="center"/>
              <w:rPr>
                <w:u w:val="single"/>
              </w:rPr>
            </w:pPr>
            <w:r>
              <w:rPr>
                <w:rFonts w:hint="eastAsia" w:cs="Times New Roman"/>
                <w:color w:val="000000"/>
                <w:sz w:val="21"/>
                <w:u w:val="single"/>
              </w:rPr>
              <w:t>10</w:t>
            </w:r>
          </w:p>
        </w:tc>
        <w:tc>
          <w:tcPr>
            <w:tcW w:w="1343" w:type="dxa"/>
            <w:vAlign w:val="center"/>
          </w:tcPr>
          <w:p>
            <w:pPr>
              <w:adjustRightInd w:val="0"/>
              <w:jc w:val="center"/>
              <w:rPr>
                <w:rFonts w:cs="Times New Roman"/>
                <w:color w:val="000000"/>
                <w:sz w:val="21"/>
                <w:u w:val="single"/>
              </w:rPr>
            </w:pPr>
            <w:r>
              <w:rPr>
                <w:rFonts w:hint="eastAsia" w:cs="Times New Roman"/>
                <w:color w:val="000000"/>
                <w:sz w:val="21"/>
                <w:u w:val="single"/>
              </w:rPr>
              <w:t>0.0006</w:t>
            </w:r>
          </w:p>
        </w:tc>
        <w:tc>
          <w:tcPr>
            <w:tcW w:w="814" w:type="dxa"/>
          </w:tcPr>
          <w:p>
            <w:pPr>
              <w:jc w:val="center"/>
              <w:rPr>
                <w:u w:val="single"/>
              </w:rPr>
            </w:pPr>
            <w:r>
              <w:rPr>
                <w:rFonts w:hint="eastAsia" w:cs="Times New Roman"/>
                <w:color w:val="000000"/>
                <w:sz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vAlign w:val="center"/>
          </w:tcPr>
          <w:p>
            <w:pPr>
              <w:tabs>
                <w:tab w:val="left" w:pos="3210"/>
                <w:tab w:val="center" w:pos="4500"/>
              </w:tabs>
              <w:adjustRightInd w:val="0"/>
              <w:snapToGrid w:val="0"/>
              <w:jc w:val="center"/>
              <w:rPr>
                <w:rFonts w:eastAsia="宋体" w:cs="Times New Roman"/>
                <w:sz w:val="21"/>
                <w:u w:val="single"/>
              </w:rPr>
            </w:pPr>
            <w:r>
              <w:rPr>
                <w:rFonts w:eastAsia="宋体" w:cs="Times New Roman"/>
                <w:sz w:val="21"/>
                <w:u w:val="single"/>
              </w:rPr>
              <w:t>备注</w:t>
            </w:r>
          </w:p>
        </w:tc>
        <w:tc>
          <w:tcPr>
            <w:tcW w:w="8429" w:type="dxa"/>
            <w:gridSpan w:val="6"/>
            <w:vAlign w:val="center"/>
          </w:tcPr>
          <w:p>
            <w:pPr>
              <w:tabs>
                <w:tab w:val="left" w:pos="3210"/>
                <w:tab w:val="center" w:pos="4500"/>
              </w:tabs>
              <w:adjustRightInd w:val="0"/>
              <w:snapToGrid w:val="0"/>
              <w:jc w:val="center"/>
              <w:rPr>
                <w:rFonts w:eastAsia="宋体" w:cs="Times New Roman"/>
                <w:color w:val="000000"/>
                <w:sz w:val="21"/>
                <w:u w:val="single"/>
              </w:rPr>
            </w:pPr>
            <w:r>
              <w:rPr>
                <w:rFonts w:hint="eastAsia" w:eastAsia="宋体" w:cs="Times New Roman"/>
                <w:color w:val="000000"/>
                <w:sz w:val="21"/>
                <w:u w:val="single"/>
              </w:rPr>
              <w:t>“ND”表示未检出</w:t>
            </w:r>
            <w:r>
              <w:rPr>
                <w:rFonts w:hint="eastAsia" w:cs="Times New Roman"/>
                <w:color w:val="000000"/>
                <w:sz w:val="21"/>
                <w:u w:val="single"/>
              </w:rPr>
              <w:t>，即检测结果低于方法检出限。</w:t>
            </w:r>
          </w:p>
        </w:tc>
      </w:tr>
    </w:tbl>
    <w:p>
      <w:pPr>
        <w:pStyle w:val="14"/>
        <w:ind w:firstLine="480" w:firstLineChars="200"/>
        <w:jc w:val="both"/>
        <w:rPr>
          <w:rFonts w:cs="Times New Roman"/>
          <w:b w:val="0"/>
          <w:u w:val="single"/>
        </w:rPr>
      </w:pPr>
      <w:r>
        <w:rPr>
          <w:rFonts w:cs="Times New Roman"/>
          <w:b w:val="0"/>
          <w:u w:val="single"/>
        </w:rPr>
        <w:t>由</w:t>
      </w:r>
      <w:r>
        <w:rPr>
          <w:u w:val="single"/>
        </w:rPr>
        <w:fldChar w:fldCharType="begin"/>
      </w:r>
      <w:r>
        <w:rPr>
          <w:u w:val="single"/>
        </w:rPr>
        <w:instrText xml:space="preserve"> REF _Ref17382196 \h  \* MERGEFORMAT </w:instrText>
      </w:r>
      <w:r>
        <w:rPr>
          <w:u w:val="single"/>
        </w:rPr>
        <w:fldChar w:fldCharType="separate"/>
      </w:r>
      <w:r>
        <w:rPr>
          <w:rFonts w:hint="eastAsia" w:cs="Times New Roman"/>
          <w:b w:val="0"/>
          <w:u w:val="single"/>
        </w:rPr>
        <w:t>表</w:t>
      </w:r>
      <w:r>
        <w:rPr>
          <w:rFonts w:cs="Times New Roman"/>
          <w:b w:val="0"/>
          <w:u w:val="single"/>
        </w:rPr>
        <w:fldChar w:fldCharType="begin"/>
      </w:r>
      <w:r>
        <w:rPr>
          <w:rFonts w:cs="Times New Roman"/>
          <w:b w:val="0"/>
          <w:u w:val="single"/>
        </w:rPr>
        <w:instrText xml:space="preserve"> STYLEREF</w:instrText>
      </w:r>
      <w:r>
        <w:rPr>
          <w:u w:val="single"/>
        </w:rPr>
        <w:instrText xml:space="preserve"> 2 \s </w:instrText>
      </w:r>
      <w:r>
        <w:rPr>
          <w:u w:val="single"/>
        </w:rPr>
        <w:fldChar w:fldCharType="separate"/>
      </w:r>
      <w:r>
        <w:rPr>
          <w:u w:val="single"/>
        </w:rPr>
        <w:t>3.3</w:t>
      </w:r>
      <w:r>
        <w:rPr>
          <w:u w:val="single"/>
        </w:rPr>
        <w:fldChar w:fldCharType="end"/>
      </w:r>
      <w:r>
        <w:rPr>
          <w:u w:val="single"/>
        </w:rPr>
        <w:noBreakHyphen/>
      </w:r>
      <w:r>
        <w:rPr>
          <w:rFonts w:hint="eastAsia"/>
          <w:u w:val="single"/>
        </w:rPr>
        <w:t>9</w:t>
      </w:r>
      <w:r>
        <w:rPr>
          <w:rFonts w:cs="Times New Roman"/>
          <w:b w:val="0"/>
          <w:u w:val="single"/>
        </w:rPr>
        <w:fldChar w:fldCharType="end"/>
      </w:r>
      <w:r>
        <w:rPr>
          <w:rFonts w:cs="Times New Roman"/>
          <w:b w:val="0"/>
          <w:u w:val="single"/>
        </w:rPr>
        <w:t>可知，NH</w:t>
      </w:r>
      <w:r>
        <w:rPr>
          <w:rFonts w:cs="Times New Roman"/>
          <w:b w:val="0"/>
          <w:u w:val="single"/>
          <w:vertAlign w:val="subscript"/>
        </w:rPr>
        <w:t>3</w:t>
      </w:r>
      <w:r>
        <w:rPr>
          <w:rFonts w:cs="Times New Roman"/>
          <w:b w:val="0"/>
          <w:u w:val="single"/>
        </w:rPr>
        <w:t>、H</w:t>
      </w:r>
      <w:r>
        <w:rPr>
          <w:rFonts w:cs="Times New Roman"/>
          <w:b w:val="0"/>
          <w:u w:val="single"/>
          <w:vertAlign w:val="subscript"/>
        </w:rPr>
        <w:t>2</w:t>
      </w:r>
      <w:r>
        <w:rPr>
          <w:rFonts w:cs="Times New Roman"/>
          <w:b w:val="0"/>
          <w:u w:val="single"/>
        </w:rPr>
        <w:t>S的浓度可满足</w:t>
      </w:r>
      <w:r>
        <w:rPr>
          <w:rFonts w:cs="Times New Roman"/>
          <w:b w:val="0"/>
          <w:snapToGrid w:val="0"/>
          <w:color w:val="000000" w:themeColor="text1"/>
          <w:kern w:val="0"/>
          <w:szCs w:val="24"/>
          <w:u w:val="single"/>
        </w:rPr>
        <w:t>《环境影响评价技术导则大气环境》（HJ2.2-2018）中附录 D.1的空气质量浓度参考限值</w:t>
      </w:r>
      <w:r>
        <w:rPr>
          <w:rFonts w:hint="eastAsia" w:cs="Times New Roman"/>
          <w:b w:val="0"/>
          <w:snapToGrid w:val="0"/>
          <w:color w:val="000000" w:themeColor="text1"/>
          <w:kern w:val="0"/>
          <w:szCs w:val="24"/>
          <w:u w:val="single"/>
        </w:rPr>
        <w:t>。</w:t>
      </w:r>
    </w:p>
    <w:p>
      <w:pPr>
        <w:pStyle w:val="5"/>
        <w:rPr>
          <w:color w:val="000000" w:themeColor="text1"/>
        </w:rPr>
      </w:pPr>
      <w:bookmarkStart w:id="145" w:name="_Toc532497651"/>
      <w:r>
        <w:rPr>
          <w:rFonts w:hint="eastAsia"/>
          <w:color w:val="000000" w:themeColor="text1"/>
        </w:rPr>
        <w:t>声环境现状调查及评价</w:t>
      </w:r>
      <w:bookmarkEnd w:id="145"/>
    </w:p>
    <w:p>
      <w:pPr>
        <w:adjustRightInd w:val="0"/>
        <w:snapToGrid w:val="0"/>
        <w:spacing w:line="360" w:lineRule="auto"/>
        <w:ind w:firstLine="480" w:firstLineChars="200"/>
        <w:rPr>
          <w:color w:val="000000" w:themeColor="text1"/>
        </w:rPr>
      </w:pPr>
      <w:r>
        <w:rPr>
          <w:rFonts w:hint="eastAsia"/>
          <w:color w:val="000000" w:themeColor="text1"/>
        </w:rPr>
        <w:t>（1）监测因子、布点及监测时间</w:t>
      </w:r>
    </w:p>
    <w:p>
      <w:pPr>
        <w:adjustRightInd w:val="0"/>
        <w:snapToGrid w:val="0"/>
        <w:spacing w:line="360" w:lineRule="auto"/>
        <w:ind w:firstLine="480" w:firstLineChars="200"/>
        <w:rPr>
          <w:color w:val="000000" w:themeColor="text1"/>
        </w:rPr>
      </w:pPr>
      <w:r>
        <w:rPr>
          <w:rFonts w:hint="eastAsia"/>
          <w:color w:val="000000" w:themeColor="text1"/>
        </w:rPr>
        <w:t>评价区域声环境</w:t>
      </w:r>
      <w:r>
        <w:rPr>
          <w:color w:val="000000" w:themeColor="text1"/>
        </w:rPr>
        <w:t>监测</w:t>
      </w:r>
      <w:r>
        <w:rPr>
          <w:color w:val="000000" w:themeColor="text1"/>
          <w:kern w:val="0"/>
        </w:rPr>
        <w:t>共布设</w:t>
      </w:r>
      <w:r>
        <w:rPr>
          <w:rFonts w:hint="eastAsia"/>
          <w:color w:val="000000" w:themeColor="text1"/>
          <w:kern w:val="0"/>
        </w:rPr>
        <w:t>4</w:t>
      </w:r>
      <w:r>
        <w:rPr>
          <w:color w:val="000000" w:themeColor="text1"/>
          <w:kern w:val="0"/>
        </w:rPr>
        <w:t>个</w:t>
      </w:r>
      <w:r>
        <w:rPr>
          <w:color w:val="000000" w:themeColor="text1"/>
        </w:rPr>
        <w:t>环境监测点，</w:t>
      </w:r>
      <w:r>
        <w:rPr>
          <w:rFonts w:hint="eastAsia"/>
          <w:color w:val="000000" w:themeColor="text1"/>
        </w:rPr>
        <w:t>声环境</w:t>
      </w:r>
      <w:r>
        <w:rPr>
          <w:color w:val="000000" w:themeColor="text1"/>
        </w:rPr>
        <w:t>监测点的具体布设位置详见</w:t>
      </w:r>
      <w:r>
        <w:rPr>
          <w:rFonts w:hint="eastAsia"/>
          <w:color w:val="000000" w:themeColor="text1"/>
        </w:rPr>
        <w:t>下表所示。</w:t>
      </w:r>
    </w:p>
    <w:p>
      <w:pPr>
        <w:pStyle w:val="14"/>
        <w:spacing w:line="240" w:lineRule="auto"/>
        <w:rPr>
          <w:color w:val="000000" w:themeColor="text1"/>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12</w:t>
      </w:r>
      <w:r>
        <w:rPr>
          <w:color w:val="000000" w:themeColor="text1"/>
        </w:rPr>
        <w:fldChar w:fldCharType="end"/>
      </w:r>
      <w:r>
        <w:rPr>
          <w:rFonts w:hint="eastAsia"/>
          <w:color w:val="000000" w:themeColor="text1"/>
          <w:lang w:val="en-US" w:eastAsia="zh-CN"/>
        </w:rPr>
        <w:t xml:space="preserve"> </w:t>
      </w:r>
      <w:r>
        <w:rPr>
          <w:rFonts w:hint="eastAsia"/>
          <w:color w:val="000000" w:themeColor="text1"/>
          <w:szCs w:val="24"/>
        </w:rPr>
        <w:t>声环境监测因子、布点及监测时间和频率表</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0"/>
        <w:gridCol w:w="2809"/>
        <w:gridCol w:w="1701"/>
        <w:gridCol w:w="41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560" w:type="dxa"/>
            <w:vAlign w:val="center"/>
          </w:tcPr>
          <w:p>
            <w:pPr>
              <w:adjustRightInd w:val="0"/>
              <w:snapToGrid w:val="0"/>
              <w:jc w:val="center"/>
              <w:rPr>
                <w:rFonts w:cs="Arial"/>
                <w:color w:val="000000" w:themeColor="text1"/>
                <w:sz w:val="21"/>
              </w:rPr>
            </w:pPr>
            <w:r>
              <w:rPr>
                <w:rFonts w:hint="eastAsia" w:cs="Arial"/>
                <w:color w:val="000000" w:themeColor="text1"/>
                <w:sz w:val="21"/>
              </w:rPr>
              <w:t>序号</w:t>
            </w:r>
          </w:p>
        </w:tc>
        <w:tc>
          <w:tcPr>
            <w:tcW w:w="2809" w:type="dxa"/>
            <w:vAlign w:val="center"/>
          </w:tcPr>
          <w:p>
            <w:pPr>
              <w:adjustRightInd w:val="0"/>
              <w:snapToGrid w:val="0"/>
              <w:jc w:val="center"/>
              <w:rPr>
                <w:rFonts w:cs="Arial"/>
                <w:color w:val="000000" w:themeColor="text1"/>
                <w:sz w:val="21"/>
              </w:rPr>
            </w:pPr>
            <w:r>
              <w:rPr>
                <w:rFonts w:hint="eastAsia" w:cs="Arial"/>
                <w:color w:val="000000" w:themeColor="text1"/>
                <w:sz w:val="21"/>
              </w:rPr>
              <w:t>监测点位</w:t>
            </w:r>
          </w:p>
        </w:tc>
        <w:tc>
          <w:tcPr>
            <w:tcW w:w="1701" w:type="dxa"/>
            <w:vAlign w:val="center"/>
          </w:tcPr>
          <w:p>
            <w:pPr>
              <w:jc w:val="center"/>
              <w:rPr>
                <w:color w:val="000000" w:themeColor="text1"/>
                <w:sz w:val="21"/>
              </w:rPr>
            </w:pPr>
            <w:r>
              <w:rPr>
                <w:rFonts w:hint="eastAsia"/>
                <w:color w:val="000000" w:themeColor="text1"/>
                <w:sz w:val="21"/>
              </w:rPr>
              <w:t>监测项目</w:t>
            </w:r>
          </w:p>
        </w:tc>
        <w:tc>
          <w:tcPr>
            <w:tcW w:w="4172" w:type="dxa"/>
            <w:vAlign w:val="center"/>
          </w:tcPr>
          <w:p>
            <w:pPr>
              <w:jc w:val="center"/>
              <w:rPr>
                <w:color w:val="000000" w:themeColor="text1"/>
                <w:sz w:val="21"/>
              </w:rPr>
            </w:pPr>
            <w:r>
              <w:rPr>
                <w:rFonts w:hint="eastAsia"/>
                <w:color w:val="000000" w:themeColor="text1"/>
                <w:sz w:val="21"/>
              </w:rPr>
              <w:t>监测时间及频率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560" w:type="dxa"/>
            <w:vAlign w:val="center"/>
          </w:tcPr>
          <w:p>
            <w:pPr>
              <w:jc w:val="center"/>
              <w:rPr>
                <w:color w:val="000000" w:themeColor="text1"/>
                <w:sz w:val="21"/>
              </w:rPr>
            </w:pPr>
            <w:r>
              <w:rPr>
                <w:rFonts w:hint="eastAsia"/>
                <w:color w:val="000000" w:themeColor="text1"/>
                <w:sz w:val="21"/>
              </w:rPr>
              <w:t>Z1</w:t>
            </w:r>
          </w:p>
        </w:tc>
        <w:tc>
          <w:tcPr>
            <w:tcW w:w="2809" w:type="dxa"/>
            <w:vAlign w:val="center"/>
          </w:tcPr>
          <w:p>
            <w:pPr>
              <w:rPr>
                <w:sz w:val="21"/>
              </w:rPr>
            </w:pPr>
            <w:r>
              <w:rPr>
                <w:rFonts w:hint="eastAsia" w:ascii="宋体" w:hAnsi="宋体"/>
                <w:color w:val="000000"/>
                <w:sz w:val="21"/>
              </w:rPr>
              <w:t>项目东侧（加工场地东侧界外</w:t>
            </w:r>
            <w:r>
              <w:rPr>
                <w:rFonts w:hint="eastAsia"/>
                <w:color w:val="000000"/>
                <w:sz w:val="21"/>
              </w:rPr>
              <w:t>1m</w:t>
            </w:r>
            <w:r>
              <w:rPr>
                <w:rFonts w:hint="eastAsia" w:ascii="宋体" w:hAnsi="宋体"/>
                <w:color w:val="000000"/>
                <w:sz w:val="21"/>
              </w:rPr>
              <w:t>）</w:t>
            </w:r>
          </w:p>
        </w:tc>
        <w:tc>
          <w:tcPr>
            <w:tcW w:w="1701" w:type="dxa"/>
            <w:vMerge w:val="restart"/>
            <w:vAlign w:val="center"/>
          </w:tcPr>
          <w:p>
            <w:pPr>
              <w:adjustRightInd w:val="0"/>
              <w:snapToGrid w:val="0"/>
              <w:jc w:val="center"/>
              <w:rPr>
                <w:rFonts w:cs="Arial"/>
                <w:color w:val="000000" w:themeColor="text1"/>
                <w:sz w:val="21"/>
              </w:rPr>
            </w:pPr>
            <w:r>
              <w:rPr>
                <w:rFonts w:hint="eastAsia"/>
                <w:color w:val="000000" w:themeColor="text1"/>
                <w:sz w:val="21"/>
              </w:rPr>
              <w:t>等效连续A声级</w:t>
            </w:r>
          </w:p>
        </w:tc>
        <w:tc>
          <w:tcPr>
            <w:tcW w:w="4172" w:type="dxa"/>
            <w:vMerge w:val="restart"/>
            <w:vAlign w:val="center"/>
          </w:tcPr>
          <w:p>
            <w:pPr>
              <w:adjustRightInd w:val="0"/>
              <w:snapToGrid w:val="0"/>
              <w:jc w:val="center"/>
              <w:rPr>
                <w:rFonts w:cs="Arial"/>
                <w:color w:val="000000" w:themeColor="text1"/>
                <w:sz w:val="21"/>
              </w:rPr>
            </w:pPr>
            <w:r>
              <w:rPr>
                <w:rFonts w:hint="eastAsia"/>
                <w:color w:val="000000" w:themeColor="text1"/>
                <w:sz w:val="21"/>
              </w:rPr>
              <w:t>2019年5月20日~2019年5月21日连</w:t>
            </w:r>
            <w:r>
              <w:rPr>
                <w:rFonts w:cs="Times New Roman"/>
                <w:color w:val="000000" w:themeColor="text1"/>
                <w:sz w:val="21"/>
              </w:rPr>
              <w:t>续监测2天</w:t>
            </w:r>
            <w:r>
              <w:rPr>
                <w:rFonts w:hint="eastAsia"/>
                <w:color w:val="000000" w:themeColor="text1"/>
                <w:sz w:val="21"/>
              </w:rPr>
              <w:t>，每日昼、夜间各采样监测一次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560" w:type="dxa"/>
            <w:vAlign w:val="center"/>
          </w:tcPr>
          <w:p>
            <w:pPr>
              <w:jc w:val="center"/>
            </w:pPr>
            <w:r>
              <w:rPr>
                <w:rFonts w:hint="eastAsia"/>
                <w:color w:val="000000" w:themeColor="text1"/>
                <w:sz w:val="21"/>
              </w:rPr>
              <w:t>Z2</w:t>
            </w:r>
          </w:p>
        </w:tc>
        <w:tc>
          <w:tcPr>
            <w:tcW w:w="2809" w:type="dxa"/>
            <w:vAlign w:val="center"/>
          </w:tcPr>
          <w:p>
            <w:pPr>
              <w:jc w:val="center"/>
              <w:rPr>
                <w:color w:val="000000" w:themeColor="text1"/>
                <w:sz w:val="21"/>
              </w:rPr>
            </w:pPr>
            <w:r>
              <w:rPr>
                <w:rFonts w:hint="eastAsia"/>
                <w:color w:val="000000" w:themeColor="text1"/>
                <w:sz w:val="21"/>
              </w:rPr>
              <w:t>项目南侧（1#洞口界外1m）</w:t>
            </w:r>
          </w:p>
        </w:tc>
        <w:tc>
          <w:tcPr>
            <w:tcW w:w="1701" w:type="dxa"/>
            <w:vMerge w:val="continue"/>
            <w:vAlign w:val="center"/>
          </w:tcPr>
          <w:p>
            <w:pPr>
              <w:adjustRightInd w:val="0"/>
              <w:snapToGrid w:val="0"/>
              <w:jc w:val="center"/>
              <w:rPr>
                <w:rFonts w:cs="Arial"/>
                <w:color w:val="000000" w:themeColor="text1"/>
                <w:spacing w:val="-4"/>
                <w:sz w:val="21"/>
              </w:rPr>
            </w:pPr>
          </w:p>
        </w:tc>
        <w:tc>
          <w:tcPr>
            <w:tcW w:w="4172" w:type="dxa"/>
            <w:vMerge w:val="continue"/>
            <w:vAlign w:val="center"/>
          </w:tcPr>
          <w:p>
            <w:pPr>
              <w:adjustRightInd w:val="0"/>
              <w:snapToGrid w:val="0"/>
              <w:jc w:val="center"/>
              <w:rPr>
                <w:rFonts w:cs="Arial"/>
                <w:color w:val="000000" w:themeColor="text1"/>
                <w:spacing w:val="-4"/>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560" w:type="dxa"/>
            <w:vAlign w:val="center"/>
          </w:tcPr>
          <w:p>
            <w:pPr>
              <w:jc w:val="center"/>
            </w:pPr>
            <w:r>
              <w:rPr>
                <w:rFonts w:hint="eastAsia"/>
                <w:color w:val="000000" w:themeColor="text1"/>
                <w:sz w:val="21"/>
              </w:rPr>
              <w:t>Z3</w:t>
            </w:r>
          </w:p>
        </w:tc>
        <w:tc>
          <w:tcPr>
            <w:tcW w:w="2809" w:type="dxa"/>
            <w:vAlign w:val="center"/>
          </w:tcPr>
          <w:p>
            <w:pPr>
              <w:jc w:val="center"/>
              <w:rPr>
                <w:color w:val="000000" w:themeColor="text1"/>
                <w:sz w:val="21"/>
              </w:rPr>
            </w:pPr>
            <w:r>
              <w:rPr>
                <w:rFonts w:hint="eastAsia"/>
                <w:color w:val="000000" w:themeColor="text1"/>
                <w:sz w:val="21"/>
              </w:rPr>
              <w:t>项目西侧（办公生活区西侧界外1m）</w:t>
            </w:r>
          </w:p>
        </w:tc>
        <w:tc>
          <w:tcPr>
            <w:tcW w:w="1701" w:type="dxa"/>
            <w:vMerge w:val="continue"/>
            <w:vAlign w:val="center"/>
          </w:tcPr>
          <w:p>
            <w:pPr>
              <w:adjustRightInd w:val="0"/>
              <w:snapToGrid w:val="0"/>
              <w:jc w:val="center"/>
              <w:rPr>
                <w:rFonts w:cs="Arial"/>
                <w:color w:val="000000" w:themeColor="text1"/>
                <w:spacing w:val="-4"/>
                <w:sz w:val="21"/>
              </w:rPr>
            </w:pPr>
          </w:p>
        </w:tc>
        <w:tc>
          <w:tcPr>
            <w:tcW w:w="4172" w:type="dxa"/>
            <w:vMerge w:val="continue"/>
            <w:vAlign w:val="center"/>
          </w:tcPr>
          <w:p>
            <w:pPr>
              <w:adjustRightInd w:val="0"/>
              <w:snapToGrid w:val="0"/>
              <w:jc w:val="center"/>
              <w:rPr>
                <w:rFonts w:cs="Arial"/>
                <w:color w:val="000000" w:themeColor="text1"/>
                <w:spacing w:val="-4"/>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560" w:type="dxa"/>
            <w:vAlign w:val="center"/>
          </w:tcPr>
          <w:p>
            <w:pPr>
              <w:jc w:val="center"/>
            </w:pPr>
            <w:r>
              <w:rPr>
                <w:rFonts w:hint="eastAsia"/>
                <w:color w:val="000000" w:themeColor="text1"/>
                <w:sz w:val="21"/>
              </w:rPr>
              <w:t>Z4</w:t>
            </w:r>
          </w:p>
        </w:tc>
        <w:tc>
          <w:tcPr>
            <w:tcW w:w="2809" w:type="dxa"/>
            <w:vAlign w:val="center"/>
          </w:tcPr>
          <w:p>
            <w:pPr>
              <w:jc w:val="center"/>
              <w:rPr>
                <w:color w:val="000000" w:themeColor="text1"/>
                <w:sz w:val="21"/>
              </w:rPr>
            </w:pPr>
            <w:r>
              <w:rPr>
                <w:rFonts w:hint="eastAsia"/>
                <w:color w:val="000000" w:themeColor="text1"/>
                <w:sz w:val="21"/>
              </w:rPr>
              <w:t>项目北侧（加工场地北侧界外1m）</w:t>
            </w:r>
          </w:p>
        </w:tc>
        <w:tc>
          <w:tcPr>
            <w:tcW w:w="1701" w:type="dxa"/>
            <w:vMerge w:val="continue"/>
            <w:vAlign w:val="center"/>
          </w:tcPr>
          <w:p>
            <w:pPr>
              <w:adjustRightInd w:val="0"/>
              <w:snapToGrid w:val="0"/>
              <w:jc w:val="center"/>
              <w:rPr>
                <w:rFonts w:cs="Arial"/>
                <w:color w:val="000000" w:themeColor="text1"/>
                <w:spacing w:val="-4"/>
                <w:sz w:val="21"/>
              </w:rPr>
            </w:pPr>
          </w:p>
        </w:tc>
        <w:tc>
          <w:tcPr>
            <w:tcW w:w="4172" w:type="dxa"/>
            <w:vMerge w:val="continue"/>
            <w:vAlign w:val="center"/>
          </w:tcPr>
          <w:p>
            <w:pPr>
              <w:adjustRightInd w:val="0"/>
              <w:snapToGrid w:val="0"/>
              <w:jc w:val="center"/>
              <w:rPr>
                <w:rFonts w:cs="Arial"/>
                <w:color w:val="000000" w:themeColor="text1"/>
                <w:spacing w:val="-4"/>
                <w:sz w:val="21"/>
              </w:rPr>
            </w:pPr>
          </w:p>
        </w:tc>
      </w:tr>
    </w:tbl>
    <w:p>
      <w:pPr>
        <w:widowControl/>
        <w:spacing w:line="360" w:lineRule="auto"/>
        <w:ind w:firstLine="480" w:firstLineChars="200"/>
        <w:jc w:val="left"/>
        <w:rPr>
          <w:color w:val="000000" w:themeColor="text1"/>
        </w:rPr>
      </w:pPr>
      <w:r>
        <w:rPr>
          <w:rFonts w:hint="eastAsia"/>
          <w:color w:val="000000" w:themeColor="text1"/>
        </w:rPr>
        <w:t>（2）评价标准与评价方法</w:t>
      </w:r>
    </w:p>
    <w:p>
      <w:pPr>
        <w:pStyle w:val="14"/>
        <w:ind w:firstLine="480" w:firstLineChars="200"/>
        <w:jc w:val="both"/>
        <w:rPr>
          <w:b w:val="0"/>
          <w:color w:val="000000" w:themeColor="text1"/>
        </w:rPr>
      </w:pPr>
      <w:r>
        <w:rPr>
          <w:rFonts w:hint="eastAsia"/>
          <w:b w:val="0"/>
          <w:color w:val="000000" w:themeColor="text1"/>
        </w:rPr>
        <w:t>评价方法采用与标准限值对比法进行评价。项目区域声环境执行《声环境质量标准》（GB3096-2008）3类标准。</w:t>
      </w:r>
    </w:p>
    <w:p>
      <w:pPr>
        <w:widowControl/>
        <w:spacing w:line="360" w:lineRule="auto"/>
        <w:ind w:firstLine="480" w:firstLineChars="200"/>
        <w:jc w:val="left"/>
        <w:rPr>
          <w:color w:val="000000" w:themeColor="text1"/>
        </w:rPr>
      </w:pPr>
      <w:r>
        <w:rPr>
          <w:rFonts w:hint="eastAsia"/>
          <w:color w:val="000000" w:themeColor="text1"/>
        </w:rPr>
        <w:t>（3）监测结果统计与评价</w:t>
      </w:r>
    </w:p>
    <w:p>
      <w:pPr>
        <w:widowControl/>
        <w:spacing w:line="360" w:lineRule="auto"/>
        <w:ind w:firstLine="480" w:firstLineChars="200"/>
        <w:jc w:val="left"/>
        <w:rPr>
          <w:color w:val="000000" w:themeColor="text1"/>
        </w:rPr>
      </w:pPr>
      <w:r>
        <w:rPr>
          <w:rFonts w:hint="eastAsia"/>
          <w:color w:val="000000" w:themeColor="text1"/>
        </w:rPr>
        <w:t>监测结果统计详见下表所示。</w:t>
      </w:r>
    </w:p>
    <w:p>
      <w:pPr>
        <w:pStyle w:val="14"/>
        <w:spacing w:line="240" w:lineRule="auto"/>
        <w:rPr>
          <w:color w:val="000000" w:themeColor="text1"/>
        </w:rPr>
      </w:pPr>
      <w:bookmarkStart w:id="146" w:name="_Ref494379655"/>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13</w:t>
      </w:r>
      <w:r>
        <w:rPr>
          <w:color w:val="000000" w:themeColor="text1"/>
        </w:rPr>
        <w:fldChar w:fldCharType="end"/>
      </w:r>
      <w:bookmarkEnd w:id="146"/>
      <w:r>
        <w:rPr>
          <w:rFonts w:hint="eastAsia"/>
          <w:color w:val="000000" w:themeColor="text1"/>
        </w:rPr>
        <w:t xml:space="preserve"> 声环境质量现状监测及评价表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345"/>
        <w:gridCol w:w="1076"/>
        <w:gridCol w:w="2200"/>
        <w:gridCol w:w="1542"/>
        <w:gridCol w:w="1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监测点</w:t>
            </w:r>
          </w:p>
        </w:tc>
        <w:tc>
          <w:tcPr>
            <w:tcW w:w="2421" w:type="dxa"/>
            <w:gridSpan w:val="2"/>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监测时间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监测结果Leq（A）</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标准限值</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sz w:val="21"/>
              </w:rPr>
            </w:pPr>
            <w:r>
              <w:rPr>
                <w:rFonts w:hint="eastAsia" w:eastAsia="宋体" w:cs="Times New Roman"/>
                <w:color w:val="000000" w:themeColor="text1"/>
                <w:sz w:val="21"/>
              </w:rPr>
              <w:t>Z1</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2019.5.20</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widowControl/>
              <w:snapToGrid w:val="0"/>
              <w:spacing w:beforeLines="5" w:afterLines="5"/>
              <w:jc w:val="center"/>
              <w:rPr>
                <w:rFonts w:eastAsia="宋体" w:cs="Times New Roman"/>
                <w:color w:val="000000" w:themeColor="text1"/>
                <w:kern w:val="0"/>
                <w:sz w:val="21"/>
              </w:rPr>
            </w:pPr>
            <w:r>
              <w:rPr>
                <w:rFonts w:hint="eastAsia" w:eastAsia="宋体" w:cs="Times New Roman"/>
                <w:color w:val="000000" w:themeColor="text1"/>
                <w:kern w:val="0"/>
                <w:sz w:val="21"/>
              </w:rPr>
              <w:t>54</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widowControl/>
              <w:snapToGrid w:val="0"/>
              <w:spacing w:beforeLines="5" w:afterLines="5"/>
              <w:jc w:val="center"/>
              <w:rPr>
                <w:rFonts w:eastAsia="宋体" w:cs="Times New Roman"/>
                <w:color w:val="000000" w:themeColor="text1"/>
                <w:kern w:val="0"/>
                <w:sz w:val="21"/>
              </w:rPr>
            </w:pPr>
            <w:r>
              <w:rPr>
                <w:rFonts w:hint="eastAsia" w:eastAsia="宋体" w:cs="Times New Roman"/>
                <w:color w:val="000000" w:themeColor="text1"/>
                <w:kern w:val="0"/>
                <w:sz w:val="21"/>
              </w:rPr>
              <w:t>45</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55</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45</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sz w:val="21"/>
              </w:rPr>
            </w:pPr>
            <w:r>
              <w:rPr>
                <w:rFonts w:hint="eastAsia" w:eastAsia="宋体" w:cs="Times New Roman"/>
                <w:color w:val="000000" w:themeColor="text1"/>
                <w:sz w:val="21"/>
              </w:rPr>
              <w:t>Z2</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2019.5.20</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56</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42</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54</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42</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sz w:val="21"/>
              </w:rPr>
            </w:pPr>
            <w:r>
              <w:rPr>
                <w:rFonts w:hint="eastAsia" w:eastAsia="宋体" w:cs="Times New Roman"/>
                <w:color w:val="000000" w:themeColor="text1"/>
                <w:sz w:val="21"/>
              </w:rPr>
              <w:t>Z3</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2019.5.20</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54</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44</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56</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65</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43</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sz w:val="21"/>
              </w:rPr>
            </w:pPr>
            <w:r>
              <w:rPr>
                <w:rFonts w:hint="eastAsia" w:eastAsia="宋体" w:cs="Times New Roman"/>
                <w:color w:val="000000" w:themeColor="text1"/>
                <w:sz w:val="21"/>
              </w:rPr>
              <w:t>Z4</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2019.5.20</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52</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40</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2019.5.21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51</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40</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szCs w:val="20"/>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bl>
    <w:p>
      <w:pPr>
        <w:pStyle w:val="14"/>
        <w:ind w:firstLine="480" w:firstLineChars="200"/>
        <w:jc w:val="both"/>
        <w:rPr>
          <w:b w:val="0"/>
          <w:color w:val="000000" w:themeColor="text1"/>
        </w:rPr>
      </w:pPr>
      <w:r>
        <w:rPr>
          <w:rFonts w:hint="eastAsia"/>
          <w:b w:val="0"/>
          <w:color w:val="000000" w:themeColor="text1"/>
        </w:rPr>
        <w:t>由</w:t>
      </w:r>
      <w:r>
        <w:rPr>
          <w:b w:val="0"/>
          <w:bCs w:val="0"/>
        </w:rPr>
        <w:fldChar w:fldCharType="begin"/>
      </w:r>
      <w:r>
        <w:rPr>
          <w:b w:val="0"/>
          <w:bCs w:val="0"/>
        </w:rPr>
        <w:instrText xml:space="preserve"> REF _Ref494379655 \h  \* MERGEFORMAT </w:instrText>
      </w:r>
      <w:r>
        <w:rPr>
          <w:b w:val="0"/>
          <w:bCs w:val="0"/>
        </w:rPr>
        <w:fldChar w:fldCharType="separate"/>
      </w:r>
      <w:r>
        <w:rPr>
          <w:rFonts w:hint="eastAsia"/>
          <w:b w:val="0"/>
          <w:bCs w:val="0"/>
          <w:color w:val="000000" w:themeColor="text1"/>
        </w:rPr>
        <w:t>表</w:t>
      </w:r>
      <w:r>
        <w:rPr>
          <w:rFonts w:hint="eastAsia"/>
          <w:b w:val="0"/>
          <w:bCs w:val="0"/>
          <w:color w:val="000000" w:themeColor="text1"/>
        </w:rPr>
        <w:fldChar w:fldCharType="begin"/>
      </w:r>
      <w:r>
        <w:rPr>
          <w:rFonts w:hint="eastAsia"/>
          <w:b w:val="0"/>
          <w:bCs w:val="0"/>
          <w:color w:val="000000" w:themeColor="text1"/>
        </w:rPr>
        <w:instrText xml:space="preserve">STYLEREF 2</w:instrText>
      </w:r>
      <w:r>
        <w:rPr>
          <w:rFonts w:hint="eastAsia"/>
          <w:b w:val="0"/>
          <w:bCs w:val="0"/>
        </w:rPr>
        <w:instrText xml:space="preserve"> \s</w:instrText>
      </w:r>
      <w:r>
        <w:rPr>
          <w:b w:val="0"/>
          <w:bCs w:val="0"/>
        </w:rPr>
        <w:fldChar w:fldCharType="separate"/>
      </w:r>
      <w:r>
        <w:rPr>
          <w:b w:val="0"/>
          <w:bCs w:val="0"/>
        </w:rPr>
        <w:t>3.3</w:t>
      </w:r>
      <w:r>
        <w:rPr>
          <w:b w:val="0"/>
          <w:bCs w:val="0"/>
        </w:rPr>
        <w:fldChar w:fldCharType="end"/>
      </w:r>
      <w:r>
        <w:rPr>
          <w:b w:val="0"/>
          <w:bCs w:val="0"/>
        </w:rPr>
        <w:noBreakHyphen/>
      </w:r>
      <w:r>
        <w:rPr>
          <w:rFonts w:hint="eastAsia"/>
          <w:b w:val="0"/>
          <w:bCs w:val="0"/>
        </w:rPr>
        <w:t>11</w:t>
      </w:r>
      <w:r>
        <w:rPr>
          <w:b w:val="0"/>
          <w:bCs w:val="0"/>
          <w:color w:val="000000" w:themeColor="text1"/>
        </w:rPr>
        <w:fldChar w:fldCharType="end"/>
      </w:r>
      <w:r>
        <w:rPr>
          <w:rFonts w:hint="eastAsia"/>
          <w:b w:val="0"/>
          <w:color w:val="000000" w:themeColor="text1"/>
        </w:rPr>
        <w:t>可知，</w:t>
      </w:r>
      <w:r>
        <w:rPr>
          <w:b w:val="0"/>
          <w:color w:val="000000" w:themeColor="text1"/>
        </w:rPr>
        <w:t>在项目所在地和周边敏感点设置了</w:t>
      </w:r>
      <w:r>
        <w:rPr>
          <w:rFonts w:hint="eastAsia"/>
          <w:b w:val="0"/>
          <w:color w:val="000000" w:themeColor="text1"/>
        </w:rPr>
        <w:t>4</w:t>
      </w:r>
      <w:r>
        <w:rPr>
          <w:b w:val="0"/>
          <w:color w:val="000000" w:themeColor="text1"/>
        </w:rPr>
        <w:t>个声环境监测点，监测因子为等效A声级。监测结果表明项目所在地声环境质量满足《声环境质量标准》GB3096-2008中的</w:t>
      </w:r>
      <w:r>
        <w:rPr>
          <w:rFonts w:hint="eastAsia"/>
          <w:b w:val="0"/>
          <w:color w:val="000000" w:themeColor="text1"/>
        </w:rPr>
        <w:t>2</w:t>
      </w:r>
      <w:r>
        <w:rPr>
          <w:b w:val="0"/>
          <w:color w:val="000000" w:themeColor="text1"/>
        </w:rPr>
        <w:t>类标准。</w:t>
      </w:r>
    </w:p>
    <w:p>
      <w:pPr>
        <w:pStyle w:val="5"/>
        <w:rPr>
          <w:color w:val="000000" w:themeColor="text1"/>
        </w:rPr>
      </w:pPr>
      <w:bookmarkStart w:id="147" w:name="_Toc532497652"/>
      <w:r>
        <w:rPr>
          <w:rFonts w:hint="eastAsia"/>
          <w:color w:val="000000" w:themeColor="text1"/>
        </w:rPr>
        <w:t>土壤环境质量现状</w:t>
      </w:r>
    </w:p>
    <w:p>
      <w:pPr>
        <w:spacing w:line="360" w:lineRule="auto"/>
        <w:ind w:firstLine="480" w:firstLineChars="200"/>
        <w:rPr>
          <w:rFonts w:cs="Times New Roman"/>
          <w:color w:val="000000" w:themeColor="text1"/>
        </w:rPr>
      </w:pPr>
      <w:r>
        <w:rPr>
          <w:rFonts w:cs="Times New Roman"/>
          <w:color w:val="000000" w:themeColor="text1"/>
          <w:szCs w:val="20"/>
        </w:rPr>
        <w:t>为了解项目所在地土壤环境现状，本次环评委托</w:t>
      </w:r>
      <w:r>
        <w:rPr>
          <w:rFonts w:hint="eastAsia" w:ascii="Times New Roman" w:hAnsi="Times New Roman" w:eastAsiaTheme="minorEastAsia" w:cstheme="minorBidi"/>
          <w:kern w:val="2"/>
          <w:sz w:val="24"/>
          <w:szCs w:val="21"/>
          <w:lang w:val="en-US" w:eastAsia="zh-CN" w:bidi="ar-SA"/>
        </w:rPr>
        <w:t>湖南昌源环境科技有限公司</w:t>
      </w:r>
      <w:r>
        <w:rPr>
          <w:rFonts w:cs="Times New Roman"/>
          <w:color w:val="000000" w:themeColor="text1"/>
        </w:rPr>
        <w:t>对项目所在地土壤环境现状进行评价，监测采样时间为2019年5月21日。</w:t>
      </w:r>
    </w:p>
    <w:p>
      <w:pPr>
        <w:numPr>
          <w:ilvl w:val="0"/>
          <w:numId w:val="10"/>
        </w:numPr>
        <w:spacing w:line="360" w:lineRule="auto"/>
        <w:ind w:firstLine="480" w:firstLineChars="200"/>
        <w:rPr>
          <w:rFonts w:cs="Times New Roman"/>
          <w:color w:val="000000" w:themeColor="text1"/>
        </w:rPr>
      </w:pPr>
      <w:r>
        <w:rPr>
          <w:rFonts w:cs="Times New Roman"/>
          <w:color w:val="000000" w:themeColor="text1"/>
        </w:rPr>
        <w:t>监测点位如下表所示。</w:t>
      </w:r>
    </w:p>
    <w:p>
      <w:pPr>
        <w:pStyle w:val="14"/>
        <w:spacing w:line="240" w:lineRule="auto"/>
        <w:rPr>
          <w:color w:val="000000" w:themeColor="text1"/>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14</w:t>
      </w:r>
      <w:r>
        <w:rPr>
          <w:color w:val="000000" w:themeColor="text1"/>
        </w:rPr>
        <w:fldChar w:fldCharType="end"/>
      </w:r>
      <w:r>
        <w:rPr>
          <w:rFonts w:hint="eastAsia"/>
          <w:color w:val="000000" w:themeColor="text1"/>
        </w:rPr>
        <w:t xml:space="preserve">  土壤现状监测点一览表</w:t>
      </w:r>
    </w:p>
    <w:tbl>
      <w:tblPr>
        <w:tblStyle w:val="38"/>
        <w:tblW w:w="92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70"/>
        <w:gridCol w:w="1499"/>
        <w:gridCol w:w="65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3" w:hRule="atLeast"/>
          <w:jc w:val="center"/>
        </w:trPr>
        <w:tc>
          <w:tcPr>
            <w:tcW w:w="1170" w:type="dxa"/>
            <w:tcBorders>
              <w:top w:val="single" w:color="000000" w:sz="12" w:space="0"/>
              <w:left w:val="nil"/>
              <w:bottom w:val="single" w:color="auto" w:sz="4" w:space="0"/>
            </w:tcBorders>
            <w:vAlign w:val="center"/>
          </w:tcPr>
          <w:p>
            <w:pPr>
              <w:jc w:val="center"/>
              <w:rPr>
                <w:caps/>
                <w:sz w:val="21"/>
              </w:rPr>
            </w:pPr>
            <w:r>
              <w:rPr>
                <w:caps/>
                <w:sz w:val="21"/>
              </w:rPr>
              <w:t>监测点</w:t>
            </w:r>
          </w:p>
        </w:tc>
        <w:tc>
          <w:tcPr>
            <w:tcW w:w="1499" w:type="dxa"/>
            <w:tcBorders>
              <w:top w:val="single" w:color="000000" w:sz="12" w:space="0"/>
              <w:bottom w:val="single" w:color="auto" w:sz="4" w:space="0"/>
            </w:tcBorders>
            <w:vAlign w:val="center"/>
          </w:tcPr>
          <w:p>
            <w:pPr>
              <w:jc w:val="center"/>
              <w:rPr>
                <w:caps/>
                <w:sz w:val="21"/>
              </w:rPr>
            </w:pPr>
            <w:r>
              <w:rPr>
                <w:caps/>
                <w:sz w:val="21"/>
              </w:rPr>
              <w:t>采样类型</w:t>
            </w:r>
          </w:p>
        </w:tc>
        <w:tc>
          <w:tcPr>
            <w:tcW w:w="6573" w:type="dxa"/>
            <w:tcBorders>
              <w:top w:val="single" w:color="000000" w:sz="12" w:space="0"/>
              <w:bottom w:val="single" w:color="auto" w:sz="4" w:space="0"/>
              <w:right w:val="nil"/>
            </w:tcBorders>
            <w:vAlign w:val="center"/>
          </w:tcPr>
          <w:p>
            <w:pPr>
              <w:jc w:val="center"/>
              <w:rPr>
                <w:caps/>
                <w:sz w:val="21"/>
              </w:rPr>
            </w:pPr>
            <w:r>
              <w:rPr>
                <w:caps/>
                <w:sz w:val="21"/>
              </w:rPr>
              <w:t>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5" w:hRule="atLeast"/>
          <w:jc w:val="center"/>
        </w:trPr>
        <w:tc>
          <w:tcPr>
            <w:tcW w:w="1170" w:type="dxa"/>
            <w:tcBorders>
              <w:left w:val="nil"/>
            </w:tcBorders>
            <w:vAlign w:val="center"/>
          </w:tcPr>
          <w:p>
            <w:pPr>
              <w:jc w:val="center"/>
              <w:rPr>
                <w:bCs/>
                <w:color w:val="000000"/>
                <w:sz w:val="21"/>
              </w:rPr>
            </w:pPr>
            <w:r>
              <w:rPr>
                <w:bCs/>
                <w:color w:val="000000"/>
                <w:sz w:val="21"/>
              </w:rPr>
              <w:t>D1</w:t>
            </w:r>
          </w:p>
        </w:tc>
        <w:tc>
          <w:tcPr>
            <w:tcW w:w="1499" w:type="dxa"/>
            <w:tcBorders>
              <w:bottom w:val="single" w:color="auto" w:sz="4" w:space="0"/>
            </w:tcBorders>
            <w:vAlign w:val="center"/>
          </w:tcPr>
          <w:p>
            <w:pPr>
              <w:jc w:val="center"/>
              <w:rPr>
                <w:sz w:val="21"/>
              </w:rPr>
            </w:pPr>
            <w:r>
              <w:rPr>
                <w:sz w:val="21"/>
              </w:rPr>
              <w:t>表层样</w:t>
            </w:r>
          </w:p>
        </w:tc>
        <w:tc>
          <w:tcPr>
            <w:tcW w:w="6573" w:type="dxa"/>
            <w:vMerge w:val="restart"/>
            <w:tcBorders>
              <w:right w:val="nil"/>
            </w:tcBorders>
            <w:vAlign w:val="center"/>
          </w:tcPr>
          <w:p>
            <w:pPr>
              <w:jc w:val="center"/>
              <w:rPr>
                <w:sz w:val="21"/>
              </w:rPr>
            </w:pPr>
            <w:r>
              <w:rPr>
                <w:sz w:val="21"/>
              </w:rPr>
              <w:t>执行《土壤环境质量建设用地土壤污染风险管控标准（实行）》（GB36600-2018）中筛选值中的第二类用地标准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5" w:hRule="atLeast"/>
          <w:jc w:val="center"/>
        </w:trPr>
        <w:tc>
          <w:tcPr>
            <w:tcW w:w="1170" w:type="dxa"/>
            <w:tcBorders>
              <w:left w:val="nil"/>
            </w:tcBorders>
            <w:vAlign w:val="center"/>
          </w:tcPr>
          <w:p>
            <w:pPr>
              <w:jc w:val="center"/>
              <w:rPr>
                <w:bCs/>
                <w:color w:val="000000"/>
                <w:sz w:val="21"/>
              </w:rPr>
            </w:pPr>
            <w:r>
              <w:rPr>
                <w:bCs/>
                <w:color w:val="000000"/>
                <w:sz w:val="21"/>
              </w:rPr>
              <w:t>D2</w:t>
            </w:r>
          </w:p>
        </w:tc>
        <w:tc>
          <w:tcPr>
            <w:tcW w:w="1499" w:type="dxa"/>
            <w:tcBorders>
              <w:top w:val="single" w:color="auto" w:sz="4" w:space="0"/>
            </w:tcBorders>
            <w:vAlign w:val="center"/>
          </w:tcPr>
          <w:p>
            <w:pPr>
              <w:jc w:val="center"/>
            </w:pPr>
            <w:r>
              <w:rPr>
                <w:sz w:val="21"/>
              </w:rPr>
              <w:t>表层样</w:t>
            </w:r>
          </w:p>
        </w:tc>
        <w:tc>
          <w:tcPr>
            <w:tcW w:w="6573" w:type="dxa"/>
            <w:vMerge w:val="continue"/>
            <w:tcBorders>
              <w:right w:val="nil"/>
            </w:tcBorders>
            <w:vAlign w:val="center"/>
          </w:tcPr>
          <w:p>
            <w:pPr>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13" w:hRule="atLeast"/>
          <w:jc w:val="center"/>
        </w:trPr>
        <w:tc>
          <w:tcPr>
            <w:tcW w:w="1170" w:type="dxa"/>
            <w:tcBorders>
              <w:left w:val="nil"/>
              <w:bottom w:val="single" w:color="000000" w:sz="12" w:space="0"/>
            </w:tcBorders>
            <w:vAlign w:val="center"/>
          </w:tcPr>
          <w:p>
            <w:pPr>
              <w:jc w:val="center"/>
              <w:rPr>
                <w:bCs/>
                <w:color w:val="000000"/>
                <w:sz w:val="21"/>
              </w:rPr>
            </w:pPr>
            <w:r>
              <w:rPr>
                <w:bCs/>
                <w:color w:val="000000"/>
                <w:sz w:val="21"/>
              </w:rPr>
              <w:t>D3</w:t>
            </w:r>
          </w:p>
        </w:tc>
        <w:tc>
          <w:tcPr>
            <w:tcW w:w="1499" w:type="dxa"/>
            <w:tcBorders>
              <w:bottom w:val="single" w:color="000000" w:sz="12" w:space="0"/>
            </w:tcBorders>
            <w:vAlign w:val="center"/>
          </w:tcPr>
          <w:p>
            <w:pPr>
              <w:jc w:val="center"/>
            </w:pPr>
            <w:r>
              <w:rPr>
                <w:sz w:val="21"/>
              </w:rPr>
              <w:t>表层样</w:t>
            </w:r>
          </w:p>
        </w:tc>
        <w:tc>
          <w:tcPr>
            <w:tcW w:w="6573" w:type="dxa"/>
            <w:vMerge w:val="continue"/>
            <w:tcBorders>
              <w:bottom w:val="single" w:color="000000" w:sz="12" w:space="0"/>
              <w:right w:val="nil"/>
            </w:tcBorders>
            <w:vAlign w:val="center"/>
          </w:tcPr>
          <w:p>
            <w:pPr>
              <w:jc w:val="center"/>
              <w:rPr>
                <w:sz w:val="21"/>
              </w:rPr>
            </w:pPr>
          </w:p>
        </w:tc>
      </w:tr>
    </w:tbl>
    <w:p>
      <w:pPr>
        <w:pStyle w:val="14"/>
        <w:ind w:firstLine="480" w:firstLineChars="200"/>
        <w:jc w:val="both"/>
        <w:rPr>
          <w:rFonts w:cs="Times New Roman"/>
          <w:b w:val="0"/>
          <w:color w:val="000000" w:themeColor="text1"/>
        </w:rPr>
      </w:pPr>
      <w:r>
        <w:rPr>
          <w:rFonts w:cs="Times New Roman"/>
          <w:b w:val="0"/>
          <w:color w:val="000000" w:themeColor="text1"/>
        </w:rPr>
        <w:t>（2）监测因子：砷、镉、铬（六价）、铜、铅、汞、镍。</w:t>
      </w:r>
    </w:p>
    <w:p>
      <w:pPr>
        <w:spacing w:line="360" w:lineRule="auto"/>
        <w:ind w:firstLine="480" w:firstLineChars="200"/>
        <w:rPr>
          <w:rFonts w:cs="Times New Roman"/>
          <w:color w:val="000000" w:themeColor="text1"/>
          <w:kern w:val="0"/>
          <w:szCs w:val="22"/>
        </w:rPr>
      </w:pPr>
      <w:r>
        <w:rPr>
          <w:rFonts w:cs="Times New Roman"/>
          <w:color w:val="000000" w:themeColor="text1"/>
        </w:rPr>
        <w:t>（3）</w:t>
      </w:r>
      <w:r>
        <w:rPr>
          <w:rFonts w:cs="Times New Roman"/>
          <w:color w:val="000000" w:themeColor="text1"/>
          <w:spacing w:val="8"/>
          <w:kern w:val="0"/>
          <w:szCs w:val="22"/>
        </w:rPr>
        <w:t>监测时间及频次：</w:t>
      </w:r>
      <w:r>
        <w:rPr>
          <w:rFonts w:cs="Times New Roman"/>
          <w:color w:val="000000" w:themeColor="text1"/>
        </w:rPr>
        <w:t>2019年5月21日，</w:t>
      </w:r>
      <w:r>
        <w:rPr>
          <w:rFonts w:cs="Times New Roman"/>
          <w:color w:val="000000" w:themeColor="text1"/>
          <w:kern w:val="0"/>
          <w:szCs w:val="22"/>
        </w:rPr>
        <w:t>取一次样。</w:t>
      </w:r>
    </w:p>
    <w:p>
      <w:pPr>
        <w:spacing w:line="360" w:lineRule="auto"/>
        <w:ind w:firstLine="480" w:firstLineChars="200"/>
        <w:rPr>
          <w:rFonts w:cs="Times New Roman"/>
          <w:kern w:val="0"/>
          <w:szCs w:val="22"/>
        </w:rPr>
      </w:pPr>
      <w:r>
        <w:rPr>
          <w:rFonts w:cs="Times New Roman"/>
          <w:kern w:val="0"/>
          <w:szCs w:val="22"/>
        </w:rPr>
        <w:t>（4）监测结果如下表：</w:t>
      </w:r>
    </w:p>
    <w:p>
      <w:pPr>
        <w:pStyle w:val="14"/>
        <w:spacing w:line="240" w:lineRule="auto"/>
      </w:pPr>
      <w:r>
        <w:rPr>
          <w:rFonts w:hint="eastAsia"/>
          <w:kern w:val="0"/>
          <w:szCs w:val="22"/>
        </w:rPr>
        <w:t>表</w:t>
      </w:r>
      <w:r>
        <w:rPr>
          <w:kern w:val="0"/>
          <w:szCs w:val="22"/>
        </w:rPr>
        <w:fldChar w:fldCharType="begin"/>
      </w:r>
      <w:r>
        <w:rPr>
          <w:rFonts w:hint="eastAsia"/>
          <w:kern w:val="0"/>
          <w:szCs w:val="22"/>
        </w:rPr>
        <w:instrText xml:space="preserve">STYLEREF 2 \s</w:instrText>
      </w:r>
      <w:r>
        <w:rPr>
          <w:kern w:val="0"/>
          <w:szCs w:val="22"/>
        </w:rPr>
        <w:fldChar w:fldCharType="separate"/>
      </w:r>
      <w:r>
        <w:rPr>
          <w:kern w:val="0"/>
          <w:szCs w:val="22"/>
        </w:rPr>
        <w:t>3.3</w:t>
      </w:r>
      <w:r>
        <w:rPr>
          <w:kern w:val="0"/>
          <w:szCs w:val="22"/>
        </w:rPr>
        <w:fldChar w:fldCharType="end"/>
      </w:r>
      <w:r>
        <w:rPr>
          <w:kern w:val="0"/>
          <w:szCs w:val="22"/>
        </w:rPr>
        <w:noBreakHyphen/>
      </w:r>
      <w:r>
        <w:rPr>
          <w:kern w:val="0"/>
          <w:szCs w:val="22"/>
        </w:rPr>
        <w:fldChar w:fldCharType="begin"/>
      </w:r>
      <w:r>
        <w:rPr>
          <w:rFonts w:hint="eastAsia"/>
          <w:kern w:val="0"/>
          <w:szCs w:val="22"/>
        </w:rPr>
        <w:instrText xml:space="preserve">SEQ 表 \* ARABIC \s 2</w:instrText>
      </w:r>
      <w:r>
        <w:rPr>
          <w:kern w:val="0"/>
          <w:szCs w:val="22"/>
        </w:rPr>
        <w:fldChar w:fldCharType="separate"/>
      </w:r>
      <w:r>
        <w:rPr>
          <w:rFonts w:hint="eastAsia"/>
          <w:kern w:val="0"/>
          <w:szCs w:val="22"/>
        </w:rPr>
        <w:t>15</w:t>
      </w:r>
      <w:r>
        <w:rPr>
          <w:kern w:val="0"/>
          <w:szCs w:val="22"/>
        </w:rPr>
        <w:fldChar w:fldCharType="end"/>
      </w:r>
      <w:r>
        <w:rPr>
          <w:rFonts w:hint="eastAsia"/>
        </w:rPr>
        <w:t xml:space="preserve">  土壤监测评价结果一览表（单位：</w:t>
      </w:r>
      <w:r>
        <w:rPr>
          <w:bCs/>
          <w:color w:val="000000"/>
          <w:sz w:val="21"/>
          <w:szCs w:val="21"/>
        </w:rPr>
        <w:t>mg/kg</w:t>
      </w:r>
      <w:r>
        <w:rPr>
          <w:rFonts w:hint="eastAsia"/>
        </w:rPr>
        <w:t>）</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067"/>
        <w:gridCol w:w="2492"/>
        <w:gridCol w:w="2479"/>
        <w:gridCol w:w="1031"/>
        <w:gridCol w:w="1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56" w:type="dxa"/>
            <w:vAlign w:val="center"/>
          </w:tcPr>
          <w:p>
            <w:pPr>
              <w:jc w:val="center"/>
              <w:rPr>
                <w:color w:val="000000"/>
                <w:sz w:val="21"/>
              </w:rPr>
            </w:pPr>
            <w:r>
              <w:rPr>
                <w:color w:val="000000"/>
                <w:sz w:val="21"/>
              </w:rPr>
              <w:t>采样时间</w:t>
            </w:r>
          </w:p>
        </w:tc>
        <w:tc>
          <w:tcPr>
            <w:tcW w:w="1067" w:type="dxa"/>
            <w:vAlign w:val="center"/>
          </w:tcPr>
          <w:p>
            <w:pPr>
              <w:jc w:val="center"/>
              <w:rPr>
                <w:color w:val="000000"/>
                <w:sz w:val="21"/>
              </w:rPr>
            </w:pPr>
            <w:r>
              <w:rPr>
                <w:color w:val="000000"/>
                <w:sz w:val="21"/>
              </w:rPr>
              <w:t>检测</w:t>
            </w:r>
          </w:p>
          <w:p>
            <w:pPr>
              <w:jc w:val="center"/>
              <w:rPr>
                <w:color w:val="000000"/>
                <w:sz w:val="21"/>
              </w:rPr>
            </w:pPr>
            <w:r>
              <w:rPr>
                <w:color w:val="000000"/>
                <w:sz w:val="21"/>
              </w:rPr>
              <w:t>项目</w:t>
            </w:r>
          </w:p>
        </w:tc>
        <w:tc>
          <w:tcPr>
            <w:tcW w:w="2492" w:type="dxa"/>
            <w:vAlign w:val="center"/>
          </w:tcPr>
          <w:p>
            <w:pPr>
              <w:jc w:val="center"/>
              <w:rPr>
                <w:color w:val="000000"/>
                <w:sz w:val="21"/>
              </w:rPr>
            </w:pPr>
            <w:r>
              <w:rPr>
                <w:color w:val="000000"/>
                <w:sz w:val="21"/>
              </w:rPr>
              <w:t>采样位置</w:t>
            </w:r>
          </w:p>
        </w:tc>
        <w:tc>
          <w:tcPr>
            <w:tcW w:w="2479" w:type="dxa"/>
            <w:vAlign w:val="center"/>
          </w:tcPr>
          <w:p>
            <w:pPr>
              <w:jc w:val="center"/>
              <w:rPr>
                <w:color w:val="000000"/>
                <w:sz w:val="21"/>
              </w:rPr>
            </w:pPr>
            <w:r>
              <w:rPr>
                <w:color w:val="000000"/>
                <w:sz w:val="21"/>
              </w:rPr>
              <w:t>检测结果(</w:t>
            </w:r>
            <w:r>
              <w:rPr>
                <w:bCs/>
                <w:color w:val="000000"/>
                <w:sz w:val="21"/>
              </w:rPr>
              <w:t>mg/kg</w:t>
            </w:r>
            <w:r>
              <w:rPr>
                <w:color w:val="000000"/>
                <w:sz w:val="21"/>
              </w:rPr>
              <w:t>)</w:t>
            </w:r>
          </w:p>
        </w:tc>
        <w:tc>
          <w:tcPr>
            <w:tcW w:w="1031" w:type="dxa"/>
            <w:vAlign w:val="center"/>
          </w:tcPr>
          <w:p>
            <w:pPr>
              <w:jc w:val="center"/>
              <w:rPr>
                <w:color w:val="000000"/>
                <w:sz w:val="21"/>
              </w:rPr>
            </w:pPr>
            <w:r>
              <w:rPr>
                <w:color w:val="000000"/>
                <w:sz w:val="21"/>
              </w:rPr>
              <w:t>评价标准</w:t>
            </w:r>
          </w:p>
        </w:tc>
        <w:tc>
          <w:tcPr>
            <w:tcW w:w="1017" w:type="dxa"/>
            <w:vAlign w:val="center"/>
          </w:tcPr>
          <w:p>
            <w:pPr>
              <w:jc w:val="center"/>
              <w:rPr>
                <w:color w:val="000000"/>
                <w:sz w:val="21"/>
              </w:rPr>
            </w:pPr>
            <w:r>
              <w:rPr>
                <w:color w:val="000000"/>
                <w:sz w:val="21"/>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restart"/>
            <w:vAlign w:val="center"/>
          </w:tcPr>
          <w:p>
            <w:pPr>
              <w:jc w:val="center"/>
              <w:rPr>
                <w:color w:val="000000" w:themeColor="text1"/>
                <w:sz w:val="21"/>
              </w:rPr>
            </w:pPr>
            <w:r>
              <w:rPr>
                <w:rFonts w:hint="eastAsia"/>
                <w:color w:val="000000" w:themeColor="text1"/>
                <w:sz w:val="21"/>
              </w:rPr>
              <w:t>5</w:t>
            </w:r>
            <w:r>
              <w:rPr>
                <w:color w:val="000000" w:themeColor="text1"/>
                <w:sz w:val="21"/>
              </w:rPr>
              <w:t>月</w:t>
            </w:r>
            <w:r>
              <w:rPr>
                <w:rFonts w:hint="eastAsia"/>
                <w:color w:val="000000" w:themeColor="text1"/>
                <w:sz w:val="21"/>
              </w:rPr>
              <w:t>21</w:t>
            </w:r>
            <w:r>
              <w:rPr>
                <w:color w:val="000000" w:themeColor="text1"/>
                <w:sz w:val="21"/>
              </w:rPr>
              <w:t>日</w:t>
            </w:r>
          </w:p>
        </w:tc>
        <w:tc>
          <w:tcPr>
            <w:tcW w:w="1067" w:type="dxa"/>
            <w:vMerge w:val="restart"/>
            <w:vAlign w:val="center"/>
          </w:tcPr>
          <w:p>
            <w:pPr>
              <w:jc w:val="center"/>
              <w:rPr>
                <w:sz w:val="21"/>
              </w:rPr>
            </w:pPr>
            <w:r>
              <w:rPr>
                <w:rFonts w:hint="eastAsia" w:ascii="宋体" w:hAnsi="宋体"/>
                <w:color w:val="000000"/>
                <w:spacing w:val="-5"/>
                <w:sz w:val="21"/>
              </w:rPr>
              <w:t>汞</w:t>
            </w: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0.076</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38</w:t>
            </w:r>
          </w:p>
        </w:tc>
        <w:tc>
          <w:tcPr>
            <w:tcW w:w="1017" w:type="dxa"/>
            <w:vAlign w:val="center"/>
          </w:tcPr>
          <w:p>
            <w:pPr>
              <w:jc w:val="center"/>
              <w:rPr>
                <w:color w:val="000000"/>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0.069</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38</w:t>
            </w:r>
          </w:p>
        </w:tc>
        <w:tc>
          <w:tcPr>
            <w:tcW w:w="1017" w:type="dxa"/>
            <w:vAlign w:val="center"/>
          </w:tcPr>
          <w:p>
            <w:pPr>
              <w:jc w:val="center"/>
              <w:rPr>
                <w:color w:val="000000"/>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0.046</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38</w:t>
            </w:r>
          </w:p>
        </w:tc>
        <w:tc>
          <w:tcPr>
            <w:tcW w:w="1017" w:type="dxa"/>
            <w:vAlign w:val="center"/>
          </w:tcPr>
          <w:p>
            <w:pPr>
              <w:jc w:val="center"/>
              <w:rPr>
                <w:color w:val="000000"/>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restart"/>
            <w:vAlign w:val="center"/>
          </w:tcPr>
          <w:p>
            <w:pPr>
              <w:jc w:val="center"/>
              <w:rPr>
                <w:sz w:val="21"/>
              </w:rPr>
            </w:pPr>
            <w:r>
              <w:rPr>
                <w:rFonts w:hint="eastAsia" w:ascii="宋体" w:hAnsi="宋体"/>
                <w:sz w:val="21"/>
              </w:rPr>
              <w:t>砷</w:t>
            </w: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15.3</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60</w:t>
            </w:r>
          </w:p>
        </w:tc>
        <w:tc>
          <w:tcPr>
            <w:tcW w:w="1017" w:type="dxa"/>
            <w:vAlign w:val="center"/>
          </w:tcPr>
          <w:p>
            <w:pPr>
              <w:jc w:val="center"/>
              <w:rPr>
                <w:color w:val="000000"/>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13.8</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60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12.6</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60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restart"/>
            <w:vAlign w:val="center"/>
          </w:tcPr>
          <w:p>
            <w:pPr>
              <w:jc w:val="center"/>
              <w:rPr>
                <w:sz w:val="21"/>
              </w:rPr>
            </w:pPr>
            <w:r>
              <w:rPr>
                <w:rFonts w:hint="eastAsia" w:ascii="宋体" w:hAnsi="宋体"/>
                <w:sz w:val="21"/>
              </w:rPr>
              <w:t>铜</w:t>
            </w: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33</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18000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23</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18000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34</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18000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restart"/>
            <w:vAlign w:val="center"/>
          </w:tcPr>
          <w:p>
            <w:pPr>
              <w:jc w:val="center"/>
              <w:rPr>
                <w:sz w:val="21"/>
              </w:rPr>
            </w:pPr>
            <w:r>
              <w:rPr>
                <w:rFonts w:hint="eastAsia" w:ascii="宋体" w:hAnsi="宋体"/>
                <w:sz w:val="21"/>
              </w:rPr>
              <w:t>铅</w:t>
            </w: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18.8</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800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24.6</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800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21.0</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800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restart"/>
            <w:vAlign w:val="center"/>
          </w:tcPr>
          <w:p>
            <w:pPr>
              <w:jc w:val="center"/>
              <w:rPr>
                <w:sz w:val="21"/>
              </w:rPr>
            </w:pPr>
            <w:r>
              <w:rPr>
                <w:rFonts w:hint="eastAsia" w:ascii="宋体" w:hAnsi="宋体"/>
                <w:sz w:val="21"/>
              </w:rPr>
              <w:t>铬</w:t>
            </w: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45</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5.7</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52</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5.7</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32</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5.7</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restart"/>
            <w:vAlign w:val="center"/>
          </w:tcPr>
          <w:p>
            <w:pPr>
              <w:jc w:val="center"/>
              <w:rPr>
                <w:sz w:val="21"/>
              </w:rPr>
            </w:pPr>
            <w:r>
              <w:rPr>
                <w:rFonts w:hint="eastAsia" w:ascii="宋体" w:hAnsi="宋体"/>
                <w:color w:val="000000"/>
                <w:spacing w:val="-5"/>
                <w:sz w:val="21"/>
              </w:rPr>
              <w:t>镍</w:t>
            </w:r>
          </w:p>
          <w:p>
            <w:pPr>
              <w:widowControl/>
              <w:jc w:val="center"/>
              <w:rPr>
                <w:color w:val="000000"/>
                <w:sz w:val="21"/>
              </w:rPr>
            </w:pP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30</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900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24</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900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24</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900</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restart"/>
            <w:vAlign w:val="center"/>
          </w:tcPr>
          <w:p>
            <w:pPr>
              <w:jc w:val="center"/>
              <w:rPr>
                <w:sz w:val="21"/>
              </w:rPr>
            </w:pPr>
            <w:r>
              <w:rPr>
                <w:rFonts w:hint="eastAsia" w:ascii="宋体" w:hAnsi="宋体"/>
                <w:sz w:val="21"/>
              </w:rPr>
              <w:t>镉</w:t>
            </w:r>
          </w:p>
        </w:tc>
        <w:tc>
          <w:tcPr>
            <w:tcW w:w="2492" w:type="dxa"/>
            <w:vAlign w:val="center"/>
          </w:tcPr>
          <w:p>
            <w:pPr>
              <w:jc w:val="center"/>
              <w:rPr>
                <w:color w:val="000000"/>
                <w:sz w:val="21"/>
              </w:rPr>
            </w:pPr>
            <w:r>
              <w:rPr>
                <w:rFonts w:hint="eastAsia"/>
                <w:color w:val="000000"/>
                <w:sz w:val="21"/>
              </w:rPr>
              <w:t>D1</w:t>
            </w:r>
          </w:p>
        </w:tc>
        <w:tc>
          <w:tcPr>
            <w:tcW w:w="2479" w:type="dxa"/>
            <w:vAlign w:val="center"/>
          </w:tcPr>
          <w:p>
            <w:pPr>
              <w:jc w:val="center"/>
              <w:rPr>
                <w:color w:val="000000"/>
                <w:sz w:val="21"/>
              </w:rPr>
            </w:pPr>
            <w:r>
              <w:rPr>
                <w:rFonts w:hint="eastAsia"/>
                <w:color w:val="000000"/>
                <w:sz w:val="21"/>
              </w:rPr>
              <w:t>0.54</w:t>
            </w:r>
          </w:p>
        </w:tc>
        <w:tc>
          <w:tcPr>
            <w:tcW w:w="1031" w:type="dxa"/>
            <w:vAlign w:val="center"/>
          </w:tcPr>
          <w:p>
            <w:pPr>
              <w:jc w:val="center"/>
              <w:rPr>
                <w:color w:val="000000"/>
                <w:sz w:val="21"/>
              </w:rPr>
            </w:pPr>
            <w:r>
              <w:rPr>
                <w:rFonts w:hint="eastAsia"/>
                <w:color w:val="000000" w:themeColor="text1"/>
                <w:kern w:val="0"/>
                <w:sz w:val="21"/>
              </w:rPr>
              <w:t>≤</w:t>
            </w:r>
            <w:r>
              <w:rPr>
                <w:rFonts w:hint="eastAsia"/>
                <w:color w:val="000000"/>
                <w:sz w:val="21"/>
              </w:rPr>
              <w:t>65</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D2</w:t>
            </w:r>
          </w:p>
        </w:tc>
        <w:tc>
          <w:tcPr>
            <w:tcW w:w="2479" w:type="dxa"/>
            <w:vAlign w:val="center"/>
          </w:tcPr>
          <w:p>
            <w:pPr>
              <w:jc w:val="center"/>
              <w:rPr>
                <w:color w:val="000000"/>
                <w:sz w:val="21"/>
              </w:rPr>
            </w:pPr>
            <w:r>
              <w:rPr>
                <w:rFonts w:hint="eastAsia"/>
                <w:color w:val="000000"/>
                <w:sz w:val="21"/>
              </w:rPr>
              <w:t>0.53</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65</w:t>
            </w:r>
          </w:p>
        </w:tc>
        <w:tc>
          <w:tcPr>
            <w:tcW w:w="1017" w:type="dxa"/>
            <w:vAlign w:val="center"/>
          </w:tcPr>
          <w:p>
            <w:pPr>
              <w:jc w:val="center"/>
              <w:rPr>
                <w:sz w:val="21"/>
              </w:rPr>
            </w:pPr>
            <w:r>
              <w:rPr>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6" w:type="dxa"/>
            <w:vMerge w:val="continue"/>
            <w:vAlign w:val="center"/>
          </w:tcPr>
          <w:p>
            <w:pPr>
              <w:widowControl/>
              <w:jc w:val="center"/>
              <w:rPr>
                <w:color w:val="000000"/>
                <w:sz w:val="21"/>
              </w:rPr>
            </w:pPr>
          </w:p>
        </w:tc>
        <w:tc>
          <w:tcPr>
            <w:tcW w:w="1067" w:type="dxa"/>
            <w:vMerge w:val="continue"/>
            <w:vAlign w:val="center"/>
          </w:tcPr>
          <w:p>
            <w:pPr>
              <w:widowControl/>
              <w:jc w:val="center"/>
              <w:rPr>
                <w:color w:val="000000"/>
                <w:sz w:val="21"/>
              </w:rPr>
            </w:pPr>
          </w:p>
        </w:tc>
        <w:tc>
          <w:tcPr>
            <w:tcW w:w="2492" w:type="dxa"/>
            <w:vAlign w:val="center"/>
          </w:tcPr>
          <w:p>
            <w:pPr>
              <w:jc w:val="center"/>
              <w:rPr>
                <w:sz w:val="21"/>
              </w:rPr>
            </w:pPr>
            <w:r>
              <w:rPr>
                <w:rFonts w:hint="eastAsia"/>
                <w:color w:val="000000"/>
                <w:sz w:val="21"/>
              </w:rPr>
              <w:t>D3</w:t>
            </w:r>
          </w:p>
        </w:tc>
        <w:tc>
          <w:tcPr>
            <w:tcW w:w="2479" w:type="dxa"/>
            <w:vAlign w:val="center"/>
          </w:tcPr>
          <w:p>
            <w:pPr>
              <w:jc w:val="center"/>
              <w:rPr>
                <w:color w:val="000000"/>
                <w:sz w:val="21"/>
              </w:rPr>
            </w:pPr>
            <w:r>
              <w:rPr>
                <w:rFonts w:hint="eastAsia"/>
                <w:color w:val="000000"/>
                <w:sz w:val="21"/>
              </w:rPr>
              <w:t>0.43</w:t>
            </w:r>
          </w:p>
        </w:tc>
        <w:tc>
          <w:tcPr>
            <w:tcW w:w="1031" w:type="dxa"/>
            <w:vAlign w:val="center"/>
          </w:tcPr>
          <w:p>
            <w:pPr>
              <w:jc w:val="center"/>
              <w:rPr>
                <w:sz w:val="21"/>
              </w:rPr>
            </w:pPr>
            <w:r>
              <w:rPr>
                <w:rFonts w:hint="eastAsia"/>
                <w:color w:val="000000" w:themeColor="text1"/>
                <w:kern w:val="0"/>
                <w:sz w:val="21"/>
              </w:rPr>
              <w:t>≤</w:t>
            </w:r>
            <w:r>
              <w:rPr>
                <w:rFonts w:hint="eastAsia"/>
                <w:color w:val="000000"/>
                <w:sz w:val="21"/>
              </w:rPr>
              <w:t>65</w:t>
            </w:r>
          </w:p>
        </w:tc>
        <w:tc>
          <w:tcPr>
            <w:tcW w:w="1017" w:type="dxa"/>
            <w:vAlign w:val="center"/>
          </w:tcPr>
          <w:p>
            <w:pPr>
              <w:jc w:val="center"/>
              <w:rPr>
                <w:sz w:val="21"/>
              </w:rPr>
            </w:pPr>
            <w:r>
              <w:rPr>
                <w:color w:val="000000"/>
                <w:sz w:val="21"/>
              </w:rPr>
              <w:t>否</w:t>
            </w:r>
          </w:p>
        </w:tc>
      </w:tr>
    </w:tbl>
    <w:p>
      <w:pPr>
        <w:pStyle w:val="14"/>
        <w:ind w:firstLine="480" w:firstLineChars="200"/>
        <w:jc w:val="both"/>
        <w:rPr>
          <w:rFonts w:hint="default" w:ascii="Times New Roman" w:hAnsi="Times New Roman" w:cs="Times New Roman"/>
          <w:b w:val="0"/>
        </w:rPr>
      </w:pPr>
      <w:r>
        <w:rPr>
          <w:rFonts w:hint="default" w:ascii="Times New Roman" w:hAnsi="Times New Roman" w:cs="Times New Roman"/>
          <w:b w:val="0"/>
        </w:rPr>
        <w:t>本项目委托湖南精准检查有限公司于2019年8月24日对本项目土壤进行监测，监测数据具体见下表所示。</w:t>
      </w:r>
    </w:p>
    <w:p>
      <w:pPr>
        <w:pStyle w:val="14"/>
        <w:spacing w:line="240" w:lineRule="auto"/>
        <w:rPr>
          <w:rFonts w:cs="Times New Roman"/>
        </w:rPr>
      </w:pPr>
      <w:bookmarkStart w:id="148" w:name="_Ref19533287"/>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3.3</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16</w:t>
      </w:r>
      <w:r>
        <w:rPr>
          <w:rFonts w:cs="Times New Roman"/>
        </w:rPr>
        <w:fldChar w:fldCharType="end"/>
      </w:r>
      <w:bookmarkEnd w:id="148"/>
      <w:r>
        <w:rPr>
          <w:rFonts w:cs="Times New Roman"/>
        </w:rPr>
        <w:t xml:space="preserve">  土壤监测评价结果一览表（单位：</w:t>
      </w:r>
      <w:r>
        <w:rPr>
          <w:rFonts w:hint="eastAsia" w:cs="Times New Roman"/>
          <w:bCs/>
          <w:color w:val="000000"/>
          <w:sz w:val="21"/>
          <w:szCs w:val="21"/>
        </w:rPr>
        <w:t>m</w:t>
      </w:r>
      <w:r>
        <w:rPr>
          <w:rFonts w:cs="Times New Roman"/>
          <w:bCs/>
          <w:color w:val="000000"/>
          <w:sz w:val="21"/>
          <w:szCs w:val="21"/>
        </w:rPr>
        <w:t>g/kg</w:t>
      </w:r>
      <w:r>
        <w:rPr>
          <w:rFonts w:cs="Times New Roman"/>
        </w:rPr>
        <w:t>）</w:t>
      </w:r>
    </w:p>
    <w:tbl>
      <w:tblPr>
        <w:tblStyle w:val="38"/>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360"/>
        <w:gridCol w:w="2449"/>
        <w:gridCol w:w="2438"/>
        <w:gridCol w:w="993"/>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059" w:type="dxa"/>
            <w:tcBorders>
              <w:tl2br w:val="nil"/>
              <w:tr2bl w:val="nil"/>
            </w:tcBorders>
            <w:vAlign w:val="center"/>
          </w:tcPr>
          <w:p>
            <w:pPr>
              <w:jc w:val="center"/>
              <w:rPr>
                <w:rFonts w:cs="Times New Roman"/>
                <w:color w:val="000000"/>
                <w:sz w:val="21"/>
              </w:rPr>
            </w:pPr>
            <w:r>
              <w:rPr>
                <w:rFonts w:cs="Times New Roman"/>
                <w:color w:val="000000"/>
                <w:sz w:val="21"/>
              </w:rPr>
              <w:t>序号</w:t>
            </w:r>
          </w:p>
        </w:tc>
        <w:tc>
          <w:tcPr>
            <w:tcW w:w="1360" w:type="dxa"/>
            <w:tcBorders>
              <w:tl2br w:val="nil"/>
              <w:tr2bl w:val="nil"/>
            </w:tcBorders>
            <w:vAlign w:val="center"/>
          </w:tcPr>
          <w:p>
            <w:pPr>
              <w:jc w:val="center"/>
              <w:rPr>
                <w:rFonts w:cs="Times New Roman"/>
                <w:color w:val="000000"/>
                <w:sz w:val="21"/>
              </w:rPr>
            </w:pPr>
            <w:r>
              <w:rPr>
                <w:rFonts w:cs="Times New Roman"/>
                <w:color w:val="000000"/>
                <w:sz w:val="21"/>
              </w:rPr>
              <w:t>检测</w:t>
            </w:r>
          </w:p>
          <w:p>
            <w:pPr>
              <w:jc w:val="center"/>
              <w:rPr>
                <w:rFonts w:cs="Times New Roman"/>
                <w:color w:val="000000"/>
                <w:sz w:val="21"/>
              </w:rPr>
            </w:pPr>
            <w:r>
              <w:rPr>
                <w:rFonts w:cs="Times New Roman"/>
                <w:color w:val="000000"/>
                <w:sz w:val="21"/>
              </w:rPr>
              <w:t>项目</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采样位置</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检测结果(</w:t>
            </w:r>
            <w:r>
              <w:rPr>
                <w:rFonts w:cs="Times New Roman"/>
                <w:bCs/>
                <w:color w:val="000000"/>
                <w:sz w:val="21"/>
              </w:rPr>
              <w:t>μg/kg</w:t>
            </w:r>
            <w:r>
              <w:rPr>
                <w:rFonts w:cs="Times New Roman"/>
                <w:color w:val="000000"/>
                <w:sz w:val="21"/>
              </w:rPr>
              <w:t>)</w:t>
            </w:r>
          </w:p>
        </w:tc>
        <w:tc>
          <w:tcPr>
            <w:tcW w:w="993" w:type="dxa"/>
            <w:tcBorders>
              <w:tl2br w:val="nil"/>
              <w:tr2bl w:val="nil"/>
            </w:tcBorders>
            <w:vAlign w:val="center"/>
          </w:tcPr>
          <w:p>
            <w:pPr>
              <w:jc w:val="center"/>
              <w:rPr>
                <w:rFonts w:cs="Times New Roman"/>
                <w:color w:val="000000"/>
                <w:sz w:val="21"/>
              </w:rPr>
            </w:pPr>
            <w:r>
              <w:rPr>
                <w:rFonts w:cs="Times New Roman"/>
                <w:color w:val="000000"/>
                <w:sz w:val="21"/>
              </w:rPr>
              <w:t>评价标准</w:t>
            </w:r>
          </w:p>
        </w:tc>
        <w:tc>
          <w:tcPr>
            <w:tcW w:w="943" w:type="dxa"/>
            <w:tcBorders>
              <w:tl2br w:val="nil"/>
              <w:tr2bl w:val="nil"/>
            </w:tcBorders>
            <w:vAlign w:val="center"/>
          </w:tcPr>
          <w:p>
            <w:pPr>
              <w:jc w:val="center"/>
              <w:rPr>
                <w:rFonts w:cs="Times New Roman"/>
                <w:color w:val="000000"/>
                <w:sz w:val="21"/>
              </w:rPr>
            </w:pPr>
            <w:r>
              <w:rPr>
                <w:rFonts w:cs="Times New Roman"/>
                <w:color w:val="000000"/>
                <w:sz w:val="21"/>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jc w:val="center"/>
              <w:rPr>
                <w:rFonts w:cs="Times New Roman"/>
                <w:sz w:val="21"/>
              </w:rPr>
            </w:pPr>
            <w:r>
              <w:rPr>
                <w:rFonts w:cs="Times New Roman"/>
                <w:sz w:val="21"/>
              </w:rPr>
              <w:t>1</w:t>
            </w:r>
          </w:p>
        </w:tc>
        <w:tc>
          <w:tcPr>
            <w:tcW w:w="1360" w:type="dxa"/>
            <w:vMerge w:val="restart"/>
            <w:tcBorders>
              <w:tl2br w:val="nil"/>
              <w:tr2bl w:val="nil"/>
            </w:tcBorders>
            <w:vAlign w:val="center"/>
          </w:tcPr>
          <w:p>
            <w:pPr>
              <w:jc w:val="center"/>
              <w:rPr>
                <w:rFonts w:cs="Times New Roman"/>
                <w:sz w:val="21"/>
              </w:rPr>
            </w:pPr>
            <w:r>
              <w:rPr>
                <w:rFonts w:cs="Times New Roman"/>
                <w:sz w:val="21"/>
              </w:rPr>
              <w:t>四氯化碳</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0.0021</w:t>
            </w:r>
          </w:p>
        </w:tc>
        <w:tc>
          <w:tcPr>
            <w:tcW w:w="993" w:type="dxa"/>
            <w:tcBorders>
              <w:tl2br w:val="nil"/>
              <w:tr2bl w:val="nil"/>
            </w:tcBorders>
            <w:vAlign w:val="center"/>
          </w:tcPr>
          <w:p>
            <w:pPr>
              <w:jc w:val="center"/>
              <w:rPr>
                <w:rFonts w:cs="Times New Roman"/>
                <w:color w:val="000000"/>
                <w:sz w:val="21"/>
              </w:rPr>
            </w:pPr>
            <w:r>
              <w:rPr>
                <w:rFonts w:cs="Times New Roman"/>
                <w:color w:val="000000" w:themeColor="text1"/>
                <w:kern w:val="0"/>
                <w:sz w:val="21"/>
              </w:rPr>
              <w:t>≤</w:t>
            </w:r>
            <w:r>
              <w:rPr>
                <w:rFonts w:cs="Times New Roman"/>
                <w:color w:val="000000"/>
                <w:sz w:val="21"/>
              </w:rPr>
              <w:t>2.8</w:t>
            </w:r>
          </w:p>
        </w:tc>
        <w:tc>
          <w:tcPr>
            <w:tcW w:w="943" w:type="dxa"/>
            <w:tcBorders>
              <w:tl2br w:val="nil"/>
              <w:tr2bl w:val="nil"/>
            </w:tcBorders>
            <w:vAlign w:val="center"/>
          </w:tcPr>
          <w:p>
            <w:pPr>
              <w:jc w:val="center"/>
              <w:rPr>
                <w:rFonts w:cs="Times New Roman"/>
                <w:color w:val="000000"/>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0.0021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rPr>
                <w:rFonts w:cs="Times New Roman"/>
                <w:color w:val="000000"/>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0.0021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rPr>
                <w:rFonts w:cs="Times New Roman"/>
                <w:color w:val="000000"/>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jc w:val="center"/>
              <w:rPr>
                <w:rFonts w:cs="Times New Roman"/>
                <w:sz w:val="21"/>
              </w:rPr>
            </w:pPr>
            <w:r>
              <w:rPr>
                <w:rFonts w:cs="Times New Roman"/>
                <w:sz w:val="21"/>
              </w:rPr>
              <w:t>2</w:t>
            </w:r>
          </w:p>
        </w:tc>
        <w:tc>
          <w:tcPr>
            <w:tcW w:w="1360" w:type="dxa"/>
            <w:vMerge w:val="restart"/>
            <w:tcBorders>
              <w:tl2br w:val="nil"/>
              <w:tr2bl w:val="nil"/>
            </w:tcBorders>
            <w:vAlign w:val="center"/>
          </w:tcPr>
          <w:p>
            <w:pPr>
              <w:jc w:val="center"/>
              <w:rPr>
                <w:rFonts w:cs="Times New Roman"/>
                <w:sz w:val="21"/>
              </w:rPr>
            </w:pPr>
            <w:r>
              <w:rPr>
                <w:rFonts w:cs="Times New Roman"/>
                <w:sz w:val="21"/>
              </w:rPr>
              <w:t>氯仿</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0.0015</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≤0.9</w:t>
            </w:r>
          </w:p>
        </w:tc>
        <w:tc>
          <w:tcPr>
            <w:tcW w:w="943" w:type="dxa"/>
            <w:tcBorders>
              <w:tl2br w:val="nil"/>
              <w:tr2bl w:val="nil"/>
            </w:tcBorders>
            <w:vAlign w:val="center"/>
          </w:tcPr>
          <w:p>
            <w:pPr>
              <w:jc w:val="center"/>
              <w:rPr>
                <w:rFonts w:cs="Times New Roman"/>
                <w:color w:val="000000"/>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0.0015</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≤0.9</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0.0015</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≤0.9</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jc w:val="center"/>
              <w:rPr>
                <w:rFonts w:cs="Times New Roman"/>
                <w:sz w:val="21"/>
              </w:rPr>
            </w:pPr>
            <w:r>
              <w:rPr>
                <w:rFonts w:cs="Times New Roman"/>
                <w:sz w:val="21"/>
              </w:rPr>
              <w:t>3</w:t>
            </w:r>
          </w:p>
        </w:tc>
        <w:tc>
          <w:tcPr>
            <w:tcW w:w="1360" w:type="dxa"/>
            <w:vMerge w:val="restart"/>
            <w:tcBorders>
              <w:tl2br w:val="nil"/>
              <w:tr2bl w:val="nil"/>
            </w:tcBorders>
            <w:vAlign w:val="center"/>
          </w:tcPr>
          <w:p>
            <w:pPr>
              <w:jc w:val="center"/>
              <w:rPr>
                <w:rFonts w:cs="Times New Roman"/>
                <w:sz w:val="21"/>
              </w:rPr>
            </w:pPr>
            <w:r>
              <w:rPr>
                <w:rFonts w:cs="Times New Roman"/>
                <w:sz w:val="21"/>
              </w:rPr>
              <w:t>氯甲烷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eastAsia="宋体" w:cs="Times New Roman"/>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≤37</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eastAsia="宋体" w:cs="Times New Roman"/>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≤37</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eastAsia="宋体" w:cs="Times New Roman"/>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≤37</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jc w:val="center"/>
              <w:rPr>
                <w:rFonts w:cs="Times New Roman"/>
                <w:sz w:val="21"/>
              </w:rPr>
            </w:pPr>
            <w:r>
              <w:rPr>
                <w:rFonts w:cs="Times New Roman"/>
                <w:sz w:val="21"/>
              </w:rPr>
              <w:t>4</w:t>
            </w:r>
          </w:p>
        </w:tc>
        <w:tc>
          <w:tcPr>
            <w:tcW w:w="1360" w:type="dxa"/>
            <w:vMerge w:val="restart"/>
            <w:tcBorders>
              <w:tl2br w:val="nil"/>
              <w:tr2bl w:val="nil"/>
            </w:tcBorders>
            <w:vAlign w:val="center"/>
          </w:tcPr>
          <w:p>
            <w:pPr>
              <w:jc w:val="center"/>
              <w:rPr>
                <w:rFonts w:cs="Times New Roman"/>
                <w:sz w:val="21"/>
              </w:rPr>
            </w:pPr>
            <w:r>
              <w:rPr>
                <w:rFonts w:cs="Times New Roman"/>
                <w:sz w:val="21"/>
              </w:rPr>
              <w:t>1,1-二氯乙烷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≤9</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≤9</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≤9</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jc w:val="center"/>
              <w:rPr>
                <w:rFonts w:cs="Times New Roman"/>
                <w:sz w:val="21"/>
              </w:rPr>
            </w:pPr>
            <w:r>
              <w:rPr>
                <w:rFonts w:cs="Times New Roman"/>
                <w:sz w:val="21"/>
              </w:rPr>
              <w:t>5</w:t>
            </w:r>
          </w:p>
        </w:tc>
        <w:tc>
          <w:tcPr>
            <w:tcW w:w="1360" w:type="dxa"/>
            <w:vMerge w:val="restart"/>
            <w:tcBorders>
              <w:tl2br w:val="nil"/>
              <w:tr2bl w:val="nil"/>
            </w:tcBorders>
            <w:vAlign w:val="center"/>
          </w:tcPr>
          <w:p>
            <w:pPr>
              <w:jc w:val="center"/>
              <w:rPr>
                <w:rFonts w:cs="Times New Roman"/>
                <w:sz w:val="21"/>
              </w:rPr>
            </w:pPr>
            <w:r>
              <w:rPr>
                <w:rFonts w:cs="Times New Roman"/>
                <w:sz w:val="21"/>
              </w:rPr>
              <w:t>1,2-二氯乙烷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6</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1,1-二氯乙烯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0.0008</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≤66</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0.0008</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≤66</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0.0008</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≤66</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jc w:val="center"/>
              <w:rPr>
                <w:rFonts w:cs="Times New Roman"/>
                <w:sz w:val="21"/>
              </w:rPr>
            </w:pPr>
            <w:r>
              <w:rPr>
                <w:rFonts w:cs="Times New Roman"/>
                <w:sz w:val="21"/>
              </w:rPr>
              <w:t>7</w:t>
            </w:r>
          </w:p>
        </w:tc>
        <w:tc>
          <w:tcPr>
            <w:tcW w:w="1360" w:type="dxa"/>
            <w:vMerge w:val="restart"/>
            <w:tcBorders>
              <w:tl2br w:val="nil"/>
              <w:tr2bl w:val="nil"/>
            </w:tcBorders>
            <w:vAlign w:val="center"/>
          </w:tcPr>
          <w:p>
            <w:pPr>
              <w:jc w:val="center"/>
              <w:rPr>
                <w:rFonts w:eastAsia="宋体" w:cs="Times New Roman"/>
                <w:sz w:val="21"/>
              </w:rPr>
            </w:pPr>
            <w:r>
              <w:rPr>
                <w:rFonts w:cs="Times New Roman"/>
                <w:sz w:val="21"/>
              </w:rPr>
              <w:t>顺-1,2-二氯乙烯</w:t>
            </w:r>
          </w:p>
          <w:p>
            <w:pPr>
              <w:jc w:val="center"/>
              <w:rPr>
                <w:rFonts w:cs="Times New Roman"/>
                <w:sz w:val="21"/>
              </w:rPr>
            </w:pP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≤596</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≤596</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≤596</w:t>
            </w:r>
          </w:p>
        </w:tc>
        <w:tc>
          <w:tcPr>
            <w:tcW w:w="943" w:type="dxa"/>
            <w:tcBorders>
              <w:tl2br w:val="nil"/>
              <w:tr2bl w:val="nil"/>
            </w:tcBorders>
            <w:vAlign w:val="center"/>
          </w:tcPr>
          <w:p>
            <w:pPr>
              <w:jc w:val="center"/>
              <w:rPr>
                <w:rFonts w:cs="Times New Roman"/>
                <w:sz w:val="21"/>
              </w:rP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8</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反-1,2-二氯乙烯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≤54</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≤54</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≤54</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9</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二氯甲烷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0.0026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≤616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0.0026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≤616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0.0026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≤616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10</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1,2-二氯丙烷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11</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1,1,1，2-四氯乙烷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12</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1,1,2，2-四氯乙烷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13</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四氯乙烯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0.0008</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0.0008</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0.0008</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14</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1,1，1-三氯乙烷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≤840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≤840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≤840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15</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1,1,2-三氯乙烷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16</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三氯乙烯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17</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1,2,3-三氯丙烷</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18</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氯乙烯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0.0015</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≤0.43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0.0015</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≤0.43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0.0015</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≤0.43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19</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≤4</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≤4</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≤4</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20</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氯苯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21</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1,2-二氯苯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≤560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≤560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≤560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22</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1,4-二氯苯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23</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乙苯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≤28</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24</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苯乙烯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≤1290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≤1290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≤1290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25</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甲苯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≤1200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≤1200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≤1200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26</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间二甲苯+对二甲苯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0.0036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0.0036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0.0036</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≤570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27</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邻二甲苯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eastAsia="宋体" w:cs="Times New Roman"/>
                <w:sz w:val="21"/>
              </w:rPr>
            </w:pPr>
            <w:r>
              <w:rPr>
                <w:rFonts w:cs="Times New Roman"/>
                <w:sz w:val="21"/>
              </w:rPr>
              <w:t>0.0013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≤640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eastAsia="宋体" w:cs="Times New Roman"/>
                <w:sz w:val="21"/>
              </w:rPr>
            </w:pPr>
            <w:r>
              <w:rPr>
                <w:rFonts w:cs="Times New Roman"/>
                <w:sz w:val="21"/>
              </w:rPr>
              <w:t>0.0013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≤640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eastAsia="宋体" w:cs="Times New Roman"/>
                <w:sz w:val="21"/>
              </w:rPr>
            </w:pPr>
            <w:r>
              <w:rPr>
                <w:rFonts w:cs="Times New Roman"/>
                <w:sz w:val="21"/>
              </w:rPr>
              <w:t>0.0013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≤640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28</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硝基苯</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≤76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sz w:val="21"/>
              </w:rPr>
            </w:pPr>
            <w:r>
              <w:rPr>
                <w:rFonts w:cs="Times New Roman"/>
                <w:color w:val="000000"/>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≤76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sz w:val="21"/>
              </w:rPr>
            </w:pPr>
            <w:r>
              <w:rPr>
                <w:rFonts w:cs="Times New Roman"/>
                <w:color w:val="000000"/>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≤76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29</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苯胺</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≤260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sz w:val="21"/>
              </w:rPr>
            </w:pPr>
            <w:r>
              <w:rPr>
                <w:rFonts w:cs="Times New Roman"/>
                <w:color w:val="000000"/>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≤260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sz w:val="21"/>
              </w:rPr>
            </w:pPr>
            <w:r>
              <w:rPr>
                <w:rFonts w:cs="Times New Roman"/>
                <w:color w:val="000000"/>
                <w:sz w:val="21"/>
              </w:rPr>
              <w:t>ND</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≤260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30</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2-氯酚</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0.04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≤2256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0.04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≤2256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0.04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≤2256</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31</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苯并(a)蒽</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0.12</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32</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苯并(a)芘</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0.17</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0.17</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0.17</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33</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苯并(b)荧蒽</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0.17</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0.17</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0.17</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34</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苯并(k)荧蒽</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≤151</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≤151</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0.11</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≤151</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35</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䓛</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≤1293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≤1293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0.14</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≤1293</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36</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二苯并(a, h)蒽</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37</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茚并(1,2,3-c,d)芘</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0.13</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≤15</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38</w:t>
            </w:r>
          </w:p>
        </w:tc>
        <w:tc>
          <w:tcPr>
            <w:tcW w:w="1360" w:type="dxa"/>
            <w:vMerge w:val="restart"/>
            <w:tcBorders>
              <w:tl2br w:val="nil"/>
              <w:tr2bl w:val="nil"/>
            </w:tcBorders>
            <w:vAlign w:val="center"/>
          </w:tcPr>
          <w:p>
            <w:pPr>
              <w:widowControl/>
              <w:jc w:val="center"/>
              <w:rPr>
                <w:rFonts w:cs="Times New Roman"/>
                <w:color w:val="000000"/>
                <w:sz w:val="21"/>
              </w:rPr>
            </w:pPr>
            <w:r>
              <w:rPr>
                <w:rFonts w:cs="Times New Roman"/>
                <w:color w:val="000000"/>
                <w:sz w:val="21"/>
              </w:rPr>
              <w:t>萘</w:t>
            </w:r>
          </w:p>
        </w:tc>
        <w:tc>
          <w:tcPr>
            <w:tcW w:w="2449" w:type="dxa"/>
            <w:tcBorders>
              <w:tl2br w:val="nil"/>
              <w:tr2bl w:val="nil"/>
            </w:tcBorders>
            <w:vAlign w:val="center"/>
          </w:tcPr>
          <w:p>
            <w:pPr>
              <w:jc w:val="center"/>
              <w:rPr>
                <w:rFonts w:cs="Times New Roman"/>
                <w:color w:val="000000"/>
                <w:sz w:val="21"/>
              </w:rPr>
            </w:pPr>
            <w:r>
              <w:rPr>
                <w:rFonts w:cs="Times New Roman"/>
                <w:color w:val="000000"/>
                <w:sz w:val="21"/>
              </w:rPr>
              <w:t>D1</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D2</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≤70</w:t>
            </w:r>
          </w:p>
        </w:tc>
        <w:tc>
          <w:tcPr>
            <w:tcW w:w="943" w:type="dxa"/>
            <w:tcBorders>
              <w:tl2br w:val="nil"/>
              <w:tr2bl w:val="nil"/>
            </w:tcBorders>
            <w:vAlign w:val="center"/>
          </w:tcPr>
          <w:p>
            <w:pPr>
              <w:jc w:val="center"/>
            </w:pPr>
            <w:r>
              <w:rPr>
                <w:rFonts w:cs="Times New Roman"/>
                <w:color w:val="000000"/>
                <w:sz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dxa"/>
            <w:vMerge w:val="continue"/>
            <w:tcBorders>
              <w:tl2br w:val="nil"/>
              <w:tr2bl w:val="nil"/>
            </w:tcBorders>
            <w:vAlign w:val="center"/>
          </w:tcPr>
          <w:p>
            <w:pPr>
              <w:widowControl/>
              <w:jc w:val="center"/>
              <w:rPr>
                <w:rFonts w:cs="Times New Roman"/>
                <w:color w:val="000000"/>
                <w:sz w:val="21"/>
              </w:rPr>
            </w:pPr>
          </w:p>
        </w:tc>
        <w:tc>
          <w:tcPr>
            <w:tcW w:w="1360" w:type="dxa"/>
            <w:vMerge w:val="continue"/>
            <w:tcBorders>
              <w:tl2br w:val="nil"/>
              <w:tr2bl w:val="nil"/>
            </w:tcBorders>
            <w:vAlign w:val="center"/>
          </w:tcPr>
          <w:p>
            <w:pPr>
              <w:widowControl/>
              <w:jc w:val="center"/>
              <w:rPr>
                <w:rFonts w:cs="Times New Roman"/>
                <w:color w:val="000000"/>
                <w:sz w:val="21"/>
              </w:rPr>
            </w:pPr>
          </w:p>
        </w:tc>
        <w:tc>
          <w:tcPr>
            <w:tcW w:w="2449" w:type="dxa"/>
            <w:tcBorders>
              <w:tl2br w:val="nil"/>
              <w:tr2bl w:val="nil"/>
            </w:tcBorders>
            <w:vAlign w:val="center"/>
          </w:tcPr>
          <w:p>
            <w:pPr>
              <w:jc w:val="center"/>
              <w:rPr>
                <w:rFonts w:cs="Times New Roman"/>
                <w:sz w:val="21"/>
              </w:rPr>
            </w:pPr>
            <w:r>
              <w:rPr>
                <w:rFonts w:cs="Times New Roman"/>
                <w:color w:val="000000"/>
                <w:sz w:val="21"/>
              </w:rPr>
              <w:t>D3</w:t>
            </w:r>
          </w:p>
        </w:tc>
        <w:tc>
          <w:tcPr>
            <w:tcW w:w="2438" w:type="dxa"/>
            <w:tcBorders>
              <w:tl2br w:val="nil"/>
              <w:tr2bl w:val="nil"/>
            </w:tcBorders>
            <w:vAlign w:val="center"/>
          </w:tcPr>
          <w:p>
            <w:pPr>
              <w:jc w:val="center"/>
              <w:rPr>
                <w:rFonts w:cs="Times New Roman"/>
                <w:color w:val="000000"/>
                <w:sz w:val="21"/>
              </w:rPr>
            </w:pPr>
            <w:r>
              <w:rPr>
                <w:rFonts w:cs="Times New Roman"/>
                <w:color w:val="000000"/>
                <w:sz w:val="21"/>
              </w:rPr>
              <w:t>0.09</w:t>
            </w:r>
          </w:p>
        </w:tc>
        <w:tc>
          <w:tcPr>
            <w:tcW w:w="993" w:type="dxa"/>
            <w:tcBorders>
              <w:tl2br w:val="nil"/>
              <w:tr2bl w:val="nil"/>
            </w:tcBorders>
            <w:vAlign w:val="center"/>
          </w:tcPr>
          <w:p>
            <w:pPr>
              <w:jc w:val="center"/>
              <w:rPr>
                <w:rFonts w:cs="Times New Roman"/>
                <w:sz w:val="21"/>
              </w:rPr>
            </w:pPr>
            <w:r>
              <w:rPr>
                <w:rFonts w:cs="Times New Roman"/>
                <w:color w:val="000000" w:themeColor="text1"/>
                <w:kern w:val="0"/>
                <w:sz w:val="21"/>
              </w:rPr>
              <w:t>≤70</w:t>
            </w:r>
          </w:p>
        </w:tc>
        <w:tc>
          <w:tcPr>
            <w:tcW w:w="943" w:type="dxa"/>
            <w:tcBorders>
              <w:tl2br w:val="nil"/>
              <w:tr2bl w:val="nil"/>
            </w:tcBorders>
            <w:vAlign w:val="center"/>
          </w:tcPr>
          <w:p>
            <w:pPr>
              <w:jc w:val="center"/>
            </w:pPr>
            <w:r>
              <w:rPr>
                <w:rFonts w:cs="Times New Roman"/>
                <w:color w:val="000000"/>
                <w:sz w:val="21"/>
              </w:rPr>
              <w:t>否</w:t>
            </w:r>
          </w:p>
        </w:tc>
      </w:tr>
    </w:tbl>
    <w:p>
      <w:pPr>
        <w:pStyle w:val="14"/>
        <w:ind w:firstLine="480" w:firstLineChars="200"/>
        <w:jc w:val="both"/>
        <w:rPr>
          <w:b w:val="0"/>
        </w:rPr>
      </w:pPr>
      <w:r>
        <w:rPr>
          <w:rFonts w:hint="eastAsia"/>
          <w:b w:val="0"/>
        </w:rPr>
        <w:t>由</w:t>
      </w:r>
      <w:r>
        <w:rPr>
          <w:b w:val="0"/>
          <w:bCs w:val="0"/>
        </w:rPr>
        <w:fldChar w:fldCharType="begin"/>
      </w:r>
      <w:r>
        <w:rPr>
          <w:b w:val="0"/>
          <w:bCs w:val="0"/>
        </w:rPr>
        <w:instrText xml:space="preserve"> REF _Ref19533287 \h  \* MERGEFORMAT </w:instrText>
      </w:r>
      <w:r>
        <w:rPr>
          <w:b w:val="0"/>
          <w:bCs w:val="0"/>
        </w:rPr>
        <w:fldChar w:fldCharType="separate"/>
      </w:r>
      <w:r>
        <w:rPr>
          <w:rFonts w:cs="Times New Roman"/>
          <w:b w:val="0"/>
          <w:bCs w:val="0"/>
        </w:rPr>
        <w:t>表</w:t>
      </w:r>
      <w:r>
        <w:rPr>
          <w:rFonts w:cs="Times New Roman"/>
          <w:b w:val="0"/>
          <w:bCs w:val="0"/>
        </w:rPr>
        <w:fldChar w:fldCharType="begin"/>
      </w:r>
      <w:r>
        <w:rPr>
          <w:rFonts w:cs="Times New Roman"/>
          <w:b w:val="0"/>
          <w:bCs w:val="0"/>
        </w:rPr>
        <w:instrText xml:space="preserve"> STYLEREF</w:instrText>
      </w:r>
      <w:r>
        <w:rPr>
          <w:b w:val="0"/>
          <w:bCs w:val="0"/>
        </w:rPr>
        <w:instrText xml:space="preserve"> 2 \s </w:instrText>
      </w:r>
      <w:r>
        <w:rPr>
          <w:b w:val="0"/>
          <w:bCs w:val="0"/>
        </w:rPr>
        <w:fldChar w:fldCharType="separate"/>
      </w:r>
      <w:r>
        <w:rPr>
          <w:b w:val="0"/>
          <w:bCs w:val="0"/>
        </w:rPr>
        <w:t>3.3</w:t>
      </w:r>
      <w:r>
        <w:rPr>
          <w:b w:val="0"/>
          <w:bCs w:val="0"/>
        </w:rPr>
        <w:fldChar w:fldCharType="end"/>
      </w:r>
      <w:r>
        <w:rPr>
          <w:b w:val="0"/>
          <w:bCs w:val="0"/>
        </w:rPr>
        <w:noBreakHyphen/>
      </w:r>
      <w:r>
        <w:rPr>
          <w:b w:val="0"/>
          <w:bCs w:val="0"/>
        </w:rPr>
        <w:t>14</w:t>
      </w:r>
      <w:r>
        <w:rPr>
          <w:rFonts w:cs="Times New Roman"/>
          <w:b w:val="0"/>
          <w:bCs w:val="0"/>
        </w:rPr>
        <w:fldChar w:fldCharType="end"/>
      </w:r>
      <w:r>
        <w:rPr>
          <w:rFonts w:hint="eastAsia"/>
          <w:b w:val="0"/>
          <w:bCs w:val="0"/>
        </w:rPr>
        <w:t>~13</w:t>
      </w:r>
      <w:r>
        <w:rPr>
          <w:rFonts w:hint="eastAsia"/>
          <w:b w:val="0"/>
        </w:rPr>
        <w:t>的</w:t>
      </w:r>
      <w:r>
        <w:rPr>
          <w:rFonts w:cs="Times New Roman"/>
          <w:b w:val="0"/>
          <w:color w:val="000000"/>
        </w:rPr>
        <w:t>监测结果可知，</w:t>
      </w:r>
      <w:r>
        <w:rPr>
          <w:rFonts w:hint="eastAsia"/>
          <w:b w:val="0"/>
          <w:color w:val="000000"/>
        </w:rPr>
        <w:t>本</w:t>
      </w:r>
      <w:r>
        <w:rPr>
          <w:b w:val="0"/>
          <w:color w:val="000000"/>
        </w:rPr>
        <w:t>项目地</w:t>
      </w:r>
      <w:r>
        <w:rPr>
          <w:rFonts w:cs="Times New Roman"/>
          <w:b w:val="0"/>
          <w:color w:val="000000"/>
        </w:rPr>
        <w:t>土壤</w:t>
      </w:r>
      <w:r>
        <w:rPr>
          <w:b w:val="0"/>
          <w:color w:val="000000"/>
        </w:rPr>
        <w:t>的</w:t>
      </w:r>
      <w:r>
        <w:rPr>
          <w:rFonts w:cs="Times New Roman"/>
          <w:b w:val="0"/>
          <w:color w:val="000000"/>
        </w:rPr>
        <w:t>环境质量监测数据</w:t>
      </w:r>
      <w:r>
        <w:rPr>
          <w:b w:val="0"/>
          <w:color w:val="000000"/>
        </w:rPr>
        <w:t>可</w:t>
      </w:r>
      <w:r>
        <w:rPr>
          <w:rFonts w:hint="eastAsia" w:cs="Times New Roman"/>
          <w:b w:val="0"/>
          <w:color w:val="000000"/>
        </w:rPr>
        <w:t>满足</w:t>
      </w:r>
      <w:r>
        <w:rPr>
          <w:rFonts w:cs="Times New Roman"/>
          <w:b w:val="0"/>
          <w:color w:val="000000"/>
        </w:rPr>
        <w:t>《土壤环境质量建设用地土壤污染风险管控标准（试行）》（GB36600-2018）中第二类用地筛选值标准要求</w:t>
      </w:r>
      <w:r>
        <w:rPr>
          <w:rFonts w:hint="eastAsia" w:cs="Times New Roman"/>
          <w:b w:val="0"/>
          <w:color w:val="000000"/>
        </w:rPr>
        <w:t>。</w:t>
      </w:r>
    </w:p>
    <w:p>
      <w:pPr>
        <w:pStyle w:val="5"/>
      </w:pPr>
      <w:r>
        <w:t>底泥环境质量现状监测</w:t>
      </w:r>
    </w:p>
    <w:p>
      <w:pPr>
        <w:spacing w:line="360" w:lineRule="auto"/>
        <w:ind w:firstLine="480" w:firstLineChars="200"/>
        <w:rPr>
          <w:color w:val="000000" w:themeColor="text1"/>
        </w:rPr>
      </w:pPr>
      <w:r>
        <w:rPr>
          <w:color w:val="000000" w:themeColor="text1"/>
          <w:szCs w:val="20"/>
        </w:rPr>
        <w:t>为了解项目所在地</w:t>
      </w:r>
      <w:r>
        <w:rPr>
          <w:rFonts w:hint="eastAsia"/>
          <w:color w:val="000000" w:themeColor="text1"/>
          <w:szCs w:val="20"/>
        </w:rPr>
        <w:t>底泥</w:t>
      </w:r>
      <w:r>
        <w:rPr>
          <w:color w:val="000000" w:themeColor="text1"/>
          <w:szCs w:val="20"/>
        </w:rPr>
        <w:t>环境现状</w:t>
      </w:r>
      <w:r>
        <w:rPr>
          <w:rFonts w:hint="eastAsia"/>
          <w:color w:val="000000" w:themeColor="text1"/>
          <w:szCs w:val="20"/>
        </w:rPr>
        <w:t>，</w:t>
      </w:r>
      <w:r>
        <w:rPr>
          <w:color w:val="000000" w:themeColor="text1"/>
          <w:szCs w:val="20"/>
        </w:rPr>
        <w:t>本次环评委托</w:t>
      </w:r>
      <w:r>
        <w:rPr>
          <w:rFonts w:hint="eastAsia" w:ascii="Times New Roman" w:hAnsi="Times New Roman" w:eastAsiaTheme="minorEastAsia" w:cstheme="minorBidi"/>
          <w:kern w:val="2"/>
          <w:sz w:val="24"/>
          <w:szCs w:val="21"/>
          <w:lang w:val="en-US" w:eastAsia="zh-CN" w:bidi="ar-SA"/>
        </w:rPr>
        <w:t>湖南昌源环境科技有限公司</w:t>
      </w:r>
      <w:r>
        <w:rPr>
          <w:rFonts w:hint="eastAsia"/>
          <w:color w:val="000000" w:themeColor="text1"/>
        </w:rPr>
        <w:t>对项目所在地底泥环境现状进行评价，监测采样时间为2019年5月21日。</w:t>
      </w:r>
    </w:p>
    <w:p>
      <w:pPr>
        <w:spacing w:line="360" w:lineRule="auto"/>
        <w:ind w:firstLine="480" w:firstLineChars="200"/>
        <w:rPr>
          <w:color w:val="000000" w:themeColor="text1"/>
        </w:rPr>
      </w:pPr>
      <w:r>
        <w:rPr>
          <w:rFonts w:hint="eastAsia"/>
          <w:color w:val="000000" w:themeColor="text1"/>
        </w:rPr>
        <w:t>（1）监测点位如下表所示</w:t>
      </w:r>
    </w:p>
    <w:p>
      <w:pPr>
        <w:pStyle w:val="14"/>
        <w:spacing w:line="240" w:lineRule="auto"/>
        <w:rPr>
          <w:color w:val="000000" w:themeColor="text1"/>
        </w:rPr>
      </w:pPr>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3.3</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17</w:t>
      </w:r>
      <w:r>
        <w:rPr>
          <w:color w:val="000000" w:themeColor="text1"/>
        </w:rPr>
        <w:fldChar w:fldCharType="end"/>
      </w:r>
      <w:r>
        <w:rPr>
          <w:rFonts w:hint="eastAsia"/>
          <w:color w:val="000000" w:themeColor="text1"/>
        </w:rPr>
        <w:t xml:space="preserve">  底泥质量现状监测点一览表</w:t>
      </w:r>
    </w:p>
    <w:tbl>
      <w:tblPr>
        <w:tblStyle w:val="38"/>
        <w:tblW w:w="92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44"/>
        <w:gridCol w:w="3499"/>
        <w:gridCol w:w="349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3" w:hRule="atLeast"/>
          <w:jc w:val="center"/>
        </w:trPr>
        <w:tc>
          <w:tcPr>
            <w:tcW w:w="2244" w:type="dxa"/>
            <w:tcBorders>
              <w:top w:val="single" w:color="000000" w:sz="12" w:space="0"/>
              <w:left w:val="nil"/>
            </w:tcBorders>
            <w:vAlign w:val="center"/>
          </w:tcPr>
          <w:p>
            <w:pPr>
              <w:spacing w:line="300" w:lineRule="exact"/>
              <w:jc w:val="center"/>
              <w:rPr>
                <w:caps/>
                <w:sz w:val="21"/>
              </w:rPr>
            </w:pPr>
            <w:r>
              <w:rPr>
                <w:caps/>
                <w:sz w:val="21"/>
              </w:rPr>
              <w:t>编号</w:t>
            </w:r>
          </w:p>
        </w:tc>
        <w:tc>
          <w:tcPr>
            <w:tcW w:w="3499" w:type="dxa"/>
            <w:tcBorders>
              <w:top w:val="single" w:color="000000" w:sz="12" w:space="0"/>
              <w:bottom w:val="single" w:color="auto" w:sz="4" w:space="0"/>
            </w:tcBorders>
            <w:vAlign w:val="center"/>
          </w:tcPr>
          <w:p>
            <w:pPr>
              <w:spacing w:line="300" w:lineRule="exact"/>
              <w:jc w:val="center"/>
              <w:rPr>
                <w:caps/>
                <w:sz w:val="21"/>
              </w:rPr>
            </w:pPr>
            <w:r>
              <w:rPr>
                <w:rFonts w:hint="eastAsia"/>
                <w:caps/>
                <w:sz w:val="21"/>
              </w:rPr>
              <w:t>监测点位</w:t>
            </w:r>
          </w:p>
        </w:tc>
        <w:tc>
          <w:tcPr>
            <w:tcW w:w="3499" w:type="dxa"/>
            <w:tcBorders>
              <w:top w:val="single" w:color="000000" w:sz="12" w:space="0"/>
              <w:bottom w:val="single" w:color="auto" w:sz="4" w:space="0"/>
              <w:right w:val="nil"/>
            </w:tcBorders>
            <w:vAlign w:val="center"/>
          </w:tcPr>
          <w:p>
            <w:pPr>
              <w:spacing w:line="300" w:lineRule="exact"/>
              <w:jc w:val="center"/>
              <w:rPr>
                <w:caps/>
                <w:sz w:val="21"/>
              </w:rPr>
            </w:pPr>
            <w:r>
              <w:rPr>
                <w:rFonts w:hint="eastAsia"/>
                <w:caps/>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5" w:hRule="atLeast"/>
          <w:jc w:val="center"/>
        </w:trPr>
        <w:tc>
          <w:tcPr>
            <w:tcW w:w="2244" w:type="dxa"/>
            <w:tcBorders>
              <w:left w:val="nil"/>
            </w:tcBorders>
            <w:vAlign w:val="center"/>
          </w:tcPr>
          <w:p>
            <w:pPr>
              <w:spacing w:line="300" w:lineRule="exact"/>
              <w:jc w:val="center"/>
              <w:rPr>
                <w:bCs/>
                <w:color w:val="000000"/>
                <w:sz w:val="21"/>
              </w:rPr>
            </w:pPr>
            <w:r>
              <w:rPr>
                <w:rFonts w:hint="eastAsia"/>
                <w:bCs/>
                <w:color w:val="000000"/>
                <w:sz w:val="21"/>
              </w:rPr>
              <w:t>T1</w:t>
            </w:r>
          </w:p>
        </w:tc>
        <w:tc>
          <w:tcPr>
            <w:tcW w:w="3499" w:type="dxa"/>
            <w:vAlign w:val="center"/>
          </w:tcPr>
          <w:p>
            <w:pPr>
              <w:spacing w:line="300" w:lineRule="exact"/>
              <w:jc w:val="center"/>
              <w:rPr>
                <w:sz w:val="21"/>
              </w:rPr>
            </w:pPr>
            <w:r>
              <w:rPr>
                <w:rFonts w:hint="eastAsia"/>
                <w:sz w:val="21"/>
              </w:rPr>
              <w:t>污水处理厂排污口上游500m</w:t>
            </w:r>
          </w:p>
        </w:tc>
        <w:tc>
          <w:tcPr>
            <w:tcW w:w="3499" w:type="dxa"/>
            <w:vMerge w:val="restart"/>
            <w:tcBorders>
              <w:right w:val="nil"/>
            </w:tcBorders>
            <w:shd w:val="clear" w:color="auto" w:fill="auto"/>
            <w:vAlign w:val="center"/>
          </w:tcPr>
          <w:p>
            <w:pPr>
              <w:spacing w:line="300" w:lineRule="exact"/>
              <w:jc w:val="center"/>
              <w:rPr>
                <w:sz w:val="21"/>
              </w:rPr>
            </w:pPr>
            <w:r>
              <w:rPr>
                <w:rFonts w:hint="eastAsia"/>
                <w:sz w:val="21"/>
              </w:rPr>
              <w:t>环境现状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13" w:hRule="atLeast"/>
          <w:jc w:val="center"/>
        </w:trPr>
        <w:tc>
          <w:tcPr>
            <w:tcW w:w="2244" w:type="dxa"/>
            <w:tcBorders>
              <w:left w:val="nil"/>
              <w:bottom w:val="single" w:color="000000" w:sz="12" w:space="0"/>
            </w:tcBorders>
            <w:vAlign w:val="center"/>
          </w:tcPr>
          <w:p>
            <w:pPr>
              <w:spacing w:line="300" w:lineRule="exact"/>
              <w:jc w:val="center"/>
              <w:rPr>
                <w:bCs/>
                <w:color w:val="000000"/>
                <w:sz w:val="21"/>
              </w:rPr>
            </w:pPr>
            <w:r>
              <w:rPr>
                <w:rFonts w:hint="eastAsia"/>
                <w:bCs/>
                <w:color w:val="000000"/>
                <w:sz w:val="21"/>
              </w:rPr>
              <w:t>T2</w:t>
            </w:r>
          </w:p>
        </w:tc>
        <w:tc>
          <w:tcPr>
            <w:tcW w:w="3499" w:type="dxa"/>
            <w:tcBorders>
              <w:bottom w:val="single" w:color="000000" w:sz="12" w:space="0"/>
            </w:tcBorders>
            <w:vAlign w:val="center"/>
          </w:tcPr>
          <w:p>
            <w:pPr>
              <w:spacing w:line="300" w:lineRule="exact"/>
              <w:jc w:val="center"/>
              <w:rPr>
                <w:sz w:val="21"/>
              </w:rPr>
            </w:pPr>
            <w:r>
              <w:rPr>
                <w:rFonts w:hint="eastAsia"/>
                <w:sz w:val="21"/>
              </w:rPr>
              <w:t>污水处理厂排污口下游1500m</w:t>
            </w:r>
          </w:p>
        </w:tc>
        <w:tc>
          <w:tcPr>
            <w:tcW w:w="3499" w:type="dxa"/>
            <w:vMerge w:val="continue"/>
            <w:tcBorders>
              <w:bottom w:val="single" w:color="000000" w:sz="12" w:space="0"/>
              <w:right w:val="nil"/>
            </w:tcBorders>
            <w:shd w:val="clear" w:color="auto" w:fill="auto"/>
            <w:vAlign w:val="center"/>
          </w:tcPr>
          <w:p>
            <w:pPr>
              <w:spacing w:line="300" w:lineRule="exact"/>
              <w:jc w:val="center"/>
              <w:rPr>
                <w:sz w:val="21"/>
              </w:rPr>
            </w:pPr>
          </w:p>
        </w:tc>
      </w:tr>
    </w:tbl>
    <w:p>
      <w:pPr>
        <w:spacing w:line="360" w:lineRule="auto"/>
        <w:ind w:firstLine="480" w:firstLineChars="200"/>
        <w:rPr>
          <w:rFonts w:cs="Times New Roman"/>
        </w:rPr>
      </w:pPr>
      <w:r>
        <w:rPr>
          <w:rFonts w:cs="Times New Roman"/>
          <w:color w:val="000000" w:themeColor="text1"/>
        </w:rPr>
        <w:t>（2）</w:t>
      </w:r>
      <w:r>
        <w:rPr>
          <w:rFonts w:cs="Times New Roman"/>
        </w:rPr>
        <w:t>监测项目：PH、汞、砷、铜、铅、铬、锌、镍、镉</w:t>
      </w:r>
      <w:r>
        <w:rPr>
          <w:rFonts w:eastAsia="方正宋三简体" w:cs="Times New Roman"/>
        </w:rPr>
        <w:t>。</w:t>
      </w:r>
    </w:p>
    <w:p>
      <w:pPr>
        <w:spacing w:line="360" w:lineRule="auto"/>
        <w:ind w:firstLine="480" w:firstLineChars="200"/>
        <w:rPr>
          <w:rFonts w:cs="Times New Roman"/>
          <w:color w:val="000000" w:themeColor="text1"/>
        </w:rPr>
      </w:pPr>
      <w:r>
        <w:rPr>
          <w:rFonts w:cs="Times New Roman"/>
          <w:color w:val="000000" w:themeColor="text1"/>
        </w:rPr>
        <w:t>（3）采样时间和频率：监测一天，采样和分析方法按国家环保局颁布的HJ/T166-2004《土壤环境监测技术规范》和《环境监测标准分析方法》的有关要求进行。</w:t>
      </w:r>
    </w:p>
    <w:p>
      <w:pPr>
        <w:spacing w:line="360" w:lineRule="auto"/>
        <w:ind w:firstLine="480" w:firstLineChars="200"/>
        <w:rPr>
          <w:rFonts w:cs="Times New Roman"/>
          <w:color w:val="000000" w:themeColor="text1"/>
        </w:rPr>
      </w:pPr>
      <w:r>
        <w:rPr>
          <w:rFonts w:cs="Times New Roman"/>
          <w:color w:val="000000" w:themeColor="text1"/>
        </w:rPr>
        <w:t>（4）执行标准：执行《土壤环境质量建设用地土壤污染风险管控标准（实行）》（GB36600-2018）中筛选值中的第二类用地标准。</w:t>
      </w:r>
    </w:p>
    <w:p>
      <w:pPr>
        <w:spacing w:line="360" w:lineRule="auto"/>
        <w:ind w:firstLine="480" w:firstLineChars="200"/>
        <w:rPr>
          <w:rFonts w:cs="Times New Roman"/>
          <w:color w:val="000000" w:themeColor="text1"/>
        </w:rPr>
      </w:pPr>
      <w:r>
        <w:rPr>
          <w:rFonts w:cs="Times New Roman"/>
          <w:color w:val="000000" w:themeColor="text1"/>
        </w:rPr>
        <w:t>（5）监测结果见下表所示</w:t>
      </w:r>
    </w:p>
    <w:p>
      <w:pPr>
        <w:pStyle w:val="14"/>
        <w:spacing w:line="240" w:lineRule="auto"/>
      </w:pPr>
      <w:r>
        <w:rPr>
          <w:rFonts w:hint="eastAsia"/>
        </w:rPr>
        <w:t>表</w:t>
      </w:r>
      <w:r>
        <w:fldChar w:fldCharType="begin"/>
      </w:r>
      <w:r>
        <w:instrText xml:space="preserve"> STYLEREF 2 \s </w:instrText>
      </w:r>
      <w:r>
        <w:fldChar w:fldCharType="separate"/>
      </w:r>
      <w:r>
        <w:t>3.3</w:t>
      </w:r>
      <w:r>
        <w:fldChar w:fldCharType="end"/>
      </w:r>
      <w:r>
        <w:noBreakHyphen/>
      </w:r>
      <w:r>
        <w:fldChar w:fldCharType="begin"/>
      </w:r>
      <w:r>
        <w:rPr>
          <w:rFonts w:hint="eastAsia"/>
        </w:rPr>
        <w:instrText xml:space="preserve">SEQ 表 \* ARABIC \s 2</w:instrText>
      </w:r>
      <w:r>
        <w:fldChar w:fldCharType="separate"/>
      </w:r>
      <w:r>
        <w:rPr>
          <w:rFonts w:hint="eastAsia"/>
        </w:rPr>
        <w:t>18</w:t>
      </w:r>
      <w:r>
        <w:fldChar w:fldCharType="end"/>
      </w:r>
      <w:r>
        <w:rPr>
          <w:rFonts w:hint="eastAsia"/>
        </w:rPr>
        <w:t xml:space="preserve">  底泥监测结果一览表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849"/>
        <w:gridCol w:w="1849"/>
        <w:gridCol w:w="1848"/>
        <w:gridCol w:w="1848"/>
        <w:gridCol w:w="1848"/>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1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检测项目</w:t>
            </w:r>
          </w:p>
        </w:tc>
        <w:tc>
          <w:tcPr>
            <w:tcW w:w="1849" w:type="dxa"/>
            <w:tcBorders>
              <w:top w:val="single" w:color="auto" w:sz="12" w:space="0"/>
              <w:left w:val="single" w:color="auto" w:sz="4" w:space="0"/>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T1污水处理厂排污口上游500m</w:t>
            </w:r>
          </w:p>
        </w:tc>
        <w:tc>
          <w:tcPr>
            <w:tcW w:w="1848" w:type="dxa"/>
            <w:tcBorders>
              <w:top w:val="single" w:color="auto" w:sz="12" w:space="0"/>
              <w:left w:val="single" w:color="auto" w:sz="4" w:space="0"/>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T2污水处理厂排污口下游1500m</w:t>
            </w:r>
          </w:p>
        </w:tc>
        <w:tc>
          <w:tcPr>
            <w:tcW w:w="1848" w:type="dxa"/>
            <w:tcBorders>
              <w:top w:val="single" w:color="auto" w:sz="12" w:space="0"/>
              <w:left w:val="single" w:color="auto" w:sz="4" w:space="0"/>
              <w:bottom w:val="single" w:color="auto" w:sz="2" w:space="0"/>
              <w:right w:val="nil"/>
            </w:tcBorders>
            <w:vAlign w:val="center"/>
          </w:tcPr>
          <w:p>
            <w:pPr>
              <w:pStyle w:val="143"/>
              <w:rPr>
                <w:rFonts w:ascii="Times New Roman" w:hAnsi="Times New Roman"/>
              </w:rPr>
            </w:pPr>
            <w:r>
              <w:rPr>
                <w:rFonts w:ascii="Times New Roman" w:hAnsi="Times New Roman"/>
              </w:rPr>
              <w:t>评价标准</w:t>
            </w:r>
          </w:p>
        </w:tc>
        <w:tc>
          <w:tcPr>
            <w:tcW w:w="1848" w:type="dxa"/>
            <w:tcBorders>
              <w:top w:val="single" w:color="auto" w:sz="12" w:space="0"/>
              <w:left w:val="single" w:color="auto" w:sz="4" w:space="0"/>
              <w:bottom w:val="single" w:color="auto" w:sz="2" w:space="0"/>
              <w:right w:val="nil"/>
            </w:tcBorders>
            <w:vAlign w:val="center"/>
          </w:tcPr>
          <w:p>
            <w:pPr>
              <w:pStyle w:val="143"/>
              <w:rPr>
                <w:rFonts w:ascii="Times New Roman" w:hAnsi="Times New Roman"/>
              </w:rPr>
            </w:pPr>
            <w:r>
              <w:rPr>
                <w:rFonts w:ascii="Times New Roman" w:hAnsi="Times New Roman"/>
              </w:rPr>
              <w:t>是否超标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pH</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themeColor="text1"/>
                <w:sz w:val="21"/>
              </w:rPr>
            </w:pPr>
            <w:r>
              <w:rPr>
                <w:rFonts w:eastAsia="宋体" w:cs="Times New Roman"/>
                <w:color w:val="000000" w:themeColor="text1"/>
                <w:sz w:val="21"/>
              </w:rPr>
              <w:t>5.82</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themeColor="text1"/>
                <w:sz w:val="21"/>
              </w:rPr>
            </w:pPr>
            <w:r>
              <w:rPr>
                <w:rFonts w:eastAsia="宋体" w:cs="Times New Roman"/>
                <w:color w:val="000000" w:themeColor="text1"/>
                <w:sz w:val="21"/>
              </w:rPr>
              <w:t>5.26</w:t>
            </w:r>
          </w:p>
        </w:tc>
        <w:tc>
          <w:tcPr>
            <w:tcW w:w="1848" w:type="dxa"/>
            <w:tcBorders>
              <w:top w:val="single" w:color="auto" w:sz="2" w:space="0"/>
              <w:left w:val="single" w:color="auto" w:sz="4" w:space="0"/>
              <w:bottom w:val="single" w:color="auto" w:sz="2" w:space="0"/>
              <w:right w:val="nil"/>
            </w:tcBorders>
            <w:vAlign w:val="center"/>
          </w:tcPr>
          <w:p>
            <w:pPr>
              <w:adjustRightInd w:val="0"/>
              <w:snapToGrid w:val="0"/>
              <w:jc w:val="center"/>
              <w:rPr>
                <w:rFonts w:eastAsia="宋体" w:cs="Times New Roman"/>
                <w:color w:val="000000"/>
                <w:spacing w:val="-6"/>
                <w:sz w:val="21"/>
              </w:rPr>
            </w:pPr>
            <w:r>
              <w:rPr>
                <w:rFonts w:hint="eastAsia" w:eastAsia="宋体" w:cs="Times New Roman"/>
                <w:color w:val="000000"/>
                <w:spacing w:val="-6"/>
                <w:sz w:val="21"/>
              </w:rPr>
              <w:t>/</w:t>
            </w:r>
          </w:p>
        </w:tc>
        <w:tc>
          <w:tcPr>
            <w:tcW w:w="1848" w:type="dxa"/>
            <w:tcBorders>
              <w:top w:val="single" w:color="auto" w:sz="2" w:space="0"/>
              <w:left w:val="single" w:color="auto" w:sz="4" w:space="0"/>
              <w:bottom w:val="single" w:color="auto" w:sz="2" w:space="0"/>
              <w:right w:val="nil"/>
            </w:tcBorders>
            <w:vAlign w:val="center"/>
          </w:tcPr>
          <w:p>
            <w:pPr>
              <w:adjustRightInd w:val="0"/>
              <w:snapToGrid w:val="0"/>
              <w:jc w:val="center"/>
              <w:rPr>
                <w:rFonts w:eastAsia="宋体" w:cs="Times New Roman"/>
                <w:color w:val="000000" w:themeColor="text1"/>
                <w:spacing w:val="-6"/>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汞</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sz w:val="21"/>
              </w:rPr>
            </w:pPr>
            <w:r>
              <w:rPr>
                <w:rFonts w:eastAsia="宋体" w:cs="Times New Roman"/>
                <w:sz w:val="21"/>
              </w:rPr>
              <w:t>0.047</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0.048</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sz w:val="21"/>
              </w:rPr>
            </w:pPr>
            <w:r>
              <w:rPr>
                <w:rFonts w:hint="eastAsia" w:eastAsia="宋体" w:cs="Times New Roman"/>
                <w:sz w:val="21"/>
              </w:rPr>
              <w:t>38</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砷</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19.1</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13.3</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sz w:val="21"/>
              </w:rPr>
            </w:pPr>
            <w:r>
              <w:rPr>
                <w:rFonts w:hint="eastAsia" w:eastAsia="宋体" w:cs="Times New Roman"/>
                <w:sz w:val="21"/>
              </w:rPr>
              <w:t>60</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铜</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20</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9</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sz w:val="21"/>
              </w:rPr>
            </w:pPr>
            <w:r>
              <w:rPr>
                <w:rFonts w:hint="eastAsia" w:eastAsia="宋体" w:cs="Times New Roman"/>
                <w:sz w:val="21"/>
              </w:rPr>
              <w:t>18000</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铅</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23.8</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29.5</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sz w:val="21"/>
              </w:rPr>
            </w:pPr>
            <w:r>
              <w:rPr>
                <w:rFonts w:hint="eastAsia" w:eastAsia="宋体" w:cs="Times New Roman"/>
                <w:sz w:val="21"/>
              </w:rPr>
              <w:t>800</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color w:val="000000" w:themeColor="text1"/>
              </w:rPr>
            </w:pPr>
            <w:r>
              <w:rPr>
                <w:rFonts w:ascii="Times New Roman" w:hAnsi="Times New Roman"/>
                <w:color w:val="000000" w:themeColor="text1"/>
              </w:rPr>
              <w:t>铬</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themeColor="text1"/>
                <w:sz w:val="21"/>
              </w:rPr>
            </w:pPr>
            <w:r>
              <w:rPr>
                <w:rFonts w:eastAsia="宋体" w:cs="Times New Roman"/>
                <w:color w:val="000000" w:themeColor="text1"/>
                <w:sz w:val="21"/>
              </w:rPr>
              <w:t>44</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themeColor="text1"/>
                <w:sz w:val="21"/>
              </w:rPr>
            </w:pPr>
            <w:r>
              <w:rPr>
                <w:rFonts w:eastAsia="宋体" w:cs="Times New Roman"/>
                <w:color w:val="000000" w:themeColor="text1"/>
                <w:sz w:val="21"/>
              </w:rPr>
              <w:t>26</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hint="eastAsia" w:eastAsia="宋体" w:cs="Times New Roman"/>
                <w:color w:val="000000" w:themeColor="text1"/>
                <w:sz w:val="21"/>
              </w:rPr>
              <w:t>/</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rPr>
            </w:pPr>
            <w:r>
              <w:rPr>
                <w:rFonts w:ascii="Times New Roman" w:hAnsi="Times New Roman"/>
              </w:rPr>
              <w:t>锌</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57.3</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color w:val="000000"/>
                <w:sz w:val="21"/>
              </w:rPr>
            </w:pPr>
            <w:r>
              <w:rPr>
                <w:rFonts w:eastAsia="宋体" w:cs="Times New Roman"/>
                <w:color w:val="000000"/>
                <w:sz w:val="21"/>
              </w:rPr>
              <w:t>33.7</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sz w:val="21"/>
              </w:rPr>
            </w:pPr>
            <w:r>
              <w:rPr>
                <w:rFonts w:hint="eastAsia" w:eastAsia="宋体" w:cs="Times New Roman"/>
                <w:sz w:val="21"/>
              </w:rPr>
              <w:t>/</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2" w:space="0"/>
              <w:right w:val="single" w:color="auto" w:sz="4" w:space="0"/>
            </w:tcBorders>
            <w:vAlign w:val="center"/>
          </w:tcPr>
          <w:p>
            <w:pPr>
              <w:pStyle w:val="143"/>
              <w:rPr>
                <w:rFonts w:ascii="Times New Roman" w:hAnsi="Times New Roman"/>
                <w:kern w:val="0"/>
              </w:rPr>
            </w:pPr>
            <w:r>
              <w:rPr>
                <w:rFonts w:ascii="Times New Roman" w:hAnsi="Times New Roman"/>
              </w:rPr>
              <w:t>镍</w:t>
            </w:r>
          </w:p>
        </w:tc>
        <w:tc>
          <w:tcPr>
            <w:tcW w:w="1849"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sz w:val="21"/>
              </w:rPr>
            </w:pPr>
            <w:r>
              <w:rPr>
                <w:rFonts w:eastAsia="宋体" w:cs="Times New Roman"/>
                <w:sz w:val="21"/>
              </w:rPr>
              <w:t>16</w:t>
            </w:r>
          </w:p>
        </w:tc>
        <w:tc>
          <w:tcPr>
            <w:tcW w:w="1848" w:type="dxa"/>
            <w:tcBorders>
              <w:top w:val="single" w:color="auto" w:sz="2" w:space="0"/>
              <w:left w:val="single" w:color="auto" w:sz="4" w:space="0"/>
              <w:bottom w:val="single" w:color="auto" w:sz="2" w:space="0"/>
              <w:right w:val="single" w:color="auto" w:sz="4" w:space="0"/>
            </w:tcBorders>
            <w:vAlign w:val="center"/>
          </w:tcPr>
          <w:p>
            <w:pPr>
              <w:jc w:val="center"/>
              <w:rPr>
                <w:rFonts w:eastAsia="宋体" w:cs="Times New Roman"/>
                <w:sz w:val="21"/>
              </w:rPr>
            </w:pPr>
            <w:r>
              <w:rPr>
                <w:rFonts w:eastAsia="宋体" w:cs="Times New Roman"/>
                <w:sz w:val="21"/>
              </w:rPr>
              <w:t>3</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sz w:val="21"/>
              </w:rPr>
            </w:pPr>
            <w:r>
              <w:rPr>
                <w:rFonts w:hint="eastAsia" w:eastAsia="宋体" w:cs="Times New Roman"/>
                <w:sz w:val="21"/>
              </w:rPr>
              <w:t>900</w:t>
            </w:r>
          </w:p>
        </w:tc>
        <w:tc>
          <w:tcPr>
            <w:tcW w:w="1848" w:type="dxa"/>
            <w:tcBorders>
              <w:top w:val="single" w:color="auto" w:sz="2" w:space="0"/>
              <w:left w:val="single" w:color="auto" w:sz="4" w:space="0"/>
              <w:bottom w:val="single" w:color="auto" w:sz="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1849" w:type="dxa"/>
            <w:tcBorders>
              <w:top w:val="single" w:color="auto" w:sz="2" w:space="0"/>
              <w:left w:val="nil"/>
              <w:bottom w:val="single" w:color="auto" w:sz="12" w:space="0"/>
              <w:right w:val="single" w:color="auto" w:sz="4" w:space="0"/>
            </w:tcBorders>
            <w:vAlign w:val="center"/>
          </w:tcPr>
          <w:p>
            <w:pPr>
              <w:pStyle w:val="143"/>
              <w:rPr>
                <w:rFonts w:ascii="Times New Roman" w:hAnsi="Times New Roman"/>
              </w:rPr>
            </w:pPr>
            <w:r>
              <w:rPr>
                <w:rFonts w:ascii="Times New Roman" w:hAnsi="Times New Roman"/>
              </w:rPr>
              <w:t>镉</w:t>
            </w:r>
          </w:p>
        </w:tc>
        <w:tc>
          <w:tcPr>
            <w:tcW w:w="1849" w:type="dxa"/>
            <w:tcBorders>
              <w:top w:val="single" w:color="auto" w:sz="2" w:space="0"/>
              <w:left w:val="single" w:color="auto" w:sz="4" w:space="0"/>
              <w:bottom w:val="single" w:color="auto" w:sz="12" w:space="0"/>
              <w:right w:val="single" w:color="auto" w:sz="4" w:space="0"/>
            </w:tcBorders>
            <w:vAlign w:val="center"/>
          </w:tcPr>
          <w:p>
            <w:pPr>
              <w:jc w:val="center"/>
              <w:rPr>
                <w:rFonts w:eastAsia="宋体" w:cs="Times New Roman"/>
                <w:color w:val="000000"/>
                <w:spacing w:val="-6"/>
                <w:sz w:val="21"/>
              </w:rPr>
            </w:pPr>
            <w:r>
              <w:rPr>
                <w:rFonts w:eastAsia="宋体" w:cs="Times New Roman"/>
                <w:color w:val="000000"/>
                <w:spacing w:val="-6"/>
                <w:sz w:val="21"/>
              </w:rPr>
              <w:t>0.67</w:t>
            </w:r>
          </w:p>
        </w:tc>
        <w:tc>
          <w:tcPr>
            <w:tcW w:w="1848" w:type="dxa"/>
            <w:tcBorders>
              <w:top w:val="single" w:color="auto" w:sz="2" w:space="0"/>
              <w:left w:val="single" w:color="auto" w:sz="4" w:space="0"/>
              <w:bottom w:val="single" w:color="auto" w:sz="12" w:space="0"/>
              <w:right w:val="single" w:color="auto" w:sz="4" w:space="0"/>
            </w:tcBorders>
            <w:vAlign w:val="center"/>
          </w:tcPr>
          <w:p>
            <w:pPr>
              <w:jc w:val="center"/>
              <w:rPr>
                <w:rFonts w:eastAsia="宋体" w:cs="Times New Roman"/>
                <w:color w:val="000000"/>
                <w:spacing w:val="-6"/>
                <w:sz w:val="21"/>
              </w:rPr>
            </w:pPr>
            <w:r>
              <w:rPr>
                <w:rFonts w:eastAsia="宋体" w:cs="Times New Roman"/>
                <w:color w:val="000000"/>
                <w:spacing w:val="-6"/>
                <w:sz w:val="21"/>
              </w:rPr>
              <w:t>0.46</w:t>
            </w:r>
          </w:p>
        </w:tc>
        <w:tc>
          <w:tcPr>
            <w:tcW w:w="1848" w:type="dxa"/>
            <w:tcBorders>
              <w:top w:val="single" w:color="auto" w:sz="2" w:space="0"/>
              <w:left w:val="single" w:color="auto" w:sz="4" w:space="0"/>
              <w:bottom w:val="single" w:color="auto" w:sz="12" w:space="0"/>
              <w:right w:val="nil"/>
            </w:tcBorders>
            <w:vAlign w:val="center"/>
          </w:tcPr>
          <w:p>
            <w:pPr>
              <w:jc w:val="center"/>
              <w:rPr>
                <w:rFonts w:eastAsia="宋体" w:cs="Times New Roman"/>
                <w:sz w:val="21"/>
              </w:rPr>
            </w:pPr>
            <w:r>
              <w:rPr>
                <w:rFonts w:hint="eastAsia" w:eastAsia="宋体" w:cs="Times New Roman"/>
                <w:sz w:val="21"/>
              </w:rPr>
              <w:t>65</w:t>
            </w:r>
          </w:p>
        </w:tc>
        <w:tc>
          <w:tcPr>
            <w:tcW w:w="1848" w:type="dxa"/>
            <w:tcBorders>
              <w:top w:val="single" w:color="auto" w:sz="2" w:space="0"/>
              <w:left w:val="single" w:color="auto" w:sz="4" w:space="0"/>
              <w:bottom w:val="single" w:color="auto" w:sz="12" w:space="0"/>
              <w:right w:val="nil"/>
            </w:tcBorders>
            <w:vAlign w:val="center"/>
          </w:tcPr>
          <w:p>
            <w:pPr>
              <w:jc w:val="center"/>
              <w:rPr>
                <w:rFonts w:eastAsia="宋体" w:cs="Times New Roman"/>
                <w:color w:val="000000" w:themeColor="text1"/>
                <w:sz w:val="21"/>
              </w:rPr>
            </w:pPr>
            <w:r>
              <w:rPr>
                <w:rFonts w:eastAsia="宋体" w:cs="Times New Roman"/>
                <w:color w:val="000000" w:themeColor="text1"/>
                <w:spacing w:val="-6"/>
                <w:sz w:val="21"/>
              </w:rPr>
              <w:t>否</w:t>
            </w:r>
          </w:p>
        </w:tc>
      </w:tr>
    </w:tbl>
    <w:p>
      <w:pPr>
        <w:spacing w:line="360" w:lineRule="auto"/>
        <w:ind w:firstLine="480" w:firstLineChars="200"/>
      </w:pPr>
      <w:r>
        <w:rPr>
          <w:rFonts w:hint="eastAsia"/>
        </w:rPr>
        <w:t>由上表可知，本项目底泥现状监测因子的监测值可满足</w:t>
      </w:r>
      <w:r>
        <w:rPr>
          <w:rFonts w:cs="Times New Roman"/>
          <w:color w:val="000000" w:themeColor="text1"/>
        </w:rPr>
        <w:t>《土壤环境质量建设用地土壤污染风险管控标准（实行）》（GB36600-2018）中筛选值中的第二类用地标准要求</w:t>
      </w:r>
      <w:r>
        <w:rPr>
          <w:rFonts w:hint="eastAsia" w:cs="Times New Roman"/>
          <w:color w:val="000000" w:themeColor="text1"/>
        </w:rPr>
        <w:t>。</w:t>
      </w:r>
    </w:p>
    <w:p>
      <w:pPr>
        <w:pStyle w:val="5"/>
        <w:rPr>
          <w:color w:val="000000" w:themeColor="text1"/>
        </w:rPr>
      </w:pPr>
      <w:r>
        <w:rPr>
          <w:rFonts w:hint="eastAsia"/>
          <w:color w:val="000000" w:themeColor="text1"/>
        </w:rPr>
        <w:t>生态环境现状评价</w:t>
      </w:r>
      <w:bookmarkEnd w:id="147"/>
    </w:p>
    <w:p>
      <w:pPr>
        <w:spacing w:line="360" w:lineRule="auto"/>
        <w:ind w:firstLine="480" w:firstLineChars="200"/>
      </w:pPr>
      <w:r>
        <w:rPr>
          <w:rFonts w:hint="eastAsia"/>
          <w:color w:val="000000" w:themeColor="text1"/>
          <w:kern w:val="0"/>
        </w:rPr>
        <w:t>本项目位于</w:t>
      </w:r>
      <w:r>
        <w:t>湖南省岳阳市华容县石伏</w:t>
      </w:r>
      <w:r>
        <w:rPr>
          <w:rFonts w:hint="eastAsia"/>
        </w:rPr>
        <w:t>工业园</w:t>
      </w:r>
      <w:r>
        <w:rPr>
          <w:rFonts w:hint="eastAsia"/>
          <w:color w:val="000000" w:themeColor="text1"/>
          <w:kern w:val="0"/>
        </w:rPr>
        <w:t>，区域植被属次生植被群落，主要由人工林地、人工绿化带组成。主要乔木树种有马尾松、杉木、樟树等，草本植物有芭茅、丝茅、狗尾草、芒草、车前、野菊花、狗牙根、蒲公英等。区域内野生动物较少，主要有蛇类、田鼠、青蛙等。项目所在区域生态系统较为完整，未发现珍稀动植物物种，未发现名木古树。</w:t>
      </w:r>
    </w:p>
    <w:p>
      <w:pPr>
        <w:pStyle w:val="4"/>
        <w:rPr>
          <w:color w:val="000000" w:themeColor="text1"/>
        </w:rPr>
      </w:pPr>
      <w:bookmarkStart w:id="149" w:name="_Toc532763213"/>
      <w:bookmarkStart w:id="150" w:name="_Toc28114"/>
      <w:bookmarkStart w:id="151" w:name="_Toc532498749"/>
      <w:bookmarkStart w:id="152" w:name="_Toc532376156"/>
      <w:bookmarkStart w:id="153" w:name="_Toc532497653"/>
      <w:r>
        <w:rPr>
          <w:rFonts w:hint="eastAsia"/>
          <w:color w:val="000000" w:themeColor="text1"/>
        </w:rPr>
        <w:t>小结</w:t>
      </w:r>
      <w:bookmarkEnd w:id="149"/>
      <w:bookmarkEnd w:id="150"/>
      <w:bookmarkEnd w:id="151"/>
      <w:bookmarkEnd w:id="152"/>
      <w:bookmarkEnd w:id="153"/>
    </w:p>
    <w:p>
      <w:pPr>
        <w:spacing w:line="360" w:lineRule="auto"/>
        <w:ind w:firstLine="480" w:firstLineChars="200"/>
        <w:rPr>
          <w:color w:val="000000" w:themeColor="text1"/>
        </w:rPr>
      </w:pPr>
      <w:r>
        <w:rPr>
          <w:rFonts w:hint="eastAsia"/>
          <w:color w:val="000000" w:themeColor="text1"/>
        </w:rPr>
        <w:t>根据现状监测结果可知：区域空气环境、地表水、地下水、声环境均达到了相关标准值，环境质量良好。</w:t>
      </w:r>
    </w:p>
    <w:p>
      <w:pPr>
        <w:widowControl/>
        <w:jc w:val="left"/>
        <w:rPr>
          <w:color w:val="000000" w:themeColor="text1"/>
        </w:rPr>
      </w:pPr>
      <w:r>
        <w:rPr>
          <w:color w:val="000000" w:themeColor="text1"/>
        </w:rPr>
        <w:br w:type="page"/>
      </w:r>
    </w:p>
    <w:p>
      <w:pPr>
        <w:pStyle w:val="2"/>
        <w:adjustRightInd w:val="0"/>
        <w:snapToGrid w:val="0"/>
        <w:spacing w:line="360" w:lineRule="auto"/>
        <w:rPr>
          <w:color w:val="000000" w:themeColor="text1"/>
        </w:rPr>
      </w:pPr>
      <w:bookmarkStart w:id="154" w:name="_Toc532763214"/>
      <w:bookmarkStart w:id="155" w:name="_Toc532376157"/>
      <w:bookmarkStart w:id="156" w:name="_Toc16115"/>
      <w:bookmarkStart w:id="157" w:name="_Toc532498750"/>
      <w:bookmarkStart w:id="158" w:name="_Toc532497654"/>
      <w:r>
        <w:rPr>
          <w:rFonts w:hint="eastAsia"/>
          <w:color w:val="000000" w:themeColor="text1"/>
        </w:rPr>
        <w:t>环境影响预测与评价</w:t>
      </w:r>
      <w:bookmarkEnd w:id="154"/>
      <w:bookmarkEnd w:id="155"/>
      <w:bookmarkEnd w:id="156"/>
      <w:bookmarkEnd w:id="157"/>
      <w:bookmarkEnd w:id="158"/>
    </w:p>
    <w:p>
      <w:pPr>
        <w:pStyle w:val="4"/>
        <w:adjustRightInd w:val="0"/>
        <w:snapToGrid w:val="0"/>
        <w:rPr>
          <w:color w:val="000000" w:themeColor="text1"/>
        </w:rPr>
      </w:pPr>
      <w:bookmarkStart w:id="159" w:name="_Toc532763216"/>
      <w:bookmarkStart w:id="160" w:name="_Toc532497661"/>
      <w:bookmarkStart w:id="161" w:name="_Toc14070"/>
      <w:bookmarkStart w:id="162" w:name="_Toc532376159"/>
      <w:bookmarkStart w:id="163" w:name="_Toc532498752"/>
      <w:r>
        <w:rPr>
          <w:rFonts w:hint="eastAsia"/>
          <w:color w:val="000000" w:themeColor="text1"/>
        </w:rPr>
        <w:t>营运期环境影响分析</w:t>
      </w:r>
      <w:bookmarkEnd w:id="159"/>
      <w:bookmarkEnd w:id="160"/>
      <w:bookmarkEnd w:id="161"/>
      <w:bookmarkEnd w:id="162"/>
      <w:bookmarkEnd w:id="163"/>
    </w:p>
    <w:p>
      <w:pPr>
        <w:pStyle w:val="5"/>
        <w:rPr>
          <w:color w:val="000000" w:themeColor="text1"/>
        </w:rPr>
      </w:pPr>
      <w:bookmarkStart w:id="164" w:name="_Toc532497663"/>
      <w:r>
        <w:rPr>
          <w:rFonts w:hint="eastAsia"/>
          <w:color w:val="000000" w:themeColor="text1"/>
        </w:rPr>
        <w:t>大气环境影响分析</w:t>
      </w:r>
      <w:bookmarkEnd w:id="164"/>
    </w:p>
    <w:p>
      <w:pPr>
        <w:pStyle w:val="61"/>
      </w:pPr>
      <w:r>
        <w:rPr>
          <w:rFonts w:hint="eastAsia"/>
        </w:rPr>
        <w:t>评价工作等级的确定</w:t>
      </w:r>
    </w:p>
    <w:p>
      <w:pPr>
        <w:pStyle w:val="153"/>
        <w:spacing w:line="360" w:lineRule="auto"/>
        <w:ind w:firstLine="480" w:firstLineChars="200"/>
        <w:rPr>
          <w:sz w:val="24"/>
          <w:szCs w:val="24"/>
        </w:rPr>
      </w:pPr>
      <w:r>
        <w:rPr>
          <w:rFonts w:hAnsi="宋体"/>
          <w:sz w:val="24"/>
          <w:szCs w:val="24"/>
        </w:rPr>
        <w:t>依据《环境影响评价技术导则</w:t>
      </w:r>
      <w:r>
        <w:rPr>
          <w:sz w:val="24"/>
          <w:szCs w:val="24"/>
        </w:rPr>
        <w:t>-</w:t>
      </w:r>
      <w:r>
        <w:rPr>
          <w:rFonts w:hAnsi="宋体"/>
          <w:sz w:val="24"/>
          <w:szCs w:val="24"/>
        </w:rPr>
        <w:t>大气环境》（</w:t>
      </w:r>
      <w:r>
        <w:rPr>
          <w:sz w:val="24"/>
          <w:szCs w:val="24"/>
        </w:rPr>
        <w:t>HJ2.2-2018</w:t>
      </w:r>
      <w:r>
        <w:rPr>
          <w:rFonts w:hAnsi="宋体"/>
          <w:sz w:val="24"/>
          <w:szCs w:val="24"/>
        </w:rPr>
        <w:t>）中</w:t>
      </w:r>
      <w:r>
        <w:rPr>
          <w:sz w:val="24"/>
          <w:szCs w:val="24"/>
        </w:rPr>
        <w:t>5.3</w:t>
      </w:r>
      <w:r>
        <w:rPr>
          <w:rFonts w:hAnsi="宋体"/>
          <w:sz w:val="24"/>
          <w:szCs w:val="24"/>
        </w:rPr>
        <w:t>节工作等级的确定方法，结合项目工程分析结果，选择正常排放的主要污染物及排放参数，采用附录</w:t>
      </w:r>
      <w:r>
        <w:rPr>
          <w:sz w:val="24"/>
          <w:szCs w:val="24"/>
        </w:rPr>
        <w:t>A</w:t>
      </w:r>
      <w:r>
        <w:rPr>
          <w:rFonts w:hAnsi="宋体"/>
          <w:sz w:val="24"/>
          <w:szCs w:val="24"/>
        </w:rPr>
        <w:t>推荐模型中的</w:t>
      </w:r>
      <w:r>
        <w:rPr>
          <w:sz w:val="24"/>
          <w:szCs w:val="24"/>
        </w:rPr>
        <w:t>AERSCREEN</w:t>
      </w:r>
      <w:r>
        <w:rPr>
          <w:rFonts w:hAnsi="宋体"/>
          <w:sz w:val="24"/>
          <w:szCs w:val="24"/>
        </w:rPr>
        <w:t>模式计算项目污染源的最大环境影响，然后按评价工作分级判据进行分级。</w:t>
      </w:r>
    </w:p>
    <w:p>
      <w:pPr>
        <w:pStyle w:val="153"/>
        <w:spacing w:line="360" w:lineRule="auto"/>
        <w:ind w:firstLine="480" w:firstLineChars="200"/>
        <w:rPr>
          <w:sz w:val="24"/>
          <w:szCs w:val="24"/>
        </w:rPr>
      </w:pPr>
      <w:r>
        <w:rPr>
          <w:sz w:val="24"/>
          <w:szCs w:val="24"/>
        </w:rPr>
        <w:t>（1）P</w:t>
      </w:r>
      <w:r>
        <w:rPr>
          <w:sz w:val="24"/>
          <w:szCs w:val="24"/>
          <w:vertAlign w:val="subscript"/>
        </w:rPr>
        <w:t>max</w:t>
      </w:r>
      <w:r>
        <w:rPr>
          <w:sz w:val="24"/>
          <w:szCs w:val="24"/>
        </w:rPr>
        <w:t>及D</w:t>
      </w:r>
      <w:r>
        <w:rPr>
          <w:sz w:val="24"/>
          <w:szCs w:val="24"/>
          <w:vertAlign w:val="subscript"/>
        </w:rPr>
        <w:t>10%</w:t>
      </w:r>
      <w:r>
        <w:rPr>
          <w:sz w:val="24"/>
          <w:szCs w:val="24"/>
        </w:rPr>
        <w:t>的确定</w:t>
      </w:r>
    </w:p>
    <w:p>
      <w:pPr>
        <w:spacing w:line="360" w:lineRule="auto"/>
        <w:ind w:firstLine="422" w:firstLineChars="176"/>
        <w:jc w:val="left"/>
        <w:rPr>
          <w:rFonts w:cs="Times New Roman"/>
          <w:szCs w:val="24"/>
        </w:rPr>
      </w:pPr>
      <w:r>
        <w:rPr>
          <w:rFonts w:hAnsi="宋体" w:cs="Times New Roman"/>
          <w:szCs w:val="24"/>
        </w:rPr>
        <w:t>依据《环境影响评价技术导则大气环境》</w:t>
      </w:r>
      <w:r>
        <w:rPr>
          <w:rFonts w:cs="Times New Roman"/>
          <w:szCs w:val="24"/>
        </w:rPr>
        <w:t>(HJ2.2-2018)</w:t>
      </w:r>
      <w:r>
        <w:rPr>
          <w:rFonts w:hAnsi="宋体" w:cs="Times New Roman"/>
          <w:szCs w:val="24"/>
        </w:rPr>
        <w:t>中最大地面浓度占标率</w:t>
      </w:r>
      <w:r>
        <w:rPr>
          <w:rFonts w:cs="Times New Roman"/>
          <w:szCs w:val="24"/>
        </w:rPr>
        <w:t>P</w:t>
      </w:r>
      <w:r>
        <w:rPr>
          <w:rFonts w:cs="Times New Roman"/>
          <w:i/>
          <w:iCs/>
          <w:szCs w:val="24"/>
        </w:rPr>
        <w:t>i</w:t>
      </w:r>
      <w:r>
        <w:rPr>
          <w:rFonts w:hAnsi="宋体" w:cs="Times New Roman"/>
          <w:szCs w:val="24"/>
        </w:rPr>
        <w:t>定义如下：</w:t>
      </w:r>
    </w:p>
    <w:p>
      <w:pPr>
        <w:wordWrap w:val="0"/>
        <w:spacing w:line="273" w:lineRule="auto"/>
        <w:ind w:firstLine="422" w:firstLineChars="176"/>
        <w:jc w:val="center"/>
        <w:rPr>
          <w:szCs w:val="24"/>
        </w:rPr>
      </w:pPr>
      <w:r>
        <w:rPr>
          <w:rFonts w:cs="Times New Roman"/>
          <w:color w:val="FF0000"/>
          <w:position w:val="-30"/>
          <w:szCs w:val="24"/>
        </w:rPr>
        <w:object>
          <v:shape id="_x0000_i1029" o:spt="75" type="#_x0000_t75" style="height:35.05pt;width:79.8pt;" o:ole="t" filled="f" o:preferrelative="t" stroked="f" coordsize="21600,21600">
            <v:path/>
            <v:fill on="f" focussize="0,0"/>
            <v:stroke on="f" joinstyle="miter"/>
            <v:imagedata r:id="rId8" o:title=""/>
            <o:lock v:ext="edit" aspectratio="t"/>
            <w10:wrap type="none"/>
            <w10:anchorlock/>
          </v:shape>
          <o:OLEObject Type="Embed" ProgID="Equation.3" ShapeID="_x0000_i1029" DrawAspect="Content" ObjectID="_1468075728" r:id="rId15">
            <o:LockedField>false</o:LockedField>
          </o:OLEObject>
        </w:object>
      </w:r>
    </w:p>
    <w:p>
      <w:pPr>
        <w:pStyle w:val="87"/>
        <w:spacing w:before="0"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式中：P</w:t>
      </w:r>
      <w:r>
        <w:rPr>
          <w:rFonts w:ascii="Times New Roman" w:hAnsi="Times New Roman" w:cs="Times New Roman"/>
          <w:color w:val="000000" w:themeColor="text1"/>
          <w:szCs w:val="24"/>
          <w:vertAlign w:val="subscript"/>
        </w:rPr>
        <w:t>i</w:t>
      </w:r>
      <w:r>
        <w:rPr>
          <w:rFonts w:ascii="Times New Roman" w:hAnsi="Times New Roman" w:cs="Times New Roman"/>
          <w:color w:val="000000" w:themeColor="text1"/>
          <w:szCs w:val="24"/>
        </w:rPr>
        <w:t>——第i个污染物的最大地面浓度占标率，%；</w:t>
      </w:r>
    </w:p>
    <w:p>
      <w:pPr>
        <w:pStyle w:val="87"/>
        <w:spacing w:before="0" w:line="360" w:lineRule="auto"/>
        <w:ind w:left="2"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C</w:t>
      </w:r>
      <w:r>
        <w:rPr>
          <w:rFonts w:ascii="Times New Roman" w:hAnsi="Times New Roman" w:cs="Times New Roman"/>
          <w:color w:val="000000" w:themeColor="text1"/>
          <w:szCs w:val="24"/>
          <w:vertAlign w:val="subscript"/>
        </w:rPr>
        <w:t>i</w:t>
      </w:r>
      <w:r>
        <w:rPr>
          <w:rFonts w:ascii="Times New Roman" w:hAnsi="Times New Roman" w:cs="Times New Roman"/>
          <w:color w:val="000000" w:themeColor="text1"/>
          <w:szCs w:val="24"/>
        </w:rPr>
        <w:t>——采用估算模式计算出的第i个污染物的最大地面浓度，mg/m</w:t>
      </w:r>
      <w:r>
        <w:rPr>
          <w:rFonts w:ascii="Times New Roman" w:hAnsi="Times New Roman" w:cs="Times New Roman"/>
          <w:color w:val="000000" w:themeColor="text1"/>
          <w:szCs w:val="24"/>
          <w:vertAlign w:val="superscript"/>
        </w:rPr>
        <w:t>3</w:t>
      </w:r>
      <w:r>
        <w:rPr>
          <w:rFonts w:ascii="Times New Roman" w:hAnsi="Times New Roman" w:cs="Times New Roman"/>
          <w:color w:val="000000" w:themeColor="text1"/>
          <w:szCs w:val="24"/>
        </w:rPr>
        <w:t>；</w:t>
      </w:r>
    </w:p>
    <w:p>
      <w:pPr>
        <w:pStyle w:val="153"/>
        <w:spacing w:line="360" w:lineRule="auto"/>
        <w:ind w:firstLine="480" w:firstLineChars="200"/>
        <w:rPr>
          <w:rFonts w:ascii="宋体" w:hAnsi="宋体"/>
          <w:sz w:val="24"/>
          <w:szCs w:val="24"/>
        </w:rPr>
      </w:pPr>
      <w:r>
        <w:rPr>
          <w:color w:val="000000" w:themeColor="text1"/>
          <w:sz w:val="24"/>
          <w:szCs w:val="24"/>
        </w:rPr>
        <w:t xml:space="preserve">      C</w:t>
      </w:r>
      <w:r>
        <w:rPr>
          <w:color w:val="000000" w:themeColor="text1"/>
          <w:sz w:val="24"/>
          <w:szCs w:val="24"/>
          <w:vertAlign w:val="subscript"/>
        </w:rPr>
        <w:t>0i</w:t>
      </w:r>
      <w:r>
        <w:rPr>
          <w:color w:val="000000" w:themeColor="text1"/>
          <w:sz w:val="24"/>
          <w:szCs w:val="24"/>
        </w:rPr>
        <w:t>——</w:t>
      </w:r>
      <w:r>
        <w:rPr>
          <w:color w:val="000000" w:themeColor="text1"/>
          <w:kern w:val="0"/>
          <w:sz w:val="24"/>
          <w:szCs w:val="24"/>
        </w:rPr>
        <w:t>第i个污染物的环境空气质量标准</w:t>
      </w:r>
      <w:r>
        <w:rPr>
          <w:color w:val="000000" w:themeColor="text1"/>
          <w:sz w:val="24"/>
          <w:szCs w:val="24"/>
        </w:rPr>
        <w:t>，mg/m</w:t>
      </w:r>
      <w:r>
        <w:rPr>
          <w:color w:val="000000" w:themeColor="text1"/>
          <w:sz w:val="24"/>
          <w:szCs w:val="24"/>
          <w:vertAlign w:val="superscript"/>
        </w:rPr>
        <w:t>3</w:t>
      </w:r>
      <w:r>
        <w:rPr>
          <w:color w:val="000000" w:themeColor="text1"/>
          <w:sz w:val="24"/>
          <w:szCs w:val="24"/>
        </w:rPr>
        <w:t>，对于无小时浓度限值的污染物，可取日平均浓度限制的三倍值，对该标准未包含的污染物。</w:t>
      </w:r>
    </w:p>
    <w:p>
      <w:pPr>
        <w:pStyle w:val="153"/>
        <w:spacing w:line="360" w:lineRule="auto"/>
        <w:ind w:firstLine="480" w:firstLineChars="200"/>
        <w:rPr>
          <w:sz w:val="24"/>
          <w:szCs w:val="24"/>
        </w:rPr>
      </w:pPr>
      <w:r>
        <w:rPr>
          <w:rFonts w:hint="eastAsia"/>
          <w:sz w:val="24"/>
          <w:szCs w:val="24"/>
        </w:rPr>
        <w:t>（2）评价等级判别表</w:t>
      </w:r>
    </w:p>
    <w:p>
      <w:pPr>
        <w:spacing w:line="360" w:lineRule="auto"/>
        <w:ind w:firstLine="422" w:firstLineChars="176"/>
        <w:jc w:val="left"/>
        <w:rPr>
          <w:rFonts w:ascii="宋体" w:hAnsi="宋体"/>
          <w:szCs w:val="24"/>
        </w:rPr>
      </w:pPr>
      <w:r>
        <w:rPr>
          <w:rFonts w:ascii="宋体" w:hAnsi="宋体"/>
          <w:szCs w:val="24"/>
        </w:rPr>
        <w:t>评价等级按下表的分级判据进行划分</w:t>
      </w:r>
    </w:p>
    <w:p>
      <w:pPr>
        <w:pStyle w:val="14"/>
        <w:spacing w:line="240" w:lineRule="auto"/>
        <w:rPr>
          <w:rFonts w:cs="Times New Roman"/>
          <w:szCs w:val="24"/>
        </w:rPr>
      </w:pPr>
      <w:r>
        <w:rPr>
          <w:rFonts w:hAnsi="宋体" w:cs="Times New Roman"/>
          <w:szCs w:val="24"/>
        </w:rPr>
        <w:t>表</w:t>
      </w:r>
      <w:r>
        <w:rPr>
          <w:rFonts w:hAnsi="宋体" w:cs="Times New Roman"/>
          <w:szCs w:val="24"/>
        </w:rPr>
        <w:fldChar w:fldCharType="begin"/>
      </w:r>
      <w:r>
        <w:rPr>
          <w:rFonts w:hAnsi="宋体" w:cs="Times New Roman"/>
          <w:szCs w:val="24"/>
        </w:rPr>
        <w:instrText xml:space="preserve"> STYLEREF 2 \s </w:instrText>
      </w:r>
      <w:r>
        <w:rPr>
          <w:rFonts w:hAnsi="宋体" w:cs="Times New Roman"/>
          <w:szCs w:val="24"/>
        </w:rPr>
        <w:fldChar w:fldCharType="separate"/>
      </w:r>
      <w:r>
        <w:rPr>
          <w:rFonts w:hAnsi="宋体" w:cs="Times New Roman"/>
          <w:szCs w:val="24"/>
        </w:rPr>
        <w:t>4.1</w:t>
      </w:r>
      <w:r>
        <w:rPr>
          <w:rFonts w:hAnsi="宋体" w:cs="Times New Roman"/>
          <w:szCs w:val="24"/>
        </w:rPr>
        <w:fldChar w:fldCharType="end"/>
      </w:r>
      <w:r>
        <w:rPr>
          <w:rFonts w:hAnsi="宋体" w:cs="Times New Roman"/>
          <w:szCs w:val="24"/>
        </w:rPr>
        <w:noBreakHyphen/>
      </w:r>
      <w:r>
        <w:rPr>
          <w:rFonts w:hAnsi="宋体" w:cs="Times New Roman"/>
          <w:szCs w:val="24"/>
        </w:rPr>
        <w:fldChar w:fldCharType="begin"/>
      </w:r>
      <w:r>
        <w:rPr>
          <w:rFonts w:hAnsi="宋体" w:cs="Times New Roman"/>
          <w:szCs w:val="24"/>
        </w:rPr>
        <w:instrText xml:space="preserve"> SEQ 表 \* ARABIC \s 2 </w:instrText>
      </w:r>
      <w:r>
        <w:rPr>
          <w:rFonts w:hAnsi="宋体" w:cs="Times New Roman"/>
          <w:szCs w:val="24"/>
        </w:rPr>
        <w:fldChar w:fldCharType="separate"/>
      </w:r>
      <w:r>
        <w:rPr>
          <w:rFonts w:hAnsi="宋体" w:cs="Times New Roman"/>
          <w:szCs w:val="24"/>
        </w:rPr>
        <w:t>1</w:t>
      </w:r>
      <w:r>
        <w:rPr>
          <w:rFonts w:hAnsi="宋体" w:cs="Times New Roman"/>
          <w:szCs w:val="24"/>
        </w:rPr>
        <w:fldChar w:fldCharType="end"/>
      </w:r>
      <w:r>
        <w:rPr>
          <w:rFonts w:cs="Times New Roman"/>
          <w:szCs w:val="24"/>
        </w:rPr>
        <w:t xml:space="preserve">  大气环境影响评价工作等级</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w:t>
            </w:r>
          </w:p>
        </w:tc>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一级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 ≥10%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二级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1%≤P max</w:t>
            </w:r>
            <w:r>
              <w:rPr>
                <w:rFonts w:hint="eastAsia" w:ascii="宋体" w:hAnsi="宋体" w:cs="Times New Roman"/>
                <w:b w:val="0"/>
                <w:color w:val="000000" w:themeColor="text1"/>
                <w:kern w:val="0"/>
                <w:sz w:val="21"/>
                <w:szCs w:val="21"/>
              </w:rPr>
              <w:t>＜</w:t>
            </w:r>
            <w:r>
              <w:rPr>
                <w:rFonts w:cs="Times New Roman"/>
                <w:b w:val="0"/>
                <w:color w:val="000000" w:themeColor="text1"/>
                <w:ker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三级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Pmax＜1%</w:t>
            </w:r>
          </w:p>
        </w:tc>
      </w:tr>
    </w:tbl>
    <w:p>
      <w:pPr>
        <w:spacing w:line="360" w:lineRule="auto"/>
        <w:ind w:firstLine="480" w:firstLineChars="200"/>
      </w:pPr>
      <w:r>
        <w:rPr>
          <w:rFonts w:ascii="宋体" w:hAnsi="宋体"/>
          <w:szCs w:val="24"/>
        </w:rPr>
        <w:t>同一项目有多个污染源（两个及以上）时，则按各污染源分别确定评价等级，并取评价等级最高者作为项目的评价等级。</w:t>
      </w:r>
    </w:p>
    <w:p>
      <w:pPr>
        <w:pStyle w:val="153"/>
        <w:spacing w:line="360" w:lineRule="auto"/>
        <w:ind w:firstLine="480" w:firstLineChars="200"/>
        <w:rPr>
          <w:sz w:val="24"/>
          <w:szCs w:val="24"/>
        </w:rPr>
      </w:pPr>
      <w:r>
        <w:rPr>
          <w:rFonts w:hint="eastAsia"/>
          <w:sz w:val="24"/>
          <w:szCs w:val="24"/>
        </w:rPr>
        <w:t>（3）污染物评价标准</w:t>
      </w:r>
    </w:p>
    <w:p>
      <w:pPr>
        <w:pStyle w:val="153"/>
        <w:spacing w:line="360" w:lineRule="auto"/>
        <w:ind w:firstLine="480" w:firstLineChars="200"/>
        <w:rPr>
          <w:sz w:val="24"/>
          <w:szCs w:val="24"/>
        </w:rPr>
      </w:pPr>
      <w:r>
        <w:rPr>
          <w:rFonts w:hint="eastAsia"/>
          <w:sz w:val="24"/>
          <w:szCs w:val="24"/>
        </w:rPr>
        <w:t>污染物评价标准和来源见下表所示。</w:t>
      </w:r>
    </w:p>
    <w:p>
      <w:pPr>
        <w:pStyle w:val="14"/>
        <w:spacing w:line="240" w:lineRule="auto"/>
        <w:rPr>
          <w:szCs w:val="24"/>
        </w:rPr>
      </w:pPr>
      <w:r>
        <w:rPr>
          <w:rFonts w:hint="eastAsia"/>
          <w:szCs w:val="24"/>
        </w:rPr>
        <w:t>表</w:t>
      </w:r>
      <w:r>
        <w:rPr>
          <w:szCs w:val="24"/>
        </w:rPr>
        <w:fldChar w:fldCharType="begin"/>
      </w:r>
      <w:r>
        <w:rPr>
          <w:rFonts w:hint="eastAsia"/>
          <w:szCs w:val="24"/>
        </w:rPr>
        <w:instrText xml:space="preserve">STYLEREF 2 \s</w:instrText>
      </w:r>
      <w:r>
        <w:rPr>
          <w:szCs w:val="24"/>
        </w:rPr>
        <w:fldChar w:fldCharType="separate"/>
      </w:r>
      <w:r>
        <w:rPr>
          <w:szCs w:val="24"/>
        </w:rPr>
        <w:t>4.1</w:t>
      </w:r>
      <w:r>
        <w:rPr>
          <w:szCs w:val="24"/>
        </w:rPr>
        <w:fldChar w:fldCharType="end"/>
      </w:r>
      <w:r>
        <w:rPr>
          <w:szCs w:val="24"/>
        </w:rPr>
        <w:noBreakHyphen/>
      </w:r>
      <w:r>
        <w:rPr>
          <w:szCs w:val="24"/>
        </w:rPr>
        <w:fldChar w:fldCharType="begin"/>
      </w:r>
      <w:r>
        <w:rPr>
          <w:rFonts w:hint="eastAsia"/>
          <w:szCs w:val="24"/>
        </w:rPr>
        <w:instrText xml:space="preserve">SEQ 表 \* ARABIC \s 2</w:instrText>
      </w:r>
      <w:r>
        <w:rPr>
          <w:szCs w:val="24"/>
        </w:rPr>
        <w:fldChar w:fldCharType="separate"/>
      </w:r>
      <w:r>
        <w:rPr>
          <w:rFonts w:hint="eastAsia"/>
          <w:szCs w:val="24"/>
        </w:rPr>
        <w:t>2</w:t>
      </w:r>
      <w:r>
        <w:rPr>
          <w:szCs w:val="24"/>
        </w:rPr>
        <w:fldChar w:fldCharType="end"/>
      </w:r>
      <w:r>
        <w:rPr>
          <w:rFonts w:hint="eastAsia"/>
          <w:szCs w:val="24"/>
        </w:rPr>
        <w:t xml:space="preserve"> 污染物评价标准</w:t>
      </w:r>
    </w:p>
    <w:tbl>
      <w:tblPr>
        <w:tblStyle w:val="3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41"/>
        <w:gridCol w:w="1381"/>
        <w:gridCol w:w="1170"/>
        <w:gridCol w:w="1133"/>
        <w:gridCol w:w="42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26" w:type="pct"/>
            <w:tcBorders>
              <w:tl2br w:val="nil"/>
              <w:tr2bl w:val="nil"/>
            </w:tcBorders>
            <w:vAlign w:val="center"/>
          </w:tcPr>
          <w:p>
            <w:pPr>
              <w:wordWrap w:val="0"/>
              <w:jc w:val="center"/>
              <w:rPr>
                <w:rFonts w:eastAsia="宋体" w:cs="Times New Roman"/>
                <w:sz w:val="21"/>
              </w:rPr>
            </w:pPr>
            <w:r>
              <w:rPr>
                <w:rFonts w:eastAsia="宋体" w:cs="Times New Roman"/>
                <w:sz w:val="21"/>
              </w:rPr>
              <w:t>污染物名称</w:t>
            </w:r>
          </w:p>
        </w:tc>
        <w:tc>
          <w:tcPr>
            <w:tcW w:w="747" w:type="pct"/>
            <w:tcBorders>
              <w:tl2br w:val="nil"/>
              <w:tr2bl w:val="nil"/>
            </w:tcBorders>
            <w:vAlign w:val="center"/>
          </w:tcPr>
          <w:p>
            <w:pPr>
              <w:wordWrap w:val="0"/>
              <w:jc w:val="center"/>
              <w:rPr>
                <w:rFonts w:eastAsia="宋体" w:cs="Times New Roman"/>
                <w:sz w:val="21"/>
              </w:rPr>
            </w:pPr>
            <w:r>
              <w:rPr>
                <w:rFonts w:eastAsia="宋体" w:cs="Times New Roman"/>
                <w:sz w:val="21"/>
              </w:rPr>
              <w:t>功能区</w:t>
            </w:r>
          </w:p>
        </w:tc>
        <w:tc>
          <w:tcPr>
            <w:tcW w:w="633" w:type="pct"/>
            <w:tcBorders>
              <w:tl2br w:val="nil"/>
              <w:tr2bl w:val="nil"/>
            </w:tcBorders>
            <w:vAlign w:val="center"/>
          </w:tcPr>
          <w:p>
            <w:pPr>
              <w:wordWrap w:val="0"/>
              <w:jc w:val="center"/>
              <w:rPr>
                <w:rFonts w:eastAsia="宋体" w:cs="Times New Roman"/>
                <w:sz w:val="21"/>
              </w:rPr>
            </w:pPr>
            <w:r>
              <w:rPr>
                <w:rFonts w:eastAsia="宋体" w:cs="Times New Roman"/>
                <w:sz w:val="21"/>
              </w:rPr>
              <w:t>取值时间</w:t>
            </w:r>
          </w:p>
        </w:tc>
        <w:tc>
          <w:tcPr>
            <w:tcW w:w="613" w:type="pct"/>
            <w:tcBorders>
              <w:tl2br w:val="nil"/>
              <w:tr2bl w:val="nil"/>
            </w:tcBorders>
            <w:vAlign w:val="center"/>
          </w:tcPr>
          <w:p>
            <w:pPr>
              <w:wordWrap w:val="0"/>
              <w:jc w:val="center"/>
              <w:rPr>
                <w:rFonts w:eastAsia="宋体" w:cs="Times New Roman"/>
                <w:sz w:val="21"/>
              </w:rPr>
            </w:pPr>
            <w:bookmarkStart w:id="165" w:name="OLE_LINK4"/>
            <w:r>
              <w:rPr>
                <w:rFonts w:eastAsia="宋体" w:cs="Times New Roman"/>
                <w:sz w:val="21"/>
              </w:rPr>
              <w:t>标准值</w:t>
            </w:r>
            <w:bookmarkEnd w:id="165"/>
          </w:p>
          <w:p>
            <w:pPr>
              <w:wordWrap w:val="0"/>
              <w:jc w:val="center"/>
              <w:rPr>
                <w:rFonts w:eastAsia="宋体" w:cs="Times New Roman"/>
                <w:sz w:val="21"/>
              </w:rPr>
            </w:pPr>
            <w:bookmarkStart w:id="166" w:name="OLE_LINK15"/>
            <w:r>
              <w:rPr>
                <w:rFonts w:eastAsia="宋体" w:cs="Times New Roman"/>
                <w:sz w:val="21"/>
              </w:rPr>
              <w:t>(μg/m</w:t>
            </w:r>
            <w:bookmarkEnd w:id="166"/>
            <w:r>
              <w:rPr>
                <w:rFonts w:eastAsia="宋体" w:cs="Times New Roman"/>
                <w:sz w:val="21"/>
                <w:vertAlign w:val="superscript"/>
              </w:rPr>
              <w:t>3</w:t>
            </w:r>
            <w:r>
              <w:rPr>
                <w:rFonts w:eastAsia="宋体" w:cs="Times New Roman"/>
                <w:sz w:val="21"/>
              </w:rPr>
              <w:t>)</w:t>
            </w:r>
          </w:p>
        </w:tc>
        <w:tc>
          <w:tcPr>
            <w:tcW w:w="2278" w:type="pct"/>
            <w:tcBorders>
              <w:tl2br w:val="nil"/>
              <w:tr2bl w:val="nil"/>
            </w:tcBorders>
            <w:vAlign w:val="center"/>
          </w:tcPr>
          <w:p>
            <w:pPr>
              <w:wordWrap w:val="0"/>
              <w:jc w:val="center"/>
              <w:rPr>
                <w:rFonts w:eastAsia="宋体" w:cs="Times New Roman"/>
                <w:sz w:val="21"/>
              </w:rPr>
            </w:pPr>
            <w:r>
              <w:rPr>
                <w:rFonts w:eastAsia="宋体" w:cs="Times New Roman"/>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26" w:type="pct"/>
            <w:tcBorders>
              <w:tl2br w:val="nil"/>
              <w:tr2bl w:val="nil"/>
            </w:tcBorders>
            <w:vAlign w:val="center"/>
          </w:tcPr>
          <w:p>
            <w:pPr>
              <w:wordWrap w:val="0"/>
              <w:jc w:val="center"/>
              <w:rPr>
                <w:rFonts w:eastAsia="宋体" w:cs="Times New Roman"/>
                <w:sz w:val="21"/>
              </w:rPr>
            </w:pPr>
            <w:r>
              <w:rPr>
                <w:rFonts w:eastAsia="宋体" w:cs="Times New Roman"/>
                <w:sz w:val="21"/>
              </w:rPr>
              <w:t>NH</w:t>
            </w:r>
            <w:r>
              <w:rPr>
                <w:rFonts w:eastAsia="宋体" w:cs="Times New Roman"/>
                <w:sz w:val="21"/>
                <w:vertAlign w:val="subscript"/>
              </w:rPr>
              <w:t>3</w:t>
            </w:r>
          </w:p>
        </w:tc>
        <w:tc>
          <w:tcPr>
            <w:tcW w:w="747" w:type="pct"/>
            <w:tcBorders>
              <w:tl2br w:val="nil"/>
              <w:tr2bl w:val="nil"/>
            </w:tcBorders>
            <w:vAlign w:val="center"/>
          </w:tcPr>
          <w:p>
            <w:pPr>
              <w:wordWrap w:val="0"/>
              <w:jc w:val="center"/>
              <w:rPr>
                <w:rFonts w:eastAsia="宋体" w:cs="Times New Roman"/>
                <w:sz w:val="21"/>
              </w:rPr>
            </w:pPr>
            <w:r>
              <w:rPr>
                <w:rFonts w:eastAsia="宋体" w:cs="Times New Roman"/>
                <w:sz w:val="21"/>
              </w:rPr>
              <w:t>二类限区</w:t>
            </w:r>
          </w:p>
        </w:tc>
        <w:tc>
          <w:tcPr>
            <w:tcW w:w="633" w:type="pct"/>
            <w:tcBorders>
              <w:tl2br w:val="nil"/>
              <w:tr2bl w:val="nil"/>
            </w:tcBorders>
            <w:vAlign w:val="center"/>
          </w:tcPr>
          <w:p>
            <w:pPr>
              <w:wordWrap w:val="0"/>
              <w:jc w:val="center"/>
              <w:rPr>
                <w:rFonts w:eastAsia="宋体" w:cs="Times New Roman"/>
                <w:sz w:val="21"/>
              </w:rPr>
            </w:pPr>
            <w:r>
              <w:rPr>
                <w:rFonts w:hint="eastAsia" w:eastAsia="宋体" w:cs="Times New Roman"/>
                <w:sz w:val="21"/>
              </w:rPr>
              <w:t>一次</w:t>
            </w:r>
            <w:r>
              <w:rPr>
                <w:rFonts w:eastAsia="宋体" w:cs="Times New Roman"/>
                <w:sz w:val="21"/>
              </w:rPr>
              <w:t>值</w:t>
            </w:r>
          </w:p>
        </w:tc>
        <w:tc>
          <w:tcPr>
            <w:tcW w:w="613" w:type="pct"/>
            <w:tcBorders>
              <w:tl2br w:val="nil"/>
              <w:tr2bl w:val="nil"/>
            </w:tcBorders>
            <w:vAlign w:val="center"/>
          </w:tcPr>
          <w:p>
            <w:pPr>
              <w:wordWrap w:val="0"/>
              <w:jc w:val="center"/>
              <w:rPr>
                <w:rFonts w:eastAsia="宋体" w:cs="Times New Roman"/>
                <w:sz w:val="21"/>
              </w:rPr>
            </w:pPr>
            <w:r>
              <w:rPr>
                <w:rFonts w:eastAsia="宋体" w:cs="Times New Roman"/>
                <w:sz w:val="21"/>
              </w:rPr>
              <w:t>200.0</w:t>
            </w:r>
          </w:p>
        </w:tc>
        <w:tc>
          <w:tcPr>
            <w:tcW w:w="2278" w:type="pct"/>
            <w:tcBorders>
              <w:tl2br w:val="nil"/>
              <w:tr2bl w:val="nil"/>
            </w:tcBorders>
            <w:vAlign w:val="center"/>
          </w:tcPr>
          <w:p>
            <w:pPr>
              <w:wordWrap w:val="0"/>
              <w:jc w:val="center"/>
              <w:rPr>
                <w:rFonts w:eastAsia="宋体" w:cs="Times New Roman"/>
                <w:sz w:val="21"/>
              </w:rPr>
            </w:pPr>
            <w:r>
              <w:rPr>
                <w:rFonts w:eastAsia="宋体" w:cs="Times New Roman"/>
                <w:sz w:val="21"/>
              </w:rPr>
              <w:t>《环境影响评价技术导则-</w:t>
            </w:r>
            <w:r>
              <w:rPr>
                <w:rFonts w:ascii="宋体" w:hAnsi="宋体" w:eastAsia="宋体" w:cs="Times New Roman"/>
                <w:sz w:val="21"/>
              </w:rPr>
              <w:t>大气环境》</w:t>
            </w:r>
            <w:r>
              <w:rPr>
                <w:rFonts w:eastAsia="宋体" w:cs="Times New Roman"/>
                <w:sz w:val="21"/>
              </w:rPr>
              <w:t xml:space="preserve">HJ2.2-2018 </w:t>
            </w:r>
            <w:r>
              <w:rPr>
                <w:rFonts w:ascii="宋体" w:hAnsi="宋体" w:eastAsia="宋体" w:cs="Times New Roman"/>
                <w:sz w:val="21"/>
              </w:rPr>
              <w:t>附录</w:t>
            </w:r>
            <w:r>
              <w:rPr>
                <w:rFonts w:eastAsia="宋体" w:cs="Times New Roman"/>
                <w:sz w:val="21"/>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26" w:type="pct"/>
            <w:tcBorders>
              <w:tl2br w:val="nil"/>
              <w:tr2bl w:val="nil"/>
            </w:tcBorders>
            <w:vAlign w:val="center"/>
          </w:tcPr>
          <w:p>
            <w:pPr>
              <w:wordWrap w:val="0"/>
              <w:jc w:val="center"/>
              <w:rPr>
                <w:rFonts w:eastAsia="宋体" w:cs="Times New Roman"/>
                <w:sz w:val="21"/>
              </w:rPr>
            </w:pPr>
            <w:r>
              <w:rPr>
                <w:rFonts w:eastAsia="宋体" w:cs="Times New Roman"/>
                <w:sz w:val="21"/>
              </w:rPr>
              <w:t>H</w:t>
            </w:r>
            <w:r>
              <w:rPr>
                <w:rFonts w:eastAsia="宋体" w:cs="Times New Roman"/>
                <w:sz w:val="21"/>
                <w:vertAlign w:val="subscript"/>
              </w:rPr>
              <w:t>2</w:t>
            </w:r>
            <w:r>
              <w:rPr>
                <w:rFonts w:eastAsia="宋体" w:cs="Times New Roman"/>
                <w:sz w:val="21"/>
              </w:rPr>
              <w:t>S</w:t>
            </w:r>
          </w:p>
        </w:tc>
        <w:tc>
          <w:tcPr>
            <w:tcW w:w="747" w:type="pct"/>
            <w:tcBorders>
              <w:tl2br w:val="nil"/>
              <w:tr2bl w:val="nil"/>
            </w:tcBorders>
            <w:vAlign w:val="center"/>
          </w:tcPr>
          <w:p>
            <w:pPr>
              <w:wordWrap w:val="0"/>
              <w:jc w:val="center"/>
              <w:rPr>
                <w:rFonts w:eastAsia="宋体" w:cs="Times New Roman"/>
                <w:sz w:val="21"/>
              </w:rPr>
            </w:pPr>
            <w:r>
              <w:rPr>
                <w:rFonts w:eastAsia="宋体" w:cs="Times New Roman"/>
                <w:sz w:val="21"/>
              </w:rPr>
              <w:t>二类限区</w:t>
            </w:r>
          </w:p>
        </w:tc>
        <w:tc>
          <w:tcPr>
            <w:tcW w:w="633" w:type="pct"/>
            <w:tcBorders>
              <w:tl2br w:val="nil"/>
              <w:tr2bl w:val="nil"/>
            </w:tcBorders>
            <w:vAlign w:val="center"/>
          </w:tcPr>
          <w:p>
            <w:pPr>
              <w:wordWrap w:val="0"/>
              <w:jc w:val="center"/>
              <w:rPr>
                <w:rFonts w:eastAsia="宋体" w:cs="Times New Roman"/>
                <w:sz w:val="21"/>
              </w:rPr>
            </w:pPr>
            <w:r>
              <w:rPr>
                <w:rFonts w:eastAsia="宋体" w:cs="Times New Roman"/>
                <w:sz w:val="21"/>
              </w:rPr>
              <w:t>一次值</w:t>
            </w:r>
          </w:p>
        </w:tc>
        <w:tc>
          <w:tcPr>
            <w:tcW w:w="613" w:type="pct"/>
            <w:tcBorders>
              <w:tl2br w:val="nil"/>
              <w:tr2bl w:val="nil"/>
            </w:tcBorders>
            <w:vAlign w:val="center"/>
          </w:tcPr>
          <w:p>
            <w:pPr>
              <w:wordWrap w:val="0"/>
              <w:jc w:val="center"/>
              <w:rPr>
                <w:rFonts w:eastAsia="宋体" w:cs="Times New Roman"/>
                <w:sz w:val="21"/>
              </w:rPr>
            </w:pPr>
            <w:r>
              <w:rPr>
                <w:rFonts w:eastAsia="宋体" w:cs="Times New Roman"/>
                <w:sz w:val="21"/>
              </w:rPr>
              <w:t>10.0</w:t>
            </w:r>
          </w:p>
        </w:tc>
        <w:tc>
          <w:tcPr>
            <w:tcW w:w="2278" w:type="pct"/>
            <w:tcBorders>
              <w:tl2br w:val="nil"/>
              <w:tr2bl w:val="nil"/>
            </w:tcBorders>
            <w:vAlign w:val="center"/>
          </w:tcPr>
          <w:p>
            <w:pPr>
              <w:wordWrap w:val="0"/>
              <w:jc w:val="center"/>
              <w:rPr>
                <w:rFonts w:eastAsia="宋体" w:cs="Times New Roman"/>
                <w:sz w:val="21"/>
              </w:rPr>
            </w:pPr>
            <w:r>
              <w:rPr>
                <w:rFonts w:eastAsia="宋体" w:cs="Times New Roman"/>
                <w:sz w:val="21"/>
              </w:rPr>
              <w:t>《环境影响评价技术导则-</w:t>
            </w:r>
            <w:r>
              <w:rPr>
                <w:rFonts w:ascii="宋体" w:hAnsi="宋体" w:eastAsia="宋体" w:cs="Times New Roman"/>
                <w:sz w:val="21"/>
              </w:rPr>
              <w:t xml:space="preserve">大气环境》 </w:t>
            </w:r>
            <w:r>
              <w:rPr>
                <w:rFonts w:eastAsia="宋体" w:cs="Times New Roman"/>
                <w:sz w:val="21"/>
              </w:rPr>
              <w:t xml:space="preserve">HJ 2.2-2018 </w:t>
            </w:r>
            <w:r>
              <w:rPr>
                <w:rFonts w:ascii="宋体" w:hAnsi="宋体" w:eastAsia="宋体" w:cs="Times New Roman"/>
                <w:sz w:val="21"/>
              </w:rPr>
              <w:t>附录</w:t>
            </w:r>
            <w:r>
              <w:rPr>
                <w:rFonts w:eastAsia="宋体" w:cs="Times New Roman"/>
                <w:sz w:val="21"/>
              </w:rPr>
              <w:t>D</w:t>
            </w:r>
          </w:p>
        </w:tc>
      </w:tr>
    </w:tbl>
    <w:p>
      <w:pPr>
        <w:pStyle w:val="61"/>
      </w:pPr>
      <w:r>
        <w:t>污染源参数</w:t>
      </w:r>
    </w:p>
    <w:p>
      <w:pPr>
        <w:pStyle w:val="37"/>
        <w:wordWrap w:val="0"/>
        <w:spacing w:after="0" w:line="360" w:lineRule="auto"/>
        <w:ind w:firstLine="480" w:firstLineChars="200"/>
      </w:pPr>
      <w:r>
        <w:rPr>
          <w:rFonts w:ascii="宋体" w:hAnsi="宋体"/>
        </w:rPr>
        <w:t>（</w:t>
      </w:r>
      <w:r>
        <w:t>1</w:t>
      </w:r>
      <w:r>
        <w:rPr>
          <w:rFonts w:ascii="宋体" w:hAnsi="宋体"/>
        </w:rPr>
        <w:t>）预测因子：</w:t>
      </w:r>
      <w:r>
        <w:t xml:space="preserve"> NH</w:t>
      </w:r>
      <w:r>
        <w:rPr>
          <w:vertAlign w:val="subscript"/>
        </w:rPr>
        <w:t>3</w:t>
      </w:r>
      <w:r>
        <w:rPr>
          <w:rFonts w:ascii="宋体" w:hAnsi="宋体"/>
        </w:rPr>
        <w:t>、</w:t>
      </w:r>
      <w:r>
        <w:t>H</w:t>
      </w:r>
      <w:r>
        <w:rPr>
          <w:vertAlign w:val="subscript"/>
        </w:rPr>
        <w:t>2</w:t>
      </w:r>
      <w:r>
        <w:t>S</w:t>
      </w:r>
      <w:r>
        <w:rPr>
          <w:rFonts w:ascii="宋体" w:hAnsi="宋体"/>
        </w:rPr>
        <w:t>。</w:t>
      </w:r>
    </w:p>
    <w:p>
      <w:pPr>
        <w:pStyle w:val="37"/>
        <w:wordWrap w:val="0"/>
        <w:spacing w:after="0" w:line="360" w:lineRule="auto"/>
        <w:ind w:firstLine="480" w:firstLineChars="200"/>
      </w:pPr>
      <w:r>
        <w:rPr>
          <w:rFonts w:ascii="宋体" w:hAnsi="宋体"/>
        </w:rPr>
        <w:t>（</w:t>
      </w:r>
      <w:r>
        <w:t>2</w:t>
      </w:r>
      <w:r>
        <w:rPr>
          <w:rFonts w:ascii="宋体" w:hAnsi="宋体"/>
        </w:rPr>
        <w:t>）预测内容：预测正常工况下，污水处理区和和</w:t>
      </w:r>
      <w:r>
        <w:rPr>
          <w:rFonts w:hint="eastAsia" w:ascii="宋体" w:hAnsi="宋体"/>
        </w:rPr>
        <w:t>污水</w:t>
      </w:r>
      <w:r>
        <w:rPr>
          <w:rFonts w:ascii="宋体" w:hAnsi="宋体"/>
        </w:rPr>
        <w:t>处理区无组织排放的恶臭气体排放对大气环境的影响。</w:t>
      </w:r>
    </w:p>
    <w:p>
      <w:pPr>
        <w:pStyle w:val="153"/>
        <w:spacing w:line="360" w:lineRule="auto"/>
        <w:ind w:firstLine="480" w:firstLineChars="200"/>
        <w:rPr>
          <w:sz w:val="24"/>
          <w:szCs w:val="24"/>
        </w:rPr>
        <w:sectPr>
          <w:pgSz w:w="11906" w:h="16838"/>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pPr>
      <w:r>
        <w:rPr>
          <w:sz w:val="24"/>
          <w:szCs w:val="24"/>
        </w:rPr>
        <w:t>主要废气污染源排放参数见下表</w:t>
      </w:r>
      <w:r>
        <w:rPr>
          <w:rFonts w:hint="eastAsia"/>
          <w:sz w:val="24"/>
          <w:szCs w:val="24"/>
        </w:rPr>
        <w:t>。</w:t>
      </w:r>
    </w:p>
    <w:p>
      <w:pPr>
        <w:pStyle w:val="14"/>
        <w:wordWrap w:val="0"/>
        <w:spacing w:line="240" w:lineRule="auto"/>
      </w:pPr>
      <w:bookmarkStart w:id="167" w:name="_Ref19711209"/>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3</w:t>
      </w:r>
      <w:r>
        <w:fldChar w:fldCharType="end"/>
      </w:r>
      <w:bookmarkEnd w:id="167"/>
      <w:r>
        <w:rPr>
          <w:rFonts w:hint="eastAsia"/>
          <w:lang w:val="en-US" w:eastAsia="zh-CN"/>
        </w:rPr>
        <w:t xml:space="preserve"> </w:t>
      </w:r>
      <w:r>
        <w:rPr>
          <w:rFonts w:ascii="宋体" w:hAnsi="宋体"/>
        </w:rPr>
        <w:t>主要</w:t>
      </w:r>
      <w:r>
        <w:rPr>
          <w:rFonts w:hint="eastAsia" w:ascii="宋体" w:hAnsi="宋体"/>
        </w:rPr>
        <w:t>点源</w:t>
      </w:r>
      <w:r>
        <w:rPr>
          <w:rFonts w:ascii="宋体" w:hAnsi="宋体"/>
        </w:rPr>
        <w:t>参数一览表</w:t>
      </w:r>
    </w:p>
    <w:tbl>
      <w:tblPr>
        <w:tblStyle w:val="38"/>
        <w:tblW w:w="14174"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546"/>
        <w:gridCol w:w="902"/>
        <w:gridCol w:w="1424"/>
        <w:gridCol w:w="1319"/>
        <w:gridCol w:w="1509"/>
        <w:gridCol w:w="1033"/>
        <w:gridCol w:w="1289"/>
        <w:gridCol w:w="1281"/>
        <w:gridCol w:w="961"/>
        <w:gridCol w:w="1205"/>
        <w:gridCol w:w="783"/>
        <w:gridCol w:w="893"/>
        <w:gridCol w:w="1029"/>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540" w:hRule="atLeast"/>
          <w:jc w:val="center"/>
        </w:trPr>
        <w:tc>
          <w:tcPr>
            <w:tcW w:w="546" w:type="dxa"/>
            <w:vMerge w:val="restart"/>
            <w:tcBorders>
              <w:top w:val="single" w:color="000000" w:sz="12" w:space="0"/>
              <w:left w:val="nil"/>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编号</w:t>
            </w:r>
          </w:p>
        </w:tc>
        <w:tc>
          <w:tcPr>
            <w:tcW w:w="902"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名称</w:t>
            </w:r>
          </w:p>
        </w:tc>
        <w:tc>
          <w:tcPr>
            <w:tcW w:w="2743" w:type="dxa"/>
            <w:gridSpan w:val="2"/>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排气筒底部中心经纬度</w:t>
            </w:r>
          </w:p>
        </w:tc>
        <w:tc>
          <w:tcPr>
            <w:tcW w:w="1509"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排气筒底部海拔高度/m</w:t>
            </w:r>
          </w:p>
        </w:tc>
        <w:tc>
          <w:tcPr>
            <w:tcW w:w="1033"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排气筒高度/m</w:t>
            </w:r>
          </w:p>
        </w:tc>
        <w:tc>
          <w:tcPr>
            <w:tcW w:w="1289"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排气筒出口内径/m</w:t>
            </w:r>
          </w:p>
        </w:tc>
        <w:tc>
          <w:tcPr>
            <w:tcW w:w="1281"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烟气</w:t>
            </w:r>
          </w:p>
          <w:p>
            <w:pPr>
              <w:pStyle w:val="98"/>
              <w:spacing w:before="24" w:after="24"/>
              <w:rPr>
                <w:rFonts w:ascii="Times New Roman" w:hAnsi="Times New Roman" w:cs="Times New Roman"/>
                <w:kern w:val="0"/>
              </w:rPr>
            </w:pPr>
            <w:r>
              <w:rPr>
                <w:rFonts w:ascii="Times New Roman" w:hAnsi="Times New Roman" w:cs="Times New Roman"/>
              </w:rPr>
              <w:t>流量/</w:t>
            </w:r>
            <w:r>
              <w:rPr>
                <w:rFonts w:ascii="Times New Roman" w:cs="Times New Roman"/>
              </w:rPr>
              <w:t>（</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s</w:t>
            </w:r>
            <w:r>
              <w:rPr>
                <w:rFonts w:ascii="Times New Roman" w:cs="Times New Roman"/>
              </w:rPr>
              <w:t>）</w:t>
            </w:r>
          </w:p>
        </w:tc>
        <w:tc>
          <w:tcPr>
            <w:tcW w:w="961"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烟气温度/℃</w:t>
            </w:r>
          </w:p>
        </w:tc>
        <w:tc>
          <w:tcPr>
            <w:tcW w:w="1205"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年排放小时数/h</w:t>
            </w:r>
          </w:p>
        </w:tc>
        <w:tc>
          <w:tcPr>
            <w:tcW w:w="783" w:type="dxa"/>
            <w:vMerge w:val="restart"/>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排放工况</w:t>
            </w:r>
          </w:p>
        </w:tc>
        <w:tc>
          <w:tcPr>
            <w:tcW w:w="1922" w:type="dxa"/>
            <w:gridSpan w:val="2"/>
            <w:tcBorders>
              <w:top w:val="single" w:color="000000" w:sz="12" w:space="0"/>
              <w:left w:val="single" w:color="000000" w:sz="2" w:space="0"/>
              <w:bottom w:val="single" w:color="000000" w:sz="4" w:space="0"/>
              <w:right w:val="nil"/>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46" w:type="dxa"/>
            <w:vMerge w:val="continue"/>
            <w:tcBorders>
              <w:top w:val="single" w:color="000000" w:sz="12" w:space="0"/>
              <w:left w:val="nil"/>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902"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1424" w:type="dxa"/>
            <w:tcBorders>
              <w:top w:val="single" w:color="000000" w:sz="2" w:space="0"/>
              <w:left w:val="single" w:color="000000" w:sz="2" w:space="0"/>
              <w:bottom w:val="single" w:color="000000" w:sz="2" w:space="0"/>
              <w:right w:val="single" w:color="000000" w:sz="2" w:space="0"/>
            </w:tcBorders>
            <w:shd w:val="clear" w:color="auto" w:fill="FFFFFF"/>
            <w:vAlign w:val="center"/>
          </w:tcPr>
          <w:p>
            <w:pPr>
              <w:wordWrap w:val="0"/>
              <w:jc w:val="center"/>
              <w:rPr>
                <w:rFonts w:eastAsia="宋体"/>
                <w:sz w:val="16"/>
                <w:szCs w:val="16"/>
              </w:rPr>
            </w:pPr>
            <w:r>
              <w:rPr>
                <w:sz w:val="16"/>
                <w:szCs w:val="16"/>
              </w:rPr>
              <w:t>X</w:t>
            </w:r>
          </w:p>
        </w:tc>
        <w:tc>
          <w:tcPr>
            <w:tcW w:w="1319" w:type="dxa"/>
            <w:tcBorders>
              <w:top w:val="single" w:color="000000" w:sz="2" w:space="0"/>
              <w:left w:val="single" w:color="000000" w:sz="2" w:space="0"/>
              <w:bottom w:val="single" w:color="000000" w:sz="2" w:space="0"/>
              <w:right w:val="single" w:color="000000" w:sz="2" w:space="0"/>
            </w:tcBorders>
            <w:shd w:val="clear" w:color="auto" w:fill="FFFFFF"/>
            <w:vAlign w:val="center"/>
          </w:tcPr>
          <w:p>
            <w:pPr>
              <w:wordWrap w:val="0"/>
              <w:jc w:val="center"/>
              <w:rPr>
                <w:rFonts w:eastAsia="宋体"/>
                <w:sz w:val="16"/>
                <w:szCs w:val="16"/>
              </w:rPr>
            </w:pPr>
            <w:r>
              <w:rPr>
                <w:sz w:val="16"/>
                <w:szCs w:val="16"/>
              </w:rPr>
              <w:t>Y</w:t>
            </w:r>
          </w:p>
        </w:tc>
        <w:tc>
          <w:tcPr>
            <w:tcW w:w="1509"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1033"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1289"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1281"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961"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1205"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783" w:type="dxa"/>
            <w:vMerge w:val="continue"/>
            <w:tcBorders>
              <w:top w:val="single" w:color="000000" w:sz="12" w:space="0"/>
              <w:left w:val="single" w:color="000000" w:sz="2" w:space="0"/>
              <w:bottom w:val="single" w:color="000000" w:sz="2" w:space="0"/>
              <w:right w:val="single" w:color="000000" w:sz="2" w:space="0"/>
            </w:tcBorders>
            <w:vAlign w:val="center"/>
          </w:tcPr>
          <w:p>
            <w:pPr>
              <w:widowControl/>
              <w:jc w:val="left"/>
              <w:rPr>
                <w:rFonts w:eastAsia="宋体" w:cs="Times New Roman"/>
                <w:color w:val="000000"/>
                <w:kern w:val="0"/>
                <w:sz w:val="21"/>
              </w:rPr>
            </w:pPr>
          </w:p>
        </w:tc>
        <w:tc>
          <w:tcPr>
            <w:tcW w:w="893" w:type="dxa"/>
            <w:tcBorders>
              <w:top w:val="single" w:color="000000" w:sz="4" w:space="0"/>
              <w:left w:val="single" w:color="000000" w:sz="2" w:space="0"/>
              <w:bottom w:val="single" w:color="000000" w:sz="4" w:space="0"/>
              <w:right w:val="single" w:color="auto" w:sz="4"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NH</w:t>
            </w:r>
            <w:r>
              <w:rPr>
                <w:rFonts w:ascii="Times New Roman" w:hAnsi="Times New Roman" w:cs="Times New Roman"/>
                <w:vertAlign w:val="subscript"/>
              </w:rPr>
              <w:t>3</w:t>
            </w:r>
          </w:p>
        </w:tc>
        <w:tc>
          <w:tcPr>
            <w:tcW w:w="1029" w:type="dxa"/>
            <w:tcBorders>
              <w:top w:val="single" w:color="000000" w:sz="4" w:space="0"/>
              <w:left w:val="single" w:color="auto" w:sz="4" w:space="0"/>
              <w:bottom w:val="single" w:color="000000" w:sz="4" w:space="0"/>
              <w:right w:val="nil"/>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60" w:hRule="atLeast"/>
          <w:jc w:val="center"/>
        </w:trPr>
        <w:tc>
          <w:tcPr>
            <w:tcW w:w="546" w:type="dxa"/>
            <w:tcBorders>
              <w:top w:val="single" w:color="000000" w:sz="2" w:space="0"/>
              <w:left w:val="nil"/>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p1</w:t>
            </w:r>
          </w:p>
        </w:tc>
        <w:tc>
          <w:tcPr>
            <w:tcW w:w="902"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kern w:val="0"/>
              </w:rPr>
              <w:t>有组织恶臭</w:t>
            </w:r>
          </w:p>
        </w:tc>
        <w:tc>
          <w:tcPr>
            <w:tcW w:w="1424"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12533969.364</w:t>
            </w:r>
          </w:p>
        </w:tc>
        <w:tc>
          <w:tcPr>
            <w:tcW w:w="1319"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3443422.290</w:t>
            </w:r>
          </w:p>
        </w:tc>
        <w:tc>
          <w:tcPr>
            <w:tcW w:w="1509"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rPr>
              <w:t>31</w:t>
            </w:r>
          </w:p>
        </w:tc>
        <w:tc>
          <w:tcPr>
            <w:tcW w:w="1033"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15</w:t>
            </w:r>
          </w:p>
        </w:tc>
        <w:tc>
          <w:tcPr>
            <w:tcW w:w="1289"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0.5</w:t>
            </w:r>
          </w:p>
        </w:tc>
        <w:tc>
          <w:tcPr>
            <w:tcW w:w="1281"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28.31</w:t>
            </w:r>
          </w:p>
        </w:tc>
        <w:tc>
          <w:tcPr>
            <w:tcW w:w="961"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color w:val="000000" w:themeColor="text1"/>
                <w:kern w:val="0"/>
              </w:rPr>
            </w:pPr>
            <w:r>
              <w:rPr>
                <w:rFonts w:ascii="Times New Roman" w:hAnsi="Times New Roman" w:cs="Times New Roman"/>
                <w:color w:val="000000" w:themeColor="text1"/>
              </w:rPr>
              <w:t>20</w:t>
            </w:r>
          </w:p>
        </w:tc>
        <w:tc>
          <w:tcPr>
            <w:tcW w:w="1205"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rPr>
              <w:t>8760</w:t>
            </w:r>
          </w:p>
        </w:tc>
        <w:tc>
          <w:tcPr>
            <w:tcW w:w="783"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正常</w:t>
            </w:r>
          </w:p>
        </w:tc>
        <w:tc>
          <w:tcPr>
            <w:tcW w:w="893" w:type="dxa"/>
            <w:tcBorders>
              <w:top w:val="single" w:color="000000" w:sz="4" w:space="0"/>
              <w:left w:val="single" w:color="000000" w:sz="2" w:space="0"/>
              <w:bottom w:val="single" w:color="000000" w:sz="12" w:space="0"/>
              <w:right w:val="single" w:color="auto" w:sz="4"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0.139</w:t>
            </w:r>
          </w:p>
        </w:tc>
        <w:tc>
          <w:tcPr>
            <w:tcW w:w="1029" w:type="dxa"/>
            <w:tcBorders>
              <w:top w:val="single" w:color="000000" w:sz="4" w:space="0"/>
              <w:left w:val="single" w:color="auto" w:sz="4" w:space="0"/>
              <w:bottom w:val="single" w:color="000000" w:sz="12" w:space="0"/>
              <w:right w:val="nil"/>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0.0002</w:t>
            </w:r>
          </w:p>
        </w:tc>
      </w:tr>
    </w:tbl>
    <w:p>
      <w:pPr>
        <w:pStyle w:val="14"/>
        <w:spacing w:line="240" w:lineRule="auto"/>
      </w:pPr>
      <w:bookmarkStart w:id="168" w:name="_Ref19711219"/>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4</w:t>
      </w:r>
      <w:r>
        <w:fldChar w:fldCharType="end"/>
      </w:r>
      <w:bookmarkEnd w:id="168"/>
      <w:r>
        <w:rPr>
          <w:rFonts w:hint="eastAsia"/>
          <w:lang w:val="en-US" w:eastAsia="zh-CN"/>
        </w:rPr>
        <w:t xml:space="preserve"> </w:t>
      </w:r>
      <w:r>
        <w:t>矩形面源参数表</w:t>
      </w:r>
    </w:p>
    <w:tbl>
      <w:tblPr>
        <w:tblStyle w:val="38"/>
        <w:tblW w:w="14174"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706"/>
        <w:gridCol w:w="1478"/>
        <w:gridCol w:w="1541"/>
        <w:gridCol w:w="1319"/>
        <w:gridCol w:w="1138"/>
        <w:gridCol w:w="1246"/>
        <w:gridCol w:w="1249"/>
        <w:gridCol w:w="1249"/>
        <w:gridCol w:w="1294"/>
        <w:gridCol w:w="1127"/>
        <w:gridCol w:w="1033"/>
        <w:gridCol w:w="794"/>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16" w:hRule="atLeast"/>
          <w:jc w:val="center"/>
        </w:trPr>
        <w:tc>
          <w:tcPr>
            <w:tcW w:w="706" w:type="dxa"/>
            <w:vMerge w:val="restart"/>
            <w:tcBorders>
              <w:top w:val="single" w:color="000000" w:sz="12" w:space="0"/>
              <w:left w:val="nil"/>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编号</w:t>
            </w:r>
          </w:p>
        </w:tc>
        <w:tc>
          <w:tcPr>
            <w:tcW w:w="1478"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名称</w:t>
            </w:r>
          </w:p>
        </w:tc>
        <w:tc>
          <w:tcPr>
            <w:tcW w:w="2860" w:type="dxa"/>
            <w:gridSpan w:val="2"/>
            <w:tcBorders>
              <w:top w:val="single" w:color="000000" w:sz="12" w:space="0"/>
              <w:left w:val="single" w:color="000000" w:sz="2" w:space="0"/>
              <w:bottom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面源起点经纬度</w:t>
            </w:r>
          </w:p>
        </w:tc>
        <w:tc>
          <w:tcPr>
            <w:tcW w:w="1138"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面源海拔高度/m</w:t>
            </w:r>
          </w:p>
        </w:tc>
        <w:tc>
          <w:tcPr>
            <w:tcW w:w="1246"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面源长度/m</w:t>
            </w:r>
          </w:p>
        </w:tc>
        <w:tc>
          <w:tcPr>
            <w:tcW w:w="1249"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面源宽度/m</w:t>
            </w:r>
          </w:p>
        </w:tc>
        <w:tc>
          <w:tcPr>
            <w:tcW w:w="1249"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面源有效排放高度/m</w:t>
            </w:r>
          </w:p>
        </w:tc>
        <w:tc>
          <w:tcPr>
            <w:tcW w:w="1294"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年排放小时数/h</w:t>
            </w:r>
          </w:p>
        </w:tc>
        <w:tc>
          <w:tcPr>
            <w:tcW w:w="1127" w:type="dxa"/>
            <w:vMerge w:val="restart"/>
            <w:tcBorders>
              <w:top w:val="single" w:color="000000" w:sz="12" w:space="0"/>
              <w:left w:val="single" w:color="000000" w:sz="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排放</w:t>
            </w:r>
          </w:p>
          <w:p>
            <w:pPr>
              <w:pStyle w:val="98"/>
              <w:spacing w:before="24" w:after="24"/>
              <w:rPr>
                <w:rFonts w:ascii="Times New Roman" w:hAnsi="Times New Roman" w:cs="Times New Roman"/>
                <w:kern w:val="0"/>
              </w:rPr>
            </w:pPr>
            <w:r>
              <w:rPr>
                <w:rFonts w:ascii="Times New Roman" w:hAnsi="Times New Roman" w:cs="Times New Roman"/>
              </w:rPr>
              <w:t>工况</w:t>
            </w:r>
          </w:p>
        </w:tc>
        <w:tc>
          <w:tcPr>
            <w:tcW w:w="1827" w:type="dxa"/>
            <w:gridSpan w:val="2"/>
            <w:vMerge w:val="restart"/>
            <w:tcBorders>
              <w:top w:val="single" w:color="000000" w:sz="12" w:space="0"/>
              <w:left w:val="single" w:color="000000" w:sz="2" w:space="0"/>
              <w:bottom w:val="single" w:color="000000" w:sz="2" w:space="0"/>
              <w:right w:val="nil"/>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污染物排放速率/</w:t>
            </w:r>
            <w:r>
              <w:rPr>
                <w:rFonts w:cs="Times New Roman"/>
              </w:rPr>
              <w:t>（</w:t>
            </w:r>
            <w:r>
              <w:rPr>
                <w:rFonts w:ascii="Times New Roman" w:hAnsi="Times New Roman" w:cs="Times New Roman"/>
              </w:rPr>
              <w:t>kg/h</w:t>
            </w:r>
            <w:r>
              <w:rPr>
                <w:rFonts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9" w:hRule="atLeast"/>
          <w:jc w:val="center"/>
        </w:trPr>
        <w:tc>
          <w:tcPr>
            <w:tcW w:w="706" w:type="dxa"/>
            <w:vMerge w:val="continue"/>
            <w:tcBorders>
              <w:left w:val="nil"/>
              <w:right w:val="single" w:color="000000" w:sz="2" w:space="0"/>
            </w:tcBorders>
            <w:vAlign w:val="center"/>
          </w:tcPr>
          <w:p>
            <w:pPr>
              <w:widowControl/>
              <w:jc w:val="left"/>
              <w:rPr>
                <w:rFonts w:eastAsia="宋体"/>
                <w:color w:val="000000"/>
                <w:kern w:val="0"/>
                <w:sz w:val="21"/>
              </w:rPr>
            </w:pPr>
          </w:p>
        </w:tc>
        <w:tc>
          <w:tcPr>
            <w:tcW w:w="1478"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541" w:type="dxa"/>
            <w:vMerge w:val="restart"/>
            <w:tcBorders>
              <w:top w:val="single" w:color="000000" w:sz="2" w:space="0"/>
              <w:left w:val="single" w:color="000000" w:sz="2" w:space="0"/>
              <w:right w:val="single" w:color="000000" w:sz="2" w:space="0"/>
            </w:tcBorders>
            <w:shd w:val="clear" w:color="auto" w:fill="FFFFFF"/>
            <w:vAlign w:val="center"/>
          </w:tcPr>
          <w:p>
            <w:pPr>
              <w:wordWrap w:val="0"/>
              <w:jc w:val="center"/>
              <w:rPr>
                <w:rFonts w:eastAsia="宋体"/>
                <w:sz w:val="16"/>
                <w:szCs w:val="16"/>
              </w:rPr>
            </w:pPr>
            <w:r>
              <w:rPr>
                <w:sz w:val="16"/>
                <w:szCs w:val="16"/>
              </w:rPr>
              <w:t>X</w:t>
            </w:r>
          </w:p>
        </w:tc>
        <w:tc>
          <w:tcPr>
            <w:tcW w:w="1319" w:type="dxa"/>
            <w:vMerge w:val="restart"/>
            <w:tcBorders>
              <w:top w:val="single" w:color="000000" w:sz="2" w:space="0"/>
              <w:left w:val="single" w:color="000000" w:sz="2" w:space="0"/>
              <w:right w:val="single" w:color="000000" w:sz="2" w:space="0"/>
            </w:tcBorders>
            <w:shd w:val="clear" w:color="auto" w:fill="FFFFFF"/>
            <w:vAlign w:val="center"/>
          </w:tcPr>
          <w:p>
            <w:pPr>
              <w:wordWrap w:val="0"/>
              <w:jc w:val="center"/>
              <w:rPr>
                <w:rFonts w:eastAsia="宋体"/>
                <w:sz w:val="16"/>
                <w:szCs w:val="16"/>
              </w:rPr>
            </w:pPr>
            <w:r>
              <w:rPr>
                <w:sz w:val="16"/>
                <w:szCs w:val="16"/>
              </w:rPr>
              <w:t>Y</w:t>
            </w:r>
          </w:p>
        </w:tc>
        <w:tc>
          <w:tcPr>
            <w:tcW w:w="1138"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246"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249"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249"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294"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127" w:type="dxa"/>
            <w:vMerge w:val="continue"/>
            <w:tcBorders>
              <w:left w:val="single" w:color="000000" w:sz="2" w:space="0"/>
              <w:right w:val="single" w:color="000000" w:sz="2" w:space="0"/>
            </w:tcBorders>
            <w:vAlign w:val="center"/>
          </w:tcPr>
          <w:p>
            <w:pPr>
              <w:widowControl/>
              <w:jc w:val="left"/>
              <w:rPr>
                <w:rFonts w:eastAsia="宋体"/>
                <w:color w:val="000000"/>
                <w:kern w:val="0"/>
                <w:sz w:val="21"/>
              </w:rPr>
            </w:pPr>
          </w:p>
        </w:tc>
        <w:tc>
          <w:tcPr>
            <w:tcW w:w="1827" w:type="dxa"/>
            <w:gridSpan w:val="2"/>
            <w:vMerge w:val="continue"/>
            <w:tcBorders>
              <w:top w:val="single" w:color="000000" w:sz="12" w:space="0"/>
              <w:left w:val="single" w:color="000000" w:sz="2" w:space="0"/>
              <w:bottom w:val="single" w:color="auto" w:sz="4" w:space="0"/>
              <w:right w:val="nil"/>
            </w:tcBorders>
            <w:vAlign w:val="center"/>
          </w:tcPr>
          <w:p>
            <w:pPr>
              <w:widowControl/>
              <w:jc w:val="left"/>
              <w:rPr>
                <w:rFonts w:eastAsia="宋体"/>
                <w:color w:val="000000"/>
                <w:kern w:val="0"/>
                <w:sz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706" w:type="dxa"/>
            <w:vMerge w:val="continue"/>
            <w:tcBorders>
              <w:left w:val="nil"/>
              <w:bottom w:val="single" w:color="000000" w:sz="2" w:space="0"/>
              <w:right w:val="single" w:color="000000" w:sz="2" w:space="0"/>
            </w:tcBorders>
            <w:vAlign w:val="center"/>
          </w:tcPr>
          <w:p>
            <w:pPr>
              <w:widowControl/>
              <w:jc w:val="left"/>
              <w:rPr>
                <w:rFonts w:eastAsia="宋体"/>
                <w:color w:val="000000"/>
                <w:kern w:val="0"/>
                <w:sz w:val="21"/>
              </w:rPr>
            </w:pPr>
          </w:p>
        </w:tc>
        <w:tc>
          <w:tcPr>
            <w:tcW w:w="1478"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541" w:type="dxa"/>
            <w:vMerge w:val="continue"/>
            <w:tcBorders>
              <w:left w:val="single" w:color="000000" w:sz="2" w:space="0"/>
              <w:bottom w:val="single" w:color="000000" w:sz="2" w:space="0"/>
              <w:right w:val="single" w:color="000000" w:sz="2" w:space="0"/>
            </w:tcBorders>
            <w:shd w:val="clear" w:color="auto" w:fill="FFFFFF"/>
            <w:vAlign w:val="center"/>
          </w:tcPr>
          <w:p>
            <w:pPr>
              <w:wordWrap w:val="0"/>
              <w:jc w:val="center"/>
              <w:rPr>
                <w:sz w:val="16"/>
                <w:szCs w:val="16"/>
              </w:rPr>
            </w:pPr>
          </w:p>
        </w:tc>
        <w:tc>
          <w:tcPr>
            <w:tcW w:w="1319" w:type="dxa"/>
            <w:vMerge w:val="continue"/>
            <w:tcBorders>
              <w:left w:val="single" w:color="000000" w:sz="2" w:space="0"/>
              <w:bottom w:val="single" w:color="000000" w:sz="2" w:space="0"/>
              <w:right w:val="single" w:color="000000" w:sz="2" w:space="0"/>
            </w:tcBorders>
            <w:shd w:val="clear" w:color="auto" w:fill="FFFFFF"/>
            <w:vAlign w:val="center"/>
          </w:tcPr>
          <w:p>
            <w:pPr>
              <w:wordWrap w:val="0"/>
              <w:jc w:val="center"/>
              <w:rPr>
                <w:sz w:val="16"/>
                <w:szCs w:val="16"/>
              </w:rPr>
            </w:pPr>
          </w:p>
        </w:tc>
        <w:tc>
          <w:tcPr>
            <w:tcW w:w="1138"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246"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249"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249"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294"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127" w:type="dxa"/>
            <w:vMerge w:val="continue"/>
            <w:tcBorders>
              <w:left w:val="single" w:color="000000" w:sz="2" w:space="0"/>
              <w:bottom w:val="single" w:color="000000" w:sz="2" w:space="0"/>
              <w:right w:val="single" w:color="000000" w:sz="2" w:space="0"/>
            </w:tcBorders>
            <w:vAlign w:val="center"/>
          </w:tcPr>
          <w:p>
            <w:pPr>
              <w:widowControl/>
              <w:jc w:val="left"/>
              <w:rPr>
                <w:rFonts w:eastAsia="宋体"/>
                <w:color w:val="000000"/>
                <w:kern w:val="0"/>
                <w:sz w:val="21"/>
              </w:rPr>
            </w:pPr>
          </w:p>
        </w:tc>
        <w:tc>
          <w:tcPr>
            <w:tcW w:w="1033" w:type="dxa"/>
            <w:tcBorders>
              <w:top w:val="single" w:color="auto" w:sz="4" w:space="0"/>
              <w:left w:val="single" w:color="000000" w:sz="2" w:space="0"/>
              <w:bottom w:val="single" w:color="000000" w:sz="2" w:space="0"/>
              <w:right w:val="single" w:color="auto" w:sz="4" w:space="0"/>
            </w:tcBorders>
            <w:vAlign w:val="center"/>
          </w:tcPr>
          <w:p>
            <w:pPr>
              <w:pStyle w:val="98"/>
              <w:spacing w:before="24" w:after="24"/>
              <w:rPr>
                <w:rFonts w:ascii="Times New Roman" w:hAnsi="Times New Roman" w:cs="Times New Roman"/>
                <w:kern w:val="0"/>
              </w:rPr>
            </w:pPr>
            <w:r>
              <w:rPr>
                <w:rFonts w:ascii="Times New Roman" w:hAnsi="Times New Roman" w:cs="Times New Roman"/>
              </w:rPr>
              <w:t>NH</w:t>
            </w:r>
            <w:r>
              <w:rPr>
                <w:rFonts w:ascii="Times New Roman" w:hAnsi="Times New Roman" w:cs="Times New Roman"/>
                <w:vertAlign w:val="subscript"/>
              </w:rPr>
              <w:t>3</w:t>
            </w:r>
          </w:p>
        </w:tc>
        <w:tc>
          <w:tcPr>
            <w:tcW w:w="794" w:type="dxa"/>
            <w:tcBorders>
              <w:top w:val="single" w:color="auto" w:sz="4" w:space="0"/>
              <w:left w:val="single" w:color="auto" w:sz="4" w:space="0"/>
              <w:bottom w:val="single" w:color="000000" w:sz="2" w:space="0"/>
              <w:right w:val="nil"/>
            </w:tcBorders>
            <w:vAlign w:val="center"/>
          </w:tcPr>
          <w:p>
            <w:pPr>
              <w:pStyle w:val="98"/>
              <w:spacing w:before="24" w:after="24"/>
              <w:rPr>
                <w:rFonts w:ascii="Times New Roman" w:hAnsi="Times New Roman" w:cs="Times New Roman"/>
                <w:kern w:val="0"/>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196" w:hRule="atLeast"/>
          <w:jc w:val="center"/>
        </w:trPr>
        <w:tc>
          <w:tcPr>
            <w:tcW w:w="706" w:type="dxa"/>
            <w:tcBorders>
              <w:top w:val="single" w:color="000000" w:sz="2" w:space="0"/>
              <w:left w:val="nil"/>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1</w:t>
            </w:r>
          </w:p>
        </w:tc>
        <w:tc>
          <w:tcPr>
            <w:tcW w:w="1478"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jc w:val="both"/>
              <w:rPr>
                <w:rFonts w:ascii="Times New Roman" w:hAnsi="Times New Roman" w:cs="Times New Roman"/>
                <w:kern w:val="0"/>
              </w:rPr>
            </w:pPr>
            <w:r>
              <w:rPr>
                <w:rFonts w:hint="eastAsia" w:ascii="Times New Roman" w:hAnsi="Times New Roman" w:cs="Times New Roman"/>
                <w:kern w:val="0"/>
              </w:rPr>
              <w:t>无组织恶臭</w:t>
            </w:r>
          </w:p>
        </w:tc>
        <w:tc>
          <w:tcPr>
            <w:tcW w:w="1541"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12533928.611</w:t>
            </w:r>
          </w:p>
        </w:tc>
        <w:tc>
          <w:tcPr>
            <w:tcW w:w="1319"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3443429.304</w:t>
            </w:r>
          </w:p>
        </w:tc>
        <w:tc>
          <w:tcPr>
            <w:tcW w:w="1138"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rPr>
              <w:t>31</w:t>
            </w:r>
          </w:p>
        </w:tc>
        <w:tc>
          <w:tcPr>
            <w:tcW w:w="1246"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80</w:t>
            </w:r>
          </w:p>
        </w:tc>
        <w:tc>
          <w:tcPr>
            <w:tcW w:w="1249"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160</w:t>
            </w:r>
          </w:p>
        </w:tc>
        <w:tc>
          <w:tcPr>
            <w:tcW w:w="1249"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8</w:t>
            </w:r>
          </w:p>
        </w:tc>
        <w:tc>
          <w:tcPr>
            <w:tcW w:w="1294"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rPr>
              <w:t>8760</w:t>
            </w:r>
          </w:p>
        </w:tc>
        <w:tc>
          <w:tcPr>
            <w:tcW w:w="1127" w:type="dxa"/>
            <w:tcBorders>
              <w:top w:val="single" w:color="000000" w:sz="2" w:space="0"/>
              <w:left w:val="single" w:color="000000" w:sz="2" w:space="0"/>
              <w:bottom w:val="single" w:color="000000" w:sz="12" w:space="0"/>
              <w:right w:val="single" w:color="000000" w:sz="2" w:space="0"/>
            </w:tcBorders>
            <w:shd w:val="clear" w:color="auto" w:fill="FFFFFF"/>
            <w:vAlign w:val="center"/>
          </w:tcPr>
          <w:p>
            <w:pPr>
              <w:pStyle w:val="98"/>
              <w:spacing w:before="24" w:after="24"/>
              <w:rPr>
                <w:rFonts w:ascii="Times New Roman" w:hAnsi="Times New Roman" w:cs="Times New Roman"/>
                <w:kern w:val="0"/>
              </w:rPr>
            </w:pPr>
            <w:r>
              <w:rPr>
                <w:rFonts w:ascii="Times New Roman" w:hAnsi="Times New Roman" w:cs="Times New Roman"/>
              </w:rPr>
              <w:t>正常</w:t>
            </w:r>
          </w:p>
        </w:tc>
        <w:tc>
          <w:tcPr>
            <w:tcW w:w="1033" w:type="dxa"/>
            <w:tcBorders>
              <w:top w:val="single" w:color="000000" w:sz="2" w:space="0"/>
              <w:left w:val="single" w:color="000000" w:sz="2" w:space="0"/>
              <w:bottom w:val="single" w:color="000000" w:sz="12" w:space="0"/>
              <w:right w:val="single" w:color="auto" w:sz="4" w:space="0"/>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0.069</w:t>
            </w:r>
          </w:p>
        </w:tc>
        <w:tc>
          <w:tcPr>
            <w:tcW w:w="794" w:type="dxa"/>
            <w:tcBorders>
              <w:top w:val="single" w:color="000000" w:sz="2" w:space="0"/>
              <w:left w:val="single" w:color="auto" w:sz="4" w:space="0"/>
              <w:bottom w:val="single" w:color="000000" w:sz="12" w:space="0"/>
              <w:right w:val="nil"/>
            </w:tcBorders>
            <w:shd w:val="clear" w:color="auto" w:fill="FFFFFF"/>
            <w:vAlign w:val="center"/>
          </w:tcPr>
          <w:p>
            <w:pPr>
              <w:pStyle w:val="98"/>
              <w:spacing w:before="24" w:after="24"/>
              <w:rPr>
                <w:rFonts w:ascii="Times New Roman" w:hAnsi="Times New Roman" w:cs="Times New Roman"/>
                <w:kern w:val="0"/>
              </w:rPr>
            </w:pPr>
            <w:r>
              <w:rPr>
                <w:rFonts w:hint="eastAsia" w:ascii="Times New Roman" w:hAnsi="Times New Roman" w:cs="Times New Roman"/>
                <w:kern w:val="0"/>
              </w:rPr>
              <w:t>0.0008</w:t>
            </w:r>
          </w:p>
        </w:tc>
      </w:tr>
    </w:tbl>
    <w:p>
      <w:pPr>
        <w:pStyle w:val="14"/>
      </w:pPr>
    </w:p>
    <w:p>
      <w:pPr>
        <w:widowControl/>
        <w:jc w:val="left"/>
        <w:sectPr>
          <w:pgSz w:w="16838" w:h="11906" w:orient="landscape"/>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pPr>
      <w:r>
        <w:br w:type="page"/>
      </w:r>
    </w:p>
    <w:p>
      <w:pPr>
        <w:pStyle w:val="61"/>
      </w:pPr>
      <w:r>
        <w:t>项目参数</w:t>
      </w:r>
    </w:p>
    <w:p>
      <w:pPr>
        <w:spacing w:line="360" w:lineRule="auto"/>
        <w:ind w:firstLine="480" w:firstLineChars="200"/>
      </w:pPr>
      <w:r>
        <w:t>估算模式所用参数见下表所示</w:t>
      </w:r>
      <w:r>
        <w:rPr>
          <w:rFonts w:hint="eastAsia"/>
        </w:rPr>
        <w:t>。</w:t>
      </w:r>
    </w:p>
    <w:p>
      <w:pPr>
        <w:pStyle w:val="14"/>
        <w:spacing w:line="240" w:lineRule="auto"/>
      </w:pPr>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5</w:t>
      </w:r>
      <w:r>
        <w:fldChar w:fldCharType="end"/>
      </w:r>
      <w:r>
        <w:rPr>
          <w:rFonts w:hint="eastAsia"/>
        </w:rPr>
        <w:t xml:space="preserve">  估算模型参数表</w:t>
      </w:r>
    </w:p>
    <w:tbl>
      <w:tblPr>
        <w:tblStyle w:val="39"/>
        <w:tblW w:w="924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495"/>
        <w:gridCol w:w="2876"/>
        <w:gridCol w:w="387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参数</w:t>
            </w:r>
          </w:p>
        </w:tc>
        <w:tc>
          <w:tcPr>
            <w:tcW w:w="3871" w:type="dxa"/>
            <w:vAlign w:val="center"/>
          </w:tcPr>
          <w:p>
            <w:pPr>
              <w:wordWrap w:val="0"/>
              <w:jc w:val="center"/>
              <w:rPr>
                <w:rFonts w:eastAsia="宋体" w:cs="Times New Roman"/>
                <w:sz w:val="20"/>
                <w:szCs w:val="20"/>
              </w:rPr>
            </w:pPr>
            <w:r>
              <w:rPr>
                <w:rFonts w:eastAsia="宋体" w:cs="Times New Roman"/>
                <w:sz w:val="21"/>
              </w:rPr>
              <w:t>取值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restart"/>
            <w:vAlign w:val="center"/>
          </w:tcPr>
          <w:p>
            <w:pPr>
              <w:wordWrap w:val="0"/>
              <w:jc w:val="center"/>
              <w:rPr>
                <w:rFonts w:eastAsia="宋体" w:cs="Times New Roman"/>
                <w:sz w:val="20"/>
                <w:szCs w:val="20"/>
              </w:rPr>
            </w:pPr>
            <w:r>
              <w:rPr>
                <w:rFonts w:eastAsia="宋体" w:cs="Times New Roman"/>
                <w:sz w:val="21"/>
              </w:rPr>
              <w:t>城市农村/选项</w:t>
            </w:r>
          </w:p>
        </w:tc>
        <w:tc>
          <w:tcPr>
            <w:tcW w:w="2876" w:type="dxa"/>
            <w:vAlign w:val="center"/>
          </w:tcPr>
          <w:p>
            <w:pPr>
              <w:wordWrap w:val="0"/>
              <w:jc w:val="center"/>
              <w:rPr>
                <w:rFonts w:eastAsia="宋体" w:cs="Times New Roman"/>
                <w:sz w:val="20"/>
                <w:szCs w:val="20"/>
              </w:rPr>
            </w:pPr>
            <w:r>
              <w:rPr>
                <w:rFonts w:eastAsia="宋体" w:cs="Times New Roman"/>
                <w:sz w:val="21"/>
              </w:rPr>
              <w:t>城市/农村</w:t>
            </w:r>
          </w:p>
        </w:tc>
        <w:tc>
          <w:tcPr>
            <w:tcW w:w="3871" w:type="dxa"/>
            <w:vAlign w:val="center"/>
          </w:tcPr>
          <w:p>
            <w:pPr>
              <w:wordWrap w:val="0"/>
              <w:jc w:val="center"/>
              <w:rPr>
                <w:rFonts w:eastAsia="宋体" w:cs="Times New Roman"/>
                <w:sz w:val="20"/>
                <w:szCs w:val="20"/>
              </w:rPr>
            </w:pPr>
            <w:r>
              <w:rPr>
                <w:rFonts w:eastAsia="宋体" w:cs="Times New Roman"/>
                <w:sz w:val="21"/>
              </w:rPr>
              <w:t>农村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人口数(城市人口数)</w:t>
            </w:r>
          </w:p>
        </w:tc>
        <w:tc>
          <w:tcPr>
            <w:tcW w:w="3871" w:type="dxa"/>
            <w:vAlign w:val="center"/>
          </w:tcPr>
          <w:p>
            <w:pPr>
              <w:wordWrap w:val="0"/>
              <w:jc w:val="center"/>
              <w:rPr>
                <w:rFonts w:eastAsia="宋体" w:cs="Times New Roman"/>
                <w:sz w:val="20"/>
                <w:szCs w:val="20"/>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最高环境温度</w:t>
            </w:r>
          </w:p>
        </w:tc>
        <w:tc>
          <w:tcPr>
            <w:tcW w:w="3871" w:type="dxa"/>
            <w:vAlign w:val="center"/>
          </w:tcPr>
          <w:p>
            <w:pPr>
              <w:wordWrap w:val="0"/>
              <w:jc w:val="center"/>
              <w:rPr>
                <w:rFonts w:eastAsia="宋体" w:cs="Times New Roman"/>
                <w:color w:val="000000" w:themeColor="text1"/>
                <w:sz w:val="20"/>
                <w:szCs w:val="20"/>
              </w:rPr>
            </w:pPr>
            <w:r>
              <w:rPr>
                <w:rFonts w:hint="eastAsia" w:eastAsia="宋体" w:cs="Times New Roman"/>
                <w:color w:val="000000" w:themeColor="text1"/>
                <w:sz w:val="21"/>
                <w:lang w:val="en-US" w:eastAsia="zh-CN"/>
              </w:rPr>
              <w:t>39.5</w:t>
            </w:r>
            <w:r>
              <w:rPr>
                <w:rFonts w:eastAsia="宋体" w:cs="Times New Roman"/>
                <w:color w:val="000000" w:themeColor="text1"/>
                <w:sz w:val="21"/>
              </w:rPr>
              <w:t>°C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最低环境温度</w:t>
            </w:r>
          </w:p>
        </w:tc>
        <w:tc>
          <w:tcPr>
            <w:tcW w:w="3871" w:type="dxa"/>
            <w:vAlign w:val="center"/>
          </w:tcPr>
          <w:p>
            <w:pPr>
              <w:wordWrap w:val="0"/>
              <w:jc w:val="center"/>
              <w:rPr>
                <w:rFonts w:eastAsia="宋体" w:cs="Times New Roman"/>
                <w:color w:val="000000" w:themeColor="text1"/>
                <w:sz w:val="20"/>
                <w:szCs w:val="20"/>
              </w:rPr>
            </w:pPr>
            <w:r>
              <w:rPr>
                <w:rFonts w:eastAsia="宋体" w:cs="Times New Roman"/>
                <w:color w:val="000000" w:themeColor="text1"/>
                <w:sz w:val="21"/>
              </w:rPr>
              <w:t>-3.9°C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土地利用类型</w:t>
            </w:r>
          </w:p>
        </w:tc>
        <w:tc>
          <w:tcPr>
            <w:tcW w:w="3871" w:type="dxa"/>
            <w:vAlign w:val="center"/>
          </w:tcPr>
          <w:p>
            <w:pPr>
              <w:wordWrap w:val="0"/>
              <w:jc w:val="center"/>
              <w:rPr>
                <w:rFonts w:hint="default" w:eastAsia="宋体" w:cs="Times New Roman"/>
                <w:sz w:val="20"/>
                <w:szCs w:val="20"/>
                <w:lang w:val="en-US" w:eastAsia="zh-CN"/>
              </w:rPr>
            </w:pPr>
            <w:r>
              <w:rPr>
                <w:rFonts w:hint="eastAsia" w:eastAsia="宋体" w:cs="Times New Roman"/>
                <w:sz w:val="21"/>
                <w:szCs w:val="21"/>
                <w:lang w:val="en-US" w:eastAsia="zh-CN"/>
              </w:rPr>
              <w:t>工业用地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1" w:type="dxa"/>
            <w:gridSpan w:val="2"/>
            <w:vAlign w:val="center"/>
          </w:tcPr>
          <w:p>
            <w:pPr>
              <w:wordWrap w:val="0"/>
              <w:jc w:val="center"/>
              <w:rPr>
                <w:rFonts w:eastAsia="宋体" w:cs="Times New Roman"/>
                <w:sz w:val="20"/>
                <w:szCs w:val="20"/>
              </w:rPr>
            </w:pPr>
            <w:r>
              <w:rPr>
                <w:rFonts w:eastAsia="宋体" w:cs="Times New Roman"/>
                <w:sz w:val="21"/>
              </w:rPr>
              <w:t>区域湿度条件</w:t>
            </w:r>
          </w:p>
        </w:tc>
        <w:tc>
          <w:tcPr>
            <w:tcW w:w="3871" w:type="dxa"/>
            <w:vAlign w:val="center"/>
          </w:tcPr>
          <w:p>
            <w:pPr>
              <w:wordWrap w:val="0"/>
              <w:jc w:val="center"/>
              <w:rPr>
                <w:rFonts w:eastAsia="宋体" w:cs="Times New Roman"/>
                <w:sz w:val="20"/>
                <w:szCs w:val="20"/>
              </w:rPr>
            </w:pPr>
            <w:r>
              <w:rPr>
                <w:rFonts w:eastAsia="宋体" w:cs="Times New Roman"/>
                <w:sz w:val="21"/>
              </w:rPr>
              <w:t>中等湿度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restart"/>
            <w:vAlign w:val="center"/>
          </w:tcPr>
          <w:p>
            <w:pPr>
              <w:wordWrap w:val="0"/>
              <w:jc w:val="center"/>
              <w:rPr>
                <w:rFonts w:eastAsia="宋体" w:cs="Times New Roman"/>
                <w:sz w:val="20"/>
                <w:szCs w:val="20"/>
              </w:rPr>
            </w:pPr>
            <w:r>
              <w:rPr>
                <w:rFonts w:eastAsia="宋体" w:cs="Times New Roman"/>
                <w:sz w:val="21"/>
              </w:rPr>
              <w:t>是否考虑地形</w:t>
            </w:r>
          </w:p>
        </w:tc>
        <w:tc>
          <w:tcPr>
            <w:tcW w:w="2876" w:type="dxa"/>
            <w:vAlign w:val="center"/>
          </w:tcPr>
          <w:p>
            <w:pPr>
              <w:wordWrap w:val="0"/>
              <w:jc w:val="center"/>
              <w:rPr>
                <w:rFonts w:eastAsia="宋体" w:cs="Times New Roman"/>
                <w:sz w:val="20"/>
                <w:szCs w:val="20"/>
              </w:rPr>
            </w:pPr>
            <w:r>
              <w:rPr>
                <w:rFonts w:eastAsia="宋体" w:cs="Times New Roman"/>
                <w:sz w:val="21"/>
              </w:rPr>
              <w:t>考虑地形</w:t>
            </w:r>
          </w:p>
        </w:tc>
        <w:tc>
          <w:tcPr>
            <w:tcW w:w="3871" w:type="dxa"/>
            <w:vAlign w:val="center"/>
          </w:tcPr>
          <w:p>
            <w:pPr>
              <w:wordWrap w:val="0"/>
              <w:jc w:val="center"/>
              <w:rPr>
                <w:rFonts w:eastAsia="宋体" w:cs="Times New Roman"/>
                <w:sz w:val="20"/>
                <w:szCs w:val="20"/>
              </w:rPr>
            </w:pPr>
            <w:r>
              <w:rPr>
                <w:rFonts w:eastAsia="宋体" w:cs="Times New Roman"/>
                <w:sz w:val="21"/>
              </w:rPr>
              <w:t>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地形数据分辨率(m)</w:t>
            </w:r>
          </w:p>
        </w:tc>
        <w:tc>
          <w:tcPr>
            <w:tcW w:w="3871" w:type="dxa"/>
            <w:vAlign w:val="center"/>
          </w:tcPr>
          <w:p>
            <w:pPr>
              <w:wordWrap w:val="0"/>
              <w:jc w:val="center"/>
              <w:rPr>
                <w:rFonts w:eastAsia="宋体" w:cs="Times New Roman"/>
                <w:sz w:val="20"/>
                <w:szCs w:val="20"/>
              </w:rPr>
            </w:pPr>
            <w:r>
              <w:rPr>
                <w:rFonts w:eastAsia="宋体" w:cs="Times New Roman"/>
                <w:sz w:val="21"/>
              </w:rPr>
              <w:t>90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restart"/>
            <w:vAlign w:val="center"/>
          </w:tcPr>
          <w:p>
            <w:pPr>
              <w:wordWrap w:val="0"/>
              <w:jc w:val="center"/>
              <w:rPr>
                <w:rFonts w:eastAsia="宋体" w:cs="Times New Roman"/>
                <w:sz w:val="20"/>
                <w:szCs w:val="20"/>
              </w:rPr>
            </w:pPr>
            <w:r>
              <w:rPr>
                <w:rFonts w:eastAsia="宋体" w:cs="Times New Roman"/>
                <w:sz w:val="21"/>
              </w:rPr>
              <w:t>是否考虑海岸线熏烟</w:t>
            </w:r>
          </w:p>
        </w:tc>
        <w:tc>
          <w:tcPr>
            <w:tcW w:w="2876" w:type="dxa"/>
            <w:vAlign w:val="center"/>
          </w:tcPr>
          <w:p>
            <w:pPr>
              <w:wordWrap w:val="0"/>
              <w:jc w:val="center"/>
              <w:rPr>
                <w:rFonts w:eastAsia="宋体" w:cs="Times New Roman"/>
                <w:sz w:val="20"/>
                <w:szCs w:val="20"/>
              </w:rPr>
            </w:pPr>
            <w:r>
              <w:rPr>
                <w:rFonts w:eastAsia="宋体" w:cs="Times New Roman"/>
                <w:sz w:val="21"/>
              </w:rPr>
              <w:t>考虑海岸线熏烟</w:t>
            </w:r>
          </w:p>
        </w:tc>
        <w:tc>
          <w:tcPr>
            <w:tcW w:w="3871" w:type="dxa"/>
            <w:vAlign w:val="center"/>
          </w:tcPr>
          <w:p>
            <w:pPr>
              <w:wordWrap w:val="0"/>
              <w:jc w:val="center"/>
              <w:rPr>
                <w:rFonts w:eastAsia="宋体" w:cs="Times New Roman"/>
                <w:sz w:val="20"/>
                <w:szCs w:val="20"/>
              </w:rPr>
            </w:pPr>
            <w:r>
              <w:rPr>
                <w:rFonts w:eastAsia="宋体" w:cs="Times New Roman"/>
                <w:sz w:val="21"/>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海岸线距离/m</w:t>
            </w:r>
          </w:p>
        </w:tc>
        <w:tc>
          <w:tcPr>
            <w:tcW w:w="3871" w:type="dxa"/>
            <w:vAlign w:val="center"/>
          </w:tcPr>
          <w:p>
            <w:pPr>
              <w:wordWrap w:val="0"/>
              <w:jc w:val="center"/>
              <w:rPr>
                <w:rFonts w:eastAsia="宋体" w:cs="Times New Roman"/>
                <w:sz w:val="20"/>
                <w:szCs w:val="20"/>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95" w:type="dxa"/>
            <w:vMerge w:val="continue"/>
            <w:vAlign w:val="center"/>
          </w:tcPr>
          <w:p>
            <w:pPr>
              <w:widowControl/>
              <w:jc w:val="center"/>
              <w:rPr>
                <w:rFonts w:eastAsia="宋体" w:cs="Times New Roman"/>
                <w:sz w:val="20"/>
                <w:szCs w:val="20"/>
              </w:rPr>
            </w:pPr>
          </w:p>
        </w:tc>
        <w:tc>
          <w:tcPr>
            <w:tcW w:w="2876" w:type="dxa"/>
            <w:vAlign w:val="center"/>
          </w:tcPr>
          <w:p>
            <w:pPr>
              <w:wordWrap w:val="0"/>
              <w:jc w:val="center"/>
              <w:rPr>
                <w:rFonts w:eastAsia="宋体" w:cs="Times New Roman"/>
                <w:sz w:val="20"/>
                <w:szCs w:val="20"/>
              </w:rPr>
            </w:pPr>
            <w:r>
              <w:rPr>
                <w:rFonts w:eastAsia="宋体" w:cs="Times New Roman"/>
                <w:sz w:val="21"/>
              </w:rPr>
              <w:t>海岸线方向/</w:t>
            </w:r>
            <w:r>
              <w:rPr>
                <w:rFonts w:eastAsia="宋体" w:cs="Times New Roman"/>
                <w:sz w:val="21"/>
                <w:vertAlign w:val="superscript"/>
              </w:rPr>
              <w:t>o</w:t>
            </w:r>
          </w:p>
        </w:tc>
        <w:tc>
          <w:tcPr>
            <w:tcW w:w="3871" w:type="dxa"/>
            <w:vAlign w:val="center"/>
          </w:tcPr>
          <w:p>
            <w:pPr>
              <w:wordWrap w:val="0"/>
              <w:jc w:val="center"/>
              <w:rPr>
                <w:rFonts w:eastAsia="宋体" w:cs="Times New Roman"/>
                <w:sz w:val="20"/>
                <w:szCs w:val="20"/>
              </w:rPr>
            </w:pPr>
            <w:r>
              <w:rPr>
                <w:rFonts w:eastAsia="宋体" w:cs="Times New Roman"/>
                <w:sz w:val="21"/>
              </w:rPr>
              <w:t>/</w:t>
            </w:r>
          </w:p>
        </w:tc>
      </w:tr>
    </w:tbl>
    <w:p>
      <w:pPr>
        <w:pStyle w:val="61"/>
      </w:pPr>
      <w:r>
        <w:rPr>
          <w:rFonts w:hint="eastAsia"/>
        </w:rPr>
        <w:t>评价工作等级确定</w:t>
      </w:r>
    </w:p>
    <w:p>
      <w:pPr>
        <w:spacing w:line="360" w:lineRule="auto"/>
        <w:ind w:firstLine="480" w:firstLineChars="200"/>
        <w:rPr>
          <w:rFonts w:cs="Times New Roman"/>
          <w:szCs w:val="24"/>
        </w:rPr>
      </w:pPr>
      <w:r>
        <w:rPr>
          <w:szCs w:val="24"/>
        </w:rPr>
        <w:t>本项目所有污染源正常排放的污染物的</w:t>
      </w:r>
      <w:r>
        <w:rPr>
          <w:rFonts w:cs="Times New Roman"/>
          <w:szCs w:val="24"/>
        </w:rPr>
        <w:t>和D</w:t>
      </w:r>
      <w:r>
        <w:rPr>
          <w:rFonts w:cs="Times New Roman"/>
          <w:szCs w:val="24"/>
          <w:vertAlign w:val="subscript"/>
        </w:rPr>
        <w:t>10%</w:t>
      </w:r>
      <w:r>
        <w:rPr>
          <w:rFonts w:cs="Times New Roman"/>
          <w:szCs w:val="24"/>
        </w:rPr>
        <w:t>预测结果如下：</w:t>
      </w:r>
    </w:p>
    <w:p>
      <w:pPr>
        <w:pStyle w:val="14"/>
        <w:spacing w:line="240" w:lineRule="auto"/>
        <w:rPr>
          <w:szCs w:val="24"/>
        </w:rPr>
      </w:pPr>
      <w:r>
        <w:rPr>
          <w:rFonts w:hint="eastAsia" w:cs="Times New Roman"/>
          <w:szCs w:val="24"/>
        </w:rPr>
        <w:t>表</w:t>
      </w:r>
      <w:r>
        <w:rPr>
          <w:rFonts w:cs="Times New Roman"/>
          <w:szCs w:val="24"/>
        </w:rPr>
        <w:fldChar w:fldCharType="begin"/>
      </w:r>
      <w:r>
        <w:rPr>
          <w:rFonts w:hint="eastAsia" w:cs="Times New Roman"/>
          <w:szCs w:val="24"/>
        </w:rPr>
        <w:instrText xml:space="preserve">STYLEREF 2 \s</w:instrText>
      </w:r>
      <w:r>
        <w:rPr>
          <w:rFonts w:cs="Times New Roman"/>
          <w:szCs w:val="24"/>
        </w:rPr>
        <w:fldChar w:fldCharType="separate"/>
      </w:r>
      <w:r>
        <w:rPr>
          <w:rFonts w:cs="Times New Roman"/>
          <w:szCs w:val="24"/>
        </w:rPr>
        <w:t>4.1</w:t>
      </w:r>
      <w:r>
        <w:rPr>
          <w:rFonts w:cs="Times New Roman"/>
          <w:szCs w:val="24"/>
        </w:rPr>
        <w:fldChar w:fldCharType="end"/>
      </w:r>
      <w:r>
        <w:rPr>
          <w:rFonts w:cs="Times New Roman"/>
          <w:szCs w:val="24"/>
        </w:rPr>
        <w:noBreakHyphen/>
      </w:r>
      <w:r>
        <w:rPr>
          <w:rFonts w:cs="Times New Roman"/>
          <w:szCs w:val="24"/>
        </w:rPr>
        <w:fldChar w:fldCharType="begin"/>
      </w:r>
      <w:r>
        <w:rPr>
          <w:rFonts w:hint="eastAsia" w:cs="Times New Roman"/>
          <w:szCs w:val="24"/>
        </w:rPr>
        <w:instrText xml:space="preserve">SEQ 表 \* ARABIC \s 2</w:instrText>
      </w:r>
      <w:r>
        <w:rPr>
          <w:rFonts w:cs="Times New Roman"/>
          <w:szCs w:val="24"/>
        </w:rPr>
        <w:fldChar w:fldCharType="separate"/>
      </w:r>
      <w:r>
        <w:rPr>
          <w:rFonts w:hint="eastAsia" w:cs="Times New Roman"/>
          <w:szCs w:val="24"/>
        </w:rPr>
        <w:t>6</w:t>
      </w:r>
      <w:r>
        <w:rPr>
          <w:rFonts w:cs="Times New Roman"/>
          <w:szCs w:val="24"/>
        </w:rPr>
        <w:fldChar w:fldCharType="end"/>
      </w:r>
      <w:r>
        <w:rPr>
          <w:rFonts w:hint="eastAsia" w:cs="Times New Roman"/>
          <w:szCs w:val="24"/>
          <w:lang w:val="en-US" w:eastAsia="zh-CN"/>
        </w:rPr>
        <w:t xml:space="preserve">  </w:t>
      </w:r>
      <w:r>
        <w:rPr>
          <w:rFonts w:cs="Times New Roman"/>
          <w:szCs w:val="24"/>
        </w:rPr>
        <w:t>P</w:t>
      </w:r>
      <w:r>
        <w:rPr>
          <w:rFonts w:cs="Times New Roman"/>
          <w:szCs w:val="24"/>
          <w:vertAlign w:val="subscript"/>
        </w:rPr>
        <w:t>max</w:t>
      </w:r>
      <w:r>
        <w:rPr>
          <w:rFonts w:cs="Times New Roman"/>
          <w:szCs w:val="24"/>
        </w:rPr>
        <w:t>和D</w:t>
      </w:r>
      <w:r>
        <w:rPr>
          <w:rFonts w:cs="Times New Roman"/>
          <w:szCs w:val="24"/>
          <w:vertAlign w:val="subscript"/>
        </w:rPr>
        <w:t>10%</w:t>
      </w:r>
      <w:r>
        <w:rPr>
          <w:rFonts w:cs="Times New Roman"/>
          <w:szCs w:val="24"/>
        </w:rPr>
        <w:t>预测和计算结果一览表</w:t>
      </w:r>
    </w:p>
    <w:tbl>
      <w:tblPr>
        <w:tblStyle w:val="39"/>
        <w:tblW w:w="924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44"/>
        <w:gridCol w:w="1540"/>
        <w:gridCol w:w="2484"/>
        <w:gridCol w:w="1309"/>
        <w:gridCol w:w="1157"/>
        <w:gridCol w:w="9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wordWrap w:val="0"/>
              <w:jc w:val="center"/>
              <w:rPr>
                <w:rFonts w:eastAsia="宋体" w:cs="Times New Roman"/>
                <w:sz w:val="21"/>
              </w:rPr>
            </w:pPr>
            <w:r>
              <w:rPr>
                <w:rFonts w:eastAsia="宋体" w:cs="Times New Roman"/>
                <w:sz w:val="21"/>
              </w:rPr>
              <w:t>污染源名称</w:t>
            </w:r>
          </w:p>
        </w:tc>
        <w:tc>
          <w:tcPr>
            <w:tcW w:w="1540" w:type="dxa"/>
            <w:vAlign w:val="center"/>
          </w:tcPr>
          <w:p>
            <w:pPr>
              <w:wordWrap w:val="0"/>
              <w:jc w:val="center"/>
              <w:rPr>
                <w:rFonts w:eastAsia="宋体" w:cs="Times New Roman"/>
                <w:sz w:val="21"/>
              </w:rPr>
            </w:pPr>
            <w:r>
              <w:rPr>
                <w:rFonts w:eastAsia="宋体" w:cs="Times New Roman"/>
                <w:sz w:val="21"/>
              </w:rPr>
              <w:t>评价因子</w:t>
            </w:r>
          </w:p>
        </w:tc>
        <w:tc>
          <w:tcPr>
            <w:tcW w:w="2484" w:type="dxa"/>
            <w:vAlign w:val="center"/>
          </w:tcPr>
          <w:p>
            <w:pPr>
              <w:wordWrap w:val="0"/>
              <w:jc w:val="center"/>
              <w:rPr>
                <w:rFonts w:eastAsia="宋体" w:cs="Times New Roman"/>
                <w:sz w:val="21"/>
              </w:rPr>
            </w:pPr>
            <w:r>
              <w:rPr>
                <w:rFonts w:eastAsia="宋体" w:cs="Times New Roman"/>
                <w:sz w:val="21"/>
              </w:rPr>
              <w:t>评价标准(μg/m</w:t>
            </w:r>
            <w:r>
              <w:rPr>
                <w:rFonts w:eastAsia="宋体" w:cs="Times New Roman"/>
                <w:sz w:val="21"/>
                <w:vertAlign w:val="superscript"/>
              </w:rPr>
              <w:t>3</w:t>
            </w:r>
            <w:r>
              <w:rPr>
                <w:rFonts w:eastAsia="宋体" w:cs="Times New Roman"/>
                <w:sz w:val="21"/>
              </w:rPr>
              <w:t>)</w:t>
            </w:r>
          </w:p>
        </w:tc>
        <w:tc>
          <w:tcPr>
            <w:tcW w:w="1309" w:type="dxa"/>
            <w:vAlign w:val="center"/>
          </w:tcPr>
          <w:p>
            <w:pPr>
              <w:wordWrap w:val="0"/>
              <w:jc w:val="center"/>
              <w:rPr>
                <w:rFonts w:eastAsia="宋体" w:cs="Times New Roman"/>
                <w:sz w:val="21"/>
              </w:rPr>
            </w:pPr>
            <w:r>
              <w:rPr>
                <w:rFonts w:eastAsia="宋体" w:cs="Times New Roman"/>
                <w:sz w:val="21"/>
              </w:rPr>
              <w:t>C</w:t>
            </w:r>
            <w:r>
              <w:rPr>
                <w:rFonts w:eastAsia="宋体" w:cs="Times New Roman"/>
                <w:sz w:val="21"/>
                <w:vertAlign w:val="subscript"/>
              </w:rPr>
              <w:t>max</w:t>
            </w:r>
          </w:p>
          <w:p>
            <w:pPr>
              <w:wordWrap w:val="0"/>
              <w:jc w:val="center"/>
              <w:rPr>
                <w:rFonts w:eastAsia="宋体" w:cs="Times New Roman"/>
                <w:sz w:val="21"/>
              </w:rPr>
            </w:pPr>
            <w:r>
              <w:rPr>
                <w:rFonts w:eastAsia="宋体" w:cs="Times New Roman"/>
                <w:sz w:val="21"/>
              </w:rPr>
              <w:t>(μg/m</w:t>
            </w:r>
            <w:r>
              <w:rPr>
                <w:rFonts w:eastAsia="宋体" w:cs="Times New Roman"/>
                <w:sz w:val="21"/>
                <w:vertAlign w:val="superscript"/>
              </w:rPr>
              <w:t>3</w:t>
            </w:r>
            <w:r>
              <w:rPr>
                <w:rFonts w:eastAsia="宋体" w:cs="Times New Roman"/>
                <w:sz w:val="21"/>
              </w:rPr>
              <w:t>)</w:t>
            </w:r>
          </w:p>
        </w:tc>
        <w:tc>
          <w:tcPr>
            <w:tcW w:w="1157" w:type="dxa"/>
            <w:vAlign w:val="center"/>
          </w:tcPr>
          <w:p>
            <w:pPr>
              <w:wordWrap w:val="0"/>
              <w:jc w:val="center"/>
              <w:rPr>
                <w:rFonts w:eastAsia="宋体" w:cs="Times New Roman"/>
                <w:sz w:val="21"/>
              </w:rPr>
            </w:pPr>
            <w:r>
              <w:rPr>
                <w:rFonts w:eastAsia="宋体" w:cs="Times New Roman"/>
                <w:sz w:val="21"/>
              </w:rPr>
              <w:t>P</w:t>
            </w:r>
            <w:r>
              <w:rPr>
                <w:rFonts w:eastAsia="宋体" w:cs="Times New Roman"/>
                <w:sz w:val="21"/>
                <w:vertAlign w:val="subscript"/>
              </w:rPr>
              <w:t>max</w:t>
            </w:r>
          </w:p>
          <w:p>
            <w:pPr>
              <w:wordWrap w:val="0"/>
              <w:jc w:val="center"/>
              <w:rPr>
                <w:rFonts w:eastAsia="宋体" w:cs="Times New Roman"/>
                <w:sz w:val="21"/>
              </w:rPr>
            </w:pPr>
            <w:r>
              <w:rPr>
                <w:rFonts w:eastAsia="宋体" w:cs="Times New Roman"/>
                <w:sz w:val="21"/>
              </w:rPr>
              <w:t>(%)</w:t>
            </w:r>
          </w:p>
        </w:tc>
        <w:tc>
          <w:tcPr>
            <w:tcW w:w="908" w:type="dxa"/>
            <w:vAlign w:val="center"/>
          </w:tcPr>
          <w:p>
            <w:pPr>
              <w:wordWrap w:val="0"/>
              <w:jc w:val="center"/>
              <w:rPr>
                <w:rFonts w:eastAsia="宋体" w:cs="Times New Roman"/>
                <w:sz w:val="21"/>
              </w:rPr>
            </w:pPr>
            <w:r>
              <w:rPr>
                <w:rFonts w:eastAsia="宋体" w:cs="Times New Roman"/>
                <w:sz w:val="21"/>
              </w:rPr>
              <w:t>D</w:t>
            </w:r>
            <w:r>
              <w:rPr>
                <w:rFonts w:eastAsia="宋体" w:cs="Times New Roman"/>
                <w:sz w:val="21"/>
                <w:vertAlign w:val="subscript"/>
              </w:rPr>
              <w:t>10%</w:t>
            </w:r>
          </w:p>
          <w:p>
            <w:pPr>
              <w:wordWrap w:val="0"/>
              <w:jc w:val="center"/>
              <w:rPr>
                <w:rFonts w:eastAsia="宋体" w:cs="Times New Roman"/>
                <w:sz w:val="21"/>
              </w:rPr>
            </w:pPr>
            <w:r>
              <w:rPr>
                <w:rFonts w:eastAsia="宋体" w:cs="Times New Roman"/>
                <w:sz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wordWrap w:val="0"/>
              <w:jc w:val="center"/>
              <w:rPr>
                <w:rFonts w:eastAsia="宋体" w:cs="Times New Roman"/>
                <w:sz w:val="21"/>
              </w:rPr>
            </w:pPr>
            <w:r>
              <w:rPr>
                <w:rFonts w:eastAsia="宋体" w:cs="Times New Roman"/>
                <w:sz w:val="21"/>
              </w:rPr>
              <w:t>点源</w:t>
            </w:r>
          </w:p>
        </w:tc>
        <w:tc>
          <w:tcPr>
            <w:tcW w:w="1540" w:type="dxa"/>
            <w:vAlign w:val="center"/>
          </w:tcPr>
          <w:p>
            <w:pPr>
              <w:wordWrap w:val="0"/>
              <w:jc w:val="center"/>
              <w:rPr>
                <w:rFonts w:eastAsia="宋体" w:cs="Times New Roman"/>
                <w:sz w:val="21"/>
              </w:rPr>
            </w:pPr>
            <w:r>
              <w:rPr>
                <w:rFonts w:eastAsia="宋体" w:cs="Times New Roman"/>
                <w:sz w:val="21"/>
              </w:rPr>
              <w:t>H</w:t>
            </w:r>
            <w:r>
              <w:rPr>
                <w:rFonts w:eastAsia="宋体" w:cs="Times New Roman"/>
                <w:sz w:val="21"/>
                <w:vertAlign w:val="subscript"/>
              </w:rPr>
              <w:t>2</w:t>
            </w:r>
            <w:r>
              <w:rPr>
                <w:rFonts w:eastAsia="宋体" w:cs="Times New Roman"/>
                <w:sz w:val="21"/>
              </w:rPr>
              <w:t>S</w:t>
            </w:r>
          </w:p>
        </w:tc>
        <w:tc>
          <w:tcPr>
            <w:tcW w:w="2484" w:type="dxa"/>
            <w:vAlign w:val="center"/>
          </w:tcPr>
          <w:p>
            <w:pPr>
              <w:wordWrap w:val="0"/>
              <w:jc w:val="center"/>
              <w:rPr>
                <w:rFonts w:eastAsia="宋体" w:cs="Times New Roman"/>
                <w:sz w:val="21"/>
              </w:rPr>
            </w:pPr>
            <w:r>
              <w:rPr>
                <w:rFonts w:eastAsia="宋体" w:cs="Times New Roman"/>
                <w:sz w:val="21"/>
              </w:rPr>
              <w:t>10.0</w:t>
            </w:r>
          </w:p>
        </w:tc>
        <w:tc>
          <w:tcPr>
            <w:tcW w:w="1309" w:type="dxa"/>
            <w:vAlign w:val="center"/>
          </w:tcPr>
          <w:p>
            <w:pPr>
              <w:wordWrap w:val="0"/>
              <w:jc w:val="center"/>
              <w:rPr>
                <w:rFonts w:eastAsia="宋体" w:cs="Times New Roman"/>
                <w:sz w:val="21"/>
              </w:rPr>
            </w:pPr>
            <w:r>
              <w:rPr>
                <w:rFonts w:eastAsia="宋体" w:cs="Times New Roman"/>
                <w:sz w:val="21"/>
              </w:rPr>
              <w:t>2.82E-02</w:t>
            </w:r>
          </w:p>
        </w:tc>
        <w:tc>
          <w:tcPr>
            <w:tcW w:w="1157" w:type="dxa"/>
            <w:vAlign w:val="center"/>
          </w:tcPr>
          <w:p>
            <w:pPr>
              <w:wordWrap w:val="0"/>
              <w:jc w:val="center"/>
              <w:rPr>
                <w:rFonts w:eastAsia="宋体" w:cs="Times New Roman"/>
                <w:sz w:val="21"/>
              </w:rPr>
            </w:pPr>
            <w:r>
              <w:rPr>
                <w:rFonts w:hint="eastAsia" w:eastAsia="宋体" w:cs="Times New Roman"/>
                <w:sz w:val="21"/>
              </w:rPr>
              <w:t>4.7</w:t>
            </w:r>
          </w:p>
        </w:tc>
        <w:tc>
          <w:tcPr>
            <w:tcW w:w="908" w:type="dxa"/>
            <w:vAlign w:val="center"/>
          </w:tcPr>
          <w:p>
            <w:pPr>
              <w:wordWrap w:val="0"/>
              <w:jc w:val="center"/>
              <w:rPr>
                <w:rFonts w:eastAsia="宋体" w:cs="Times New Roman"/>
                <w:sz w:val="21"/>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wordWrap w:val="0"/>
              <w:jc w:val="center"/>
              <w:rPr>
                <w:rFonts w:eastAsia="宋体" w:cs="Times New Roman"/>
                <w:sz w:val="21"/>
              </w:rPr>
            </w:pPr>
            <w:r>
              <w:rPr>
                <w:rFonts w:eastAsia="宋体" w:cs="Times New Roman"/>
                <w:sz w:val="21"/>
              </w:rPr>
              <w:t>点源</w:t>
            </w:r>
          </w:p>
        </w:tc>
        <w:tc>
          <w:tcPr>
            <w:tcW w:w="1540" w:type="dxa"/>
            <w:vAlign w:val="center"/>
          </w:tcPr>
          <w:p>
            <w:pPr>
              <w:wordWrap w:val="0"/>
              <w:jc w:val="center"/>
              <w:rPr>
                <w:rFonts w:eastAsia="宋体" w:cs="Times New Roman"/>
                <w:sz w:val="21"/>
              </w:rPr>
            </w:pPr>
            <w:r>
              <w:rPr>
                <w:rFonts w:eastAsia="宋体" w:cs="Times New Roman"/>
                <w:sz w:val="21"/>
              </w:rPr>
              <w:t>NH</w:t>
            </w:r>
            <w:r>
              <w:rPr>
                <w:rFonts w:eastAsia="宋体" w:cs="Times New Roman"/>
                <w:sz w:val="21"/>
                <w:vertAlign w:val="subscript"/>
              </w:rPr>
              <w:t>3</w:t>
            </w:r>
          </w:p>
        </w:tc>
        <w:tc>
          <w:tcPr>
            <w:tcW w:w="2484" w:type="dxa"/>
            <w:vAlign w:val="center"/>
          </w:tcPr>
          <w:p>
            <w:pPr>
              <w:wordWrap w:val="0"/>
              <w:jc w:val="center"/>
              <w:rPr>
                <w:rFonts w:eastAsia="宋体" w:cs="Times New Roman"/>
                <w:sz w:val="21"/>
              </w:rPr>
            </w:pPr>
            <w:r>
              <w:rPr>
                <w:rFonts w:eastAsia="宋体" w:cs="Times New Roman"/>
                <w:sz w:val="21"/>
              </w:rPr>
              <w:t>200.0</w:t>
            </w:r>
          </w:p>
        </w:tc>
        <w:tc>
          <w:tcPr>
            <w:tcW w:w="1309" w:type="dxa"/>
            <w:vAlign w:val="center"/>
          </w:tcPr>
          <w:p>
            <w:pPr>
              <w:wordWrap w:val="0"/>
              <w:jc w:val="center"/>
              <w:rPr>
                <w:rFonts w:eastAsia="宋体" w:cs="Times New Roman"/>
                <w:sz w:val="21"/>
              </w:rPr>
            </w:pPr>
            <w:r>
              <w:rPr>
                <w:rFonts w:eastAsia="宋体" w:cs="Times New Roman"/>
                <w:sz w:val="21"/>
              </w:rPr>
              <w:t>4.02E-05</w:t>
            </w:r>
          </w:p>
        </w:tc>
        <w:tc>
          <w:tcPr>
            <w:tcW w:w="1157" w:type="dxa"/>
            <w:vAlign w:val="center"/>
          </w:tcPr>
          <w:p>
            <w:pPr>
              <w:wordWrap w:val="0"/>
              <w:jc w:val="center"/>
              <w:rPr>
                <w:rFonts w:eastAsia="宋体" w:cs="Times New Roman"/>
                <w:sz w:val="21"/>
              </w:rPr>
            </w:pPr>
            <w:r>
              <w:rPr>
                <w:rFonts w:hint="eastAsia" w:eastAsia="宋体" w:cs="Times New Roman"/>
                <w:sz w:val="21"/>
              </w:rPr>
              <w:t>0.13</w:t>
            </w:r>
          </w:p>
        </w:tc>
        <w:tc>
          <w:tcPr>
            <w:tcW w:w="908" w:type="dxa"/>
            <w:vAlign w:val="center"/>
          </w:tcPr>
          <w:p>
            <w:pPr>
              <w:wordWrap w:val="0"/>
              <w:jc w:val="center"/>
              <w:rPr>
                <w:rFonts w:eastAsia="宋体" w:cs="Times New Roman"/>
                <w:sz w:val="21"/>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wordWrap w:val="0"/>
              <w:jc w:val="center"/>
              <w:rPr>
                <w:rFonts w:eastAsia="宋体" w:cs="Times New Roman"/>
                <w:sz w:val="21"/>
              </w:rPr>
            </w:pPr>
            <w:r>
              <w:rPr>
                <w:rFonts w:eastAsia="宋体" w:cs="Times New Roman"/>
                <w:sz w:val="21"/>
              </w:rPr>
              <w:t>矩形面源</w:t>
            </w:r>
          </w:p>
        </w:tc>
        <w:tc>
          <w:tcPr>
            <w:tcW w:w="1540" w:type="dxa"/>
            <w:vAlign w:val="center"/>
          </w:tcPr>
          <w:p>
            <w:pPr>
              <w:wordWrap w:val="0"/>
              <w:jc w:val="center"/>
              <w:rPr>
                <w:rFonts w:eastAsia="宋体" w:cs="Times New Roman"/>
                <w:sz w:val="21"/>
              </w:rPr>
            </w:pPr>
            <w:r>
              <w:rPr>
                <w:rFonts w:eastAsia="宋体" w:cs="Times New Roman"/>
                <w:sz w:val="21"/>
              </w:rPr>
              <w:t>H</w:t>
            </w:r>
            <w:r>
              <w:rPr>
                <w:rFonts w:eastAsia="宋体" w:cs="Times New Roman"/>
                <w:sz w:val="21"/>
                <w:vertAlign w:val="subscript"/>
              </w:rPr>
              <w:t>2</w:t>
            </w:r>
            <w:r>
              <w:rPr>
                <w:rFonts w:eastAsia="宋体" w:cs="Times New Roman"/>
                <w:sz w:val="21"/>
              </w:rPr>
              <w:t>S</w:t>
            </w:r>
          </w:p>
        </w:tc>
        <w:tc>
          <w:tcPr>
            <w:tcW w:w="2484" w:type="dxa"/>
            <w:vAlign w:val="center"/>
          </w:tcPr>
          <w:p>
            <w:pPr>
              <w:wordWrap w:val="0"/>
              <w:jc w:val="center"/>
              <w:rPr>
                <w:rFonts w:eastAsia="宋体" w:cs="Times New Roman"/>
                <w:sz w:val="21"/>
              </w:rPr>
            </w:pPr>
            <w:r>
              <w:rPr>
                <w:rFonts w:eastAsia="宋体" w:cs="Times New Roman"/>
                <w:sz w:val="21"/>
              </w:rPr>
              <w:t>10.0</w:t>
            </w:r>
          </w:p>
        </w:tc>
        <w:tc>
          <w:tcPr>
            <w:tcW w:w="1309" w:type="dxa"/>
            <w:vAlign w:val="center"/>
          </w:tcPr>
          <w:p>
            <w:pPr>
              <w:wordWrap w:val="0"/>
              <w:jc w:val="center"/>
              <w:rPr>
                <w:rFonts w:eastAsia="宋体" w:cs="Times New Roman"/>
                <w:sz w:val="21"/>
              </w:rPr>
            </w:pPr>
            <w:r>
              <w:rPr>
                <w:rFonts w:eastAsia="宋体" w:cs="Times New Roman"/>
                <w:sz w:val="21"/>
              </w:rPr>
              <w:t>3.72E-0</w:t>
            </w:r>
            <w:r>
              <w:rPr>
                <w:rFonts w:hint="eastAsia" w:eastAsia="宋体" w:cs="Times New Roman"/>
                <w:sz w:val="21"/>
              </w:rPr>
              <w:t>1</w:t>
            </w:r>
          </w:p>
        </w:tc>
        <w:tc>
          <w:tcPr>
            <w:tcW w:w="1157" w:type="dxa"/>
            <w:vAlign w:val="center"/>
          </w:tcPr>
          <w:p>
            <w:pPr>
              <w:wordWrap w:val="0"/>
              <w:jc w:val="center"/>
              <w:rPr>
                <w:rFonts w:eastAsia="宋体" w:cs="Times New Roman"/>
                <w:sz w:val="21"/>
              </w:rPr>
            </w:pPr>
            <w:r>
              <w:rPr>
                <w:rFonts w:hint="eastAsia" w:eastAsia="宋体" w:cs="Times New Roman"/>
                <w:sz w:val="21"/>
              </w:rPr>
              <w:t>6.19</w:t>
            </w:r>
          </w:p>
        </w:tc>
        <w:tc>
          <w:tcPr>
            <w:tcW w:w="908" w:type="dxa"/>
            <w:vAlign w:val="center"/>
          </w:tcPr>
          <w:p>
            <w:pPr>
              <w:wordWrap w:val="0"/>
              <w:jc w:val="center"/>
              <w:rPr>
                <w:rFonts w:eastAsia="宋体" w:cs="Times New Roman"/>
                <w:sz w:val="21"/>
              </w:rPr>
            </w:pPr>
            <w:r>
              <w:rPr>
                <w:rFonts w:eastAsia="宋体" w:cs="Times New Roman"/>
                <w:sz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844" w:type="dxa"/>
            <w:vAlign w:val="center"/>
          </w:tcPr>
          <w:p>
            <w:pPr>
              <w:wordWrap w:val="0"/>
              <w:jc w:val="center"/>
              <w:rPr>
                <w:rFonts w:eastAsia="宋体" w:cs="Times New Roman"/>
                <w:sz w:val="21"/>
              </w:rPr>
            </w:pPr>
            <w:r>
              <w:rPr>
                <w:rFonts w:eastAsia="宋体" w:cs="Times New Roman"/>
                <w:sz w:val="21"/>
              </w:rPr>
              <w:t>矩形面源</w:t>
            </w:r>
          </w:p>
        </w:tc>
        <w:tc>
          <w:tcPr>
            <w:tcW w:w="1540" w:type="dxa"/>
            <w:vAlign w:val="center"/>
          </w:tcPr>
          <w:p>
            <w:pPr>
              <w:wordWrap w:val="0"/>
              <w:jc w:val="center"/>
              <w:rPr>
                <w:rFonts w:eastAsia="宋体" w:cs="Times New Roman"/>
                <w:sz w:val="21"/>
              </w:rPr>
            </w:pPr>
            <w:r>
              <w:rPr>
                <w:rFonts w:eastAsia="宋体" w:cs="Times New Roman"/>
                <w:sz w:val="21"/>
              </w:rPr>
              <w:t>NH</w:t>
            </w:r>
            <w:r>
              <w:rPr>
                <w:rFonts w:eastAsia="宋体" w:cs="Times New Roman"/>
                <w:sz w:val="21"/>
                <w:vertAlign w:val="subscript"/>
              </w:rPr>
              <w:t>3</w:t>
            </w:r>
          </w:p>
        </w:tc>
        <w:tc>
          <w:tcPr>
            <w:tcW w:w="2484" w:type="dxa"/>
            <w:vAlign w:val="center"/>
          </w:tcPr>
          <w:p>
            <w:pPr>
              <w:wordWrap w:val="0"/>
              <w:jc w:val="center"/>
              <w:rPr>
                <w:rFonts w:eastAsia="宋体" w:cs="Times New Roman"/>
                <w:sz w:val="21"/>
              </w:rPr>
            </w:pPr>
            <w:r>
              <w:rPr>
                <w:rFonts w:eastAsia="宋体" w:cs="Times New Roman"/>
                <w:sz w:val="21"/>
              </w:rPr>
              <w:t>200.0</w:t>
            </w:r>
          </w:p>
        </w:tc>
        <w:tc>
          <w:tcPr>
            <w:tcW w:w="1309" w:type="dxa"/>
            <w:vAlign w:val="center"/>
          </w:tcPr>
          <w:p>
            <w:pPr>
              <w:wordWrap w:val="0"/>
              <w:jc w:val="center"/>
              <w:rPr>
                <w:rFonts w:eastAsia="宋体" w:cs="Times New Roman"/>
                <w:sz w:val="21"/>
              </w:rPr>
            </w:pPr>
            <w:r>
              <w:rPr>
                <w:rFonts w:eastAsia="宋体" w:cs="Times New Roman"/>
                <w:sz w:val="21"/>
              </w:rPr>
              <w:t>4.34E-0</w:t>
            </w:r>
            <w:r>
              <w:rPr>
                <w:rFonts w:hint="eastAsia" w:eastAsia="宋体" w:cs="Times New Roman"/>
                <w:sz w:val="21"/>
              </w:rPr>
              <w:t>1</w:t>
            </w:r>
          </w:p>
        </w:tc>
        <w:tc>
          <w:tcPr>
            <w:tcW w:w="1157" w:type="dxa"/>
            <w:vAlign w:val="center"/>
          </w:tcPr>
          <w:p>
            <w:pPr>
              <w:wordWrap w:val="0"/>
              <w:jc w:val="center"/>
              <w:rPr>
                <w:rFonts w:eastAsia="宋体" w:cs="Times New Roman"/>
                <w:sz w:val="21"/>
              </w:rPr>
            </w:pPr>
            <w:r>
              <w:rPr>
                <w:rFonts w:hint="eastAsia" w:eastAsia="宋体" w:cs="Times New Roman"/>
                <w:sz w:val="21"/>
              </w:rPr>
              <w:t>1.45</w:t>
            </w:r>
          </w:p>
        </w:tc>
        <w:tc>
          <w:tcPr>
            <w:tcW w:w="908" w:type="dxa"/>
            <w:vAlign w:val="center"/>
          </w:tcPr>
          <w:p>
            <w:pPr>
              <w:wordWrap w:val="0"/>
              <w:jc w:val="center"/>
              <w:rPr>
                <w:rFonts w:eastAsia="宋体" w:cs="Times New Roman"/>
                <w:sz w:val="21"/>
              </w:rPr>
            </w:pPr>
            <w:r>
              <w:rPr>
                <w:rFonts w:eastAsia="宋体" w:cs="Times New Roman"/>
                <w:sz w:val="21"/>
              </w:rPr>
              <w:t>/</w:t>
            </w:r>
          </w:p>
        </w:tc>
      </w:tr>
    </w:tbl>
    <w:p>
      <w:pPr>
        <w:pStyle w:val="37"/>
        <w:adjustRightInd w:val="0"/>
        <w:snapToGrid w:val="0"/>
        <w:spacing w:after="0" w:line="360" w:lineRule="auto"/>
        <w:ind w:firstLine="480" w:firstLineChars="200"/>
        <w:rPr>
          <w:rFonts w:eastAsia="宋体" w:cs="Times New Roman"/>
          <w:color w:val="000000" w:themeColor="text1"/>
          <w:szCs w:val="24"/>
        </w:rPr>
      </w:pPr>
      <w:r>
        <w:rPr>
          <w:rFonts w:hAnsi="宋体" w:eastAsia="宋体" w:cs="Times New Roman"/>
          <w:color w:val="000000" w:themeColor="text1"/>
          <w:szCs w:val="24"/>
        </w:rPr>
        <w:t>综合以上分析，本项目</w:t>
      </w:r>
      <w:r>
        <w:rPr>
          <w:rFonts w:eastAsia="宋体" w:cs="Times New Roman"/>
          <w:color w:val="000000" w:themeColor="text1"/>
          <w:szCs w:val="24"/>
        </w:rPr>
        <w:t>P</w:t>
      </w:r>
      <w:r>
        <w:rPr>
          <w:rFonts w:eastAsia="宋体" w:cs="Times New Roman"/>
          <w:color w:val="000000" w:themeColor="text1"/>
          <w:szCs w:val="24"/>
          <w:vertAlign w:val="subscript"/>
        </w:rPr>
        <w:t>max</w:t>
      </w:r>
      <w:r>
        <w:rPr>
          <w:rFonts w:hAnsi="宋体" w:eastAsia="宋体" w:cs="Times New Roman"/>
          <w:color w:val="000000" w:themeColor="text1"/>
          <w:szCs w:val="24"/>
        </w:rPr>
        <w:t>最大值出现为矩形面源排放的</w:t>
      </w:r>
      <w:r>
        <w:rPr>
          <w:rFonts w:eastAsia="宋体" w:cs="Times New Roman"/>
          <w:color w:val="000000" w:themeColor="text1"/>
          <w:szCs w:val="24"/>
        </w:rPr>
        <w:t>H</w:t>
      </w:r>
      <w:r>
        <w:rPr>
          <w:rFonts w:eastAsia="宋体" w:cs="Times New Roman"/>
          <w:color w:val="000000" w:themeColor="text1"/>
          <w:szCs w:val="24"/>
          <w:vertAlign w:val="subscript"/>
        </w:rPr>
        <w:t>2</w:t>
      </w:r>
      <w:r>
        <w:rPr>
          <w:rFonts w:eastAsia="宋体" w:cs="Times New Roman"/>
          <w:color w:val="000000" w:themeColor="text1"/>
          <w:szCs w:val="24"/>
        </w:rPr>
        <w:t>S</w:t>
      </w:r>
      <w:r>
        <w:rPr>
          <w:rFonts w:hAnsi="宋体" w:eastAsia="宋体" w:cs="Times New Roman"/>
          <w:color w:val="000000" w:themeColor="text1"/>
          <w:szCs w:val="24"/>
        </w:rPr>
        <w:t>，</w:t>
      </w:r>
      <w:r>
        <w:rPr>
          <w:rFonts w:eastAsia="宋体" w:cs="Times New Roman"/>
          <w:color w:val="000000" w:themeColor="text1"/>
          <w:szCs w:val="24"/>
        </w:rPr>
        <w:t>P</w:t>
      </w:r>
      <w:r>
        <w:rPr>
          <w:rFonts w:eastAsia="宋体" w:cs="Times New Roman"/>
          <w:color w:val="000000" w:themeColor="text1"/>
          <w:szCs w:val="24"/>
          <w:vertAlign w:val="subscript"/>
        </w:rPr>
        <w:t>max</w:t>
      </w:r>
      <w:r>
        <w:rPr>
          <w:rFonts w:hAnsi="宋体" w:eastAsia="宋体" w:cs="Times New Roman"/>
          <w:color w:val="000000" w:themeColor="text1"/>
          <w:szCs w:val="24"/>
        </w:rPr>
        <w:t>值为</w:t>
      </w:r>
      <w:r>
        <w:rPr>
          <w:rFonts w:eastAsia="宋体" w:cs="Times New Roman"/>
          <w:color w:val="000000" w:themeColor="text1"/>
          <w:szCs w:val="24"/>
        </w:rPr>
        <w:t>6.19%</w:t>
      </w:r>
      <w:r>
        <w:rPr>
          <w:rFonts w:hAnsi="宋体" w:eastAsia="宋体" w:cs="Times New Roman"/>
          <w:color w:val="000000" w:themeColor="text1"/>
          <w:szCs w:val="24"/>
        </w:rPr>
        <w:t>，</w:t>
      </w:r>
      <w:r>
        <w:rPr>
          <w:rFonts w:eastAsia="宋体" w:cs="Times New Roman"/>
          <w:color w:val="000000" w:themeColor="text1"/>
          <w:szCs w:val="24"/>
        </w:rPr>
        <w:t>C</w:t>
      </w:r>
      <w:r>
        <w:rPr>
          <w:rFonts w:eastAsia="宋体" w:cs="Times New Roman"/>
          <w:color w:val="000000" w:themeColor="text1"/>
          <w:szCs w:val="24"/>
          <w:vertAlign w:val="subscript"/>
        </w:rPr>
        <w:t>max</w:t>
      </w:r>
      <w:r>
        <w:rPr>
          <w:rFonts w:hAnsi="宋体" w:eastAsia="宋体" w:cs="Times New Roman"/>
          <w:color w:val="000000" w:themeColor="text1"/>
          <w:szCs w:val="24"/>
        </w:rPr>
        <w:t>为</w:t>
      </w:r>
      <w:r>
        <w:rPr>
          <w:rFonts w:eastAsia="宋体" w:cs="Times New Roman"/>
          <w:color w:val="000000" w:themeColor="text1"/>
          <w:szCs w:val="24"/>
        </w:rPr>
        <w:t>3.72E-01ug/m</w:t>
      </w:r>
      <w:r>
        <w:rPr>
          <w:rFonts w:eastAsia="宋体" w:cs="Times New Roman"/>
          <w:color w:val="000000" w:themeColor="text1"/>
          <w:szCs w:val="24"/>
          <w:vertAlign w:val="superscript"/>
        </w:rPr>
        <w:t>3</w:t>
      </w:r>
      <w:r>
        <w:rPr>
          <w:rFonts w:hAnsi="宋体" w:eastAsia="宋体" w:cs="Times New Roman"/>
          <w:color w:val="000000" w:themeColor="text1"/>
          <w:szCs w:val="24"/>
        </w:rPr>
        <w:t>，根据《环境影响评价技术导则大气环境》</w:t>
      </w:r>
      <w:r>
        <w:rPr>
          <w:rFonts w:eastAsia="宋体" w:cs="Times New Roman"/>
          <w:color w:val="000000" w:themeColor="text1"/>
          <w:szCs w:val="24"/>
        </w:rPr>
        <w:t>(HJ2.2-2018)</w:t>
      </w:r>
      <w:r>
        <w:rPr>
          <w:rFonts w:hAnsi="宋体" w:eastAsia="宋体" w:cs="Times New Roman"/>
          <w:color w:val="000000" w:themeColor="text1"/>
          <w:szCs w:val="24"/>
        </w:rPr>
        <w:t>分级判据，确定本项目大气环境影响评价工作等级为二级。</w:t>
      </w:r>
    </w:p>
    <w:p>
      <w:pPr>
        <w:pStyle w:val="61"/>
      </w:pPr>
      <w:r>
        <w:rPr>
          <w:rFonts w:hint="eastAsia"/>
          <w:lang w:eastAsia="zh-CN"/>
        </w:rPr>
        <w:t>废气排放达标性分析</w:t>
      </w:r>
    </w:p>
    <w:p>
      <w:pPr>
        <w:pStyle w:val="61"/>
        <w:keepNext/>
        <w:keepLines/>
        <w:pageBreakBefore w:val="0"/>
        <w:widowControl w:val="0"/>
        <w:numPr>
          <w:ilvl w:val="3"/>
          <w:numId w:val="0"/>
        </w:numPr>
        <w:kinsoku/>
        <w:wordWrap/>
        <w:overflowPunct/>
        <w:topLinePunct w:val="0"/>
        <w:autoSpaceDE/>
        <w:autoSpaceDN/>
        <w:bidi w:val="0"/>
        <w:adjustRightInd/>
        <w:snapToGrid/>
        <w:ind w:left="0" w:leftChars="0" w:firstLine="480" w:firstLineChars="200"/>
        <w:textAlignment w:val="auto"/>
        <w:rPr>
          <w:rFonts w:hint="eastAsia"/>
          <w:b w:val="0"/>
          <w:bCs w:val="0"/>
          <w:lang w:eastAsia="zh-CN"/>
        </w:rPr>
      </w:pPr>
      <w:r>
        <w:rPr>
          <w:rFonts w:hint="eastAsia"/>
          <w:b w:val="0"/>
          <w:bCs w:val="0"/>
          <w:lang w:eastAsia="zh-CN"/>
        </w:rPr>
        <w:t>本项目废气排放主要有污水处理厂产生的恶臭气体和食堂产生的食堂油烟。</w:t>
      </w:r>
    </w:p>
    <w:p>
      <w:pPr>
        <w:pStyle w:val="61"/>
        <w:keepNext/>
        <w:keepLines/>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eastAsia"/>
          <w:b w:val="0"/>
          <w:bCs w:val="0"/>
          <w:lang w:val="en-US" w:eastAsia="zh-CN"/>
        </w:rPr>
      </w:pPr>
      <w:r>
        <w:rPr>
          <w:rFonts w:hint="eastAsia"/>
          <w:b w:val="0"/>
          <w:bCs w:val="0"/>
          <w:lang w:val="en-US" w:eastAsia="zh-CN"/>
        </w:rPr>
        <w:t>恶臭</w:t>
      </w:r>
    </w:p>
    <w:p>
      <w:pPr>
        <w:pStyle w:val="61"/>
        <w:keepNext/>
        <w:keepLines/>
        <w:pageBreakBefore w:val="0"/>
        <w:widowControl w:val="0"/>
        <w:numPr>
          <w:ilvl w:val="3"/>
          <w:numId w:val="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b w:val="0"/>
          <w:bCs w:val="0"/>
          <w:lang w:eastAsia="zh-CN"/>
        </w:rPr>
      </w:pPr>
      <w:r>
        <w:rPr>
          <w:rFonts w:hint="eastAsia" w:ascii="Times New Roman" w:hAnsi="Times New Roman"/>
          <w:b w:val="0"/>
          <w:bCs w:val="0"/>
          <w:lang w:eastAsia="zh-CN"/>
        </w:rPr>
        <w:t>本项目粗格栅及提升泵房、细格栅及平流沉砂池、水解酸化和AAO生化池以及污泥脱水间等会产生少量的恶臭气体，恶臭污染物主要成分为H</w:t>
      </w:r>
      <w:r>
        <w:rPr>
          <w:rFonts w:hint="eastAsia" w:ascii="Times New Roman" w:hAnsi="Times New Roman"/>
          <w:b w:val="0"/>
          <w:bCs w:val="0"/>
          <w:vertAlign w:val="subscript"/>
          <w:lang w:eastAsia="zh-CN"/>
        </w:rPr>
        <w:t>2</w:t>
      </w:r>
      <w:r>
        <w:rPr>
          <w:rFonts w:hint="eastAsia" w:ascii="Times New Roman" w:hAnsi="Times New Roman"/>
          <w:b w:val="0"/>
          <w:bCs w:val="0"/>
          <w:lang w:eastAsia="zh-CN"/>
        </w:rPr>
        <w:t>S和NH</w:t>
      </w:r>
      <w:r>
        <w:rPr>
          <w:rFonts w:hint="eastAsia" w:ascii="Times New Roman" w:hAnsi="Times New Roman"/>
          <w:b w:val="0"/>
          <w:bCs w:val="0"/>
          <w:vertAlign w:val="subscript"/>
          <w:lang w:eastAsia="zh-CN"/>
        </w:rPr>
        <w:t>3</w:t>
      </w:r>
      <w:r>
        <w:rPr>
          <w:rFonts w:hint="eastAsia" w:ascii="Times New Roman" w:hAnsi="Times New Roman"/>
          <w:b w:val="0"/>
          <w:bCs w:val="0"/>
          <w:lang w:eastAsia="zh-CN"/>
        </w:rPr>
        <w:t>。为减少污水处理过程中产生的恶臭气体对周边环境的影响，本项目拟在臭气产生构筑物粗细格栅、进水提升泵、沉砂池、贮泥池、污泥脱水机房、污泥干化间等构筑物采取加密闭集气罩负压收集臭气，预计构筑物臭气可得到有效收集；收集后的臭气采用生物除臭，处理后经15m高排气筒高空排放。</w:t>
      </w:r>
    </w:p>
    <w:p>
      <w:pPr>
        <w:pStyle w:val="61"/>
        <w:keepNext/>
        <w:keepLines/>
        <w:pageBreakBefore w:val="0"/>
        <w:widowControl w:val="0"/>
        <w:numPr>
          <w:ilvl w:val="3"/>
          <w:numId w:val="0"/>
        </w:numPr>
        <w:kinsoku/>
        <w:wordWrap/>
        <w:overflowPunct/>
        <w:topLinePunct w:val="0"/>
        <w:autoSpaceDE/>
        <w:autoSpaceDN/>
        <w:bidi w:val="0"/>
        <w:adjustRightInd/>
        <w:snapToGrid/>
        <w:ind w:left="0" w:leftChars="0" w:firstLine="480" w:firstLineChars="200"/>
        <w:textAlignment w:val="auto"/>
        <w:rPr>
          <w:rFonts w:hint="eastAsia"/>
          <w:b w:val="0"/>
          <w:szCs w:val="24"/>
          <w:lang w:eastAsia="zh-CN"/>
        </w:rPr>
      </w:pPr>
      <w:r>
        <w:rPr>
          <w:rFonts w:hint="eastAsia" w:ascii="Times New Roman" w:hAnsi="Times New Roman"/>
          <w:b w:val="0"/>
          <w:bCs w:val="0"/>
          <w:lang w:eastAsia="zh-CN"/>
        </w:rPr>
        <w:t>本项目委托</w:t>
      </w:r>
      <w:r>
        <w:rPr>
          <w:rFonts w:hint="eastAsia" w:ascii="Times New Roman" w:hAnsi="Times New Roman"/>
          <w:b w:val="0"/>
          <w:bCs w:val="0"/>
          <w:lang w:val="en-US" w:eastAsia="zh-CN"/>
        </w:rPr>
        <w:t>湖南昌源环境科技有限公司于2019.12.26-12.27对有组织废气进行现场监测。监测数据具体见表2.5-1，由监测数据可知</w:t>
      </w:r>
      <w:r>
        <w:rPr>
          <w:rFonts w:hint="eastAsia" w:ascii="Times New Roman" w:hAnsi="Times New Roman"/>
          <w:b w:val="0"/>
          <w:bCs w:val="0"/>
          <w:lang w:eastAsia="zh-CN"/>
        </w:rPr>
        <w:t>NH</w:t>
      </w:r>
      <w:r>
        <w:rPr>
          <w:rFonts w:hint="eastAsia" w:ascii="Times New Roman" w:hAnsi="Times New Roman"/>
          <w:b w:val="0"/>
          <w:bCs w:val="0"/>
          <w:vertAlign w:val="subscript"/>
          <w:lang w:eastAsia="zh-CN"/>
        </w:rPr>
        <w:t>3</w:t>
      </w:r>
      <w:r>
        <w:rPr>
          <w:rFonts w:hint="eastAsia" w:ascii="Times New Roman" w:hAnsi="Times New Roman"/>
          <w:b w:val="0"/>
          <w:bCs w:val="0"/>
          <w:vertAlign w:val="baseline"/>
          <w:lang w:eastAsia="zh-CN"/>
        </w:rPr>
        <w:t>最大的排放浓度为</w:t>
      </w:r>
      <w:r>
        <w:rPr>
          <w:rFonts w:hint="eastAsia" w:ascii="Times New Roman" w:hAnsi="Times New Roman"/>
          <w:b w:val="0"/>
          <w:bCs w:val="0"/>
          <w:vertAlign w:val="baseline"/>
          <w:lang w:val="en-US" w:eastAsia="zh-CN"/>
        </w:rPr>
        <w:t>0.60mg/m</w:t>
      </w:r>
      <w:r>
        <w:rPr>
          <w:rFonts w:hint="eastAsia" w:ascii="Times New Roman" w:hAnsi="Times New Roman"/>
          <w:b w:val="0"/>
          <w:bCs w:val="0"/>
          <w:vertAlign w:val="superscript"/>
          <w:lang w:val="en-US" w:eastAsia="zh-CN"/>
        </w:rPr>
        <w:t>3</w:t>
      </w:r>
      <w:r>
        <w:rPr>
          <w:rFonts w:hint="eastAsia" w:ascii="Times New Roman" w:hAnsi="Times New Roman"/>
          <w:b w:val="0"/>
          <w:bCs w:val="0"/>
          <w:vertAlign w:val="baseline"/>
          <w:lang w:val="en-US" w:eastAsia="zh-CN"/>
        </w:rPr>
        <w:t>，最大的排放速率为0.197kg/h；</w:t>
      </w:r>
      <w:r>
        <w:rPr>
          <w:rFonts w:hint="eastAsia" w:ascii="Times New Roman" w:hAnsi="Times New Roman"/>
          <w:b w:val="0"/>
          <w:bCs w:val="0"/>
          <w:lang w:eastAsia="zh-CN"/>
        </w:rPr>
        <w:t>H</w:t>
      </w:r>
      <w:r>
        <w:rPr>
          <w:rFonts w:hint="eastAsia" w:ascii="Times New Roman" w:hAnsi="Times New Roman"/>
          <w:b w:val="0"/>
          <w:bCs w:val="0"/>
          <w:vertAlign w:val="subscript"/>
          <w:lang w:eastAsia="zh-CN"/>
        </w:rPr>
        <w:t>2</w:t>
      </w:r>
      <w:r>
        <w:rPr>
          <w:rFonts w:hint="eastAsia" w:ascii="Times New Roman" w:hAnsi="Times New Roman"/>
          <w:b w:val="0"/>
          <w:bCs w:val="0"/>
          <w:lang w:eastAsia="zh-CN"/>
        </w:rPr>
        <w:t>S</w:t>
      </w:r>
      <w:r>
        <w:rPr>
          <w:rFonts w:hint="eastAsia" w:ascii="Times New Roman" w:hAnsi="Times New Roman"/>
          <w:b w:val="0"/>
          <w:bCs w:val="0"/>
          <w:vertAlign w:val="baseline"/>
          <w:lang w:eastAsia="zh-CN"/>
        </w:rPr>
        <w:t>最大的排放浓度为</w:t>
      </w:r>
      <w:r>
        <w:rPr>
          <w:rFonts w:hint="eastAsia" w:ascii="Times New Roman" w:hAnsi="Times New Roman"/>
          <w:b w:val="0"/>
          <w:bCs w:val="0"/>
          <w:vertAlign w:val="baseline"/>
          <w:lang w:val="en-US" w:eastAsia="zh-CN"/>
        </w:rPr>
        <w:t>0.029mg/m</w:t>
      </w:r>
      <w:r>
        <w:rPr>
          <w:rFonts w:hint="eastAsia" w:ascii="Times New Roman" w:hAnsi="Times New Roman"/>
          <w:b w:val="0"/>
          <w:bCs w:val="0"/>
          <w:vertAlign w:val="superscript"/>
          <w:lang w:val="en-US" w:eastAsia="zh-CN"/>
        </w:rPr>
        <w:t>3</w:t>
      </w:r>
      <w:r>
        <w:rPr>
          <w:rFonts w:hint="eastAsia" w:ascii="Times New Roman" w:hAnsi="Times New Roman"/>
          <w:b w:val="0"/>
          <w:bCs w:val="0"/>
          <w:vertAlign w:val="baseline"/>
          <w:lang w:val="en-US" w:eastAsia="zh-CN"/>
        </w:rPr>
        <w:t>，最大的排放速率为0.0095kg/h，则本项目有组织排放废气可满足</w:t>
      </w:r>
      <w:r>
        <w:rPr>
          <w:rFonts w:hint="eastAsia"/>
          <w:b w:val="0"/>
          <w:szCs w:val="24"/>
          <w:lang w:eastAsia="zh-CN"/>
        </w:rPr>
        <w:t>《恶臭污染物排放标准》（GB14554-93）的标准限值的要求。</w:t>
      </w:r>
    </w:p>
    <w:p>
      <w:pPr>
        <w:pStyle w:val="61"/>
        <w:keepNext/>
        <w:keepLines/>
        <w:pageBreakBefore w:val="0"/>
        <w:widowControl w:val="0"/>
        <w:numPr>
          <w:ilvl w:val="3"/>
          <w:numId w:val="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Theme="minorEastAsia"/>
          <w:b w:val="0"/>
          <w:bCs w:val="0"/>
          <w:lang w:val="en-US" w:eastAsia="zh-CN"/>
        </w:rPr>
      </w:pPr>
      <w:r>
        <w:rPr>
          <w:rFonts w:hint="eastAsia" w:ascii="Times New Roman" w:hAnsi="Times New Roman"/>
          <w:b w:val="0"/>
          <w:bCs w:val="0"/>
          <w:vertAlign w:val="baseline"/>
          <w:lang w:val="en-US" w:eastAsia="zh-CN"/>
        </w:rPr>
        <w:t>本项目无组织排放废气委托湖南昌源环境科技有限公司于2019年5月20-21日对现场厂界进行监测，监测数据具体见表2.5-2，</w:t>
      </w:r>
      <w:r>
        <w:rPr>
          <w:rFonts w:hint="eastAsia" w:ascii="Times New Roman" w:hAnsi="Times New Roman"/>
          <w:b w:val="0"/>
          <w:bCs w:val="0"/>
          <w:lang w:val="en-US" w:eastAsia="zh-CN"/>
        </w:rPr>
        <w:t>由监测数据可知</w:t>
      </w:r>
      <w:r>
        <w:rPr>
          <w:rFonts w:hint="eastAsia" w:ascii="Times New Roman" w:hAnsi="Times New Roman"/>
          <w:b w:val="0"/>
          <w:bCs w:val="0"/>
          <w:lang w:eastAsia="zh-CN"/>
        </w:rPr>
        <w:t>NH</w:t>
      </w:r>
      <w:r>
        <w:rPr>
          <w:rFonts w:hint="eastAsia" w:ascii="Times New Roman" w:hAnsi="Times New Roman"/>
          <w:b w:val="0"/>
          <w:bCs w:val="0"/>
          <w:vertAlign w:val="subscript"/>
          <w:lang w:eastAsia="zh-CN"/>
        </w:rPr>
        <w:t>3</w:t>
      </w:r>
      <w:r>
        <w:rPr>
          <w:rFonts w:hint="eastAsia" w:ascii="Times New Roman" w:hAnsi="Times New Roman"/>
          <w:b w:val="0"/>
          <w:bCs w:val="0"/>
          <w:vertAlign w:val="baseline"/>
          <w:lang w:eastAsia="zh-CN"/>
        </w:rPr>
        <w:t>最大的排放浓度为</w:t>
      </w:r>
      <w:r>
        <w:rPr>
          <w:rFonts w:hint="eastAsia" w:ascii="Times New Roman" w:hAnsi="Times New Roman"/>
          <w:b w:val="0"/>
          <w:bCs w:val="0"/>
          <w:vertAlign w:val="baseline"/>
          <w:lang w:val="en-US" w:eastAsia="zh-CN"/>
        </w:rPr>
        <w:t>0.18mg/m</w:t>
      </w:r>
      <w:r>
        <w:rPr>
          <w:rFonts w:hint="eastAsia" w:ascii="Times New Roman" w:hAnsi="Times New Roman"/>
          <w:b w:val="0"/>
          <w:bCs w:val="0"/>
          <w:vertAlign w:val="superscript"/>
          <w:lang w:val="en-US" w:eastAsia="zh-CN"/>
        </w:rPr>
        <w:t>3</w:t>
      </w:r>
      <w:r>
        <w:rPr>
          <w:rFonts w:hint="eastAsia" w:ascii="Times New Roman" w:hAnsi="Times New Roman"/>
          <w:b w:val="0"/>
          <w:bCs w:val="0"/>
          <w:vertAlign w:val="baseline"/>
          <w:lang w:val="en-US" w:eastAsia="zh-CN"/>
        </w:rPr>
        <w:t>；</w:t>
      </w:r>
      <w:r>
        <w:rPr>
          <w:rFonts w:hint="eastAsia" w:ascii="Times New Roman" w:hAnsi="Times New Roman"/>
          <w:b w:val="0"/>
          <w:bCs w:val="0"/>
          <w:lang w:eastAsia="zh-CN"/>
        </w:rPr>
        <w:t>H</w:t>
      </w:r>
      <w:r>
        <w:rPr>
          <w:rFonts w:hint="eastAsia" w:ascii="Times New Roman" w:hAnsi="Times New Roman"/>
          <w:b w:val="0"/>
          <w:bCs w:val="0"/>
          <w:vertAlign w:val="subscript"/>
          <w:lang w:eastAsia="zh-CN"/>
        </w:rPr>
        <w:t>2</w:t>
      </w:r>
      <w:r>
        <w:rPr>
          <w:rFonts w:hint="eastAsia" w:ascii="Times New Roman" w:hAnsi="Times New Roman"/>
          <w:b w:val="0"/>
          <w:bCs w:val="0"/>
          <w:lang w:eastAsia="zh-CN"/>
        </w:rPr>
        <w:t>S</w:t>
      </w:r>
      <w:r>
        <w:rPr>
          <w:rFonts w:hint="eastAsia" w:ascii="Times New Roman" w:hAnsi="Times New Roman"/>
          <w:b w:val="0"/>
          <w:bCs w:val="0"/>
          <w:vertAlign w:val="baseline"/>
          <w:lang w:eastAsia="zh-CN"/>
        </w:rPr>
        <w:t>最大的排放浓度为</w:t>
      </w:r>
      <w:r>
        <w:rPr>
          <w:rFonts w:hint="eastAsia" w:ascii="Times New Roman" w:hAnsi="Times New Roman"/>
          <w:b w:val="0"/>
          <w:bCs w:val="0"/>
          <w:vertAlign w:val="baseline"/>
          <w:lang w:val="en-US" w:eastAsia="zh-CN"/>
        </w:rPr>
        <w:t>0.007mg/m</w:t>
      </w:r>
      <w:r>
        <w:rPr>
          <w:rFonts w:hint="eastAsia" w:ascii="Times New Roman" w:hAnsi="Times New Roman"/>
          <w:b w:val="0"/>
          <w:bCs w:val="0"/>
          <w:vertAlign w:val="superscript"/>
          <w:lang w:val="en-US" w:eastAsia="zh-CN"/>
        </w:rPr>
        <w:t>3</w:t>
      </w:r>
      <w:r>
        <w:rPr>
          <w:rFonts w:hint="eastAsia" w:ascii="Times New Roman" w:hAnsi="Times New Roman"/>
          <w:b w:val="0"/>
          <w:bCs w:val="0"/>
          <w:vertAlign w:val="baseline"/>
          <w:lang w:val="en-US" w:eastAsia="zh-CN"/>
        </w:rPr>
        <w:t>，则本项目无组织排放的硫化氢和氨气可满足</w:t>
      </w:r>
      <w:r>
        <w:rPr>
          <w:rFonts w:cs="Times New Roman"/>
          <w:b w:val="0"/>
          <w:szCs w:val="24"/>
        </w:rPr>
        <w:t>《城镇污水处理厂污染物排放标准》（GB18918-2002）中的厂界标准值</w:t>
      </w:r>
      <w:r>
        <w:rPr>
          <w:rFonts w:hint="eastAsia" w:cs="Times New Roman"/>
          <w:b w:val="0"/>
          <w:szCs w:val="24"/>
          <w:lang w:eastAsia="zh-CN"/>
        </w:rPr>
        <w:t>。</w:t>
      </w:r>
    </w:p>
    <w:p>
      <w:pPr>
        <w:pStyle w:val="61"/>
        <w:keepNext/>
        <w:keepLines/>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eastAsia"/>
          <w:b w:val="0"/>
          <w:bCs w:val="0"/>
          <w:lang w:val="en-US" w:eastAsia="zh-CN"/>
        </w:rPr>
      </w:pPr>
      <w:r>
        <w:rPr>
          <w:rFonts w:hint="eastAsia"/>
          <w:b w:val="0"/>
          <w:bCs w:val="0"/>
          <w:lang w:val="en-US" w:eastAsia="zh-CN"/>
        </w:rPr>
        <w:t>食堂油烟</w:t>
      </w:r>
    </w:p>
    <w:p>
      <w:pPr>
        <w:widowControl/>
        <w:spacing w:line="360" w:lineRule="auto"/>
        <w:ind w:right="120" w:rightChars="50" w:firstLine="480" w:firstLineChars="200"/>
        <w:jc w:val="left"/>
        <w:rPr>
          <w:rFonts w:hAnsi="宋体"/>
        </w:rPr>
      </w:pPr>
      <w:r>
        <w:t>根据建设方提供的资料，</w:t>
      </w:r>
      <w:r>
        <w:rPr>
          <w:rFonts w:hint="eastAsia"/>
        </w:rPr>
        <w:t>本项目在厂内就餐职工8人，产生的废气主要是厨房油烟废气，其主要成分是动植物油烟。</w:t>
      </w:r>
      <w:r>
        <w:rPr>
          <w:rFonts w:hint="eastAsia"/>
          <w:lang w:eastAsia="zh-CN"/>
        </w:rPr>
        <w:t>本项目</w:t>
      </w:r>
      <w:r>
        <w:rPr>
          <w:rFonts w:hint="eastAsia"/>
        </w:rPr>
        <w:t>食堂</w:t>
      </w:r>
      <w:r>
        <w:t>油烟日产生量为</w:t>
      </w:r>
      <w:r>
        <w:rPr>
          <w:rFonts w:hint="eastAsia"/>
        </w:rPr>
        <w:t>0.0096</w:t>
      </w:r>
      <w:r>
        <w:t>kg，年产生量为</w:t>
      </w:r>
      <w:r>
        <w:rPr>
          <w:rFonts w:hint="eastAsia"/>
        </w:rPr>
        <w:t>3.34</w:t>
      </w:r>
      <w:r>
        <w:t>kg</w:t>
      </w:r>
      <w:r>
        <w:rPr>
          <w:rFonts w:hint="eastAsia"/>
        </w:rPr>
        <w:t>。</w:t>
      </w:r>
      <w:r>
        <w:rPr>
          <w:rFonts w:hAnsi="宋体"/>
          <w:kern w:val="0"/>
        </w:rPr>
        <w:t>油烟废气收集后经油烟净化器处理达标后</w:t>
      </w:r>
      <w:r>
        <w:rPr>
          <w:rFonts w:hint="eastAsia" w:hAnsi="宋体"/>
          <w:kern w:val="0"/>
        </w:rPr>
        <w:t>引至楼顶</w:t>
      </w:r>
      <w:r>
        <w:rPr>
          <w:rFonts w:hAnsi="宋体"/>
          <w:kern w:val="0"/>
        </w:rPr>
        <w:t>排放，</w:t>
      </w:r>
      <w:r>
        <w:rPr>
          <w:rFonts w:hint="eastAsia" w:hAnsi="宋体"/>
          <w:kern w:val="0"/>
          <w:lang w:eastAsia="zh-CN"/>
        </w:rPr>
        <w:t>经油烟净化器处理后的</w:t>
      </w:r>
      <w:r>
        <w:rPr>
          <w:rFonts w:hAnsi="宋体"/>
          <w:kern w:val="0"/>
        </w:rPr>
        <w:t>油烟排放量</w:t>
      </w:r>
      <w:r>
        <w:rPr>
          <w:rFonts w:hint="eastAsia" w:hAnsi="宋体"/>
          <w:kern w:val="0"/>
        </w:rPr>
        <w:t>为</w:t>
      </w:r>
      <w:r>
        <w:rPr>
          <w:rFonts w:hint="eastAsia"/>
          <w:kern w:val="0"/>
        </w:rPr>
        <w:t>0.5kg</w:t>
      </w:r>
      <w:r>
        <w:rPr>
          <w:kern w:val="0"/>
        </w:rPr>
        <w:t>/a</w:t>
      </w:r>
      <w:r>
        <w:rPr>
          <w:rFonts w:hAnsi="宋体"/>
          <w:kern w:val="0"/>
        </w:rPr>
        <w:t>，</w:t>
      </w:r>
      <w:r>
        <w:rPr>
          <w:rFonts w:hAnsi="宋体"/>
        </w:rPr>
        <w:t>排放浓度</w:t>
      </w:r>
      <w:r>
        <w:rPr>
          <w:rFonts w:hint="eastAsia"/>
        </w:rPr>
        <w:t>0.12</w:t>
      </w:r>
      <w:r>
        <w:t>mg/m</w:t>
      </w:r>
      <w:r>
        <w:rPr>
          <w:vertAlign w:val="superscript"/>
        </w:rPr>
        <w:t>3</w:t>
      </w:r>
      <w:r>
        <w:rPr>
          <w:rFonts w:hint="eastAsia" w:ascii="宋体" w:hAnsi="宋体"/>
        </w:rPr>
        <w:t>，</w:t>
      </w:r>
      <w:r>
        <w:t>小于2mg/m</w:t>
      </w:r>
      <w:r>
        <w:rPr>
          <w:vertAlign w:val="superscript"/>
        </w:rPr>
        <w:t>3</w:t>
      </w:r>
      <w:r>
        <w:t>，</w:t>
      </w:r>
      <w:r>
        <w:rPr>
          <w:rFonts w:hAnsi="宋体"/>
        </w:rPr>
        <w:t>达到《饮食业油烟排放标准》（试行）（</w:t>
      </w:r>
      <w:r>
        <w:t>GB18483-2001</w:t>
      </w:r>
      <w:r>
        <w:rPr>
          <w:rFonts w:hAnsi="宋体"/>
        </w:rPr>
        <w:t>）</w:t>
      </w:r>
      <w:r>
        <w:rPr>
          <w:rFonts w:hint="eastAsia" w:hAnsi="宋体"/>
        </w:rPr>
        <w:t>的要求</w:t>
      </w:r>
      <w:r>
        <w:rPr>
          <w:rFonts w:hAnsi="宋体"/>
        </w:rPr>
        <w:t>。</w:t>
      </w:r>
    </w:p>
    <w:p>
      <w:pPr>
        <w:pStyle w:val="61"/>
      </w:pPr>
      <w:r>
        <w:t>大气防护距离</w:t>
      </w:r>
    </w:p>
    <w:p>
      <w:pPr>
        <w:spacing w:line="360" w:lineRule="auto"/>
        <w:ind w:firstLine="480" w:firstLineChars="200"/>
        <w:rPr>
          <w:rFonts w:cs="Times New Roman"/>
        </w:rPr>
      </w:pPr>
      <w:r>
        <w:rPr>
          <w:rFonts w:hint="eastAsia"/>
        </w:rPr>
        <w:t>大气环境防护距离根据《</w:t>
      </w:r>
      <w:r>
        <w:rPr>
          <w:rFonts w:cs="Times New Roman"/>
        </w:rPr>
        <w:t>环境影响评价技术导则－大气环境</w:t>
      </w:r>
      <w:r>
        <w:rPr>
          <w:rFonts w:hint="eastAsia"/>
        </w:rPr>
        <w:t>》</w:t>
      </w:r>
      <w:r>
        <w:rPr>
          <w:rFonts w:cs="Times New Roman"/>
        </w:rPr>
        <w:t>（HJ2.2-2018）中相关规定</w:t>
      </w:r>
      <w:r>
        <w:rPr>
          <w:rFonts w:hint="eastAsia" w:cs="Times New Roman"/>
        </w:rPr>
        <w:t>，</w:t>
      </w:r>
      <w:r>
        <w:rPr>
          <w:rFonts w:cs="Times New Roman"/>
        </w:rPr>
        <w:t>对于项目厂界浓度满足大气污染物厂界浓度限值</w:t>
      </w:r>
      <w:r>
        <w:rPr>
          <w:rFonts w:hint="eastAsia" w:cs="Times New Roman"/>
        </w:rPr>
        <w:t>，</w:t>
      </w:r>
      <w:r>
        <w:rPr>
          <w:rFonts w:cs="Times New Roman"/>
        </w:rPr>
        <w:t>但厂界外大气污染物短期贡献浓度超过环境质量浓度限值的</w:t>
      </w:r>
      <w:r>
        <w:rPr>
          <w:rFonts w:hint="eastAsia" w:cs="Times New Roman"/>
        </w:rPr>
        <w:t>，</w:t>
      </w:r>
      <w:r>
        <w:rPr>
          <w:rFonts w:cs="Times New Roman"/>
        </w:rPr>
        <w:t>可以自厂界向外设置一定范围</w:t>
      </w:r>
      <w:r>
        <w:rPr>
          <w:rFonts w:hint="eastAsia" w:cs="Times New Roman"/>
        </w:rPr>
        <w:t>的大气环境防护距离，以确保大气环境防护区域外的污染物贡献浓度满足环境质量标准。</w:t>
      </w:r>
    </w:p>
    <w:p>
      <w:pPr>
        <w:spacing w:line="360" w:lineRule="auto"/>
        <w:ind w:firstLine="480" w:firstLineChars="200"/>
        <w:rPr>
          <w:rFonts w:cs="Times New Roman"/>
        </w:rPr>
      </w:pPr>
      <w:r>
        <w:rPr>
          <w:rFonts w:hint="eastAsia" w:cs="Times New Roman"/>
        </w:rPr>
        <w:t>由预测可知，本项目厂界外大气污染物短期贡献浓度未超过环境质量浓度限值，无需设置大气环境防护距离。</w:t>
      </w:r>
    </w:p>
    <w:p>
      <w:pPr>
        <w:pStyle w:val="61"/>
        <w:adjustRightInd w:val="0"/>
        <w:snapToGrid w:val="0"/>
      </w:pPr>
      <w:r>
        <w:rPr>
          <w:rFonts w:hint="eastAsia"/>
        </w:rPr>
        <w:t>排气筒高度和数量可行性、合理性分析</w:t>
      </w:r>
    </w:p>
    <w:p>
      <w:pPr>
        <w:pStyle w:val="100"/>
        <w:spacing w:line="360" w:lineRule="auto"/>
        <w:ind w:firstLine="480"/>
      </w:pPr>
      <w:r>
        <w:t>项目</w:t>
      </w:r>
      <w:r>
        <w:rPr>
          <w:rFonts w:hint="eastAsia"/>
        </w:rPr>
        <w:t>设置一</w:t>
      </w:r>
      <w:r>
        <w:t>根排气筒，其位置详见附图。</w:t>
      </w:r>
    </w:p>
    <w:p>
      <w:pPr>
        <w:pStyle w:val="100"/>
        <w:spacing w:line="360" w:lineRule="auto"/>
        <w:ind w:firstLine="480"/>
      </w:pPr>
      <w:r>
        <w:t>根据《大气污染物排放标准》（GB16297-1996）各种工业烟囱（或者排气筒）最低允许高度为15m；排气筒高度除须遵守表列排放速率标准值外，还应高出周围200米半径范围的建筑5米以上，不能达到该要求的排气筒，应按其高度对应的表列排放速率标准值严格</w:t>
      </w:r>
      <w:r>
        <w:rPr>
          <w:rFonts w:hint="eastAsia"/>
        </w:rPr>
        <w:t>60%</w:t>
      </w:r>
      <w:r>
        <w:t>执行。</w:t>
      </w:r>
    </w:p>
    <w:p>
      <w:pPr>
        <w:pStyle w:val="100"/>
        <w:spacing w:line="360" w:lineRule="auto"/>
        <w:ind w:firstLine="480"/>
      </w:pPr>
      <w:r>
        <w:t>根据现场踏勘可知，本项目200m范围内最高建筑物高度约为</w:t>
      </w:r>
      <w:r>
        <w:rPr>
          <w:rFonts w:hint="eastAsia"/>
        </w:rPr>
        <w:t>7-10</w:t>
      </w:r>
      <w:r>
        <w:t>m。本项目</w:t>
      </w:r>
      <w:r>
        <w:rPr>
          <w:rFonts w:hint="eastAsia"/>
        </w:rPr>
        <w:t>废气</w:t>
      </w:r>
      <w:r>
        <w:t>通过15m高排气筒排放，因此本项目排气筒高度设置合理。</w:t>
      </w:r>
    </w:p>
    <w:p>
      <w:pPr>
        <w:pStyle w:val="100"/>
        <w:spacing w:line="360" w:lineRule="auto"/>
        <w:ind w:firstLine="480"/>
      </w:pPr>
      <w:r>
        <w:t>本项目大气污染物较为简单，</w:t>
      </w:r>
      <w:r>
        <w:rPr>
          <w:rFonts w:hint="eastAsia"/>
        </w:rPr>
        <w:t>且</w:t>
      </w:r>
      <w:r>
        <w:t>项目</w:t>
      </w:r>
      <w:r>
        <w:rPr>
          <w:rFonts w:hint="eastAsia"/>
        </w:rPr>
        <w:t>臭气基本收集集中处理。</w:t>
      </w:r>
      <w:r>
        <w:t>因此，</w:t>
      </w:r>
      <w:r>
        <w:rPr>
          <w:rFonts w:hint="eastAsia"/>
        </w:rPr>
        <w:t>从节约成本的角度分析，</w:t>
      </w:r>
      <w:r>
        <w:t>本项目需设置</w:t>
      </w:r>
      <w:r>
        <w:rPr>
          <w:rFonts w:hint="eastAsia"/>
        </w:rPr>
        <w:t>1</w:t>
      </w:r>
      <w:r>
        <w:t>根排气筒对</w:t>
      </w:r>
      <w:r>
        <w:rPr>
          <w:rFonts w:hint="eastAsia"/>
        </w:rPr>
        <w:t>产生的臭气</w:t>
      </w:r>
      <w:r>
        <w:t>进行高空达标排放，排气筒的设置的数量合理可行。</w:t>
      </w:r>
    </w:p>
    <w:p>
      <w:pPr>
        <w:pStyle w:val="6"/>
        <w:bidi w:val="0"/>
      </w:pPr>
      <w:r>
        <w:rPr>
          <w:rFonts w:hint="eastAsia"/>
          <w:lang w:eastAsia="zh-CN"/>
        </w:rPr>
        <w:t>污染物排放总量核算</w:t>
      </w:r>
    </w:p>
    <w:p>
      <w:pPr>
        <w:pStyle w:val="100"/>
        <w:spacing w:line="360" w:lineRule="auto"/>
        <w:ind w:firstLine="480"/>
        <w:rPr>
          <w:rFonts w:hint="eastAsia"/>
          <w:lang w:eastAsia="zh-CN"/>
        </w:rPr>
      </w:pPr>
      <w:r>
        <w:rPr>
          <w:rFonts w:hint="eastAsia"/>
          <w:lang w:eastAsia="zh-CN"/>
        </w:rPr>
        <w:t>本项目污染物核算总量情况见下表所示。</w:t>
      </w:r>
    </w:p>
    <w:p>
      <w:pPr>
        <w:pStyle w:val="100"/>
        <w:numPr>
          <w:ilvl w:val="0"/>
          <w:numId w:val="12"/>
        </w:numPr>
        <w:spacing w:line="360" w:lineRule="auto"/>
        <w:ind w:firstLine="480"/>
        <w:rPr>
          <w:rFonts w:hint="eastAsia"/>
          <w:lang w:val="en-US" w:eastAsia="zh-CN"/>
        </w:rPr>
      </w:pPr>
      <w:r>
        <w:rPr>
          <w:rFonts w:hint="eastAsia"/>
          <w:lang w:val="en-US" w:eastAsia="zh-CN"/>
        </w:rPr>
        <w:t>有组织排放量核算</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eastAsia="宋体"/>
          <w:lang w:val="en-US" w:eastAsia="zh-CN"/>
        </w:rPr>
      </w:pPr>
      <w:r>
        <w:t xml:space="preserve">表 </w:t>
      </w:r>
      <w:r>
        <w:fldChar w:fldCharType="begin"/>
      </w:r>
      <w:r>
        <w:instrText xml:space="preserve"> STYLEREF 2 \s </w:instrText>
      </w:r>
      <w:r>
        <w:fldChar w:fldCharType="separate"/>
      </w:r>
      <w:r>
        <w:t>4</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hint="eastAsia"/>
          <w:lang w:val="en-US" w:eastAsia="zh-CN"/>
        </w:rPr>
        <w:t xml:space="preserve">  </w:t>
      </w:r>
      <w:r>
        <w:rPr>
          <w:rFonts w:ascii="Times New Roman" w:hAnsi="Times New Roman" w:eastAsia="宋体" w:cs="Times New Roman"/>
          <w:b/>
          <w:sz w:val="24"/>
          <w:szCs w:val="24"/>
        </w:rPr>
        <w:t>大气污染物有组织排放量核算表</w:t>
      </w:r>
    </w:p>
    <w:tbl>
      <w:tblPr>
        <w:tblStyle w:val="38"/>
        <w:tblW w:w="49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57"/>
        <w:gridCol w:w="1931"/>
        <w:gridCol w:w="1092"/>
        <w:gridCol w:w="2034"/>
        <w:gridCol w:w="1781"/>
        <w:gridCol w:w="17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2" w:hRule="atLeast"/>
          <w:tblHeader/>
          <w:jc w:val="center"/>
        </w:trPr>
        <w:tc>
          <w:tcPr>
            <w:tcW w:w="356" w:type="pct"/>
            <w:tcBorders>
              <w:top w:val="single" w:color="000000" w:sz="12" w:space="0"/>
              <w:left w:val="nil"/>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046" w:type="pct"/>
            <w:tcBorders>
              <w:top w:val="single" w:color="000000" w:sz="12" w:space="0"/>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排放口编号</w:t>
            </w:r>
          </w:p>
        </w:tc>
        <w:tc>
          <w:tcPr>
            <w:tcW w:w="591" w:type="pct"/>
            <w:tcBorders>
              <w:top w:val="single" w:color="000000" w:sz="12" w:space="0"/>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1101" w:type="pct"/>
            <w:tcBorders>
              <w:top w:val="single" w:color="000000" w:sz="12" w:space="0"/>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核算排放浓度</w:t>
            </w:r>
          </w:p>
        </w:tc>
        <w:tc>
          <w:tcPr>
            <w:tcW w:w="964" w:type="pct"/>
            <w:tcBorders>
              <w:top w:val="single" w:color="000000" w:sz="12" w:space="0"/>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核算排放速率</w:t>
            </w:r>
          </w:p>
        </w:tc>
        <w:tc>
          <w:tcPr>
            <w:tcW w:w="940" w:type="pct"/>
            <w:tcBorders>
              <w:top w:val="single" w:color="000000" w:sz="12" w:space="0"/>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核算年排放量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5000" w:type="pct"/>
            <w:gridSpan w:val="6"/>
            <w:tcBorders>
              <w:top w:val="single" w:color="000000" w:sz="4" w:space="0"/>
              <w:left w:val="nil"/>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主要排放口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56" w:type="pct"/>
            <w:vMerge w:val="restart"/>
            <w:tcBorders>
              <w:top w:val="single" w:color="000000" w:sz="4" w:space="0"/>
              <w:lef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46" w:type="pct"/>
            <w:vMerge w:val="restart"/>
            <w:tcBorders>
              <w:top w:val="single" w:color="000000" w:sz="4" w:space="0"/>
            </w:tcBorders>
            <w:shd w:val="clear" w:color="auto" w:fill="FFFFFF"/>
            <w:vAlign w:val="center"/>
          </w:tcPr>
          <w:p>
            <w:pPr>
              <w:pStyle w:val="98"/>
              <w:spacing w:before="24" w:after="24"/>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591" w:type="pct"/>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1101" w:type="pct"/>
            <w:tcBorders>
              <w:top w:val="single" w:color="000000" w:sz="4" w:space="0"/>
              <w:bottom w:val="single" w:color="000000" w:sz="4" w:space="0"/>
            </w:tcBorders>
            <w:shd w:val="clear" w:color="auto" w:fill="FFFFFF"/>
            <w:vAlign w:val="center"/>
          </w:tcPr>
          <w:p>
            <w:pPr>
              <w:adjustRightInd w:val="0"/>
              <w:snapToGrid w:val="0"/>
              <w:ind w:firstLine="210" w:firstLineChars="100"/>
              <w:jc w:val="center"/>
              <w:rPr>
                <w:rFonts w:hint="default" w:ascii="Times New Roman" w:hAnsi="Times New Roman" w:cs="Times New Roman"/>
                <w:sz w:val="21"/>
                <w:szCs w:val="21"/>
              </w:rPr>
            </w:pPr>
            <w:r>
              <w:rPr>
                <w:rFonts w:hint="eastAsia" w:cs="Times New Roman"/>
                <w:sz w:val="21"/>
                <w:szCs w:val="21"/>
                <w:lang w:val="en-US" w:eastAsia="zh-CN"/>
              </w:rPr>
              <w:t>4.63</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964" w:type="pct"/>
            <w:tcBorders>
              <w:top w:val="single" w:color="000000" w:sz="4" w:space="0"/>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0.139</w:t>
            </w:r>
            <w:r>
              <w:rPr>
                <w:rFonts w:hint="default" w:ascii="Times New Roman" w:hAnsi="Times New Roman" w:eastAsia="宋体" w:cs="Times New Roman"/>
                <w:sz w:val="21"/>
                <w:szCs w:val="21"/>
              </w:rPr>
              <w:t>kg/h</w:t>
            </w:r>
          </w:p>
        </w:tc>
        <w:tc>
          <w:tcPr>
            <w:tcW w:w="940" w:type="pct"/>
            <w:tcBorders>
              <w:top w:val="single" w:color="000000" w:sz="4" w:space="0"/>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0.12</w:t>
            </w:r>
            <w:r>
              <w:rPr>
                <w:rFonts w:hint="default" w:ascii="Times New Roman" w:hAnsi="Times New Roman" w:eastAsia="宋体" w:cs="Times New Roman"/>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56" w:type="pct"/>
            <w:vMerge w:val="continue"/>
            <w:tcBorders>
              <w:left w:val="nil"/>
              <w:bottom w:val="single" w:color="000000" w:sz="4" w:space="0"/>
            </w:tcBorders>
            <w:shd w:val="clear" w:color="auto" w:fill="FFFFFF"/>
            <w:vAlign w:val="center"/>
          </w:tcPr>
          <w:p>
            <w:pPr>
              <w:pStyle w:val="98"/>
              <w:spacing w:before="24" w:after="24"/>
              <w:rPr>
                <w:rFonts w:hint="eastAsia" w:ascii="Times New Roman" w:hAnsi="Times New Roman" w:eastAsia="宋体" w:cs="Times New Roman"/>
                <w:sz w:val="21"/>
                <w:szCs w:val="21"/>
                <w:lang w:val="en-US" w:eastAsia="zh-CN"/>
              </w:rPr>
            </w:pPr>
          </w:p>
        </w:tc>
        <w:tc>
          <w:tcPr>
            <w:tcW w:w="1046" w:type="pct"/>
            <w:vMerge w:val="continue"/>
            <w:tcBorders>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p>
        </w:tc>
        <w:tc>
          <w:tcPr>
            <w:tcW w:w="591" w:type="pct"/>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c>
          <w:tcPr>
            <w:tcW w:w="1101" w:type="pct"/>
            <w:tcBorders>
              <w:top w:val="single" w:color="000000" w:sz="4" w:space="0"/>
              <w:bottom w:val="single" w:color="000000" w:sz="4" w:space="0"/>
            </w:tcBorders>
            <w:shd w:val="clear" w:color="auto" w:fill="FFFFFF"/>
            <w:vAlign w:val="center"/>
          </w:tcPr>
          <w:p>
            <w:pPr>
              <w:adjustRightInd w:val="0"/>
              <w:snapToGrid w:val="0"/>
              <w:ind w:firstLine="210" w:firstLineChars="100"/>
              <w:jc w:val="center"/>
              <w:rPr>
                <w:rFonts w:hint="default" w:ascii="Times New Roman" w:hAnsi="Times New Roman" w:cs="Times New Roman"/>
                <w:sz w:val="21"/>
                <w:szCs w:val="21"/>
                <w:lang w:val="en-US" w:eastAsia="zh-CN"/>
              </w:rPr>
            </w:pPr>
            <w:r>
              <w:rPr>
                <w:rFonts w:hint="eastAsia" w:cs="Times New Roman"/>
                <w:sz w:val="21"/>
                <w:szCs w:val="21"/>
                <w:lang w:val="en-US" w:eastAsia="zh-CN"/>
              </w:rPr>
              <w:t>0.006</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964" w:type="pct"/>
            <w:tcBorders>
              <w:top w:val="single" w:color="000000" w:sz="4" w:space="0"/>
              <w:bottom w:val="single" w:color="000000" w:sz="4" w:space="0"/>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0.069</w:t>
            </w:r>
            <w:r>
              <w:rPr>
                <w:rFonts w:hint="default" w:ascii="Times New Roman" w:hAnsi="Times New Roman" w:eastAsia="宋体" w:cs="Times New Roman"/>
                <w:sz w:val="21"/>
                <w:szCs w:val="21"/>
              </w:rPr>
              <w:t>kg/h</w:t>
            </w:r>
          </w:p>
        </w:tc>
        <w:tc>
          <w:tcPr>
            <w:tcW w:w="940" w:type="pct"/>
            <w:tcBorders>
              <w:top w:val="single" w:color="000000" w:sz="4" w:space="0"/>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w:t>
            </w:r>
            <w:r>
              <w:rPr>
                <w:rFonts w:hint="default" w:ascii="Times New Roman" w:hAnsi="Times New Roman" w:eastAsia="宋体" w:cs="Times New Roman"/>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56" w:type="pct"/>
            <w:tcBorders>
              <w:left w:val="nil"/>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046" w:type="pct"/>
            <w:tcBorders>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DA002</w:t>
            </w:r>
          </w:p>
        </w:tc>
        <w:tc>
          <w:tcPr>
            <w:tcW w:w="591" w:type="pct"/>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cs="Times New Roman"/>
                <w:sz w:val="21"/>
                <w:szCs w:val="21"/>
              </w:rPr>
            </w:pPr>
            <w:r>
              <w:rPr>
                <w:rFonts w:cs="Times New Roman"/>
                <w:color w:val="000000" w:themeColor="text1"/>
                <w:kern w:val="2"/>
                <w:sz w:val="21"/>
                <w:szCs w:val="21"/>
              </w:rPr>
              <w:t>油烟</w:t>
            </w:r>
          </w:p>
        </w:tc>
        <w:tc>
          <w:tcPr>
            <w:tcW w:w="1101" w:type="pct"/>
            <w:tcBorders>
              <w:top w:val="single" w:color="000000" w:sz="4" w:space="0"/>
              <w:bottom w:val="single" w:color="000000" w:sz="4" w:space="0"/>
            </w:tcBorders>
            <w:shd w:val="clear" w:color="auto" w:fill="FFFFFF"/>
            <w:vAlign w:val="center"/>
          </w:tcPr>
          <w:p>
            <w:pPr>
              <w:adjustRightInd w:val="0"/>
              <w:snapToGrid w:val="0"/>
              <w:ind w:firstLine="210" w:firstLineChars="100"/>
              <w:jc w:val="center"/>
              <w:rPr>
                <w:rFonts w:hint="eastAsia" w:cs="Times New Roman"/>
                <w:sz w:val="21"/>
                <w:szCs w:val="21"/>
                <w:lang w:val="en-US" w:eastAsia="zh-CN"/>
              </w:rPr>
            </w:pPr>
            <w:r>
              <w:rPr>
                <w:rFonts w:hint="eastAsia" w:cs="Times New Roman"/>
                <w:sz w:val="21"/>
                <w:szCs w:val="21"/>
                <w:lang w:val="en-US" w:eastAsia="zh-CN"/>
              </w:rPr>
              <w:t>0.12mg/m</w:t>
            </w:r>
            <w:r>
              <w:rPr>
                <w:rFonts w:hint="eastAsia" w:cs="Times New Roman"/>
                <w:sz w:val="21"/>
                <w:szCs w:val="21"/>
                <w:vertAlign w:val="superscript"/>
                <w:lang w:val="en-US" w:eastAsia="zh-CN"/>
              </w:rPr>
              <w:t>3</w:t>
            </w:r>
          </w:p>
        </w:tc>
        <w:tc>
          <w:tcPr>
            <w:tcW w:w="964" w:type="pct"/>
            <w:tcBorders>
              <w:top w:val="single" w:color="000000" w:sz="4" w:space="0"/>
              <w:bottom w:val="single" w:color="000000" w:sz="4" w:space="0"/>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0.0003</w:t>
            </w:r>
            <w:r>
              <w:rPr>
                <w:rFonts w:hint="default" w:ascii="Times New Roman" w:hAnsi="Times New Roman" w:eastAsia="宋体" w:cs="Times New Roman"/>
                <w:sz w:val="21"/>
                <w:szCs w:val="21"/>
              </w:rPr>
              <w:t>kg/h</w:t>
            </w:r>
          </w:p>
        </w:tc>
        <w:tc>
          <w:tcPr>
            <w:tcW w:w="940" w:type="pct"/>
            <w:tcBorders>
              <w:top w:val="single" w:color="000000" w:sz="4" w:space="0"/>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0.00005t/a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402" w:type="pct"/>
            <w:gridSpan w:val="2"/>
            <w:vMerge w:val="restart"/>
            <w:tcBorders>
              <w:top w:val="single" w:color="000000" w:sz="4" w:space="0"/>
              <w:lef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主要排放口合计</w:t>
            </w:r>
          </w:p>
        </w:tc>
        <w:tc>
          <w:tcPr>
            <w:tcW w:w="2656" w:type="pct"/>
            <w:gridSpan w:val="3"/>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940" w:type="pct"/>
            <w:tcBorders>
              <w:top w:val="single" w:color="000000" w:sz="4" w:space="0"/>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0.12</w:t>
            </w:r>
            <w:r>
              <w:rPr>
                <w:rFonts w:hint="default" w:ascii="Times New Roman" w:hAnsi="Times New Roman" w:eastAsia="宋体" w:cs="Times New Roman"/>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2" w:type="pct"/>
            <w:gridSpan w:val="2"/>
            <w:vMerge w:val="continue"/>
            <w:tcBorders>
              <w:left w:val="nil"/>
            </w:tcBorders>
            <w:shd w:val="clear" w:color="auto" w:fill="FFFFFF"/>
            <w:vAlign w:val="center"/>
          </w:tcPr>
          <w:p>
            <w:pPr>
              <w:pStyle w:val="98"/>
              <w:spacing w:before="24" w:after="24"/>
              <w:rPr>
                <w:rFonts w:hint="default" w:ascii="Times New Roman" w:hAnsi="Times New Roman" w:eastAsia="宋体" w:cs="Times New Roman"/>
                <w:sz w:val="21"/>
                <w:szCs w:val="21"/>
              </w:rPr>
            </w:pPr>
          </w:p>
        </w:tc>
        <w:tc>
          <w:tcPr>
            <w:tcW w:w="2656" w:type="pct"/>
            <w:gridSpan w:val="3"/>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c>
          <w:tcPr>
            <w:tcW w:w="940" w:type="pct"/>
            <w:tcBorders>
              <w:top w:val="single" w:color="000000" w:sz="4" w:space="0"/>
              <w:bottom w:val="single" w:color="000000" w:sz="4" w:space="0"/>
              <w:right w:val="nil"/>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0.6</w:t>
            </w:r>
            <w:r>
              <w:rPr>
                <w:rFonts w:hint="default" w:ascii="Times New Roman" w:hAnsi="Times New Roman" w:eastAsia="宋体" w:cs="Times New Roman"/>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2" w:type="pct"/>
            <w:gridSpan w:val="2"/>
            <w:vMerge w:val="continue"/>
            <w:tcBorders>
              <w:left w:val="nil"/>
              <w:bottom w:val="single" w:color="000000" w:sz="4" w:space="0"/>
            </w:tcBorders>
            <w:shd w:val="clear" w:color="auto" w:fill="FFFFFF"/>
            <w:vAlign w:val="center"/>
          </w:tcPr>
          <w:p>
            <w:pPr>
              <w:pStyle w:val="98"/>
              <w:spacing w:before="24" w:after="24"/>
              <w:rPr>
                <w:rFonts w:hint="default" w:ascii="Times New Roman" w:hAnsi="Times New Roman" w:eastAsia="宋体" w:cs="Times New Roman"/>
                <w:sz w:val="21"/>
                <w:szCs w:val="21"/>
              </w:rPr>
            </w:pPr>
          </w:p>
        </w:tc>
        <w:tc>
          <w:tcPr>
            <w:tcW w:w="2656" w:type="pct"/>
            <w:gridSpan w:val="3"/>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cs="Times New Roman"/>
                <w:sz w:val="21"/>
                <w:szCs w:val="21"/>
              </w:rPr>
            </w:pPr>
            <w:r>
              <w:rPr>
                <w:rFonts w:cs="Times New Roman"/>
                <w:color w:val="000000" w:themeColor="text1"/>
                <w:kern w:val="2"/>
                <w:sz w:val="21"/>
                <w:szCs w:val="21"/>
              </w:rPr>
              <w:t>油烟</w:t>
            </w:r>
          </w:p>
        </w:tc>
        <w:tc>
          <w:tcPr>
            <w:tcW w:w="940" w:type="pct"/>
            <w:tcBorders>
              <w:top w:val="single" w:color="000000" w:sz="4" w:space="0"/>
              <w:bottom w:val="single" w:color="000000" w:sz="4" w:space="0"/>
              <w:right w:val="nil"/>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0.00005t/a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6" w:hRule="atLeast"/>
          <w:jc w:val="center"/>
        </w:trPr>
        <w:tc>
          <w:tcPr>
            <w:tcW w:w="5000" w:type="pct"/>
            <w:gridSpan w:val="6"/>
            <w:tcBorders>
              <w:top w:val="single" w:color="000000" w:sz="4" w:space="0"/>
              <w:left w:val="nil"/>
              <w:bottom w:val="single" w:color="000000" w:sz="4" w:space="0"/>
              <w:righ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有组织排放总计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1402" w:type="pct"/>
            <w:gridSpan w:val="2"/>
            <w:vMerge w:val="restart"/>
            <w:tcBorders>
              <w:top w:val="single" w:color="000000" w:sz="4" w:space="0"/>
              <w:left w:val="nil"/>
            </w:tcBorders>
            <w:shd w:val="clear" w:color="auto" w:fill="FFFFFF"/>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有组织排放总计</w:t>
            </w:r>
          </w:p>
        </w:tc>
        <w:tc>
          <w:tcPr>
            <w:tcW w:w="4907" w:type="dxa"/>
            <w:gridSpan w:val="3"/>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1740" w:type="dxa"/>
            <w:tcBorders>
              <w:top w:val="single" w:color="000000" w:sz="4" w:space="0"/>
              <w:bottom w:val="single" w:color="000000" w:sz="4" w:space="0"/>
              <w:right w:val="nil"/>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0.12</w:t>
            </w:r>
            <w:r>
              <w:rPr>
                <w:rFonts w:hint="default" w:ascii="Times New Roman" w:hAnsi="Times New Roman" w:eastAsia="宋体" w:cs="Times New Roman"/>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1402" w:type="pct"/>
            <w:gridSpan w:val="2"/>
            <w:vMerge w:val="continue"/>
            <w:tcBorders>
              <w:left w:val="nil"/>
            </w:tcBorders>
            <w:shd w:val="clear" w:color="auto" w:fill="FFFFFF"/>
            <w:vAlign w:val="center"/>
          </w:tcPr>
          <w:p>
            <w:pPr>
              <w:pStyle w:val="98"/>
              <w:spacing w:before="24" w:after="24"/>
              <w:rPr>
                <w:rFonts w:hint="default" w:ascii="Times New Roman" w:hAnsi="Times New Roman" w:eastAsia="宋体" w:cs="Times New Roman"/>
                <w:sz w:val="21"/>
                <w:szCs w:val="21"/>
              </w:rPr>
            </w:pPr>
          </w:p>
        </w:tc>
        <w:tc>
          <w:tcPr>
            <w:tcW w:w="4907" w:type="dxa"/>
            <w:gridSpan w:val="3"/>
            <w:tcBorders>
              <w:top w:val="single" w:color="000000" w:sz="4" w:space="0"/>
              <w:bottom w:val="single" w:color="000000" w:sz="4" w:space="0"/>
            </w:tcBorders>
            <w:shd w:val="clear" w:color="auto" w:fill="FFFFFF"/>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c>
          <w:tcPr>
            <w:tcW w:w="1740" w:type="dxa"/>
            <w:tcBorders>
              <w:top w:val="single" w:color="000000" w:sz="4" w:space="0"/>
              <w:bottom w:val="single" w:color="000000" w:sz="4" w:space="0"/>
              <w:right w:val="nil"/>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0.6</w:t>
            </w:r>
            <w:r>
              <w:rPr>
                <w:rFonts w:hint="default" w:ascii="Times New Roman" w:hAnsi="Times New Roman" w:eastAsia="宋体" w:cs="Times New Roman"/>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1402" w:type="pct"/>
            <w:gridSpan w:val="2"/>
            <w:vMerge w:val="continue"/>
            <w:tcBorders>
              <w:left w:val="nil"/>
              <w:bottom w:val="single" w:color="000000" w:sz="12" w:space="0"/>
            </w:tcBorders>
            <w:shd w:val="clear" w:color="auto" w:fill="FFFFFF"/>
            <w:vAlign w:val="center"/>
          </w:tcPr>
          <w:p>
            <w:pPr>
              <w:pStyle w:val="98"/>
              <w:spacing w:before="24" w:after="24"/>
              <w:rPr>
                <w:rFonts w:hint="default" w:ascii="Times New Roman" w:hAnsi="Times New Roman" w:eastAsia="宋体" w:cs="Times New Roman"/>
                <w:sz w:val="21"/>
                <w:szCs w:val="21"/>
              </w:rPr>
            </w:pPr>
          </w:p>
        </w:tc>
        <w:tc>
          <w:tcPr>
            <w:tcW w:w="4907" w:type="dxa"/>
            <w:gridSpan w:val="3"/>
            <w:tcBorders>
              <w:top w:val="single" w:color="000000" w:sz="4" w:space="0"/>
              <w:bottom w:val="single" w:color="000000" w:sz="12" w:space="0"/>
            </w:tcBorders>
            <w:shd w:val="clear" w:color="auto" w:fill="FFFFFF"/>
            <w:vAlign w:val="center"/>
          </w:tcPr>
          <w:p>
            <w:pPr>
              <w:adjustRightInd w:val="0"/>
              <w:snapToGrid w:val="0"/>
              <w:jc w:val="center"/>
              <w:rPr>
                <w:rFonts w:hint="default" w:ascii="Times New Roman" w:hAnsi="Times New Roman" w:eastAsia="宋体" w:cs="Times New Roman"/>
                <w:sz w:val="21"/>
                <w:szCs w:val="21"/>
              </w:rPr>
            </w:pPr>
            <w:r>
              <w:rPr>
                <w:rFonts w:cs="Times New Roman"/>
                <w:color w:val="000000" w:themeColor="text1"/>
                <w:kern w:val="2"/>
                <w:sz w:val="21"/>
                <w:szCs w:val="21"/>
              </w:rPr>
              <w:t>油烟</w:t>
            </w:r>
          </w:p>
        </w:tc>
        <w:tc>
          <w:tcPr>
            <w:tcW w:w="1740" w:type="dxa"/>
            <w:tcBorders>
              <w:top w:val="single" w:color="000000" w:sz="4" w:space="0"/>
              <w:bottom w:val="single" w:color="000000" w:sz="12" w:space="0"/>
              <w:right w:val="nil"/>
            </w:tcBorders>
            <w:shd w:val="clear" w:color="auto" w:fill="FFFFFF"/>
            <w:vAlign w:val="center"/>
          </w:tcPr>
          <w:p>
            <w:pPr>
              <w:pStyle w:val="98"/>
              <w:spacing w:before="24" w:after="24"/>
              <w:ind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0.00005t/a</w:t>
            </w:r>
          </w:p>
        </w:tc>
      </w:tr>
    </w:tbl>
    <w:p>
      <w:pPr>
        <w:pStyle w:val="100"/>
        <w:numPr>
          <w:ilvl w:val="0"/>
          <w:numId w:val="12"/>
        </w:numPr>
        <w:spacing w:line="360" w:lineRule="auto"/>
        <w:ind w:firstLine="480"/>
        <w:rPr>
          <w:rFonts w:hint="eastAsia"/>
          <w:lang w:val="en-US" w:eastAsia="zh-CN"/>
        </w:rPr>
      </w:pPr>
      <w:r>
        <w:rPr>
          <w:rFonts w:hint="eastAsia"/>
          <w:lang w:val="en-US" w:eastAsia="zh-CN"/>
        </w:rPr>
        <w:t>无组织排放量核算</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r>
        <w:t xml:space="preserve">表 </w:t>
      </w:r>
      <w:r>
        <w:fldChar w:fldCharType="begin"/>
      </w:r>
      <w:r>
        <w:instrText xml:space="preserve"> STYLEREF 2 \s </w:instrText>
      </w:r>
      <w:r>
        <w:fldChar w:fldCharType="separate"/>
      </w:r>
      <w:r>
        <w:t>4</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8</w:t>
      </w:r>
      <w:r>
        <w:fldChar w:fldCharType="end"/>
      </w:r>
      <w:r>
        <w:rPr>
          <w:rFonts w:hint="eastAsia"/>
          <w:lang w:val="en-US" w:eastAsia="zh-CN"/>
        </w:rPr>
        <w:t xml:space="preserve">  </w:t>
      </w:r>
      <w:r>
        <w:rPr>
          <w:rFonts w:ascii="Times New Roman" w:hAnsi="Times New Roman" w:eastAsia="宋体" w:cs="Times New Roman"/>
          <w:b/>
          <w:sz w:val="24"/>
          <w:szCs w:val="24"/>
        </w:rPr>
        <w:t>大气污染物无组织排放量核算表</w:t>
      </w:r>
    </w:p>
    <w:tbl>
      <w:tblPr>
        <w:tblStyle w:val="38"/>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2"/>
        <w:gridCol w:w="1315"/>
        <w:gridCol w:w="755"/>
        <w:gridCol w:w="1997"/>
        <w:gridCol w:w="2351"/>
        <w:gridCol w:w="1236"/>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6" w:hRule="atLeast"/>
          <w:tblHeader/>
          <w:jc w:val="center"/>
        </w:trPr>
        <w:tc>
          <w:tcPr>
            <w:tcW w:w="294" w:type="pct"/>
            <w:vMerge w:val="restart"/>
            <w:tcBorders>
              <w:top w:val="single" w:color="auto" w:sz="12" w:space="0"/>
              <w:lef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14" w:type="pct"/>
            <w:vMerge w:val="restart"/>
            <w:tcBorders>
              <w:top w:val="single" w:color="auto" w:sz="12" w:space="0"/>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产污</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环节</w:t>
            </w:r>
          </w:p>
        </w:tc>
        <w:tc>
          <w:tcPr>
            <w:tcW w:w="408" w:type="pct"/>
            <w:vMerge w:val="restart"/>
            <w:tcBorders>
              <w:top w:val="single" w:color="auto" w:sz="12" w:space="0"/>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1084" w:type="pct"/>
            <w:vMerge w:val="restart"/>
            <w:tcBorders>
              <w:top w:val="single" w:color="auto" w:sz="12" w:space="0"/>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主要污染防治措施</w:t>
            </w:r>
          </w:p>
        </w:tc>
        <w:tc>
          <w:tcPr>
            <w:tcW w:w="1947" w:type="pct"/>
            <w:gridSpan w:val="2"/>
            <w:tcBorders>
              <w:top w:val="single" w:color="auto" w:sz="12" w:space="0"/>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国家或地方污染物排放标准</w:t>
            </w:r>
          </w:p>
        </w:tc>
        <w:tc>
          <w:tcPr>
            <w:tcW w:w="550" w:type="pct"/>
            <w:vMerge w:val="restart"/>
            <w:tcBorders>
              <w:top w:val="single" w:color="auto" w:sz="12" w:space="0"/>
              <w:righ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8" w:hRule="atLeast"/>
          <w:tblHeader/>
          <w:jc w:val="center"/>
        </w:trPr>
        <w:tc>
          <w:tcPr>
            <w:tcW w:w="294" w:type="pct"/>
            <w:vMerge w:val="continue"/>
            <w:tcBorders>
              <w:left w:val="nil"/>
            </w:tcBorders>
            <w:vAlign w:val="center"/>
          </w:tcPr>
          <w:p>
            <w:pPr>
              <w:pStyle w:val="98"/>
              <w:spacing w:before="24" w:after="24"/>
              <w:rPr>
                <w:rFonts w:hint="default" w:ascii="Times New Roman" w:hAnsi="Times New Roman" w:eastAsia="宋体" w:cs="Times New Roman"/>
                <w:sz w:val="21"/>
                <w:szCs w:val="21"/>
              </w:rPr>
            </w:pPr>
          </w:p>
        </w:tc>
        <w:tc>
          <w:tcPr>
            <w:tcW w:w="714" w:type="pct"/>
            <w:vMerge w:val="continue"/>
            <w:vAlign w:val="center"/>
          </w:tcPr>
          <w:p>
            <w:pPr>
              <w:pStyle w:val="98"/>
              <w:spacing w:before="24" w:after="24"/>
              <w:rPr>
                <w:rFonts w:hint="default" w:ascii="Times New Roman" w:hAnsi="Times New Roman" w:eastAsia="宋体" w:cs="Times New Roman"/>
                <w:sz w:val="21"/>
                <w:szCs w:val="21"/>
              </w:rPr>
            </w:pPr>
          </w:p>
        </w:tc>
        <w:tc>
          <w:tcPr>
            <w:tcW w:w="408" w:type="pct"/>
            <w:vMerge w:val="continue"/>
            <w:vAlign w:val="center"/>
          </w:tcPr>
          <w:p>
            <w:pPr>
              <w:pStyle w:val="98"/>
              <w:spacing w:before="24" w:after="24"/>
              <w:rPr>
                <w:rFonts w:hint="default" w:ascii="Times New Roman" w:hAnsi="Times New Roman" w:eastAsia="宋体" w:cs="Times New Roman"/>
                <w:sz w:val="21"/>
                <w:szCs w:val="21"/>
              </w:rPr>
            </w:pPr>
          </w:p>
        </w:tc>
        <w:tc>
          <w:tcPr>
            <w:tcW w:w="1084" w:type="pct"/>
            <w:vMerge w:val="continue"/>
            <w:vAlign w:val="center"/>
          </w:tcPr>
          <w:p>
            <w:pPr>
              <w:pStyle w:val="98"/>
              <w:spacing w:before="24" w:after="24"/>
              <w:rPr>
                <w:rFonts w:hint="default" w:ascii="Times New Roman" w:hAnsi="Times New Roman" w:eastAsia="宋体" w:cs="Times New Roman"/>
                <w:sz w:val="21"/>
                <w:szCs w:val="21"/>
              </w:rPr>
            </w:pPr>
          </w:p>
        </w:tc>
        <w:tc>
          <w:tcPr>
            <w:tcW w:w="1276" w:type="pct"/>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标准名称</w:t>
            </w:r>
          </w:p>
        </w:tc>
        <w:tc>
          <w:tcPr>
            <w:tcW w:w="670" w:type="pct"/>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浓度限值</w:t>
            </w:r>
          </w:p>
        </w:tc>
        <w:tc>
          <w:tcPr>
            <w:tcW w:w="550" w:type="pct"/>
            <w:vMerge w:val="continue"/>
            <w:tcBorders>
              <w:right w:val="nil"/>
            </w:tcBorders>
            <w:vAlign w:val="center"/>
          </w:tcPr>
          <w:p>
            <w:pPr>
              <w:pStyle w:val="98"/>
              <w:spacing w:before="24" w:after="24"/>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6" w:hRule="atLeast"/>
          <w:tblHeader/>
          <w:jc w:val="center"/>
        </w:trPr>
        <w:tc>
          <w:tcPr>
            <w:tcW w:w="294" w:type="pct"/>
            <w:tcBorders>
              <w:lef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4" w:type="pct"/>
            <w:vMerge w:val="restart"/>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污水处理站</w:t>
            </w:r>
          </w:p>
        </w:tc>
        <w:tc>
          <w:tcPr>
            <w:tcW w:w="408" w:type="pct"/>
            <w:vAlign w:val="center"/>
          </w:tcPr>
          <w:p>
            <w:pPr>
              <w:pStyle w:val="122"/>
              <w:rPr>
                <w:rFonts w:hint="default" w:ascii="Times New Roman" w:hAnsi="Times New Roman" w:eastAsia="宋体" w:cs="Times New Roman"/>
                <w:sz w:val="21"/>
                <w:szCs w:val="21"/>
              </w:rPr>
            </w:pPr>
            <w:r>
              <w:rPr>
                <w:rFonts w:hint="default" w:ascii="Times New Roman" w:hAnsi="Times New Roman" w:cs="Times New Roman"/>
                <w:color w:val="000000" w:themeColor="text1"/>
                <w:szCs w:val="21"/>
              </w:rPr>
              <w:t>NH</w:t>
            </w:r>
            <w:r>
              <w:rPr>
                <w:rFonts w:hint="default" w:ascii="Times New Roman" w:hAnsi="Times New Roman" w:cs="Times New Roman"/>
                <w:color w:val="000000" w:themeColor="text1"/>
                <w:szCs w:val="21"/>
                <w:vertAlign w:val="subscript"/>
              </w:rPr>
              <w:t>3</w:t>
            </w:r>
          </w:p>
        </w:tc>
        <w:tc>
          <w:tcPr>
            <w:tcW w:w="1084" w:type="pct"/>
            <w:vMerge w:val="restart"/>
            <w:vAlign w:val="center"/>
          </w:tcPr>
          <w:p>
            <w:pPr>
              <w:jc w:val="center"/>
              <w:rPr>
                <w:rFonts w:hint="eastAsia" w:ascii="Times New Roman" w:hAnsi="Times New Roman" w:cs="Times New Roman" w:eastAsiaTheme="minorEastAsia"/>
                <w:sz w:val="21"/>
                <w:szCs w:val="21"/>
                <w:lang w:eastAsia="zh-CN"/>
              </w:rPr>
            </w:pPr>
            <w:r>
              <w:rPr>
                <w:rFonts w:hint="eastAsia" w:cs="Times New Roman"/>
                <w:sz w:val="21"/>
                <w:szCs w:val="21"/>
                <w:lang w:eastAsia="zh-CN"/>
              </w:rPr>
              <w:t>提</w:t>
            </w:r>
            <w:r>
              <w:rPr>
                <w:rFonts w:hint="default" w:ascii="Times New Roman" w:hAnsi="Times New Roman" w:cs="Times New Roman"/>
                <w:sz w:val="21"/>
                <w:szCs w:val="21"/>
              </w:rPr>
              <w:t>高恶臭气体收集率和净化率，生物除臭装置避免非正常排放</w:t>
            </w:r>
          </w:p>
        </w:tc>
        <w:tc>
          <w:tcPr>
            <w:tcW w:w="1276" w:type="pct"/>
            <w:vMerge w:val="restart"/>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cs="Times New Roman"/>
              </w:rPr>
              <w:t>《城镇污水处理厂污染物排放标准》（GB18918-2002）中的厂界标准值</w:t>
            </w:r>
          </w:p>
        </w:tc>
        <w:tc>
          <w:tcPr>
            <w:tcW w:w="670" w:type="pct"/>
            <w:tcBorders>
              <w:bottom w:val="single" w:color="auto" w:sz="4" w:space="0"/>
              <w:right w:val="single" w:color="auto" w:sz="4" w:space="0"/>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550" w:type="pct"/>
            <w:tcBorders>
              <w:left w:val="single" w:color="auto" w:sz="4" w:space="0"/>
              <w:bottom w:val="single" w:color="auto" w:sz="4" w:space="0"/>
              <w:right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0.06</w:t>
            </w:r>
            <w:r>
              <w:rPr>
                <w:rFonts w:hint="default" w:ascii="Times New Roman" w:hAnsi="Times New Roman" w:cs="Times New Roman"/>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51" w:hRule="atLeast"/>
          <w:tblHeader/>
          <w:jc w:val="center"/>
        </w:trPr>
        <w:tc>
          <w:tcPr>
            <w:tcW w:w="294" w:type="pct"/>
            <w:tcBorders>
              <w:lef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4" w:type="pct"/>
            <w:vMerge w:val="continue"/>
            <w:vAlign w:val="center"/>
          </w:tcPr>
          <w:p>
            <w:pPr>
              <w:jc w:val="center"/>
              <w:rPr>
                <w:rFonts w:hint="default" w:ascii="Times New Roman" w:hAnsi="Times New Roman" w:cs="Times New Roman"/>
                <w:sz w:val="21"/>
                <w:szCs w:val="21"/>
              </w:rPr>
            </w:pPr>
          </w:p>
        </w:tc>
        <w:tc>
          <w:tcPr>
            <w:tcW w:w="408" w:type="pct"/>
            <w:vAlign w:val="center"/>
          </w:tcPr>
          <w:p>
            <w:pPr>
              <w:pStyle w:val="122"/>
              <w:rPr>
                <w:rFonts w:hint="default" w:ascii="Times New Roman" w:hAnsi="Times New Roman" w:cs="Times New Roman"/>
                <w:sz w:val="21"/>
                <w:szCs w:val="21"/>
              </w:rPr>
            </w:pPr>
            <w:r>
              <w:rPr>
                <w:rFonts w:hint="default" w:ascii="Times New Roman" w:hAnsi="Times New Roman" w:cs="Times New Roman"/>
                <w:color w:val="000000" w:themeColor="text1"/>
                <w:szCs w:val="21"/>
              </w:rPr>
              <w:t>H</w:t>
            </w:r>
            <w:r>
              <w:rPr>
                <w:rFonts w:hint="default" w:ascii="Times New Roman" w:hAnsi="Times New Roman" w:cs="Times New Roman"/>
                <w:color w:val="000000" w:themeColor="text1"/>
                <w:szCs w:val="21"/>
                <w:vertAlign w:val="subscript"/>
              </w:rPr>
              <w:t>2</w:t>
            </w:r>
            <w:r>
              <w:rPr>
                <w:rFonts w:hint="default" w:ascii="Times New Roman" w:hAnsi="Times New Roman" w:cs="Times New Roman"/>
                <w:color w:val="000000" w:themeColor="text1"/>
                <w:szCs w:val="21"/>
              </w:rPr>
              <w:t>S</w:t>
            </w:r>
          </w:p>
        </w:tc>
        <w:tc>
          <w:tcPr>
            <w:tcW w:w="1084" w:type="pct"/>
            <w:vMerge w:val="continue"/>
            <w:vAlign w:val="center"/>
          </w:tcPr>
          <w:p>
            <w:pPr>
              <w:jc w:val="center"/>
              <w:rPr>
                <w:rFonts w:hint="default" w:ascii="Times New Roman" w:hAnsi="Times New Roman" w:cs="Times New Roman"/>
                <w:sz w:val="21"/>
                <w:szCs w:val="21"/>
              </w:rPr>
            </w:pPr>
          </w:p>
        </w:tc>
        <w:tc>
          <w:tcPr>
            <w:tcW w:w="1276" w:type="pct"/>
            <w:vMerge w:val="continue"/>
            <w:tcBorders>
              <w:bottom w:val="single" w:color="000000" w:sz="4" w:space="0"/>
            </w:tcBorders>
            <w:vAlign w:val="center"/>
          </w:tcPr>
          <w:p>
            <w:pPr>
              <w:pStyle w:val="98"/>
              <w:spacing w:before="24" w:after="24"/>
              <w:rPr>
                <w:rFonts w:hint="default" w:ascii="Times New Roman" w:hAnsi="Times New Roman" w:eastAsia="宋体" w:cs="Times New Roman"/>
                <w:sz w:val="21"/>
                <w:szCs w:val="21"/>
              </w:rPr>
            </w:pPr>
          </w:p>
        </w:tc>
        <w:tc>
          <w:tcPr>
            <w:tcW w:w="670" w:type="pct"/>
            <w:tcBorders>
              <w:top w:val="single" w:color="auto" w:sz="4" w:space="0"/>
              <w:bottom w:val="single" w:color="000000" w:sz="4" w:space="0"/>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0.06</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550" w:type="pct"/>
            <w:tcBorders>
              <w:top w:val="single" w:color="auto" w:sz="4" w:space="0"/>
              <w:bottom w:val="single" w:color="000000" w:sz="4" w:space="0"/>
              <w:right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0.0009</w:t>
            </w:r>
            <w:r>
              <w:rPr>
                <w:rFonts w:hint="default" w:ascii="Times New Roman" w:hAnsi="Times New Roman" w:cs="Times New Roman"/>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4" w:hRule="atLeast"/>
          <w:tblHeader/>
          <w:jc w:val="center"/>
        </w:trPr>
        <w:tc>
          <w:tcPr>
            <w:tcW w:w="5000" w:type="pct"/>
            <w:gridSpan w:val="7"/>
            <w:tcBorders>
              <w:left w:val="nil"/>
              <w:righ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6" w:hRule="atLeast"/>
          <w:tblHeader/>
          <w:jc w:val="center"/>
        </w:trPr>
        <w:tc>
          <w:tcPr>
            <w:tcW w:w="1418" w:type="pct"/>
            <w:gridSpan w:val="3"/>
            <w:vMerge w:val="restart"/>
            <w:tcBorders>
              <w:lef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无组织排放总计</w:t>
            </w:r>
          </w:p>
        </w:tc>
        <w:tc>
          <w:tcPr>
            <w:tcW w:w="4348" w:type="dxa"/>
            <w:gridSpan w:val="2"/>
            <w:vAlign w:val="center"/>
          </w:tcPr>
          <w:p>
            <w:pPr>
              <w:pStyle w:val="122"/>
              <w:rPr>
                <w:rFonts w:hint="default" w:ascii="Times New Roman" w:hAnsi="Times New Roman" w:eastAsia="宋体" w:cs="Times New Roman"/>
                <w:sz w:val="21"/>
                <w:szCs w:val="21"/>
              </w:rPr>
            </w:pPr>
            <w:r>
              <w:rPr>
                <w:rFonts w:hint="default" w:ascii="Times New Roman" w:hAnsi="Times New Roman" w:cs="Times New Roman"/>
                <w:color w:val="000000" w:themeColor="text1"/>
                <w:szCs w:val="21"/>
              </w:rPr>
              <w:t>NH</w:t>
            </w:r>
            <w:r>
              <w:rPr>
                <w:rFonts w:hint="default" w:ascii="Times New Roman" w:hAnsi="Times New Roman" w:cs="Times New Roman"/>
                <w:color w:val="000000" w:themeColor="text1"/>
                <w:szCs w:val="21"/>
                <w:vertAlign w:val="subscript"/>
              </w:rPr>
              <w:t>3</w:t>
            </w:r>
          </w:p>
        </w:tc>
        <w:tc>
          <w:tcPr>
            <w:tcW w:w="1220" w:type="pct"/>
            <w:gridSpan w:val="2"/>
            <w:tcBorders>
              <w:righ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0.06</w:t>
            </w:r>
            <w:r>
              <w:rPr>
                <w:rFonts w:hint="default" w:ascii="Times New Roman" w:hAnsi="Times New Roman" w:eastAsia="宋体" w:cs="Times New Roman"/>
                <w:sz w:val="21"/>
                <w:szCs w:val="21"/>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6" w:hRule="atLeast"/>
          <w:tblHeader/>
          <w:jc w:val="center"/>
        </w:trPr>
        <w:tc>
          <w:tcPr>
            <w:tcW w:w="1418" w:type="pct"/>
            <w:gridSpan w:val="3"/>
            <w:vMerge w:val="continue"/>
            <w:tcBorders>
              <w:left w:val="nil"/>
              <w:bottom w:val="single" w:color="auto" w:sz="12" w:space="0"/>
            </w:tcBorders>
            <w:vAlign w:val="center"/>
          </w:tcPr>
          <w:p>
            <w:pPr>
              <w:pStyle w:val="98"/>
              <w:spacing w:before="24" w:after="24"/>
              <w:rPr>
                <w:rFonts w:hint="default" w:ascii="Times New Roman" w:hAnsi="Times New Roman" w:eastAsia="宋体" w:cs="Times New Roman"/>
                <w:sz w:val="21"/>
                <w:szCs w:val="21"/>
              </w:rPr>
            </w:pPr>
          </w:p>
        </w:tc>
        <w:tc>
          <w:tcPr>
            <w:tcW w:w="4348" w:type="dxa"/>
            <w:gridSpan w:val="2"/>
            <w:tcBorders>
              <w:bottom w:val="single" w:color="auto" w:sz="12" w:space="0"/>
            </w:tcBorders>
            <w:vAlign w:val="center"/>
          </w:tcPr>
          <w:p>
            <w:pPr>
              <w:pStyle w:val="122"/>
              <w:rPr>
                <w:rFonts w:hint="default" w:ascii="Times New Roman" w:hAnsi="Times New Roman" w:eastAsia="宋体" w:cs="Times New Roman"/>
                <w:sz w:val="21"/>
                <w:szCs w:val="21"/>
              </w:rPr>
            </w:pPr>
            <w:r>
              <w:rPr>
                <w:rFonts w:hint="default" w:ascii="Times New Roman" w:hAnsi="Times New Roman" w:cs="Times New Roman"/>
                <w:color w:val="000000" w:themeColor="text1"/>
                <w:szCs w:val="21"/>
              </w:rPr>
              <w:t>H</w:t>
            </w:r>
            <w:r>
              <w:rPr>
                <w:rFonts w:hint="default" w:ascii="Times New Roman" w:hAnsi="Times New Roman" w:cs="Times New Roman"/>
                <w:color w:val="000000" w:themeColor="text1"/>
                <w:szCs w:val="21"/>
                <w:vertAlign w:val="subscript"/>
              </w:rPr>
              <w:t>2</w:t>
            </w:r>
            <w:r>
              <w:rPr>
                <w:rFonts w:hint="default" w:ascii="Times New Roman" w:hAnsi="Times New Roman" w:cs="Times New Roman"/>
                <w:color w:val="000000" w:themeColor="text1"/>
                <w:szCs w:val="21"/>
              </w:rPr>
              <w:t>S</w:t>
            </w:r>
          </w:p>
        </w:tc>
        <w:tc>
          <w:tcPr>
            <w:tcW w:w="1220" w:type="pct"/>
            <w:gridSpan w:val="2"/>
            <w:tcBorders>
              <w:bottom w:val="single" w:color="auto" w:sz="12" w:space="0"/>
              <w:right w:val="nil"/>
            </w:tcBorders>
            <w:vAlign w:val="center"/>
          </w:tcPr>
          <w:p>
            <w:pPr>
              <w:pStyle w:val="98"/>
              <w:spacing w:before="24" w:after="24"/>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0.0009</w:t>
            </w:r>
            <w:r>
              <w:rPr>
                <w:rFonts w:hint="default" w:ascii="Times New Roman" w:hAnsi="Times New Roman" w:cs="Times New Roman"/>
                <w:sz w:val="21"/>
                <w:szCs w:val="21"/>
              </w:rPr>
              <w:t>t/a</w:t>
            </w:r>
          </w:p>
        </w:tc>
      </w:tr>
    </w:tbl>
    <w:p>
      <w:pPr>
        <w:pStyle w:val="100"/>
        <w:numPr>
          <w:ilvl w:val="0"/>
          <w:numId w:val="12"/>
        </w:numPr>
        <w:spacing w:line="360" w:lineRule="auto"/>
        <w:ind w:firstLine="480"/>
        <w:rPr>
          <w:rFonts w:hint="eastAsia"/>
          <w:lang w:val="en-US" w:eastAsia="zh-CN"/>
        </w:rPr>
      </w:pPr>
      <w:r>
        <w:rPr>
          <w:rFonts w:hint="eastAsia"/>
          <w:lang w:val="en-US" w:eastAsia="zh-CN"/>
        </w:rPr>
        <w:t>项目大气污染物年排放量核算</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eastAsia="宋体"/>
          <w:lang w:val="en-US" w:eastAsia="zh-CN"/>
        </w:rPr>
      </w:pPr>
      <w:r>
        <w:t xml:space="preserve">表 </w:t>
      </w:r>
      <w:r>
        <w:fldChar w:fldCharType="begin"/>
      </w:r>
      <w:r>
        <w:instrText xml:space="preserve"> STYLEREF 2 \s </w:instrText>
      </w:r>
      <w:r>
        <w:fldChar w:fldCharType="separate"/>
      </w:r>
      <w:r>
        <w:t>4</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9</w:t>
      </w:r>
      <w:r>
        <w:fldChar w:fldCharType="end"/>
      </w:r>
      <w:r>
        <w:rPr>
          <w:rFonts w:hint="eastAsia"/>
          <w:lang w:val="en-US" w:eastAsia="zh-CN"/>
        </w:rPr>
        <w:t xml:space="preserve">  </w:t>
      </w:r>
      <w:r>
        <w:rPr>
          <w:rFonts w:ascii="Times New Roman" w:hAnsi="Times New Roman" w:eastAsia="宋体" w:cs="Times New Roman"/>
          <w:b/>
          <w:sz w:val="24"/>
          <w:szCs w:val="24"/>
        </w:rPr>
        <w:t>大气污染物年排放量核算表</w:t>
      </w:r>
    </w:p>
    <w:tbl>
      <w:tblPr>
        <w:tblStyle w:val="38"/>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90"/>
        <w:gridCol w:w="3477"/>
        <w:gridCol w:w="36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131" w:type="pct"/>
            <w:tcBorders>
              <w:top w:val="single" w:color="auto" w:sz="12" w:space="0"/>
              <w:left w:val="nil"/>
              <w:bottom w:val="single" w:color="auto" w:sz="4" w:space="0"/>
              <w:right w:val="single" w:color="auto" w:sz="4" w:space="0"/>
            </w:tcBorders>
            <w:vAlign w:val="center"/>
          </w:tcPr>
          <w:p>
            <w:pPr>
              <w:pStyle w:val="98"/>
              <w:spacing w:before="24" w:after="2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882"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1986" w:type="pct"/>
            <w:tcBorders>
              <w:top w:val="single" w:color="auto" w:sz="12" w:space="0"/>
              <w:left w:val="single" w:color="auto" w:sz="4" w:space="0"/>
              <w:bottom w:val="single" w:color="auto" w:sz="4" w:space="0"/>
              <w:right w:val="nil"/>
            </w:tcBorders>
            <w:vAlign w:val="center"/>
          </w:tcPr>
          <w:p>
            <w:pPr>
              <w:pStyle w:val="98"/>
              <w:spacing w:before="24" w:after="2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131" w:type="pct"/>
            <w:tcBorders>
              <w:top w:val="single" w:color="auto" w:sz="4" w:space="0"/>
              <w:left w:val="nil"/>
              <w:bottom w:val="single" w:color="auto" w:sz="4" w:space="0"/>
              <w:right w:val="single" w:color="auto" w:sz="4" w:space="0"/>
            </w:tcBorders>
            <w:vAlign w:val="center"/>
          </w:tcPr>
          <w:p>
            <w:pPr>
              <w:pStyle w:val="98"/>
              <w:spacing w:before="24" w:after="2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623" w:type="dxa"/>
            <w:tcBorders>
              <w:top w:val="single" w:color="auto" w:sz="4" w:space="0"/>
              <w:left w:val="single" w:color="auto" w:sz="4" w:space="0"/>
              <w:bottom w:val="single" w:color="auto" w:sz="4" w:space="0"/>
              <w:right w:val="single" w:color="auto" w:sz="4" w:space="0"/>
            </w:tcBorders>
            <w:vAlign w:val="center"/>
          </w:tcPr>
          <w:p>
            <w:pPr>
              <w:pStyle w:val="122"/>
              <w:rPr>
                <w:rFonts w:hint="default" w:ascii="Times New Roman" w:hAnsi="Times New Roman" w:cs="Times New Roman"/>
                <w:sz w:val="21"/>
                <w:szCs w:val="21"/>
              </w:rPr>
            </w:pPr>
            <w:r>
              <w:rPr>
                <w:rFonts w:hint="default" w:ascii="Times New Roman" w:hAnsi="Times New Roman" w:cs="Times New Roman"/>
                <w:color w:val="000000" w:themeColor="text1"/>
                <w:szCs w:val="21"/>
              </w:rPr>
              <w:t>NH</w:t>
            </w:r>
            <w:r>
              <w:rPr>
                <w:rFonts w:hint="default" w:ascii="Times New Roman" w:hAnsi="Times New Roman" w:cs="Times New Roman"/>
                <w:color w:val="000000" w:themeColor="text1"/>
                <w:szCs w:val="21"/>
                <w:vertAlign w:val="subscript"/>
              </w:rPr>
              <w:t>3</w:t>
            </w:r>
          </w:p>
        </w:tc>
        <w:tc>
          <w:tcPr>
            <w:tcW w:w="1986" w:type="pct"/>
            <w:tcBorders>
              <w:top w:val="single" w:color="auto" w:sz="4" w:space="0"/>
              <w:left w:val="single" w:color="auto" w:sz="4" w:space="0"/>
              <w:bottom w:val="single" w:color="auto" w:sz="4" w:space="0"/>
              <w:right w:val="nil"/>
            </w:tcBorders>
            <w:vAlign w:val="center"/>
          </w:tcPr>
          <w:p>
            <w:pPr>
              <w:pStyle w:val="98"/>
              <w:spacing w:before="24" w:after="24"/>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0.19</w:t>
            </w:r>
            <w:r>
              <w:rPr>
                <w:rFonts w:hint="default" w:ascii="Times New Roman" w:hAnsi="Times New Roman" w:eastAsia="宋体" w:cs="Times New Roman"/>
                <w:sz w:val="21"/>
                <w:szCs w:val="21"/>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131" w:type="pct"/>
            <w:tcBorders>
              <w:top w:val="single" w:color="auto" w:sz="4" w:space="0"/>
              <w:left w:val="nil"/>
              <w:bottom w:val="single" w:color="auto" w:sz="4" w:space="0"/>
              <w:right w:val="single" w:color="auto" w:sz="4" w:space="0"/>
            </w:tcBorders>
            <w:vAlign w:val="center"/>
          </w:tcPr>
          <w:p>
            <w:pPr>
              <w:pStyle w:val="98"/>
              <w:spacing w:before="24" w:after="24"/>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3623" w:type="dxa"/>
            <w:tcBorders>
              <w:top w:val="single" w:color="auto" w:sz="4" w:space="0"/>
              <w:left w:val="single" w:color="auto" w:sz="4" w:space="0"/>
              <w:bottom w:val="single" w:color="auto" w:sz="4" w:space="0"/>
              <w:right w:val="single" w:color="auto" w:sz="4" w:space="0"/>
            </w:tcBorders>
            <w:vAlign w:val="center"/>
          </w:tcPr>
          <w:p>
            <w:pPr>
              <w:pStyle w:val="122"/>
              <w:rPr>
                <w:rFonts w:hint="default" w:ascii="Times New Roman" w:hAnsi="Times New Roman" w:cs="Times New Roman"/>
                <w:sz w:val="21"/>
                <w:szCs w:val="21"/>
              </w:rPr>
            </w:pPr>
            <w:r>
              <w:rPr>
                <w:rFonts w:hint="default" w:ascii="Times New Roman" w:hAnsi="Times New Roman" w:cs="Times New Roman"/>
                <w:color w:val="000000" w:themeColor="text1"/>
                <w:szCs w:val="21"/>
              </w:rPr>
              <w:t>H</w:t>
            </w:r>
            <w:r>
              <w:rPr>
                <w:rFonts w:hint="default" w:ascii="Times New Roman" w:hAnsi="Times New Roman" w:cs="Times New Roman"/>
                <w:color w:val="000000" w:themeColor="text1"/>
                <w:szCs w:val="21"/>
                <w:vertAlign w:val="subscript"/>
              </w:rPr>
              <w:t>2</w:t>
            </w:r>
            <w:r>
              <w:rPr>
                <w:rFonts w:hint="default" w:ascii="Times New Roman" w:hAnsi="Times New Roman" w:cs="Times New Roman"/>
                <w:color w:val="000000" w:themeColor="text1"/>
                <w:szCs w:val="21"/>
              </w:rPr>
              <w:t>S</w:t>
            </w:r>
          </w:p>
        </w:tc>
        <w:tc>
          <w:tcPr>
            <w:tcW w:w="1986" w:type="pct"/>
            <w:tcBorders>
              <w:top w:val="single" w:color="auto" w:sz="4" w:space="0"/>
              <w:left w:val="single" w:color="auto" w:sz="4" w:space="0"/>
              <w:bottom w:val="single" w:color="auto" w:sz="4" w:space="0"/>
              <w:right w:val="nil"/>
            </w:tcBorders>
            <w:vAlign w:val="center"/>
          </w:tcPr>
          <w:p>
            <w:pPr>
              <w:pStyle w:val="98"/>
              <w:spacing w:before="24" w:after="24"/>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0.6009</w:t>
            </w:r>
            <w:r>
              <w:rPr>
                <w:rFonts w:hint="default" w:ascii="Times New Roman" w:hAnsi="Times New Roman" w:eastAsia="宋体" w:cs="Times New Roman"/>
                <w:sz w:val="21"/>
                <w:szCs w:val="21"/>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1131" w:type="pct"/>
            <w:tcBorders>
              <w:top w:val="single" w:color="auto" w:sz="4" w:space="0"/>
              <w:left w:val="nil"/>
              <w:bottom w:val="single" w:color="auto" w:sz="12" w:space="0"/>
              <w:right w:val="single" w:color="auto" w:sz="4" w:space="0"/>
            </w:tcBorders>
            <w:vAlign w:val="center"/>
          </w:tcPr>
          <w:p>
            <w:pPr>
              <w:pStyle w:val="98"/>
              <w:spacing w:before="24" w:after="24"/>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882"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default" w:ascii="Times New Roman" w:hAnsi="Times New Roman" w:cs="Times New Roman"/>
                <w:sz w:val="21"/>
                <w:szCs w:val="21"/>
              </w:rPr>
            </w:pPr>
            <w:r>
              <w:rPr>
                <w:rFonts w:cs="Times New Roman"/>
                <w:color w:val="000000" w:themeColor="text1"/>
                <w:kern w:val="2"/>
                <w:sz w:val="21"/>
                <w:szCs w:val="21"/>
              </w:rPr>
              <w:t>油烟</w:t>
            </w:r>
          </w:p>
        </w:tc>
        <w:tc>
          <w:tcPr>
            <w:tcW w:w="1986" w:type="pct"/>
            <w:tcBorders>
              <w:top w:val="single" w:color="auto" w:sz="4" w:space="0"/>
              <w:left w:val="single" w:color="auto" w:sz="4" w:space="0"/>
              <w:bottom w:val="single" w:color="auto" w:sz="12" w:space="0"/>
              <w:right w:val="nil"/>
            </w:tcBorders>
            <w:vAlign w:val="center"/>
          </w:tcPr>
          <w:p>
            <w:pPr>
              <w:pStyle w:val="98"/>
              <w:spacing w:before="24" w:after="24"/>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0.00005t/a</w:t>
            </w:r>
          </w:p>
        </w:tc>
      </w:tr>
    </w:tbl>
    <w:p>
      <w:pPr>
        <w:pStyle w:val="5"/>
        <w:rPr>
          <w:color w:val="000000" w:themeColor="text1"/>
        </w:rPr>
      </w:pPr>
      <w:bookmarkStart w:id="169" w:name="_Toc532497664"/>
      <w:r>
        <w:rPr>
          <w:rFonts w:hint="eastAsia"/>
          <w:color w:val="000000" w:themeColor="text1"/>
        </w:rPr>
        <w:t>地表水环境影响分析</w:t>
      </w:r>
      <w:bookmarkEnd w:id="169"/>
    </w:p>
    <w:p>
      <w:pPr>
        <w:spacing w:line="360" w:lineRule="auto"/>
        <w:ind w:firstLine="480" w:firstLineChars="200"/>
        <w:rPr>
          <w:rFonts w:cs="Times New Roman"/>
          <w:color w:val="000000" w:themeColor="text1"/>
          <w:szCs w:val="24"/>
        </w:rPr>
      </w:pPr>
      <w:r>
        <w:rPr>
          <w:rFonts w:hint="eastAsia"/>
        </w:rPr>
        <w:t>本项目接纳华容县桥东片区的生活污水和石伏工业园的污水，</w:t>
      </w:r>
      <w:r>
        <w:rPr>
          <w:rFonts w:cs="Times New Roman"/>
          <w:color w:val="000000" w:themeColor="text1"/>
          <w:szCs w:val="24"/>
        </w:rPr>
        <w:t>本项目污水处理厂处理设计规模为20000m</w:t>
      </w:r>
      <w:r>
        <w:rPr>
          <w:rFonts w:cs="Times New Roman"/>
          <w:color w:val="000000" w:themeColor="text1"/>
          <w:szCs w:val="24"/>
          <w:vertAlign w:val="superscript"/>
        </w:rPr>
        <w:t>3</w:t>
      </w:r>
      <w:r>
        <w:rPr>
          <w:rFonts w:cs="Times New Roman"/>
          <w:color w:val="000000" w:themeColor="text1"/>
          <w:szCs w:val="24"/>
        </w:rPr>
        <w:t>/d，排污口位于华容县石伏</w:t>
      </w:r>
      <w:r>
        <w:rPr>
          <w:rFonts w:hint="eastAsia" w:cs="Times New Roman"/>
          <w:color w:val="000000" w:themeColor="text1"/>
          <w:szCs w:val="24"/>
        </w:rPr>
        <w:t>工业园</w:t>
      </w:r>
      <w:r>
        <w:rPr>
          <w:rFonts w:cs="Times New Roman"/>
          <w:color w:val="000000" w:themeColor="text1"/>
          <w:szCs w:val="24"/>
        </w:rPr>
        <w:t>，属华容河位于华容县城境内流域下游，根据《湖南省主要地表水系水环境功能区划》（DB43023-2005），项目排污河段为华容河华容大桥至六门闸（北支）水质达到国家Ⅲ类水质标准，属渔业用水区。本项目污水处理的废水经过处理达到《城镇污水处理厂污染物排放标准》</w:t>
      </w:r>
      <w:r>
        <w:rPr>
          <w:rFonts w:cs="Times New Roman" w:hAnsiTheme="minorEastAsia"/>
          <w:color w:val="000000" w:themeColor="text1"/>
          <w:szCs w:val="24"/>
        </w:rPr>
        <w:t>（</w:t>
      </w:r>
      <w:r>
        <w:rPr>
          <w:rFonts w:cs="Times New Roman"/>
          <w:color w:val="000000" w:themeColor="text1"/>
          <w:szCs w:val="24"/>
        </w:rPr>
        <w:t>GB18918-2002</w:t>
      </w:r>
      <w:r>
        <w:rPr>
          <w:rFonts w:cs="Times New Roman" w:hAnsiTheme="minorEastAsia"/>
          <w:color w:val="000000" w:themeColor="text1"/>
          <w:szCs w:val="24"/>
        </w:rPr>
        <w:t>）</w:t>
      </w:r>
      <w:r>
        <w:rPr>
          <w:rFonts w:cs="Times New Roman"/>
          <w:color w:val="000000" w:themeColor="text1"/>
          <w:szCs w:val="24"/>
        </w:rPr>
        <w:t>中的一级A标准后</w:t>
      </w:r>
      <w:r>
        <w:rPr>
          <w:rFonts w:hint="eastAsia" w:cs="Times New Roman"/>
          <w:color w:val="000000" w:themeColor="text1"/>
          <w:szCs w:val="24"/>
        </w:rPr>
        <w:t>，有19040</w:t>
      </w:r>
      <w:r>
        <w:rPr>
          <w:rFonts w:cs="Times New Roman"/>
          <w:color w:val="000000" w:themeColor="text1"/>
          <w:szCs w:val="24"/>
        </w:rPr>
        <w:t>m</w:t>
      </w:r>
      <w:r>
        <w:rPr>
          <w:rFonts w:cs="Times New Roman"/>
          <w:color w:val="000000" w:themeColor="text1"/>
          <w:szCs w:val="24"/>
          <w:vertAlign w:val="superscript"/>
        </w:rPr>
        <w:t>3</w:t>
      </w:r>
      <w:r>
        <w:rPr>
          <w:rFonts w:cs="Times New Roman"/>
          <w:color w:val="000000" w:themeColor="text1"/>
          <w:szCs w:val="24"/>
        </w:rPr>
        <w:t>/d的废水排入华容河</w:t>
      </w:r>
      <w:r>
        <w:rPr>
          <w:rFonts w:hint="eastAsia" w:cs="Times New Roman"/>
          <w:color w:val="000000" w:themeColor="text1"/>
          <w:szCs w:val="24"/>
        </w:rPr>
        <w:t>，</w:t>
      </w:r>
      <w:r>
        <w:rPr>
          <w:rFonts w:cs="Times New Roman"/>
          <w:color w:val="000000" w:themeColor="text1"/>
          <w:szCs w:val="24"/>
        </w:rPr>
        <w:t>另外有</w:t>
      </w:r>
      <w:r>
        <w:rPr>
          <w:rFonts w:hint="eastAsia" w:cs="Times New Roman"/>
          <w:color w:val="000000" w:themeColor="text1"/>
          <w:szCs w:val="24"/>
        </w:rPr>
        <w:t>960m</w:t>
      </w:r>
      <w:r>
        <w:rPr>
          <w:rFonts w:hint="eastAsia" w:cs="Times New Roman"/>
          <w:color w:val="000000" w:themeColor="text1"/>
          <w:szCs w:val="24"/>
          <w:vertAlign w:val="superscript"/>
        </w:rPr>
        <w:t>3</w:t>
      </w:r>
      <w:r>
        <w:rPr>
          <w:rFonts w:hint="eastAsia" w:cs="Times New Roman"/>
          <w:color w:val="000000" w:themeColor="text1"/>
          <w:szCs w:val="24"/>
        </w:rPr>
        <w:t>的废水回用于厂区绿化与消毒。本项目环评对尾水排放进入华容河枯水期的地表水进行预测和分析。本项目的建设有利于改善项目周边地表水水体污染现状，实现石伏工业园可持续发展目标。</w:t>
      </w:r>
    </w:p>
    <w:p>
      <w:pPr>
        <w:pStyle w:val="6"/>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华容河近三年的水质现状</w:t>
      </w:r>
    </w:p>
    <w:p>
      <w:pPr>
        <w:keepNext w:val="0"/>
        <w:keepLines w:val="0"/>
        <w:pageBreakBefore w:val="0"/>
        <w:widowControl w:val="0"/>
        <w:kinsoku/>
        <w:wordWrap/>
        <w:overflowPunct/>
        <w:topLinePunct w:val="0"/>
        <w:autoSpaceDE/>
        <w:autoSpaceDN/>
        <w:bidi w:val="0"/>
        <w:adjustRightInd w:val="0"/>
        <w:snapToGrid w:val="0"/>
        <w:spacing w:line="360" w:lineRule="auto"/>
        <w:ind w:firstLine="432" w:firstLineChars="200"/>
        <w:textAlignment w:val="auto"/>
      </w:pPr>
      <w:r>
        <w:rPr>
          <w:spacing w:val="-12"/>
        </w:rPr>
        <w:t>本项目排污口位于华容河北支，依据《湖南省水环境功能区划》</w:t>
      </w:r>
      <w:r>
        <w:rPr>
          <w:spacing w:val="-1"/>
        </w:rPr>
        <w:t>（</w:t>
      </w:r>
      <w:r>
        <w:rPr>
          <w:rFonts w:ascii="Times New Roman" w:hAnsi="Times New Roman" w:eastAsia="Times New Roman"/>
          <w:spacing w:val="-2"/>
        </w:rPr>
        <w:t>D</w:t>
      </w:r>
      <w:r>
        <w:rPr>
          <w:rFonts w:ascii="Times New Roman" w:hAnsi="Times New Roman" w:eastAsia="Times New Roman"/>
          <w:spacing w:val="-3"/>
        </w:rPr>
        <w:t>B</w:t>
      </w:r>
      <w:r>
        <w:rPr>
          <w:rFonts w:ascii="Times New Roman" w:hAnsi="Times New Roman" w:eastAsia="Times New Roman"/>
          <w:spacing w:val="-1"/>
        </w:rPr>
        <w:t>430/23</w:t>
      </w:r>
      <w:r>
        <w:rPr>
          <w:rFonts w:ascii="Times New Roman" w:hAnsi="Times New Roman" w:eastAsia="Times New Roman"/>
          <w:spacing w:val="-2"/>
        </w:rPr>
        <w:t>-</w:t>
      </w:r>
      <w:r>
        <w:rPr>
          <w:rFonts w:ascii="Times New Roman" w:hAnsi="Times New Roman" w:eastAsia="Times New Roman"/>
          <w:spacing w:val="-1"/>
        </w:rPr>
        <w:t>200</w:t>
      </w:r>
      <w:r>
        <w:rPr>
          <w:rFonts w:ascii="Times New Roman" w:hAnsi="Times New Roman" w:eastAsia="Times New Roman"/>
          <w:spacing w:val="1"/>
        </w:rPr>
        <w:t>5</w:t>
      </w:r>
      <w:r>
        <w:rPr>
          <w:spacing w:val="-121"/>
        </w:rPr>
        <w:t>）</w:t>
      </w:r>
      <w:r>
        <w:rPr>
          <w:spacing w:val="-1"/>
        </w:rPr>
        <w:t>，</w:t>
      </w:r>
      <w:r>
        <w:t>所在水功能区水质达到国家</w:t>
      </w:r>
      <w:r>
        <w:rPr>
          <w:rFonts w:ascii="Times New Roman" w:hAnsi="Times New Roman" w:eastAsia="Times New Roman"/>
        </w:rPr>
        <w:t>Ⅲ</w:t>
      </w:r>
      <w:r>
        <w:rPr>
          <w:spacing w:val="-9"/>
        </w:rPr>
        <w:t>类水质标准，属渔业用水区。</w:t>
      </w:r>
      <w:r>
        <w:rPr>
          <w:rFonts w:hint="eastAsia"/>
          <w:spacing w:val="-9"/>
          <w:lang w:eastAsia="zh-CN"/>
        </w:rPr>
        <w:t>本项目引用了《桥东污水处理厂入河排污口论证报告》中岳阳市衡润检测有限公司</w:t>
      </w:r>
      <w:r>
        <w:rPr>
          <w:rFonts w:hint="eastAsia"/>
          <w:spacing w:val="-16"/>
          <w:lang w:eastAsia="zh-CN"/>
        </w:rPr>
        <w:t>于</w:t>
      </w:r>
      <w:r>
        <w:rPr>
          <w:spacing w:val="-16"/>
        </w:rPr>
        <w:t xml:space="preserve"> </w:t>
      </w:r>
      <w:r>
        <w:rPr>
          <w:rFonts w:ascii="Times New Roman" w:eastAsia="Times New Roman"/>
        </w:rPr>
        <w:t xml:space="preserve">2020.06.09-2020.06.11 </w:t>
      </w:r>
      <w:r>
        <w:rPr>
          <w:spacing w:val="-5"/>
        </w:rPr>
        <w:t>对华容河北支水质监测</w:t>
      </w:r>
      <w:r>
        <w:rPr>
          <w:rFonts w:hint="eastAsia"/>
          <w:spacing w:val="-5"/>
          <w:lang w:eastAsia="zh-CN"/>
        </w:rPr>
        <w:t>数据</w:t>
      </w:r>
      <w:r>
        <w:rPr>
          <w:spacing w:val="-5"/>
        </w:rPr>
        <w:t>，</w:t>
      </w:r>
      <w:r>
        <w:rPr>
          <w:rFonts w:hint="eastAsia"/>
          <w:color w:val="000000" w:themeColor="text1"/>
          <w:spacing w:val="-5"/>
          <w:lang w:eastAsia="zh-CN"/>
        </w:rPr>
        <w:t>监测数据见表</w:t>
      </w:r>
      <w:r>
        <w:rPr>
          <w:rFonts w:hint="eastAsia"/>
          <w:color w:val="000000" w:themeColor="text1"/>
          <w:spacing w:val="-5"/>
          <w:lang w:val="en-US" w:eastAsia="zh-CN"/>
        </w:rPr>
        <w:t>4.1-10</w:t>
      </w:r>
      <w:r>
        <w:rPr>
          <w:rFonts w:hint="eastAsia"/>
          <w:color w:val="000000" w:themeColor="text1"/>
          <w:spacing w:val="-5"/>
          <w:lang w:eastAsia="zh-CN"/>
        </w:rPr>
        <w:t>，</w:t>
      </w:r>
      <w:r>
        <w:rPr>
          <w:spacing w:val="-5"/>
        </w:rPr>
        <w:t>并调取了潘家渡省控断面</w:t>
      </w:r>
      <w:r>
        <w:t>近三年的监测数据。详细情况如下：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ascii="宋体" w:hAnsi="宋体" w:eastAsia="宋体" w:cs="宋体"/>
          <w:lang w:eastAsia="zh-CN"/>
        </w:rPr>
        <w:t>①</w:t>
      </w:r>
      <w:r>
        <w:t>潘家渡省控断面近三年水质检测数据</w:t>
      </w:r>
    </w:p>
    <w:p>
      <w:pPr>
        <w:tabs>
          <w:tab w:val="left" w:pos="1226"/>
        </w:tabs>
        <w:spacing w:before="159" w:after="3"/>
        <w:ind w:left="0" w:right="323" w:firstLine="0"/>
        <w:jc w:val="center"/>
        <w:rPr>
          <w:b/>
          <w:bCs/>
          <w:sz w:val="24"/>
          <w:szCs w:val="24"/>
          <w:u w:val="single"/>
        </w:rPr>
      </w:pPr>
      <w:r>
        <w:rPr>
          <w:b/>
          <w:bCs/>
          <w:sz w:val="24"/>
          <w:szCs w:val="24"/>
          <w:u w:val="single"/>
        </w:rPr>
        <w:t xml:space="preserve">表 </w:t>
      </w:r>
      <w:r>
        <w:rPr>
          <w:b/>
          <w:bCs/>
          <w:sz w:val="24"/>
          <w:szCs w:val="24"/>
          <w:u w:val="single"/>
        </w:rPr>
        <w:fldChar w:fldCharType="begin"/>
      </w:r>
      <w:r>
        <w:rPr>
          <w:b/>
          <w:bCs/>
          <w:sz w:val="24"/>
          <w:szCs w:val="24"/>
          <w:u w:val="single"/>
        </w:rPr>
        <w:instrText xml:space="preserve"> STYLEREF 2 \s </w:instrText>
      </w:r>
      <w:r>
        <w:rPr>
          <w:b/>
          <w:bCs/>
          <w:sz w:val="24"/>
          <w:szCs w:val="24"/>
          <w:u w:val="single"/>
        </w:rPr>
        <w:fldChar w:fldCharType="separate"/>
      </w:r>
      <w:r>
        <w:rPr>
          <w:b/>
          <w:bCs/>
          <w:sz w:val="24"/>
          <w:szCs w:val="24"/>
          <w:u w:val="single"/>
        </w:rPr>
        <w:t>4</w:t>
      </w:r>
      <w:r>
        <w:rPr>
          <w:rFonts w:hint="eastAsia"/>
          <w:b/>
          <w:bCs/>
          <w:sz w:val="24"/>
          <w:szCs w:val="24"/>
          <w:u w:val="single"/>
          <w:lang w:val="en-US" w:eastAsia="zh-CN"/>
        </w:rPr>
        <w:t>.</w:t>
      </w:r>
      <w:r>
        <w:rPr>
          <w:b/>
          <w:bCs/>
          <w:sz w:val="24"/>
          <w:szCs w:val="24"/>
          <w:u w:val="single"/>
        </w:rPr>
        <w:t>1</w:t>
      </w:r>
      <w:r>
        <w:rPr>
          <w:b/>
          <w:bCs/>
          <w:sz w:val="24"/>
          <w:szCs w:val="24"/>
          <w:u w:val="single"/>
        </w:rPr>
        <w:fldChar w:fldCharType="end"/>
      </w:r>
      <w:r>
        <w:rPr>
          <w:rFonts w:hint="eastAsia"/>
          <w:b/>
          <w:bCs/>
          <w:sz w:val="24"/>
          <w:szCs w:val="24"/>
          <w:u w:val="single"/>
          <w:lang w:eastAsia="zh-CN"/>
        </w:rPr>
        <w:t>-</w:t>
      </w:r>
      <w:r>
        <w:rPr>
          <w:b/>
          <w:bCs/>
          <w:sz w:val="24"/>
          <w:szCs w:val="24"/>
          <w:u w:val="single"/>
        </w:rPr>
        <w:fldChar w:fldCharType="begin"/>
      </w:r>
      <w:r>
        <w:rPr>
          <w:b/>
          <w:bCs/>
          <w:sz w:val="24"/>
          <w:szCs w:val="24"/>
          <w:u w:val="single"/>
        </w:rPr>
        <w:instrText xml:space="preserve"> SEQ 表 \* ARABIC \s 2 </w:instrText>
      </w:r>
      <w:r>
        <w:rPr>
          <w:b/>
          <w:bCs/>
          <w:sz w:val="24"/>
          <w:szCs w:val="24"/>
          <w:u w:val="single"/>
        </w:rPr>
        <w:fldChar w:fldCharType="separate"/>
      </w:r>
      <w:r>
        <w:rPr>
          <w:b/>
          <w:bCs/>
          <w:sz w:val="24"/>
          <w:szCs w:val="24"/>
          <w:u w:val="single"/>
        </w:rPr>
        <w:t>10</w:t>
      </w:r>
      <w:r>
        <w:rPr>
          <w:b/>
          <w:bCs/>
          <w:sz w:val="24"/>
          <w:szCs w:val="24"/>
          <w:u w:val="single"/>
        </w:rPr>
        <w:fldChar w:fldCharType="end"/>
      </w:r>
      <w:r>
        <w:rPr>
          <w:rFonts w:hint="eastAsia"/>
          <w:b/>
          <w:bCs/>
          <w:sz w:val="24"/>
          <w:szCs w:val="24"/>
          <w:u w:val="single"/>
          <w:lang w:val="en-US" w:eastAsia="zh-CN"/>
        </w:rPr>
        <w:t xml:space="preserve">  </w:t>
      </w:r>
      <w:r>
        <w:rPr>
          <w:b/>
          <w:bCs/>
          <w:sz w:val="24"/>
          <w:szCs w:val="24"/>
          <w:u w:val="single"/>
        </w:rPr>
        <w:t>潘家度省控断面近三年水质检测数据一览表</w:t>
      </w:r>
    </w:p>
    <w:tbl>
      <w:tblPr>
        <w:tblStyle w:val="38"/>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9"/>
        <w:gridCol w:w="877"/>
        <w:gridCol w:w="877"/>
        <w:gridCol w:w="877"/>
        <w:gridCol w:w="767"/>
        <w:gridCol w:w="1021"/>
        <w:gridCol w:w="698"/>
        <w:gridCol w:w="801"/>
        <w:gridCol w:w="877"/>
        <w:gridCol w:w="740"/>
        <w:gridCol w:w="577"/>
        <w:gridCol w:w="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38" w:type="pct"/>
            <w:tcBorders>
              <w:top w:val="single" w:color="000000" w:sz="12" w:space="0"/>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序号</w:t>
            </w:r>
          </w:p>
        </w:tc>
        <w:tc>
          <w:tcPr>
            <w:tcW w:w="486"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测站名称</w:t>
            </w:r>
          </w:p>
        </w:tc>
        <w:tc>
          <w:tcPr>
            <w:tcW w:w="486"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河流名称</w:t>
            </w:r>
          </w:p>
        </w:tc>
        <w:tc>
          <w:tcPr>
            <w:tcW w:w="486"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断面名称</w:t>
            </w:r>
          </w:p>
        </w:tc>
        <w:tc>
          <w:tcPr>
            <w:tcW w:w="425" w:type="pct"/>
            <w:tcBorders>
              <w:top w:val="single" w:color="000000" w:sz="12" w:space="0"/>
            </w:tcBorders>
            <w:vAlign w:val="center"/>
          </w:tcPr>
          <w:p>
            <w:pPr>
              <w:pStyle w:val="78"/>
              <w:snapToGrid w:val="0"/>
              <w:jc w:val="center"/>
              <w:rPr>
                <w:rFonts w:hint="eastAsia" w:eastAsia="宋体"/>
                <w:kern w:val="2"/>
                <w:sz w:val="21"/>
                <w:szCs w:val="21"/>
                <w:u w:val="single"/>
                <w:lang w:val="en-US" w:eastAsia="zh-CN"/>
              </w:rPr>
            </w:pPr>
            <w:r>
              <w:rPr>
                <w:rFonts w:hint="eastAsia" w:eastAsia="宋体"/>
                <w:kern w:val="2"/>
                <w:sz w:val="21"/>
                <w:szCs w:val="21"/>
                <w:u w:val="single"/>
                <w:lang w:val="en-US" w:eastAsia="zh-CN"/>
              </w:rPr>
              <w:t>日期</w:t>
            </w:r>
          </w:p>
        </w:tc>
        <w:tc>
          <w:tcPr>
            <w:tcW w:w="566"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采样时间</w:t>
            </w:r>
          </w:p>
        </w:tc>
        <w:tc>
          <w:tcPr>
            <w:tcW w:w="385"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水期代码</w:t>
            </w:r>
          </w:p>
        </w:tc>
        <w:tc>
          <w:tcPr>
            <w:tcW w:w="444"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pH</w:t>
            </w:r>
          </w:p>
        </w:tc>
        <w:tc>
          <w:tcPr>
            <w:tcW w:w="486"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化学需氧量</w:t>
            </w:r>
          </w:p>
        </w:tc>
        <w:tc>
          <w:tcPr>
            <w:tcW w:w="410"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五日生</w:t>
            </w:r>
          </w:p>
          <w:p>
            <w:pPr>
              <w:pStyle w:val="78"/>
              <w:snapToGrid w:val="0"/>
              <w:jc w:val="center"/>
              <w:rPr>
                <w:rFonts w:hint="default" w:eastAsia="宋体"/>
                <w:kern w:val="2"/>
                <w:sz w:val="21"/>
                <w:szCs w:val="21"/>
                <w:u w:val="single"/>
              </w:rPr>
            </w:pPr>
            <w:r>
              <w:rPr>
                <w:rFonts w:hint="default" w:eastAsia="宋体"/>
                <w:kern w:val="2"/>
                <w:sz w:val="21"/>
                <w:szCs w:val="21"/>
                <w:u w:val="single"/>
              </w:rPr>
              <w:t>化需氧量</w:t>
            </w:r>
          </w:p>
        </w:tc>
        <w:tc>
          <w:tcPr>
            <w:tcW w:w="320" w:type="pct"/>
            <w:tcBorders>
              <w:top w:val="single" w:color="000000" w:sz="12" w:space="0"/>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氨氮</w:t>
            </w:r>
          </w:p>
        </w:tc>
        <w:tc>
          <w:tcPr>
            <w:tcW w:w="264" w:type="pct"/>
            <w:tcBorders>
              <w:top w:val="single" w:color="000000" w:sz="12" w:space="0"/>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01月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2018-01-03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7.18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0.97</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02月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2018-02-01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7.50</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0.86</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03月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2018-03-01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7.18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2.4</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0.76</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04月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2018-04-01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7.63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2.4</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0.77</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5</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05月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2018-05-03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f</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7.28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0.85</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6</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06月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2018-06-04</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f</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7.28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0.97</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华容和</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07月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2018-07-02</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f</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7.41</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2.6</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0.28</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08月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2018-08-01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f</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7.64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0.26</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9</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09月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2018-09-03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7.36</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2.1</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0.16</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10</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10月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2018-10-08</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7.84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0.24</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11</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11月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2018-11-01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7.21</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2.5</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0.19</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12</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2018年</w:t>
            </w:r>
          </w:p>
          <w:p>
            <w:pPr>
              <w:pStyle w:val="78"/>
              <w:snapToGrid w:val="0"/>
              <w:jc w:val="center"/>
              <w:rPr>
                <w:rFonts w:hint="default" w:eastAsia="宋体"/>
                <w:kern w:val="2"/>
                <w:sz w:val="21"/>
                <w:szCs w:val="21"/>
                <w:u w:val="single"/>
              </w:rPr>
            </w:pPr>
            <w:r>
              <w:rPr>
                <w:rFonts w:hint="default" w:eastAsia="宋体"/>
                <w:kern w:val="2"/>
                <w:sz w:val="21"/>
                <w:szCs w:val="21"/>
                <w:u w:val="single"/>
              </w:rPr>
              <w:t>12月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2018-12-03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7.44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0.41</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01月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2019-01-03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7.88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3.9</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0.73</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02月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2019-02-11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7.90</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0.52</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15</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03月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2019-03-05</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7.77</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0.42</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16</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04月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2019-04-01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8.42</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0.49</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17</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05月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2019-05-05</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7.43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0.32</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06月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2019-06-03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7.69</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2.4</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0.54</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07月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2019-07-01</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f</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7.83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0.50</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08月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2019-08-05</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f</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7.92</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0.36</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21</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09月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2019-09-03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7.44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18</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0.32</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22</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10月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2019-10-09</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8.04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3.0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0.42</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11月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2019-11-05</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7.33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0.28</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24</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w:t>
            </w:r>
          </w:p>
          <w:p>
            <w:pPr>
              <w:pStyle w:val="78"/>
              <w:snapToGrid w:val="0"/>
              <w:jc w:val="center"/>
              <w:rPr>
                <w:rFonts w:hint="default" w:eastAsia="宋体"/>
                <w:kern w:val="2"/>
                <w:sz w:val="21"/>
                <w:szCs w:val="21"/>
                <w:u w:val="single"/>
              </w:rPr>
            </w:pPr>
            <w:r>
              <w:rPr>
                <w:rFonts w:hint="default" w:eastAsia="宋体"/>
                <w:kern w:val="2"/>
                <w:sz w:val="21"/>
                <w:szCs w:val="21"/>
                <w:u w:val="single"/>
              </w:rPr>
              <w:t>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2019年</w:t>
            </w:r>
          </w:p>
          <w:p>
            <w:pPr>
              <w:pStyle w:val="78"/>
              <w:snapToGrid w:val="0"/>
              <w:jc w:val="center"/>
              <w:rPr>
                <w:rFonts w:hint="default" w:eastAsia="宋体"/>
                <w:kern w:val="2"/>
                <w:sz w:val="21"/>
                <w:szCs w:val="21"/>
                <w:u w:val="single"/>
              </w:rPr>
            </w:pPr>
            <w:r>
              <w:rPr>
                <w:rFonts w:hint="default" w:eastAsia="宋体"/>
                <w:kern w:val="2"/>
                <w:sz w:val="21"/>
                <w:szCs w:val="21"/>
                <w:u w:val="single"/>
              </w:rPr>
              <w:t>12月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2019-12-02</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7.53</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0.37</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25</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2020年</w:t>
            </w:r>
          </w:p>
          <w:p>
            <w:pPr>
              <w:pStyle w:val="78"/>
              <w:snapToGrid w:val="0"/>
              <w:jc w:val="center"/>
              <w:rPr>
                <w:rFonts w:hint="default" w:eastAsia="宋体"/>
                <w:kern w:val="2"/>
                <w:sz w:val="21"/>
                <w:szCs w:val="21"/>
                <w:u w:val="single"/>
              </w:rPr>
            </w:pPr>
            <w:r>
              <w:rPr>
                <w:rFonts w:hint="default" w:eastAsia="宋体"/>
                <w:kern w:val="2"/>
                <w:sz w:val="21"/>
                <w:szCs w:val="21"/>
                <w:u w:val="single"/>
              </w:rPr>
              <w:t>01月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2020-01-03</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19.0</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2.4</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0.31</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26</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2020年</w:t>
            </w:r>
          </w:p>
          <w:p>
            <w:pPr>
              <w:pStyle w:val="78"/>
              <w:snapToGrid w:val="0"/>
              <w:jc w:val="center"/>
              <w:rPr>
                <w:rFonts w:hint="default" w:eastAsia="宋体"/>
                <w:kern w:val="2"/>
                <w:sz w:val="21"/>
                <w:szCs w:val="21"/>
                <w:u w:val="single"/>
              </w:rPr>
            </w:pPr>
            <w:r>
              <w:rPr>
                <w:rFonts w:hint="default" w:eastAsia="宋体"/>
                <w:kern w:val="2"/>
                <w:sz w:val="21"/>
                <w:szCs w:val="21"/>
                <w:u w:val="single"/>
              </w:rPr>
              <w:t>02月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2020-02-17</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k</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7</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19.5</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0.32</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27</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2020年</w:t>
            </w:r>
          </w:p>
          <w:p>
            <w:pPr>
              <w:pStyle w:val="78"/>
              <w:snapToGrid w:val="0"/>
              <w:jc w:val="center"/>
              <w:rPr>
                <w:rFonts w:hint="default" w:eastAsia="宋体"/>
                <w:kern w:val="2"/>
                <w:sz w:val="21"/>
                <w:szCs w:val="21"/>
                <w:u w:val="single"/>
              </w:rPr>
            </w:pPr>
            <w:r>
              <w:rPr>
                <w:rFonts w:hint="default" w:eastAsia="宋体"/>
                <w:kern w:val="2"/>
                <w:sz w:val="21"/>
                <w:szCs w:val="21"/>
                <w:u w:val="single"/>
              </w:rPr>
              <w:t>03月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2020-03-06</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19.0</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2.2</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0.30</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2020年</w:t>
            </w:r>
          </w:p>
          <w:p>
            <w:pPr>
              <w:pStyle w:val="78"/>
              <w:snapToGrid w:val="0"/>
              <w:jc w:val="center"/>
              <w:rPr>
                <w:rFonts w:hint="default" w:eastAsia="宋体"/>
                <w:kern w:val="2"/>
                <w:sz w:val="21"/>
                <w:szCs w:val="21"/>
                <w:u w:val="single"/>
              </w:rPr>
            </w:pPr>
            <w:r>
              <w:rPr>
                <w:rFonts w:hint="default" w:eastAsia="宋体"/>
                <w:kern w:val="2"/>
                <w:sz w:val="21"/>
                <w:szCs w:val="21"/>
                <w:u w:val="single"/>
              </w:rPr>
              <w:t>04月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2020-04-02</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19.5</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2.8</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0.30</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8" w:type="pct"/>
            <w:tcBorders>
              <w:lef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29</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岳阳市</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华容河</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潘家渡</w:t>
            </w:r>
          </w:p>
        </w:tc>
        <w:tc>
          <w:tcPr>
            <w:tcW w:w="42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2020年</w:t>
            </w:r>
          </w:p>
          <w:p>
            <w:pPr>
              <w:pStyle w:val="78"/>
              <w:snapToGrid w:val="0"/>
              <w:jc w:val="center"/>
              <w:rPr>
                <w:rFonts w:hint="default" w:eastAsia="宋体"/>
                <w:kern w:val="2"/>
                <w:sz w:val="21"/>
                <w:szCs w:val="21"/>
                <w:u w:val="single"/>
              </w:rPr>
            </w:pPr>
            <w:r>
              <w:rPr>
                <w:rFonts w:hint="default" w:eastAsia="宋体"/>
                <w:kern w:val="2"/>
                <w:sz w:val="21"/>
                <w:szCs w:val="21"/>
                <w:u w:val="single"/>
              </w:rPr>
              <w:t>05月</w:t>
            </w:r>
          </w:p>
        </w:tc>
        <w:tc>
          <w:tcPr>
            <w:tcW w:w="56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2020-05-06</w:t>
            </w:r>
          </w:p>
        </w:tc>
        <w:tc>
          <w:tcPr>
            <w:tcW w:w="385"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p</w:t>
            </w:r>
          </w:p>
        </w:tc>
        <w:tc>
          <w:tcPr>
            <w:tcW w:w="444"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8</w:t>
            </w:r>
          </w:p>
        </w:tc>
        <w:tc>
          <w:tcPr>
            <w:tcW w:w="486"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19.5</w:t>
            </w:r>
          </w:p>
        </w:tc>
        <w:tc>
          <w:tcPr>
            <w:tcW w:w="41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2.1</w:t>
            </w:r>
          </w:p>
        </w:tc>
        <w:tc>
          <w:tcPr>
            <w:tcW w:w="320" w:type="pct"/>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0.33</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hint="default" w:eastAsia="宋体"/>
                <w:kern w:val="2"/>
                <w:sz w:val="21"/>
                <w:szCs w:val="21"/>
                <w:u w:val="single"/>
              </w:rPr>
              <w:t>0.078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074" w:type="pct"/>
            <w:gridSpan w:val="7"/>
            <w:tcBorders>
              <w:left w:val="nil"/>
            </w:tcBorders>
            <w:vAlign w:val="center"/>
          </w:tcPr>
          <w:p>
            <w:pPr>
              <w:pStyle w:val="78"/>
              <w:snapToGrid w:val="0"/>
              <w:jc w:val="center"/>
              <w:rPr>
                <w:rFonts w:hint="eastAsia" w:eastAsia="宋体"/>
                <w:kern w:val="2"/>
                <w:sz w:val="21"/>
                <w:szCs w:val="21"/>
                <w:u w:val="single"/>
                <w:lang w:eastAsia="zh-CN"/>
              </w:rPr>
            </w:pPr>
            <w:r>
              <w:rPr>
                <w:rFonts w:hint="eastAsia" w:eastAsia="宋体"/>
                <w:kern w:val="2"/>
                <w:sz w:val="21"/>
                <w:szCs w:val="21"/>
                <w:u w:val="single"/>
                <w:lang w:eastAsia="zh-CN"/>
              </w:rPr>
              <w:t>标准值</w:t>
            </w:r>
          </w:p>
        </w:tc>
        <w:tc>
          <w:tcPr>
            <w:tcW w:w="444" w:type="pct"/>
            <w:vAlign w:val="center"/>
          </w:tcPr>
          <w:p>
            <w:pPr>
              <w:pStyle w:val="78"/>
              <w:snapToGrid w:val="0"/>
              <w:jc w:val="center"/>
              <w:rPr>
                <w:rFonts w:hint="default" w:eastAsia="宋体"/>
                <w:kern w:val="2"/>
                <w:sz w:val="21"/>
                <w:szCs w:val="21"/>
                <w:u w:val="single"/>
              </w:rPr>
            </w:pPr>
            <w:r>
              <w:rPr>
                <w:rFonts w:cs="Times New Roman"/>
                <w:color w:val="000000" w:themeColor="text1"/>
                <w:sz w:val="21"/>
                <w:u w:val="single"/>
              </w:rPr>
              <w:t>6~9</w:t>
            </w:r>
          </w:p>
        </w:tc>
        <w:tc>
          <w:tcPr>
            <w:tcW w:w="486" w:type="pct"/>
            <w:vAlign w:val="center"/>
          </w:tcPr>
          <w:p>
            <w:pPr>
              <w:pStyle w:val="78"/>
              <w:snapToGrid w:val="0"/>
              <w:jc w:val="center"/>
              <w:rPr>
                <w:rFonts w:hint="default" w:eastAsia="宋体"/>
                <w:kern w:val="2"/>
                <w:sz w:val="21"/>
                <w:szCs w:val="21"/>
                <w:u w:val="single"/>
              </w:rPr>
            </w:pPr>
            <w:r>
              <w:rPr>
                <w:rFonts w:eastAsia="宋体" w:cs="Times New Roman"/>
                <w:color w:val="000000" w:themeColor="text1"/>
                <w:kern w:val="0"/>
                <w:sz w:val="21"/>
                <w:u w:val="single"/>
              </w:rPr>
              <w:t>≤</w:t>
            </w:r>
            <w:r>
              <w:rPr>
                <w:rFonts w:cs="Times New Roman"/>
                <w:color w:val="000000" w:themeColor="text1"/>
                <w:sz w:val="21"/>
                <w:u w:val="single"/>
              </w:rPr>
              <w:t>20</w:t>
            </w:r>
          </w:p>
        </w:tc>
        <w:tc>
          <w:tcPr>
            <w:tcW w:w="410" w:type="pct"/>
            <w:vAlign w:val="center"/>
          </w:tcPr>
          <w:p>
            <w:pPr>
              <w:pStyle w:val="78"/>
              <w:snapToGrid w:val="0"/>
              <w:jc w:val="center"/>
              <w:rPr>
                <w:rFonts w:hint="default" w:eastAsia="宋体"/>
                <w:kern w:val="2"/>
                <w:sz w:val="21"/>
                <w:szCs w:val="21"/>
                <w:u w:val="single"/>
              </w:rPr>
            </w:pPr>
            <w:r>
              <w:rPr>
                <w:rFonts w:eastAsia="宋体" w:cs="Times New Roman"/>
                <w:color w:val="000000" w:themeColor="text1"/>
                <w:kern w:val="0"/>
                <w:sz w:val="21"/>
                <w:u w:val="single"/>
              </w:rPr>
              <w:t>≤</w:t>
            </w:r>
            <w:r>
              <w:rPr>
                <w:rFonts w:cs="Times New Roman"/>
                <w:color w:val="000000" w:themeColor="text1"/>
                <w:sz w:val="21"/>
                <w:u w:val="single"/>
              </w:rPr>
              <w:t>4</w:t>
            </w:r>
          </w:p>
        </w:tc>
        <w:tc>
          <w:tcPr>
            <w:tcW w:w="320" w:type="pct"/>
            <w:vAlign w:val="center"/>
          </w:tcPr>
          <w:p>
            <w:pPr>
              <w:pStyle w:val="78"/>
              <w:snapToGrid w:val="0"/>
              <w:jc w:val="center"/>
              <w:rPr>
                <w:rFonts w:hint="default" w:eastAsia="宋体"/>
                <w:kern w:val="2"/>
                <w:sz w:val="21"/>
                <w:szCs w:val="21"/>
                <w:u w:val="single"/>
              </w:rPr>
            </w:pPr>
            <w:r>
              <w:rPr>
                <w:rFonts w:eastAsia="宋体" w:cs="Times New Roman"/>
                <w:color w:val="000000" w:themeColor="text1"/>
                <w:kern w:val="0"/>
                <w:sz w:val="21"/>
                <w:u w:val="single"/>
              </w:rPr>
              <w:t>≤</w:t>
            </w:r>
            <w:r>
              <w:rPr>
                <w:rFonts w:cs="Times New Roman"/>
                <w:color w:val="000000" w:themeColor="text1"/>
                <w:sz w:val="21"/>
                <w:u w:val="single"/>
              </w:rPr>
              <w:t>1.0</w:t>
            </w:r>
          </w:p>
        </w:tc>
        <w:tc>
          <w:tcPr>
            <w:tcW w:w="264" w:type="pct"/>
            <w:tcBorders>
              <w:right w:val="nil"/>
            </w:tcBorders>
            <w:vAlign w:val="center"/>
          </w:tcPr>
          <w:p>
            <w:pPr>
              <w:pStyle w:val="78"/>
              <w:snapToGrid w:val="0"/>
              <w:jc w:val="center"/>
              <w:rPr>
                <w:rFonts w:hint="default" w:eastAsia="宋体"/>
                <w:kern w:val="2"/>
                <w:sz w:val="21"/>
                <w:szCs w:val="21"/>
                <w:u w:val="single"/>
              </w:rPr>
            </w:pPr>
            <w:r>
              <w:rPr>
                <w:rFonts w:eastAsia="宋体" w:cs="Times New Roman"/>
                <w:color w:val="000000" w:themeColor="text1"/>
                <w:kern w:val="0"/>
                <w:sz w:val="21"/>
                <w:u w:val="single"/>
              </w:rPr>
              <w:t>≤</w:t>
            </w:r>
            <w:r>
              <w:rPr>
                <w:rFonts w:cs="Times New Roman"/>
                <w:color w:val="000000" w:themeColor="text1"/>
                <w:sz w:val="21"/>
                <w:u w:val="single"/>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3074" w:type="pct"/>
            <w:gridSpan w:val="7"/>
            <w:tcBorders>
              <w:left w:val="nil"/>
              <w:bottom w:val="single" w:color="000000" w:sz="12" w:space="0"/>
            </w:tcBorders>
            <w:vAlign w:val="center"/>
          </w:tcPr>
          <w:p>
            <w:pPr>
              <w:pStyle w:val="78"/>
              <w:snapToGrid w:val="0"/>
              <w:jc w:val="center"/>
              <w:rPr>
                <w:rFonts w:hint="eastAsia" w:eastAsia="宋体"/>
                <w:kern w:val="2"/>
                <w:sz w:val="21"/>
                <w:szCs w:val="21"/>
                <w:u w:val="single"/>
                <w:lang w:eastAsia="zh-CN"/>
              </w:rPr>
            </w:pPr>
            <w:r>
              <w:rPr>
                <w:rFonts w:hint="eastAsia" w:eastAsia="宋体"/>
                <w:kern w:val="2"/>
                <w:sz w:val="21"/>
                <w:szCs w:val="21"/>
                <w:u w:val="single"/>
                <w:lang w:eastAsia="zh-CN"/>
              </w:rPr>
              <w:t>是否达标</w:t>
            </w:r>
          </w:p>
        </w:tc>
        <w:tc>
          <w:tcPr>
            <w:tcW w:w="444" w:type="pct"/>
            <w:tcBorders>
              <w:bottom w:val="single" w:color="000000" w:sz="12" w:space="0"/>
            </w:tcBorders>
            <w:vAlign w:val="center"/>
          </w:tcPr>
          <w:p>
            <w:pPr>
              <w:pStyle w:val="78"/>
              <w:snapToGrid w:val="0"/>
              <w:jc w:val="center"/>
              <w:rPr>
                <w:rFonts w:hint="eastAsia" w:cs="Times New Roman" w:eastAsiaTheme="minorEastAsia"/>
                <w:color w:val="000000" w:themeColor="text1"/>
                <w:sz w:val="21"/>
                <w:u w:val="single"/>
                <w:lang w:eastAsia="zh-CN"/>
              </w:rPr>
            </w:pPr>
            <w:r>
              <w:rPr>
                <w:rFonts w:hint="eastAsia" w:cs="Times New Roman"/>
                <w:color w:val="000000" w:themeColor="text1"/>
                <w:sz w:val="21"/>
                <w:u w:val="single"/>
                <w:lang w:eastAsia="zh-CN"/>
              </w:rPr>
              <w:t>达标</w:t>
            </w:r>
          </w:p>
        </w:tc>
        <w:tc>
          <w:tcPr>
            <w:tcW w:w="486" w:type="pct"/>
            <w:tcBorders>
              <w:bottom w:val="single" w:color="000000" w:sz="12" w:space="0"/>
            </w:tcBorders>
            <w:vAlign w:val="center"/>
          </w:tcPr>
          <w:p>
            <w:pPr>
              <w:pStyle w:val="78"/>
              <w:snapToGrid w:val="0"/>
              <w:jc w:val="center"/>
              <w:rPr>
                <w:rFonts w:eastAsia="宋体" w:cs="Times New Roman"/>
                <w:color w:val="000000" w:themeColor="text1"/>
                <w:kern w:val="0"/>
                <w:sz w:val="21"/>
                <w:u w:val="single"/>
              </w:rPr>
            </w:pPr>
            <w:r>
              <w:rPr>
                <w:rFonts w:hint="eastAsia" w:cs="Times New Roman"/>
                <w:color w:val="000000" w:themeColor="text1"/>
                <w:sz w:val="21"/>
                <w:u w:val="single"/>
                <w:lang w:eastAsia="zh-CN"/>
              </w:rPr>
              <w:t>达标</w:t>
            </w:r>
          </w:p>
        </w:tc>
        <w:tc>
          <w:tcPr>
            <w:tcW w:w="410" w:type="pct"/>
            <w:tcBorders>
              <w:bottom w:val="single" w:color="000000" w:sz="12" w:space="0"/>
            </w:tcBorders>
            <w:vAlign w:val="center"/>
          </w:tcPr>
          <w:p>
            <w:pPr>
              <w:pStyle w:val="78"/>
              <w:snapToGrid w:val="0"/>
              <w:jc w:val="center"/>
              <w:rPr>
                <w:rFonts w:eastAsia="宋体" w:cs="Times New Roman"/>
                <w:color w:val="000000" w:themeColor="text1"/>
                <w:kern w:val="0"/>
                <w:sz w:val="21"/>
                <w:u w:val="single"/>
              </w:rPr>
            </w:pPr>
            <w:r>
              <w:rPr>
                <w:rFonts w:hint="eastAsia" w:cs="Times New Roman"/>
                <w:color w:val="000000" w:themeColor="text1"/>
                <w:sz w:val="21"/>
                <w:u w:val="single"/>
                <w:lang w:eastAsia="zh-CN"/>
              </w:rPr>
              <w:t>达标</w:t>
            </w:r>
          </w:p>
        </w:tc>
        <w:tc>
          <w:tcPr>
            <w:tcW w:w="320" w:type="pct"/>
            <w:tcBorders>
              <w:bottom w:val="single" w:color="000000" w:sz="12" w:space="0"/>
            </w:tcBorders>
            <w:vAlign w:val="center"/>
          </w:tcPr>
          <w:p>
            <w:pPr>
              <w:pStyle w:val="78"/>
              <w:snapToGrid w:val="0"/>
              <w:jc w:val="center"/>
              <w:rPr>
                <w:rFonts w:eastAsia="宋体" w:cs="Times New Roman"/>
                <w:color w:val="000000" w:themeColor="text1"/>
                <w:kern w:val="0"/>
                <w:sz w:val="21"/>
                <w:u w:val="single"/>
              </w:rPr>
            </w:pPr>
            <w:r>
              <w:rPr>
                <w:rFonts w:hint="eastAsia" w:cs="Times New Roman"/>
                <w:color w:val="000000" w:themeColor="text1"/>
                <w:sz w:val="21"/>
                <w:u w:val="single"/>
                <w:lang w:eastAsia="zh-CN"/>
              </w:rPr>
              <w:t>达标</w:t>
            </w:r>
          </w:p>
        </w:tc>
        <w:tc>
          <w:tcPr>
            <w:tcW w:w="264" w:type="pct"/>
            <w:tcBorders>
              <w:bottom w:val="single" w:color="000000" w:sz="12" w:space="0"/>
              <w:right w:val="nil"/>
            </w:tcBorders>
            <w:vAlign w:val="center"/>
          </w:tcPr>
          <w:p>
            <w:pPr>
              <w:pStyle w:val="78"/>
              <w:snapToGrid w:val="0"/>
              <w:jc w:val="center"/>
              <w:rPr>
                <w:rFonts w:eastAsia="宋体" w:cs="Times New Roman"/>
                <w:color w:val="000000" w:themeColor="text1"/>
                <w:kern w:val="0"/>
                <w:sz w:val="21"/>
                <w:u w:val="single"/>
              </w:rPr>
            </w:pPr>
            <w:r>
              <w:rPr>
                <w:rFonts w:hint="eastAsia" w:cs="Times New Roman"/>
                <w:color w:val="000000" w:themeColor="text1"/>
                <w:sz w:val="21"/>
                <w:u w:val="single"/>
                <w:lang w:eastAsia="zh-CN"/>
              </w:rPr>
              <w:t>达标</w:t>
            </w:r>
          </w:p>
        </w:tc>
      </w:tr>
    </w:tbl>
    <w:p>
      <w:pPr>
        <w:keepNext w:val="0"/>
        <w:keepLines w:val="0"/>
        <w:pageBreakBefore w:val="0"/>
        <w:widowControl w:val="0"/>
        <w:tabs>
          <w:tab w:val="left" w:pos="1226"/>
        </w:tabs>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eastAsiaTheme="minorEastAsia"/>
          <w:b w:val="0"/>
          <w:bCs w:val="0"/>
          <w:sz w:val="24"/>
          <w:szCs w:val="24"/>
          <w:u w:val="single"/>
          <w:lang w:eastAsia="zh-CN"/>
        </w:rPr>
      </w:pPr>
      <w:r>
        <w:rPr>
          <w:rFonts w:hint="eastAsia"/>
          <w:b w:val="0"/>
          <w:bCs w:val="0"/>
          <w:sz w:val="24"/>
          <w:szCs w:val="24"/>
          <w:u w:val="single"/>
          <w:lang w:eastAsia="zh-CN"/>
        </w:rPr>
        <w:t>由上表可知，岳阳市华容河潘家渡水质控制断面的水质因子可满足《地表水环境质量标准》</w:t>
      </w:r>
      <w:r>
        <w:rPr>
          <w:u w:val="single"/>
        </w:rPr>
        <w:t>（</w:t>
      </w:r>
      <w:r>
        <w:rPr>
          <w:rFonts w:ascii="Times New Roman" w:hAnsi="Times New Roman" w:eastAsia="Times New Roman"/>
          <w:u w:val="single"/>
        </w:rPr>
        <w:t>GB3838-2002</w:t>
      </w:r>
      <w:r>
        <w:rPr>
          <w:u w:val="single"/>
        </w:rPr>
        <w:t>）</w:t>
      </w:r>
      <w:r>
        <w:rPr>
          <w:rFonts w:ascii="Times New Roman" w:hAnsi="Times New Roman" w:eastAsia="Times New Roman"/>
          <w:u w:val="single"/>
        </w:rPr>
        <w:t>Ⅲ</w:t>
      </w:r>
      <w:r>
        <w:rPr>
          <w:u w:val="single"/>
        </w:rPr>
        <w:t>类水质要求</w:t>
      </w:r>
      <w:r>
        <w:rPr>
          <w:rFonts w:hint="eastAsia"/>
          <w:u w:val="single"/>
          <w:lang w:eastAsia="zh-CN"/>
        </w:rPr>
        <w:t>，</w:t>
      </w:r>
      <w:r>
        <w:rPr>
          <w:b w:val="0"/>
          <w:bCs w:val="0"/>
          <w:spacing w:val="-10"/>
          <w:u w:val="single"/>
        </w:rPr>
        <w:t>华容河水质经过相关政府部门的不断努力，华容河水质正在逐年稳步提升</w:t>
      </w:r>
      <w:r>
        <w:rPr>
          <w:rFonts w:hint="eastAsia"/>
          <w:b w:val="0"/>
          <w:bCs w:val="0"/>
          <w:spacing w:val="-10"/>
          <w:u w:val="single"/>
          <w:lang w:eastAsia="zh-CN"/>
        </w:rPr>
        <w:t>。</w:t>
      </w:r>
    </w:p>
    <w:p>
      <w:pPr>
        <w:pStyle w:val="6"/>
        <w:bidi w:val="0"/>
        <w:rPr>
          <w:rFonts w:hint="eastAsia"/>
        </w:rPr>
      </w:pPr>
      <w:r>
        <w:rPr>
          <w:rFonts w:hint="eastAsia"/>
          <w:lang w:eastAsia="zh-CN"/>
        </w:rPr>
        <w:t>华容县桥东污水处理厂出口的废水排放情况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u w:val="single"/>
          <w:lang w:val="en-US" w:eastAsia="zh-CN"/>
        </w:rPr>
      </w:pPr>
      <w:r>
        <w:rPr>
          <w:rFonts w:hint="eastAsia"/>
          <w:u w:val="single"/>
          <w:lang w:eastAsia="zh-CN"/>
        </w:rPr>
        <w:t>为了了解华容县桥东污水处理厂的排口废水的达标情况，本项目收集了</w:t>
      </w:r>
      <w:r>
        <w:rPr>
          <w:rFonts w:hint="eastAsia"/>
          <w:u w:val="single"/>
          <w:lang w:val="en-US" w:eastAsia="zh-CN"/>
        </w:rPr>
        <w:t>2019年1月~12月</w:t>
      </w:r>
      <w:r>
        <w:rPr>
          <w:rFonts w:hint="eastAsia"/>
          <w:u w:val="single"/>
          <w:lang w:eastAsia="zh-CN"/>
        </w:rPr>
        <w:t>岳阳桥东污水处理厂废水排放情况，监测数据</w:t>
      </w:r>
      <w:r>
        <w:rPr>
          <w:rFonts w:hint="eastAsia"/>
          <w:u w:val="single"/>
          <w:lang w:val="en-US" w:eastAsia="zh-CN"/>
        </w:rPr>
        <w:t xml:space="preserve"> 具体见下表所示。</w:t>
      </w:r>
    </w:p>
    <w:p>
      <w:pPr>
        <w:pStyle w:val="14"/>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eastAsia="宋体"/>
          <w:u w:val="single"/>
          <w:vertAlign w:val="baseline"/>
          <w:lang w:val="en-US" w:eastAsia="zh-CN"/>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4</w:t>
      </w:r>
      <w:r>
        <w:rPr>
          <w:rFonts w:hint="eastAsia"/>
          <w:u w:val="single"/>
          <w:lang w:val="en-US" w:eastAsia="zh-CN"/>
        </w:rPr>
        <w:t>.</w:t>
      </w:r>
      <w:r>
        <w:rPr>
          <w:u w:val="single"/>
        </w:rPr>
        <w:t>1</w:t>
      </w:r>
      <w:r>
        <w:rPr>
          <w:u w:val="single"/>
        </w:rPr>
        <w:fldChar w:fldCharType="end"/>
      </w:r>
      <w:r>
        <w:rPr>
          <w:rFonts w:hint="eastAsia"/>
          <w:u w:val="single"/>
          <w:lang w:eastAsia="zh-CN"/>
        </w:rPr>
        <w:t>-</w:t>
      </w:r>
      <w:r>
        <w:rPr>
          <w:u w:val="single"/>
        </w:rPr>
        <w:fldChar w:fldCharType="begin"/>
      </w:r>
      <w:r>
        <w:rPr>
          <w:u w:val="single"/>
        </w:rPr>
        <w:instrText xml:space="preserve"> SEQ 表 \* ARABIC \s 2 </w:instrText>
      </w:r>
      <w:r>
        <w:rPr>
          <w:u w:val="single"/>
        </w:rPr>
        <w:fldChar w:fldCharType="separate"/>
      </w:r>
      <w:r>
        <w:rPr>
          <w:u w:val="single"/>
        </w:rPr>
        <w:t>11</w:t>
      </w:r>
      <w:r>
        <w:rPr>
          <w:u w:val="single"/>
        </w:rPr>
        <w:fldChar w:fldCharType="end"/>
      </w:r>
      <w:r>
        <w:rPr>
          <w:rFonts w:hint="eastAsia"/>
          <w:u w:val="single"/>
          <w:lang w:val="en-US" w:eastAsia="zh-CN"/>
        </w:rPr>
        <w:t xml:space="preserve"> 桥东污水处理厂出口达标情况分析一栏表</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158"/>
        <w:gridCol w:w="1158"/>
        <w:gridCol w:w="1158"/>
        <w:gridCol w:w="1158"/>
        <w:gridCol w:w="1158"/>
        <w:gridCol w:w="818"/>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0" w:type="auto"/>
            <w:tcBorders>
              <w:tl2br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eastAsia="宋体"/>
                <w:b w:val="0"/>
                <w:bCs/>
                <w:sz w:val="21"/>
                <w:szCs w:val="21"/>
                <w:u w:val="single"/>
                <w:vertAlign w:val="baseline"/>
                <w:lang w:val="en-US" w:eastAsia="zh-CN"/>
              </w:rPr>
            </w:pPr>
            <w:r>
              <w:rPr>
                <w:rFonts w:hint="eastAsia" w:eastAsia="宋体"/>
                <w:b w:val="0"/>
                <w:bCs/>
                <w:sz w:val="21"/>
                <w:szCs w:val="21"/>
                <w:u w:val="single"/>
                <w:vertAlign w:val="baseline"/>
                <w:lang w:val="en-US" w:eastAsia="zh-CN"/>
              </w:rPr>
              <w:t>采样时间</w:t>
            </w:r>
          </w:p>
          <w:p>
            <w:pPr>
              <w:pStyle w:val="1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sz w:val="21"/>
                <w:szCs w:val="21"/>
                <w:u w:val="single"/>
                <w:lang w:val="en-US" w:eastAsia="zh-CN"/>
              </w:rPr>
            </w:pPr>
            <w:r>
              <w:rPr>
                <w:rFonts w:hint="eastAsia"/>
                <w:b w:val="0"/>
                <w:bCs/>
                <w:sz w:val="21"/>
                <w:szCs w:val="21"/>
                <w:u w:val="single"/>
                <w:lang w:val="en-US" w:eastAsia="zh-CN"/>
              </w:rPr>
              <w:t>污染因子</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2019.1.4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2019.2.14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2019.3.07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2019.4.15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2019.5.8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sz w:val="21"/>
                <w:szCs w:val="21"/>
                <w:u w:val="single"/>
                <w:vertAlign w:val="baseline"/>
                <w:lang w:val="en-US" w:eastAsia="zh-CN"/>
              </w:rPr>
            </w:pPr>
            <w:r>
              <w:rPr>
                <w:rFonts w:hint="eastAsia"/>
                <w:b w:val="0"/>
                <w:bCs/>
                <w:sz w:val="21"/>
                <w:szCs w:val="21"/>
                <w:u w:val="single"/>
                <w:vertAlign w:val="baseline"/>
                <w:lang w:val="en-US" w:eastAsia="zh-CN"/>
              </w:rPr>
              <w:t>标准值</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sz w:val="21"/>
                <w:szCs w:val="21"/>
                <w:u w:val="single"/>
                <w:vertAlign w:val="baseline"/>
                <w:lang w:val="en-US" w:eastAsia="zh-CN"/>
              </w:rPr>
            </w:pPr>
            <w:r>
              <w:rPr>
                <w:rFonts w:hint="eastAsia"/>
                <w:b w:val="0"/>
                <w:bCs/>
                <w:sz w:val="21"/>
                <w:szCs w:val="21"/>
                <w:u w:val="single"/>
                <w:vertAlign w:val="baseli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PH</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7.87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7.32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7.29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7.07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7.28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CODcr</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NH</w:t>
            </w:r>
            <w:r>
              <w:rPr>
                <w:rFonts w:hint="eastAsia"/>
                <w:b w:val="0"/>
                <w:bCs/>
                <w:sz w:val="21"/>
                <w:szCs w:val="21"/>
                <w:u w:val="single"/>
                <w:vertAlign w:val="subscript"/>
                <w:lang w:val="en-US" w:eastAsia="zh-CN"/>
              </w:rPr>
              <w:t>3</w:t>
            </w:r>
            <w:r>
              <w:rPr>
                <w:rFonts w:hint="eastAsia"/>
                <w:b w:val="0"/>
                <w:bCs/>
                <w:sz w:val="21"/>
                <w:szCs w:val="21"/>
                <w:u w:val="single"/>
                <w:vertAlign w:val="baseline"/>
                <w:lang w:val="en-US" w:eastAsia="zh-CN"/>
              </w:rPr>
              <w:t>-N</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1.86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0.623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0.388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0.512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0.584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BOD</w:t>
            </w:r>
            <w:r>
              <w:rPr>
                <w:rFonts w:hint="eastAsia"/>
                <w:b w:val="0"/>
                <w:bCs/>
                <w:sz w:val="21"/>
                <w:szCs w:val="21"/>
                <w:u w:val="single"/>
                <w:vertAlign w:val="subscript"/>
                <w:lang w:val="en-US" w:eastAsia="zh-CN"/>
              </w:rPr>
              <w:t>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SS</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动植物油</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0.41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石油类</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0.39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TP</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0.34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0.38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TN</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12.5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8.21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8.25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7.66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8.14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铅</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1.35</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0.0005ND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0.0005ND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0.0005ND</w:t>
            </w:r>
          </w:p>
        </w:tc>
        <w:tc>
          <w:tcPr>
            <w:tcW w:w="0" w:type="auto"/>
            <w:tcBorders>
              <w:tl2br w:val="nil"/>
              <w:tr2bl w:val="nil"/>
            </w:tcBorders>
            <w:vAlign w:val="center"/>
          </w:tcPr>
          <w:p>
            <w:pPr>
              <w:pStyle w:val="14"/>
              <w:keepNext w:val="0"/>
              <w:keepLines w:val="0"/>
              <w:pageBreakBefore w:val="0"/>
              <w:widowControl w:val="0"/>
              <w:tabs>
                <w:tab w:val="left" w:pos="357"/>
              </w:tabs>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0.0005ND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砷</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1.46</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0.0047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铬</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0.03ND</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色度（稀释倍数）</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18倍</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2倍</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4倍</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5倍</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类大肠菌群（个/L）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940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820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560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601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1000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0" w:type="auto"/>
            <w:tcBorders>
              <w:tl2br w:val="single" w:color="auto" w:sz="4" w:space="0"/>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采样时间</w:t>
            </w:r>
          </w:p>
          <w:p>
            <w:pPr>
              <w:pStyle w:val="1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val="0"/>
                <w:bCs/>
                <w:sz w:val="21"/>
                <w:szCs w:val="21"/>
                <w:u w:val="single"/>
                <w:vertAlign w:val="baseline"/>
                <w:lang w:val="en-US" w:eastAsia="zh-CN"/>
              </w:rPr>
            </w:pPr>
            <w:r>
              <w:rPr>
                <w:rFonts w:hint="eastAsia"/>
                <w:b w:val="0"/>
                <w:bCs/>
                <w:sz w:val="21"/>
                <w:szCs w:val="21"/>
                <w:u w:val="single"/>
                <w:vertAlign w:val="baseline"/>
                <w:lang w:val="en-US" w:eastAsia="zh-CN"/>
              </w:rPr>
              <w:t>污染因子</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2019.7.22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2019.8.10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2019.9.13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2019.10.11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2019.12.9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PH</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7.31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7.24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7.18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7.31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6.87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6~9</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CODcr</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21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NH</w:t>
            </w:r>
            <w:r>
              <w:rPr>
                <w:rFonts w:hint="eastAsia"/>
                <w:b w:val="0"/>
                <w:bCs/>
                <w:sz w:val="21"/>
                <w:szCs w:val="21"/>
                <w:u w:val="single"/>
                <w:vertAlign w:val="subscript"/>
                <w:lang w:val="en-US" w:eastAsia="zh-CN"/>
              </w:rPr>
              <w:t>3</w:t>
            </w:r>
            <w:r>
              <w:rPr>
                <w:rFonts w:hint="eastAsia"/>
                <w:b w:val="0"/>
                <w:bCs/>
                <w:sz w:val="21"/>
                <w:szCs w:val="21"/>
                <w:u w:val="single"/>
                <w:vertAlign w:val="baseline"/>
                <w:lang w:val="en-US" w:eastAsia="zh-CN"/>
              </w:rPr>
              <w:t>-N</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0.426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0.462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0.359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0.428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0.16</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BOD</w:t>
            </w:r>
            <w:r>
              <w:rPr>
                <w:rFonts w:hint="eastAsia"/>
                <w:b w:val="0"/>
                <w:bCs/>
                <w:sz w:val="21"/>
                <w:szCs w:val="21"/>
                <w:u w:val="single"/>
                <w:vertAlign w:val="subscript"/>
                <w:lang w:val="en-US" w:eastAsia="zh-CN"/>
              </w:rPr>
              <w:t>5</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7.1</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6.2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SS</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2" w:hRule="atLeast"/>
        </w:trPr>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动植物油</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石油类</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0.06L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类大肠菌群（个/L）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260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210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220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460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460</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1000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总氮</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8.03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8.69</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9.58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9.43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总磷</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0.23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0.28</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0.23</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色度</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阴离子表面活性剂</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总汞</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4.00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-5</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4.00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-5</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4.00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-5</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4.00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-5</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4.00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-5</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总铅</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总铬</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0.03L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0.03L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0.03L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总砷</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sz w:val="21"/>
                <w:szCs w:val="21"/>
                <w:u w:val="single"/>
                <w:vertAlign w:val="baseline"/>
                <w:lang w:val="en-US" w:eastAsia="zh-CN"/>
              </w:rPr>
            </w:pPr>
            <w:r>
              <w:rPr>
                <w:rFonts w:hint="eastAsia"/>
                <w:b w:val="0"/>
                <w:bCs/>
                <w:sz w:val="21"/>
                <w:szCs w:val="21"/>
                <w:u w:val="single"/>
                <w:vertAlign w:val="baseline"/>
                <w:lang w:val="en-US" w:eastAsia="zh-CN"/>
              </w:rPr>
              <w:t>3.0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-4</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-4</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3.50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3.86</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-4</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3.0</w:t>
            </w:r>
            <w:r>
              <w:rPr>
                <w:rFonts w:hint="default" w:ascii="Arial" w:hAnsi="Arial" w:cs="Arial"/>
                <w:b w:val="0"/>
                <w:bCs/>
                <w:sz w:val="21"/>
                <w:szCs w:val="21"/>
                <w:u w:val="single"/>
                <w:vertAlign w:val="baseline"/>
                <w:lang w:val="en-US" w:eastAsia="zh-CN"/>
              </w:rPr>
              <w:t>×</w:t>
            </w:r>
            <w:r>
              <w:rPr>
                <w:rFonts w:hint="eastAsia"/>
                <w:b w:val="0"/>
                <w:bCs/>
                <w:sz w:val="21"/>
                <w:szCs w:val="21"/>
                <w:u w:val="single"/>
                <w:vertAlign w:val="baseline"/>
                <w:lang w:val="en-US" w:eastAsia="zh-CN"/>
              </w:rPr>
              <w:t>10</w:t>
            </w:r>
            <w:r>
              <w:rPr>
                <w:rFonts w:hint="eastAsia"/>
                <w:b w:val="0"/>
                <w:bCs/>
                <w:sz w:val="21"/>
                <w:szCs w:val="21"/>
                <w:u w:val="single"/>
                <w:vertAlign w:val="superscript"/>
                <w:lang w:val="en-US" w:eastAsia="zh-CN"/>
              </w:rPr>
              <w:t>-4</w:t>
            </w:r>
            <w:r>
              <w:rPr>
                <w:rFonts w:hint="eastAsia"/>
                <w:b w:val="0"/>
                <w:bCs/>
                <w:sz w:val="21"/>
                <w:szCs w:val="21"/>
                <w:u w:val="single"/>
                <w:vertAlign w:val="baseline"/>
                <w:lang w:val="en-US" w:eastAsia="zh-CN"/>
              </w:rPr>
              <w:t>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总镉</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sz w:val="21"/>
                <w:szCs w:val="21"/>
                <w:u w:val="single"/>
                <w:vertAlign w:val="baseline"/>
                <w:lang w:val="en-US" w:eastAsia="zh-CN"/>
              </w:rPr>
            </w:pPr>
            <w:r>
              <w:rPr>
                <w:rFonts w:hint="eastAsia"/>
                <w:b w:val="0"/>
                <w:bCs/>
                <w:sz w:val="21"/>
                <w:szCs w:val="21"/>
                <w:u w:val="single"/>
                <w:vertAlign w:val="baseline"/>
                <w:lang w:val="en-US" w:eastAsia="zh-CN"/>
              </w:rPr>
              <w:t>六价铬</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0.004L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0.004L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0.004L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0.004L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0.004L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挥发酚</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氰化物</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sz w:val="21"/>
                <w:szCs w:val="21"/>
                <w:u w:val="single"/>
                <w:vertAlign w:val="baseline"/>
                <w:lang w:val="en-US" w:eastAsia="zh-CN"/>
              </w:rPr>
            </w:pPr>
            <w:r>
              <w:rPr>
                <w:rFonts w:hint="eastAsia"/>
                <w:b w:val="0"/>
                <w:bCs/>
                <w:sz w:val="21"/>
                <w:szCs w:val="21"/>
                <w:u w:val="single"/>
                <w:vertAlign w:val="baseline"/>
                <w:lang w:val="en-US" w:eastAsia="zh-CN"/>
              </w:rPr>
              <w:t>0.001L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0.001L</w:t>
            </w:r>
          </w:p>
        </w:tc>
        <w:tc>
          <w:tcPr>
            <w:tcW w:w="0" w:type="auto"/>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达标</w:t>
            </w:r>
          </w:p>
        </w:tc>
      </w:tr>
    </w:tbl>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宋体"/>
          <w:b w:val="0"/>
          <w:bCs/>
          <w:u w:val="single"/>
          <w:lang w:val="en-US" w:eastAsia="zh-CN"/>
        </w:rPr>
      </w:pPr>
      <w:r>
        <w:rPr>
          <w:rFonts w:hint="eastAsia"/>
          <w:b w:val="0"/>
          <w:bCs/>
          <w:u w:val="single"/>
          <w:lang w:val="en-US" w:eastAsia="zh-CN"/>
        </w:rPr>
        <w:t>由上表可知，桥东污水处理厂出口水质可满足《城镇污水处理厂污染物排放标准》（GB18918-2002）一级A标准限值要求。</w:t>
      </w:r>
    </w:p>
    <w:p>
      <w:pPr>
        <w:pStyle w:val="6"/>
        <w:bidi w:val="0"/>
        <w:rPr>
          <w:rFonts w:hint="eastAsia"/>
        </w:rPr>
      </w:pPr>
      <w:r>
        <w:rPr>
          <w:rFonts w:hint="eastAsia"/>
          <w:lang w:eastAsia="zh-CN"/>
        </w:rPr>
        <w:t>桥东污水处理厂尾水排放对华容河枯水期影响预测及分析</w:t>
      </w:r>
    </w:p>
    <w:p>
      <w:pPr>
        <w:spacing w:line="360" w:lineRule="auto"/>
        <w:ind w:firstLine="480" w:firstLineChars="200"/>
        <w:rPr>
          <w:rFonts w:cs="Times New Roman"/>
          <w:color w:val="000000" w:themeColor="text1"/>
          <w:szCs w:val="24"/>
          <w:u w:val="single"/>
        </w:rPr>
      </w:pPr>
      <w:r>
        <w:rPr>
          <w:rFonts w:hint="eastAsia" w:cs="Times New Roman"/>
          <w:color w:val="000000" w:themeColor="text1"/>
          <w:szCs w:val="24"/>
          <w:u w:val="single"/>
        </w:rPr>
        <w:t>为了了解污水处理厂尾水排放对受纳水体华容河的影响，本环评根据《环境影响评价技术导—地表水环境》</w:t>
      </w:r>
      <w:r>
        <w:rPr>
          <w:color w:val="000000" w:themeColor="text1"/>
          <w:szCs w:val="24"/>
          <w:u w:val="single"/>
        </w:rPr>
        <w:t>（HJ2.3-</w:t>
      </w:r>
      <w:r>
        <w:rPr>
          <w:rFonts w:hint="eastAsia"/>
          <w:color w:val="000000" w:themeColor="text1"/>
          <w:szCs w:val="24"/>
          <w:u w:val="single"/>
        </w:rPr>
        <w:t>2018</w:t>
      </w:r>
      <w:r>
        <w:rPr>
          <w:color w:val="000000" w:themeColor="text1"/>
          <w:szCs w:val="24"/>
          <w:u w:val="single"/>
        </w:rPr>
        <w:t>）</w:t>
      </w:r>
      <w:r>
        <w:rPr>
          <w:rFonts w:hint="eastAsia" w:cs="Times New Roman"/>
          <w:color w:val="000000" w:themeColor="text1"/>
          <w:szCs w:val="24"/>
          <w:u w:val="single"/>
        </w:rPr>
        <w:t>相关规定对尾水排放进行影响预测及分析。</w:t>
      </w:r>
    </w:p>
    <w:p>
      <w:pPr>
        <w:spacing w:line="360" w:lineRule="auto"/>
        <w:ind w:firstLine="480" w:firstLineChars="200"/>
        <w:rPr>
          <w:rFonts w:cs="Times New Roman"/>
          <w:color w:val="000000" w:themeColor="text1"/>
          <w:szCs w:val="24"/>
          <w:u w:val="single"/>
        </w:rPr>
      </w:pPr>
      <w:r>
        <w:rPr>
          <w:rFonts w:hint="eastAsia" w:cs="Times New Roman"/>
          <w:color w:val="000000" w:themeColor="text1"/>
          <w:szCs w:val="24"/>
          <w:u w:val="single"/>
        </w:rPr>
        <w:t>（1）河流水文参数</w:t>
      </w:r>
    </w:p>
    <w:p>
      <w:pPr>
        <w:spacing w:line="360" w:lineRule="auto"/>
        <w:ind w:firstLine="480" w:firstLineChars="200"/>
        <w:rPr>
          <w:rFonts w:cs="Times New Roman"/>
          <w:color w:val="000000" w:themeColor="text1"/>
          <w:szCs w:val="24"/>
          <w:u w:val="single"/>
        </w:rPr>
      </w:pPr>
      <w:r>
        <w:rPr>
          <w:rFonts w:hint="eastAsia" w:cs="Times New Roman"/>
          <w:color w:val="000000" w:themeColor="text1"/>
          <w:szCs w:val="24"/>
          <w:u w:val="single"/>
        </w:rPr>
        <w:t>本项目环评地表水华容河的水文参数见</w:t>
      </w:r>
      <w:r>
        <w:rPr>
          <w:rFonts w:cs="Times New Roman"/>
          <w:color w:val="000000" w:themeColor="text1"/>
          <w:szCs w:val="24"/>
          <w:u w:val="single"/>
        </w:rPr>
        <w:fldChar w:fldCharType="begin"/>
      </w:r>
      <w:r>
        <w:rPr>
          <w:rFonts w:hint="eastAsia" w:cs="Times New Roman"/>
          <w:color w:val="000000" w:themeColor="text1"/>
          <w:szCs w:val="24"/>
          <w:u w:val="single"/>
        </w:rPr>
        <w:instrText xml:space="preserve">REF _Ref19715417 \h</w:instrText>
      </w:r>
      <w:r>
        <w:rPr>
          <w:rFonts w:cs="Times New Roman"/>
          <w:color w:val="000000" w:themeColor="text1"/>
          <w:szCs w:val="24"/>
          <w:u w:val="single"/>
        </w:rPr>
        <w:fldChar w:fldCharType="separate"/>
      </w:r>
      <w:r>
        <w:rPr>
          <w:rFonts w:hint="eastAsia" w:cs="Times New Roman"/>
          <w:color w:val="000000" w:themeColor="text1"/>
          <w:szCs w:val="24"/>
          <w:u w:val="single"/>
        </w:rPr>
        <w:t>表</w:t>
      </w:r>
      <w:r>
        <w:rPr>
          <w:rFonts w:cs="Times New Roman"/>
          <w:color w:val="000000" w:themeColor="text1"/>
          <w:szCs w:val="24"/>
          <w:u w:val="single"/>
        </w:rPr>
        <w:fldChar w:fldCharType="begin"/>
      </w:r>
      <w:r>
        <w:rPr>
          <w:rFonts w:hint="eastAsia" w:cs="Times New Roman"/>
          <w:color w:val="000000" w:themeColor="text1"/>
          <w:szCs w:val="24"/>
          <w:u w:val="single"/>
        </w:rPr>
        <w:instrText xml:space="preserve">STYLEREF 2 \s</w:instrText>
      </w:r>
      <w:r>
        <w:rPr>
          <w:rFonts w:cs="Times New Roman"/>
          <w:color w:val="000000" w:themeColor="text1"/>
          <w:szCs w:val="24"/>
          <w:u w:val="single"/>
        </w:rPr>
        <w:fldChar w:fldCharType="separate"/>
      </w:r>
      <w:r>
        <w:rPr>
          <w:rFonts w:cs="Times New Roman"/>
          <w:color w:val="000000" w:themeColor="text1"/>
          <w:szCs w:val="24"/>
          <w:u w:val="single"/>
        </w:rPr>
        <w:t>4.1</w:t>
      </w:r>
      <w:r>
        <w:rPr>
          <w:rFonts w:cs="Times New Roman"/>
          <w:color w:val="000000" w:themeColor="text1"/>
          <w:szCs w:val="24"/>
          <w:u w:val="single"/>
        </w:rPr>
        <w:fldChar w:fldCharType="end"/>
      </w:r>
      <w:r>
        <w:rPr>
          <w:rFonts w:cs="Times New Roman"/>
          <w:color w:val="000000" w:themeColor="text1"/>
          <w:szCs w:val="24"/>
          <w:u w:val="single"/>
        </w:rPr>
        <w:noBreakHyphen/>
      </w:r>
      <w:r>
        <w:rPr>
          <w:rFonts w:hint="eastAsia" w:cs="Times New Roman"/>
          <w:color w:val="000000" w:themeColor="text1"/>
          <w:szCs w:val="24"/>
          <w:u w:val="single"/>
        </w:rPr>
        <w:t>14</w:t>
      </w:r>
      <w:r>
        <w:rPr>
          <w:rFonts w:cs="Times New Roman"/>
          <w:color w:val="000000" w:themeColor="text1"/>
          <w:szCs w:val="24"/>
          <w:u w:val="single"/>
        </w:rPr>
        <w:fldChar w:fldCharType="end"/>
      </w:r>
      <w:r>
        <w:rPr>
          <w:rFonts w:hint="eastAsia" w:cs="Times New Roman"/>
          <w:color w:val="000000" w:themeColor="text1"/>
          <w:szCs w:val="24"/>
          <w:u w:val="single"/>
        </w:rPr>
        <w:t>。</w:t>
      </w:r>
    </w:p>
    <w:p>
      <w:pPr>
        <w:pStyle w:val="14"/>
        <w:spacing w:line="240" w:lineRule="auto"/>
        <w:rPr>
          <w:rFonts w:cs="Times New Roman"/>
          <w:color w:val="000000" w:themeColor="text1"/>
          <w:szCs w:val="24"/>
          <w:u w:val="single"/>
        </w:rPr>
      </w:pPr>
      <w:bookmarkStart w:id="170" w:name="_Ref19715417"/>
      <w:r>
        <w:rPr>
          <w:rFonts w:hint="eastAsia" w:cs="Times New Roman"/>
          <w:color w:val="000000" w:themeColor="text1"/>
          <w:szCs w:val="24"/>
          <w:u w:val="single"/>
        </w:rPr>
        <w:t>表</w:t>
      </w:r>
      <w:r>
        <w:rPr>
          <w:rFonts w:cs="Times New Roman"/>
          <w:color w:val="000000" w:themeColor="text1"/>
          <w:szCs w:val="24"/>
          <w:u w:val="single"/>
        </w:rPr>
        <w:fldChar w:fldCharType="begin"/>
      </w:r>
      <w:r>
        <w:rPr>
          <w:rFonts w:hint="eastAsia" w:cs="Times New Roman"/>
          <w:color w:val="000000" w:themeColor="text1"/>
          <w:szCs w:val="24"/>
          <w:u w:val="single"/>
        </w:rPr>
        <w:instrText xml:space="preserve">STYLEREF 2 \s</w:instrText>
      </w:r>
      <w:r>
        <w:rPr>
          <w:rFonts w:cs="Times New Roman"/>
          <w:color w:val="000000" w:themeColor="text1"/>
          <w:szCs w:val="24"/>
          <w:u w:val="single"/>
        </w:rPr>
        <w:fldChar w:fldCharType="separate"/>
      </w:r>
      <w:r>
        <w:rPr>
          <w:rFonts w:cs="Times New Roman"/>
          <w:color w:val="000000" w:themeColor="text1"/>
          <w:szCs w:val="24"/>
          <w:u w:val="single"/>
        </w:rPr>
        <w:t>4.1</w:t>
      </w:r>
      <w:r>
        <w:rPr>
          <w:rFonts w:cs="Times New Roman"/>
          <w:color w:val="000000" w:themeColor="text1"/>
          <w:szCs w:val="24"/>
          <w:u w:val="single"/>
        </w:rPr>
        <w:fldChar w:fldCharType="end"/>
      </w:r>
      <w:r>
        <w:rPr>
          <w:rFonts w:cs="Times New Roman"/>
          <w:color w:val="000000" w:themeColor="text1"/>
          <w:szCs w:val="24"/>
          <w:u w:val="single"/>
        </w:rPr>
        <w:noBreakHyphen/>
      </w:r>
      <w:r>
        <w:rPr>
          <w:rFonts w:cs="Times New Roman"/>
          <w:color w:val="000000" w:themeColor="text1"/>
          <w:szCs w:val="24"/>
          <w:u w:val="single"/>
        </w:rPr>
        <w:fldChar w:fldCharType="begin"/>
      </w:r>
      <w:r>
        <w:rPr>
          <w:rFonts w:hint="eastAsia" w:cs="Times New Roman"/>
          <w:color w:val="000000" w:themeColor="text1"/>
          <w:szCs w:val="24"/>
          <w:u w:val="single"/>
        </w:rPr>
        <w:instrText xml:space="preserve">SEQ 表 \* ARABIC \s 2</w:instrText>
      </w:r>
      <w:r>
        <w:rPr>
          <w:rFonts w:cs="Times New Roman"/>
          <w:color w:val="000000" w:themeColor="text1"/>
          <w:szCs w:val="24"/>
          <w:u w:val="single"/>
        </w:rPr>
        <w:fldChar w:fldCharType="separate"/>
      </w:r>
      <w:r>
        <w:rPr>
          <w:rFonts w:hint="eastAsia" w:cs="Times New Roman"/>
          <w:color w:val="000000" w:themeColor="text1"/>
          <w:szCs w:val="24"/>
          <w:u w:val="single"/>
        </w:rPr>
        <w:t>12</w:t>
      </w:r>
      <w:r>
        <w:rPr>
          <w:rFonts w:cs="Times New Roman"/>
          <w:color w:val="000000" w:themeColor="text1"/>
          <w:szCs w:val="24"/>
          <w:u w:val="single"/>
        </w:rPr>
        <w:fldChar w:fldCharType="end"/>
      </w:r>
      <w:bookmarkEnd w:id="170"/>
      <w:r>
        <w:rPr>
          <w:rFonts w:hint="eastAsia" w:cs="Times New Roman"/>
          <w:color w:val="000000" w:themeColor="text1"/>
          <w:szCs w:val="24"/>
          <w:u w:val="single"/>
        </w:rPr>
        <w:t xml:space="preserve">  水文参数一览表</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93"/>
        <w:gridCol w:w="1593"/>
        <w:gridCol w:w="1676"/>
        <w:gridCol w:w="1684"/>
        <w:gridCol w:w="1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Align w:val="center"/>
          </w:tcPr>
          <w:p>
            <w:pPr>
              <w:pStyle w:val="14"/>
              <w:adjustRightInd w:val="0"/>
              <w:snapToGrid w:val="0"/>
              <w:spacing w:line="240" w:lineRule="auto"/>
              <w:rPr>
                <w:rFonts w:hint="default" w:ascii="Times New Roman" w:hAnsi="Times New Roman" w:cs="Times New Roman"/>
                <w:b w:val="0"/>
                <w:color w:val="000000" w:themeColor="text1"/>
                <w:sz w:val="21"/>
                <w:szCs w:val="21"/>
                <w:u w:val="single"/>
              </w:rPr>
            </w:pPr>
            <w:r>
              <w:rPr>
                <w:rFonts w:hint="default" w:ascii="Times New Roman" w:hAnsi="Times New Roman" w:cs="Times New Roman"/>
                <w:b w:val="0"/>
                <w:color w:val="000000" w:themeColor="text1"/>
                <w:sz w:val="21"/>
                <w:szCs w:val="21"/>
                <w:u w:val="single"/>
              </w:rPr>
              <w:t>枯水期历史最低流量（m</w:t>
            </w:r>
            <w:r>
              <w:rPr>
                <w:rFonts w:hint="default" w:ascii="Times New Roman" w:hAnsi="Times New Roman" w:cs="Times New Roman"/>
                <w:b w:val="0"/>
                <w:color w:val="000000" w:themeColor="text1"/>
                <w:sz w:val="21"/>
                <w:szCs w:val="21"/>
                <w:u w:val="single"/>
                <w:vertAlign w:val="superscript"/>
              </w:rPr>
              <w:t>3</w:t>
            </w:r>
            <w:r>
              <w:rPr>
                <w:rFonts w:hint="default" w:ascii="Times New Roman" w:hAnsi="Times New Roman" w:cs="Times New Roman"/>
                <w:b w:val="0"/>
                <w:color w:val="000000" w:themeColor="text1"/>
                <w:sz w:val="21"/>
                <w:szCs w:val="21"/>
                <w:u w:val="single"/>
              </w:rPr>
              <w:t>/s）</w:t>
            </w:r>
          </w:p>
        </w:tc>
        <w:tc>
          <w:tcPr>
            <w:tcW w:w="862" w:type="pct"/>
            <w:vAlign w:val="center"/>
          </w:tcPr>
          <w:p>
            <w:pPr>
              <w:pStyle w:val="78"/>
              <w:snapToGrid w:val="0"/>
              <w:jc w:val="center"/>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平均水深（</w:t>
            </w:r>
            <w:r>
              <w:rPr>
                <w:rFonts w:hint="default" w:ascii="Times New Roman" w:hAnsi="Times New Roman" w:eastAsia="宋体" w:cs="Times New Roman"/>
                <w:bCs/>
                <w:kern w:val="2"/>
                <w:sz w:val="21"/>
                <w:szCs w:val="21"/>
                <w:u w:val="single"/>
              </w:rPr>
              <w:t>m</w:t>
            </w:r>
            <w:r>
              <w:rPr>
                <w:rFonts w:hint="default" w:ascii="Times New Roman" w:hAnsi="Times New Roman" w:eastAsia="宋体" w:cs="Times New Roman"/>
                <w:kern w:val="2"/>
                <w:sz w:val="21"/>
                <w:szCs w:val="21"/>
                <w:u w:val="single"/>
              </w:rPr>
              <w:t>）</w:t>
            </w:r>
          </w:p>
        </w:tc>
        <w:tc>
          <w:tcPr>
            <w:tcW w:w="862" w:type="pct"/>
            <w:vAlign w:val="center"/>
          </w:tcPr>
          <w:p>
            <w:pPr>
              <w:pStyle w:val="78"/>
              <w:snapToGrid w:val="0"/>
              <w:jc w:val="center"/>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平均河宽（</w:t>
            </w:r>
            <w:r>
              <w:rPr>
                <w:rFonts w:hint="default" w:ascii="Times New Roman" w:hAnsi="Times New Roman" w:eastAsia="宋体" w:cs="Times New Roman"/>
                <w:bCs/>
                <w:kern w:val="2"/>
                <w:sz w:val="21"/>
                <w:szCs w:val="21"/>
                <w:u w:val="single"/>
              </w:rPr>
              <w:t>m</w:t>
            </w:r>
            <w:r>
              <w:rPr>
                <w:rFonts w:hint="default" w:ascii="Times New Roman" w:hAnsi="Times New Roman" w:eastAsia="宋体" w:cs="Times New Roman"/>
                <w:kern w:val="2"/>
                <w:sz w:val="21"/>
                <w:szCs w:val="21"/>
                <w:u w:val="single"/>
              </w:rPr>
              <w:t>）</w:t>
            </w:r>
          </w:p>
        </w:tc>
        <w:tc>
          <w:tcPr>
            <w:tcW w:w="907" w:type="pct"/>
            <w:vAlign w:val="center"/>
          </w:tcPr>
          <w:p>
            <w:pPr>
              <w:pStyle w:val="78"/>
              <w:snapToGrid w:val="0"/>
              <w:jc w:val="center"/>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平均流速（</w:t>
            </w:r>
            <w:r>
              <w:rPr>
                <w:rFonts w:hint="default" w:ascii="Times New Roman" w:hAnsi="Times New Roman" w:eastAsia="宋体" w:cs="Times New Roman"/>
                <w:bCs/>
                <w:kern w:val="2"/>
                <w:sz w:val="21"/>
                <w:szCs w:val="21"/>
                <w:u w:val="single"/>
              </w:rPr>
              <w:t>m/s</w:t>
            </w:r>
            <w:r>
              <w:rPr>
                <w:rFonts w:hint="default" w:ascii="Times New Roman" w:hAnsi="Times New Roman" w:eastAsia="宋体" w:cs="Times New Roman"/>
                <w:kern w:val="2"/>
                <w:sz w:val="21"/>
                <w:szCs w:val="21"/>
                <w:u w:val="single"/>
              </w:rPr>
              <w:t>）</w:t>
            </w:r>
          </w:p>
        </w:tc>
        <w:tc>
          <w:tcPr>
            <w:tcW w:w="911" w:type="pct"/>
            <w:vAlign w:val="center"/>
          </w:tcPr>
          <w:p>
            <w:pPr>
              <w:pStyle w:val="78"/>
              <w:snapToGrid w:val="0"/>
              <w:jc w:val="center"/>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坡降（‰ ）</w:t>
            </w:r>
          </w:p>
        </w:tc>
        <w:tc>
          <w:tcPr>
            <w:tcW w:w="717" w:type="pct"/>
            <w:vAlign w:val="center"/>
          </w:tcPr>
          <w:p>
            <w:pPr>
              <w:pStyle w:val="78"/>
              <w:snapToGrid w:val="0"/>
              <w:jc w:val="center"/>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水质降解系</w:t>
            </w:r>
          </w:p>
          <w:p>
            <w:pPr>
              <w:pStyle w:val="78"/>
              <w:snapToGrid w:val="0"/>
              <w:jc w:val="center"/>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数K</w:t>
            </w:r>
            <w:r>
              <w:rPr>
                <w:rFonts w:hint="default" w:ascii="Times New Roman" w:hAnsi="Times New Roman" w:eastAsia="宋体" w:cs="Times New Roman"/>
                <w:kern w:val="2"/>
                <w:sz w:val="21"/>
                <w:szCs w:val="21"/>
                <w:u w:val="single"/>
                <w:vertAlign w:val="subscript"/>
              </w:rPr>
              <w:t>COD</w:t>
            </w:r>
            <w:r>
              <w:rPr>
                <w:rFonts w:hint="default" w:ascii="Times New Roman" w:hAnsi="Times New Roman" w:eastAsia="宋体" w:cs="Times New Roman"/>
                <w:kern w:val="2"/>
                <w:sz w:val="21"/>
                <w:szCs w:val="21"/>
                <w:u w:val="single"/>
              </w:rPr>
              <w:t>、K</w:t>
            </w:r>
            <w:r>
              <w:rPr>
                <w:rFonts w:hint="default" w:ascii="Times New Roman" w:hAnsi="Times New Roman" w:eastAsia="宋体" w:cs="Times New Roman"/>
                <w:kern w:val="2"/>
                <w:sz w:val="21"/>
                <w:szCs w:val="21"/>
                <w:u w:val="single"/>
                <w:vertAlign w:val="subscript"/>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Align w:val="center"/>
          </w:tcPr>
          <w:p>
            <w:pPr>
              <w:pStyle w:val="14"/>
              <w:adjustRightInd w:val="0"/>
              <w:snapToGrid w:val="0"/>
              <w:spacing w:line="240" w:lineRule="auto"/>
              <w:rPr>
                <w:rFonts w:hint="default" w:ascii="Times New Roman" w:hAnsi="Times New Roman" w:cs="Times New Roman"/>
                <w:b w:val="0"/>
                <w:color w:val="000000" w:themeColor="text1"/>
                <w:sz w:val="21"/>
                <w:szCs w:val="21"/>
                <w:u w:val="single"/>
              </w:rPr>
            </w:pPr>
            <w:r>
              <w:rPr>
                <w:rFonts w:hint="default" w:ascii="Times New Roman" w:hAnsi="Times New Roman" w:cs="Times New Roman"/>
                <w:b w:val="0"/>
                <w:color w:val="000000" w:themeColor="text1"/>
                <w:sz w:val="21"/>
                <w:szCs w:val="21"/>
                <w:u w:val="single"/>
              </w:rPr>
              <w:t>12.54</w:t>
            </w:r>
          </w:p>
        </w:tc>
        <w:tc>
          <w:tcPr>
            <w:tcW w:w="862" w:type="pct"/>
            <w:vAlign w:val="center"/>
          </w:tcPr>
          <w:p>
            <w:pPr>
              <w:pStyle w:val="14"/>
              <w:adjustRightInd w:val="0"/>
              <w:snapToGrid w:val="0"/>
              <w:spacing w:line="240" w:lineRule="auto"/>
              <w:rPr>
                <w:rFonts w:hint="default" w:ascii="Times New Roman" w:hAnsi="Times New Roman" w:cs="Times New Roman"/>
                <w:b w:val="0"/>
                <w:color w:val="000000" w:themeColor="text1"/>
                <w:sz w:val="21"/>
                <w:szCs w:val="21"/>
                <w:u w:val="single"/>
              </w:rPr>
            </w:pPr>
            <w:r>
              <w:rPr>
                <w:rFonts w:hint="default" w:ascii="Times New Roman" w:hAnsi="Times New Roman" w:cs="Times New Roman"/>
                <w:b w:val="0"/>
                <w:color w:val="000000" w:themeColor="text1"/>
                <w:sz w:val="21"/>
                <w:szCs w:val="21"/>
                <w:u w:val="single"/>
              </w:rPr>
              <w:t>3</w:t>
            </w:r>
          </w:p>
        </w:tc>
        <w:tc>
          <w:tcPr>
            <w:tcW w:w="862" w:type="pct"/>
            <w:vAlign w:val="center"/>
          </w:tcPr>
          <w:p>
            <w:pPr>
              <w:pStyle w:val="14"/>
              <w:adjustRightInd w:val="0"/>
              <w:snapToGrid w:val="0"/>
              <w:spacing w:line="240" w:lineRule="auto"/>
              <w:rPr>
                <w:rFonts w:hint="default" w:ascii="Times New Roman" w:hAnsi="Times New Roman" w:cs="Times New Roman"/>
                <w:b w:val="0"/>
                <w:color w:val="000000" w:themeColor="text1"/>
                <w:sz w:val="21"/>
                <w:szCs w:val="21"/>
                <w:u w:val="single"/>
              </w:rPr>
            </w:pPr>
            <w:r>
              <w:rPr>
                <w:rFonts w:hint="default" w:ascii="Times New Roman" w:hAnsi="Times New Roman" w:cs="Times New Roman"/>
                <w:b w:val="0"/>
                <w:color w:val="000000" w:themeColor="text1"/>
                <w:sz w:val="21"/>
                <w:szCs w:val="21"/>
                <w:u w:val="single"/>
              </w:rPr>
              <w:t>65</w:t>
            </w:r>
          </w:p>
        </w:tc>
        <w:tc>
          <w:tcPr>
            <w:tcW w:w="907" w:type="pct"/>
            <w:vAlign w:val="center"/>
          </w:tcPr>
          <w:p>
            <w:pPr>
              <w:pStyle w:val="14"/>
              <w:adjustRightInd w:val="0"/>
              <w:snapToGrid w:val="0"/>
              <w:spacing w:line="240" w:lineRule="auto"/>
              <w:rPr>
                <w:rFonts w:hint="default" w:ascii="Times New Roman" w:hAnsi="Times New Roman" w:cs="Times New Roman"/>
                <w:b w:val="0"/>
                <w:color w:val="000000" w:themeColor="text1"/>
                <w:sz w:val="21"/>
                <w:szCs w:val="21"/>
                <w:u w:val="single"/>
              </w:rPr>
            </w:pPr>
            <w:r>
              <w:rPr>
                <w:rFonts w:hint="default" w:ascii="Times New Roman" w:hAnsi="Times New Roman" w:cs="Times New Roman"/>
                <w:b w:val="0"/>
                <w:color w:val="000000" w:themeColor="text1"/>
                <w:sz w:val="21"/>
                <w:szCs w:val="21"/>
                <w:u w:val="single"/>
              </w:rPr>
              <w:t>0.064</w:t>
            </w:r>
          </w:p>
        </w:tc>
        <w:tc>
          <w:tcPr>
            <w:tcW w:w="911" w:type="pct"/>
            <w:vAlign w:val="center"/>
          </w:tcPr>
          <w:p>
            <w:pPr>
              <w:pStyle w:val="14"/>
              <w:adjustRightInd w:val="0"/>
              <w:snapToGrid w:val="0"/>
              <w:spacing w:line="240" w:lineRule="auto"/>
              <w:rPr>
                <w:rFonts w:hint="default" w:ascii="Times New Roman" w:hAnsi="Times New Roman" w:cs="Times New Roman"/>
                <w:b w:val="0"/>
                <w:color w:val="000000" w:themeColor="text1"/>
                <w:sz w:val="21"/>
                <w:szCs w:val="21"/>
                <w:u w:val="single"/>
              </w:rPr>
            </w:pPr>
            <w:r>
              <w:rPr>
                <w:rFonts w:hint="default" w:ascii="Times New Roman" w:hAnsi="Times New Roman" w:cs="Times New Roman"/>
                <w:b w:val="0"/>
                <w:color w:val="000000" w:themeColor="text1"/>
                <w:sz w:val="21"/>
                <w:szCs w:val="21"/>
                <w:u w:val="single"/>
              </w:rPr>
              <w:t>1.5</w:t>
            </w:r>
          </w:p>
        </w:tc>
        <w:tc>
          <w:tcPr>
            <w:tcW w:w="717" w:type="pct"/>
            <w:vAlign w:val="center"/>
          </w:tcPr>
          <w:p>
            <w:pPr>
              <w:jc w:val="left"/>
              <w:rPr>
                <w:rFonts w:hint="default" w:ascii="Times New Roman" w:hAnsi="Times New Roman" w:eastAsia="TimesNewRomanPSMT" w:cs="Times New Roman"/>
                <w:sz w:val="21"/>
                <w:u w:val="single"/>
              </w:rPr>
            </w:pPr>
            <w:r>
              <w:rPr>
                <w:rFonts w:hint="default" w:ascii="Times New Roman" w:hAnsi="Times New Roman" w:eastAsia="TimesNewRomanPSMT" w:cs="Times New Roman"/>
                <w:sz w:val="21"/>
                <w:u w:val="single"/>
              </w:rPr>
              <w:t>K</w:t>
            </w:r>
            <w:r>
              <w:rPr>
                <w:rFonts w:hint="default" w:ascii="Times New Roman" w:hAnsi="Times New Roman" w:eastAsia="TimesNewRomanPSMT" w:cs="Times New Roman"/>
                <w:sz w:val="14"/>
                <w:u w:val="single"/>
              </w:rPr>
              <w:t>COD</w:t>
            </w:r>
            <w:r>
              <w:rPr>
                <w:rFonts w:hint="default" w:ascii="Times New Roman" w:hAnsi="Times New Roman" w:eastAsia="宋体" w:cs="Times New Roman"/>
                <w:sz w:val="21"/>
                <w:u w:val="single"/>
              </w:rPr>
              <w:t>：</w:t>
            </w:r>
            <w:r>
              <w:rPr>
                <w:rFonts w:hint="default" w:ascii="Times New Roman" w:hAnsi="Times New Roman" w:eastAsia="TimesNewRomanPSMT" w:cs="Times New Roman"/>
                <w:sz w:val="21"/>
                <w:u w:val="single"/>
              </w:rPr>
              <w:t>0.1</w:t>
            </w:r>
          </w:p>
          <w:p>
            <w:pPr>
              <w:pStyle w:val="14"/>
              <w:adjustRightInd w:val="0"/>
              <w:snapToGrid w:val="0"/>
              <w:spacing w:line="240" w:lineRule="auto"/>
              <w:rPr>
                <w:rFonts w:hint="default" w:ascii="Times New Roman" w:hAnsi="Times New Roman" w:cs="Times New Roman"/>
                <w:b w:val="0"/>
                <w:spacing w:val="4"/>
                <w:sz w:val="21"/>
                <w:szCs w:val="21"/>
                <w:u w:val="single"/>
              </w:rPr>
            </w:pPr>
            <w:r>
              <w:rPr>
                <w:rFonts w:hint="default" w:ascii="Times New Roman" w:hAnsi="Times New Roman" w:eastAsia="TimesNewRomanPSMT" w:cs="Times New Roman"/>
                <w:b w:val="0"/>
                <w:bCs/>
                <w:sz w:val="21"/>
                <w:u w:val="single"/>
              </w:rPr>
              <w:t>K</w:t>
            </w:r>
            <w:r>
              <w:rPr>
                <w:rFonts w:hint="default" w:ascii="Times New Roman" w:hAnsi="Times New Roman" w:cs="Times New Roman"/>
                <w:b w:val="0"/>
                <w:bCs/>
                <w:sz w:val="11"/>
                <w:u w:val="single"/>
              </w:rPr>
              <w:t>氨氮</w:t>
            </w:r>
            <w:r>
              <w:rPr>
                <w:rFonts w:hint="default" w:ascii="Times New Roman" w:hAnsi="Times New Roman" w:cs="Times New Roman"/>
                <w:b w:val="0"/>
                <w:bCs/>
                <w:sz w:val="21"/>
                <w:u w:val="single"/>
              </w:rPr>
              <w:t>：</w:t>
            </w:r>
            <w:r>
              <w:rPr>
                <w:rFonts w:hint="default" w:ascii="Times New Roman" w:hAnsi="Times New Roman" w:eastAsia="TimesNewRomanPSMT" w:cs="Times New Roman"/>
                <w:b w:val="0"/>
                <w:bCs/>
                <w:sz w:val="21"/>
                <w:u w:val="single"/>
              </w:rPr>
              <w:t>0.08</w:t>
            </w:r>
          </w:p>
        </w:tc>
      </w:tr>
    </w:tbl>
    <w:p>
      <w:pPr>
        <w:spacing w:line="360" w:lineRule="auto"/>
        <w:ind w:firstLine="480" w:firstLineChars="200"/>
        <w:rPr>
          <w:rFonts w:cs="Times New Roman"/>
          <w:color w:val="000000" w:themeColor="text1"/>
          <w:szCs w:val="24"/>
          <w:u w:val="single"/>
        </w:rPr>
      </w:pPr>
      <w:r>
        <w:rPr>
          <w:rFonts w:hint="eastAsia" w:cs="Times New Roman"/>
          <w:color w:val="000000" w:themeColor="text1"/>
          <w:szCs w:val="24"/>
          <w:u w:val="single"/>
        </w:rPr>
        <w:t>（2）污染物横向扩散系数Ey</w:t>
      </w:r>
    </w:p>
    <w:p>
      <w:pPr>
        <w:spacing w:line="360" w:lineRule="auto"/>
        <w:ind w:left="480" w:leftChars="200"/>
        <w:rPr>
          <w:rFonts w:hint="eastAsia" w:eastAsia="宋体" w:cs="Times New Roman"/>
          <w:color w:val="000000" w:themeColor="text1"/>
          <w:szCs w:val="24"/>
          <w:u w:val="single"/>
        </w:rPr>
      </w:pPr>
      <w:r>
        <w:rPr>
          <w:rFonts w:hint="eastAsia" w:eastAsia="宋体" w:cs="Times New Roman"/>
          <w:color w:val="000000" w:themeColor="text1"/>
          <w:szCs w:val="24"/>
          <w:u w:val="single"/>
        </w:rPr>
        <w:t>本报告采用泰勒法估算，计算公式如下：</w:t>
      </w:r>
    </w:p>
    <w:p>
      <w:pPr>
        <w:spacing w:line="360" w:lineRule="auto"/>
        <w:ind w:left="480" w:leftChars="200"/>
        <w:jc w:val="center"/>
        <w:rPr>
          <w:rFonts w:hint="eastAsia" w:eastAsia="宋体" w:cs="Times New Roman"/>
          <w:color w:val="000000" w:themeColor="text1"/>
          <w:szCs w:val="24"/>
          <w:u w:val="single"/>
          <w:lang w:eastAsia="zh-CN"/>
        </w:rPr>
      </w:pPr>
      <w:r>
        <w:rPr>
          <w:u w:val="single"/>
        </w:rPr>
        <w:drawing>
          <wp:inline distT="0" distB="0" distL="114300" distR="114300">
            <wp:extent cx="2103120" cy="274320"/>
            <wp:effectExtent l="0" t="0" r="11430" b="1206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6"/>
                    <a:stretch>
                      <a:fillRect/>
                    </a:stretch>
                  </pic:blipFill>
                  <pic:spPr>
                    <a:xfrm>
                      <a:off x="0" y="0"/>
                      <a:ext cx="2103120" cy="274320"/>
                    </a:xfrm>
                    <a:prstGeom prst="rect">
                      <a:avLst/>
                    </a:prstGeom>
                    <a:noFill/>
                    <a:ln>
                      <a:noFill/>
                    </a:ln>
                  </pic:spPr>
                </pic:pic>
              </a:graphicData>
            </a:graphic>
          </wp:inline>
        </w:drawing>
      </w:r>
    </w:p>
    <w:p>
      <w:pPr>
        <w:pStyle w:val="17"/>
        <w:adjustRightInd w:val="0"/>
        <w:snapToGrid w:val="0"/>
        <w:spacing w:after="0" w:line="360" w:lineRule="auto"/>
        <w:rPr>
          <w:u w:val="single"/>
        </w:rPr>
      </w:pPr>
      <w:r>
        <w:rPr>
          <w:position w:val="2"/>
          <w:u w:val="single"/>
        </w:rPr>
        <w:t xml:space="preserve">公式中 </w:t>
      </w:r>
      <w:r>
        <w:rPr>
          <w:rFonts w:eastAsia="Times New Roman"/>
          <w:position w:val="2"/>
          <w:u w:val="single"/>
        </w:rPr>
        <w:t>E</w:t>
      </w:r>
      <w:r>
        <w:rPr>
          <w:rFonts w:eastAsia="Times New Roman"/>
          <w:position w:val="2"/>
          <w:u w:val="single"/>
          <w:vertAlign w:val="subscript"/>
        </w:rPr>
        <w:t>y</w:t>
      </w:r>
      <w:r>
        <w:rPr>
          <w:rFonts w:eastAsia="Times New Roman"/>
          <w:position w:val="2"/>
          <w:u w:val="single"/>
        </w:rPr>
        <w:t>——</w:t>
      </w:r>
      <w:r>
        <w:rPr>
          <w:position w:val="2"/>
          <w:u w:val="single"/>
        </w:rPr>
        <w:t>横向混合系数</w:t>
      </w:r>
    </w:p>
    <w:p>
      <w:pPr>
        <w:pStyle w:val="17"/>
        <w:adjustRightInd w:val="0"/>
        <w:snapToGrid w:val="0"/>
        <w:spacing w:after="0" w:line="360" w:lineRule="auto"/>
        <w:ind w:firstLine="720" w:firstLineChars="300"/>
        <w:rPr>
          <w:position w:val="2"/>
          <w:u w:val="single"/>
        </w:rPr>
      </w:pPr>
      <w:r>
        <w:rPr>
          <w:position w:val="2"/>
          <w:u w:val="single"/>
        </w:rPr>
        <w:t>H——河道断面平均水深（m）</w:t>
      </w:r>
    </w:p>
    <w:p>
      <w:pPr>
        <w:pStyle w:val="17"/>
        <w:adjustRightInd w:val="0"/>
        <w:snapToGrid w:val="0"/>
        <w:spacing w:after="0" w:line="360" w:lineRule="auto"/>
        <w:ind w:firstLine="720" w:firstLineChars="300"/>
        <w:rPr>
          <w:position w:val="2"/>
          <w:u w:val="single"/>
        </w:rPr>
      </w:pPr>
      <w:r>
        <w:rPr>
          <w:position w:val="2"/>
          <w:u w:val="single"/>
        </w:rPr>
        <w:t xml:space="preserve"> B——河道断面平均宽度（m）</w:t>
      </w:r>
    </w:p>
    <w:p>
      <w:pPr>
        <w:pStyle w:val="17"/>
        <w:adjustRightInd w:val="0"/>
        <w:snapToGrid w:val="0"/>
        <w:spacing w:after="0" w:line="360" w:lineRule="auto"/>
        <w:ind w:firstLine="720" w:firstLineChars="300"/>
        <w:rPr>
          <w:position w:val="2"/>
          <w:u w:val="single"/>
        </w:rPr>
      </w:pPr>
      <w:r>
        <w:rPr>
          <w:position w:val="2"/>
          <w:u w:val="single"/>
        </w:rPr>
        <w:t xml:space="preserve"> G——重力加速度（m</w:t>
      </w:r>
      <w:r>
        <w:rPr>
          <w:position w:val="2"/>
          <w:u w:val="single"/>
          <w:vertAlign w:val="superscript"/>
        </w:rPr>
        <w:t>2</w:t>
      </w:r>
      <w:r>
        <w:rPr>
          <w:position w:val="2"/>
          <w:u w:val="single"/>
        </w:rPr>
        <w:t>/s）</w:t>
      </w:r>
    </w:p>
    <w:p>
      <w:pPr>
        <w:pStyle w:val="17"/>
        <w:adjustRightInd w:val="0"/>
        <w:snapToGrid w:val="0"/>
        <w:spacing w:after="0" w:line="360" w:lineRule="auto"/>
        <w:ind w:firstLine="720" w:firstLineChars="300"/>
        <w:rPr>
          <w:position w:val="2"/>
          <w:u w:val="single"/>
        </w:rPr>
      </w:pPr>
      <w:r>
        <w:rPr>
          <w:position w:val="2"/>
          <w:u w:val="single"/>
        </w:rPr>
        <w:t xml:space="preserve"> J——河流水利比降</w:t>
      </w:r>
    </w:p>
    <w:p>
      <w:pPr>
        <w:pStyle w:val="17"/>
        <w:spacing w:line="311" w:lineRule="exact"/>
        <w:ind w:firstLine="960" w:firstLineChars="400"/>
        <w:rPr>
          <w:u w:val="single"/>
        </w:rPr>
      </w:pPr>
      <w:r>
        <w:rPr>
          <w:position w:val="2"/>
          <w:u w:val="single"/>
        </w:rPr>
        <w:t xml:space="preserve">通过计算确定华容河枯水期横向扩散系数 </w:t>
      </w:r>
      <w:r>
        <w:rPr>
          <w:rFonts w:eastAsia="Times New Roman"/>
          <w:position w:val="2"/>
          <w:u w:val="single"/>
        </w:rPr>
        <w:t>E</w:t>
      </w:r>
      <w:r>
        <w:rPr>
          <w:rFonts w:eastAsia="Times New Roman"/>
          <w:position w:val="2"/>
          <w:u w:val="single"/>
          <w:vertAlign w:val="subscript"/>
        </w:rPr>
        <w:t>y</w:t>
      </w:r>
      <w:r>
        <w:rPr>
          <w:position w:val="2"/>
          <w:u w:val="single"/>
        </w:rPr>
        <w:t>为</w:t>
      </w:r>
      <w:r>
        <w:rPr>
          <w:rFonts w:eastAsia="Times New Roman"/>
          <w:position w:val="2"/>
          <w:u w:val="single"/>
        </w:rPr>
        <w:t>0.125</w:t>
      </w:r>
      <w:r>
        <w:rPr>
          <w:position w:val="2"/>
          <w:u w:val="single"/>
        </w:rPr>
        <w:t>。</w:t>
      </w:r>
    </w:p>
    <w:p>
      <w:pPr>
        <w:pStyle w:val="69"/>
        <w:tabs>
          <w:tab w:val="left" w:pos="1661"/>
        </w:tabs>
        <w:spacing w:before="156"/>
        <w:ind w:left="480" w:leftChars="200" w:firstLine="0" w:firstLineChars="0"/>
        <w:jc w:val="left"/>
        <w:rPr>
          <w:rFonts w:eastAsia="Times New Roman"/>
          <w:u w:val="single"/>
        </w:rPr>
      </w:pPr>
      <w:r>
        <w:rPr>
          <w:rFonts w:hint="eastAsia" w:cs="Times New Roman"/>
          <w:color w:val="000000" w:themeColor="text1"/>
          <w:szCs w:val="24"/>
          <w:u w:val="single"/>
        </w:rPr>
        <w:t>（3）</w:t>
      </w:r>
      <w:r>
        <w:rPr>
          <w:spacing w:val="-6"/>
          <w:position w:val="2"/>
          <w:u w:val="single"/>
        </w:rPr>
        <w:t xml:space="preserve">污染物纵向扩散系数 </w:t>
      </w:r>
      <w:r>
        <w:rPr>
          <w:rFonts w:eastAsia="Times New Roman"/>
          <w:position w:val="2"/>
          <w:u w:val="single"/>
        </w:rPr>
        <w:t>E</w:t>
      </w:r>
      <w:r>
        <w:rPr>
          <w:rFonts w:eastAsia="Times New Roman"/>
          <w:position w:val="2"/>
          <w:u w:val="single"/>
          <w:vertAlign w:val="subscript"/>
        </w:rPr>
        <w:t>x</w:t>
      </w:r>
    </w:p>
    <w:p>
      <w:pPr>
        <w:pStyle w:val="17"/>
        <w:spacing w:before="159"/>
        <w:ind w:left="1060"/>
        <w:rPr>
          <w:u w:val="single"/>
        </w:rPr>
      </w:pPr>
      <w:r>
        <w:rPr>
          <w:u w:val="single"/>
        </w:rPr>
        <w:t>本报告采用爱尔德公式计算，计算公式如下：</w:t>
      </w:r>
    </w:p>
    <w:p>
      <w:pPr>
        <w:pStyle w:val="17"/>
        <w:adjustRightInd w:val="0"/>
        <w:snapToGrid w:val="0"/>
        <w:spacing w:after="0" w:line="360" w:lineRule="auto"/>
        <w:jc w:val="center"/>
        <w:rPr>
          <w:rFonts w:hint="eastAsia" w:eastAsiaTheme="minorEastAsia"/>
          <w:position w:val="2"/>
          <w:sz w:val="24"/>
          <w:szCs w:val="24"/>
          <w:u w:val="single"/>
          <w:lang w:eastAsia="zh-CN"/>
        </w:rPr>
      </w:pPr>
      <w:r>
        <w:rPr>
          <w:sz w:val="24"/>
          <w:szCs w:val="24"/>
          <w:u w:val="single"/>
        </w:rPr>
        <w:drawing>
          <wp:inline distT="0" distB="0" distL="114300" distR="114300">
            <wp:extent cx="1325880" cy="282575"/>
            <wp:effectExtent l="0" t="0" r="7620" b="25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1325880" cy="282575"/>
                    </a:xfrm>
                    <a:prstGeom prst="rect">
                      <a:avLst/>
                    </a:prstGeom>
                    <a:noFill/>
                    <a:ln>
                      <a:noFill/>
                    </a:ln>
                  </pic:spPr>
                </pic:pic>
              </a:graphicData>
            </a:graphic>
          </wp:inline>
        </w:drawing>
      </w:r>
    </w:p>
    <w:p>
      <w:pPr>
        <w:pStyle w:val="17"/>
        <w:adjustRightInd w:val="0"/>
        <w:snapToGrid w:val="0"/>
        <w:spacing w:after="0" w:line="360" w:lineRule="auto"/>
        <w:rPr>
          <w:u w:val="single"/>
        </w:rPr>
      </w:pPr>
      <w:r>
        <w:rPr>
          <w:position w:val="2"/>
          <w:u w:val="single"/>
        </w:rPr>
        <w:t xml:space="preserve">公式中 </w:t>
      </w:r>
      <w:r>
        <w:rPr>
          <w:rFonts w:eastAsia="Times New Roman"/>
          <w:position w:val="2"/>
          <w:u w:val="single"/>
        </w:rPr>
        <w:t>E</w:t>
      </w:r>
      <w:r>
        <w:rPr>
          <w:rFonts w:eastAsia="Times New Roman"/>
          <w:position w:val="2"/>
          <w:u w:val="single"/>
          <w:vertAlign w:val="subscript"/>
        </w:rPr>
        <w:t>x</w:t>
      </w:r>
      <w:r>
        <w:rPr>
          <w:rFonts w:eastAsia="Times New Roman"/>
          <w:position w:val="2"/>
          <w:u w:val="single"/>
        </w:rPr>
        <w:t>——</w:t>
      </w:r>
      <w:r>
        <w:rPr>
          <w:position w:val="2"/>
          <w:u w:val="single"/>
        </w:rPr>
        <w:t>纵向混合系数</w:t>
      </w:r>
    </w:p>
    <w:p>
      <w:pPr>
        <w:pStyle w:val="17"/>
        <w:adjustRightInd w:val="0"/>
        <w:snapToGrid w:val="0"/>
        <w:spacing w:after="0" w:line="360" w:lineRule="auto"/>
        <w:ind w:firstLine="960" w:firstLineChars="400"/>
        <w:rPr>
          <w:u w:val="single"/>
        </w:rPr>
      </w:pPr>
      <w:r>
        <w:rPr>
          <w:rFonts w:eastAsia="Times New Roman"/>
          <w:u w:val="single"/>
        </w:rPr>
        <w:t>H——</w:t>
      </w:r>
      <w:r>
        <w:rPr>
          <w:u w:val="single"/>
        </w:rPr>
        <w:t>河道断面平均水深（</w:t>
      </w:r>
      <w:r>
        <w:rPr>
          <w:rFonts w:eastAsia="Times New Roman"/>
          <w:u w:val="single"/>
        </w:rPr>
        <w:t>m</w:t>
      </w:r>
      <w:r>
        <w:rPr>
          <w:u w:val="single"/>
        </w:rPr>
        <w:t xml:space="preserve">） </w:t>
      </w:r>
    </w:p>
    <w:p>
      <w:pPr>
        <w:pStyle w:val="17"/>
        <w:adjustRightInd w:val="0"/>
        <w:snapToGrid w:val="0"/>
        <w:spacing w:after="0" w:line="360" w:lineRule="auto"/>
        <w:ind w:firstLine="960" w:firstLineChars="400"/>
        <w:rPr>
          <w:u w:val="single"/>
        </w:rPr>
      </w:pPr>
      <w:r>
        <w:rPr>
          <w:rFonts w:eastAsia="Times New Roman"/>
          <w:u w:val="single"/>
        </w:rPr>
        <w:t>G——</w:t>
      </w:r>
      <w:r>
        <w:rPr>
          <w:u w:val="single"/>
        </w:rPr>
        <w:t>重力加速度（</w:t>
      </w:r>
      <w:r>
        <w:rPr>
          <w:rFonts w:eastAsia="Times New Roman"/>
          <w:u w:val="single"/>
        </w:rPr>
        <w:t>m</w:t>
      </w:r>
      <w:r>
        <w:rPr>
          <w:rFonts w:eastAsia="Times New Roman"/>
          <w:position w:val="8"/>
          <w:sz w:val="15"/>
          <w:u w:val="single"/>
        </w:rPr>
        <w:t>2</w:t>
      </w:r>
      <w:r>
        <w:rPr>
          <w:rFonts w:eastAsia="Times New Roman"/>
          <w:u w:val="single"/>
        </w:rPr>
        <w:t>/s</w:t>
      </w:r>
      <w:r>
        <w:rPr>
          <w:u w:val="single"/>
        </w:rPr>
        <w:t>）</w:t>
      </w:r>
    </w:p>
    <w:p>
      <w:pPr>
        <w:pStyle w:val="17"/>
        <w:adjustRightInd w:val="0"/>
        <w:snapToGrid w:val="0"/>
        <w:spacing w:after="0" w:line="360" w:lineRule="auto"/>
        <w:ind w:firstLine="960" w:firstLineChars="400"/>
        <w:rPr>
          <w:u w:val="single"/>
        </w:rPr>
      </w:pPr>
      <w:r>
        <w:rPr>
          <w:u w:val="single"/>
        </w:rPr>
        <w:t xml:space="preserve"> </w:t>
      </w:r>
      <w:r>
        <w:rPr>
          <w:rFonts w:eastAsia="Times New Roman"/>
          <w:u w:val="single"/>
        </w:rPr>
        <w:t>J——</w:t>
      </w:r>
      <w:r>
        <w:rPr>
          <w:u w:val="single"/>
        </w:rPr>
        <w:t>为河流水利比降</w:t>
      </w:r>
    </w:p>
    <w:p>
      <w:pPr>
        <w:spacing w:line="360" w:lineRule="auto"/>
        <w:ind w:left="480" w:leftChars="200"/>
        <w:rPr>
          <w:position w:val="2"/>
          <w:u w:val="single"/>
        </w:rPr>
      </w:pPr>
      <w:r>
        <w:rPr>
          <w:position w:val="2"/>
          <w:u w:val="single"/>
        </w:rPr>
        <w:t xml:space="preserve">通过计算确定华容河枯水期纵向扩散系数 </w:t>
      </w:r>
      <w:r>
        <w:rPr>
          <w:rFonts w:eastAsia="Times New Roman"/>
          <w:position w:val="2"/>
          <w:u w:val="single"/>
        </w:rPr>
        <w:t>E</w:t>
      </w:r>
      <w:r>
        <w:rPr>
          <w:rFonts w:eastAsia="Times New Roman"/>
          <w:position w:val="2"/>
          <w:u w:val="single"/>
          <w:vertAlign w:val="subscript"/>
        </w:rPr>
        <w:t>x</w:t>
      </w:r>
      <w:r>
        <w:rPr>
          <w:rFonts w:eastAsia="Times New Roman"/>
          <w:position w:val="2"/>
          <w:u w:val="single"/>
        </w:rPr>
        <w:t xml:space="preserve"> </w:t>
      </w:r>
      <w:r>
        <w:rPr>
          <w:position w:val="2"/>
          <w:u w:val="single"/>
        </w:rPr>
        <w:t xml:space="preserve">为 </w:t>
      </w:r>
      <w:r>
        <w:rPr>
          <w:rFonts w:eastAsia="Times New Roman"/>
          <w:position w:val="2"/>
          <w:u w:val="single"/>
        </w:rPr>
        <w:t>3.735</w:t>
      </w:r>
      <w:r>
        <w:rPr>
          <w:position w:val="2"/>
          <w:u w:val="single"/>
        </w:rPr>
        <w:t>。</w:t>
      </w:r>
    </w:p>
    <w:p>
      <w:pPr>
        <w:adjustRightInd w:val="0"/>
        <w:snapToGrid w:val="0"/>
        <w:spacing w:line="360" w:lineRule="auto"/>
        <w:ind w:firstLine="480" w:firstLineChars="200"/>
        <w:rPr>
          <w:u w:val="single"/>
        </w:rPr>
      </w:pPr>
      <w:r>
        <w:rPr>
          <w:u w:val="single"/>
        </w:rPr>
        <w:t>根据《环境影响评价技术导则</w:t>
      </w:r>
      <w:r>
        <w:rPr>
          <w:rFonts w:eastAsia="Times New Roman"/>
          <w:u w:val="single"/>
        </w:rPr>
        <w:t>—</w:t>
      </w:r>
      <w:r>
        <w:rPr>
          <w:u w:val="single"/>
        </w:rPr>
        <w:t>地表水环境》（</w:t>
      </w:r>
      <w:r>
        <w:rPr>
          <w:rFonts w:eastAsia="Times New Roman"/>
          <w:u w:val="single"/>
        </w:rPr>
        <w:t>HJ2.3-2018</w:t>
      </w:r>
      <w:r>
        <w:rPr>
          <w:u w:val="single"/>
        </w:rPr>
        <w:t>），混合过程段长度</w:t>
      </w:r>
      <w:r>
        <w:rPr>
          <w:rFonts w:eastAsia="Times New Roman"/>
          <w:u w:val="single"/>
        </w:rPr>
        <w:t>Lm</w:t>
      </w:r>
      <w:r>
        <w:rPr>
          <w:u w:val="single"/>
        </w:rPr>
        <w:t>的计算公式为：</w:t>
      </w:r>
    </w:p>
    <w:p>
      <w:pPr>
        <w:adjustRightInd w:val="0"/>
        <w:snapToGrid w:val="0"/>
        <w:spacing w:line="360" w:lineRule="auto"/>
        <w:ind w:firstLine="480" w:firstLineChars="200"/>
        <w:jc w:val="center"/>
        <w:rPr>
          <w:u w:val="single"/>
        </w:rPr>
      </w:pPr>
      <w:r>
        <w:rPr>
          <w:u w:val="single"/>
        </w:rPr>
        <w:drawing>
          <wp:inline distT="0" distB="0" distL="114300" distR="114300">
            <wp:extent cx="2706370" cy="664210"/>
            <wp:effectExtent l="0" t="0" r="1778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tretch>
                      <a:fillRect/>
                    </a:stretch>
                  </pic:blipFill>
                  <pic:spPr>
                    <a:xfrm>
                      <a:off x="0" y="0"/>
                      <a:ext cx="2706370" cy="66421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jc w:val="left"/>
        <w:rPr>
          <w:rFonts w:eastAsia="宋体" w:cs="Times New Roman"/>
          <w:color w:val="000000"/>
          <w:kern w:val="0"/>
          <w:szCs w:val="24"/>
          <w:u w:val="single"/>
        </w:rPr>
      </w:pPr>
      <w:r>
        <w:rPr>
          <w:rFonts w:hint="eastAsia" w:eastAsia="宋体" w:cs="Times New Roman"/>
          <w:color w:val="000000"/>
          <w:kern w:val="0"/>
          <w:szCs w:val="24"/>
          <w:u w:val="single"/>
        </w:rPr>
        <w:t>式中：</w:t>
      </w:r>
      <w:r>
        <w:rPr>
          <w:rFonts w:eastAsia="宋体" w:cs="Times New Roman"/>
          <w:color w:val="000000"/>
          <w:kern w:val="0"/>
          <w:szCs w:val="24"/>
          <w:u w:val="single"/>
        </w:rPr>
        <w:t>L</w:t>
      </w:r>
      <w:r>
        <w:rPr>
          <w:rFonts w:eastAsia="宋体" w:cs="Times New Roman"/>
          <w:color w:val="000000"/>
          <w:kern w:val="0"/>
          <w:szCs w:val="24"/>
          <w:u w:val="single"/>
          <w:vertAlign w:val="subscript"/>
        </w:rPr>
        <w:t>m</w:t>
      </w:r>
      <w:r>
        <w:rPr>
          <w:rFonts w:eastAsia="宋体" w:cs="Times New Roman"/>
          <w:color w:val="000000"/>
          <w:kern w:val="0"/>
          <w:szCs w:val="24"/>
          <w:u w:val="single"/>
        </w:rPr>
        <w:t>—</w:t>
      </w:r>
      <w:r>
        <w:rPr>
          <w:rFonts w:hint="eastAsia" w:eastAsia="宋体" w:cs="Times New Roman"/>
          <w:color w:val="000000"/>
          <w:kern w:val="0"/>
          <w:szCs w:val="24"/>
          <w:u w:val="single"/>
        </w:rPr>
        <w:t>混合段长度，</w:t>
      </w:r>
      <w:r>
        <w:rPr>
          <w:rFonts w:eastAsia="宋体" w:cs="Times New Roman"/>
          <w:color w:val="000000"/>
          <w:kern w:val="0"/>
          <w:szCs w:val="24"/>
          <w:u w:val="single"/>
        </w:rPr>
        <w:t>m</w:t>
      </w:r>
      <w:r>
        <w:rPr>
          <w:rFonts w:hint="eastAsia" w:eastAsia="宋体" w:cs="Times New Roman"/>
          <w:color w:val="000000"/>
          <w:kern w:val="0"/>
          <w:szCs w:val="24"/>
          <w:u w:val="single"/>
        </w:rPr>
        <w:t>；</w:t>
      </w:r>
      <w:r>
        <w:rPr>
          <w:rFonts w:eastAsia="宋体" w:cs="Times New Roman"/>
          <w:color w:val="000000"/>
          <w:kern w:val="0"/>
          <w:szCs w:val="24"/>
          <w:u w:val="single"/>
        </w:rPr>
        <w:t xml:space="preserve"> </w:t>
      </w:r>
    </w:p>
    <w:p>
      <w:pPr>
        <w:autoSpaceDE w:val="0"/>
        <w:autoSpaceDN w:val="0"/>
        <w:adjustRightInd w:val="0"/>
        <w:snapToGrid w:val="0"/>
        <w:spacing w:line="360" w:lineRule="auto"/>
        <w:ind w:firstLine="1200" w:firstLineChars="500"/>
        <w:jc w:val="left"/>
        <w:rPr>
          <w:rFonts w:eastAsia="宋体" w:cs="Times New Roman"/>
          <w:color w:val="000000"/>
          <w:kern w:val="0"/>
          <w:szCs w:val="24"/>
          <w:u w:val="single"/>
        </w:rPr>
      </w:pPr>
      <w:r>
        <w:rPr>
          <w:rFonts w:eastAsia="宋体" w:cs="Times New Roman"/>
          <w:color w:val="000000"/>
          <w:kern w:val="0"/>
          <w:szCs w:val="24"/>
          <w:u w:val="single"/>
        </w:rPr>
        <w:t>B—</w:t>
      </w:r>
      <w:r>
        <w:rPr>
          <w:rFonts w:hint="eastAsia" w:eastAsia="宋体" w:cs="Times New Roman"/>
          <w:color w:val="000000"/>
          <w:kern w:val="0"/>
          <w:szCs w:val="24"/>
          <w:u w:val="single"/>
        </w:rPr>
        <w:t>水面宽度，</w:t>
      </w:r>
      <w:r>
        <w:rPr>
          <w:rFonts w:eastAsia="宋体" w:cs="Times New Roman"/>
          <w:color w:val="000000"/>
          <w:kern w:val="0"/>
          <w:szCs w:val="24"/>
          <w:u w:val="single"/>
        </w:rPr>
        <w:t>m</w:t>
      </w:r>
      <w:r>
        <w:rPr>
          <w:rFonts w:hint="eastAsia" w:eastAsia="宋体" w:cs="Times New Roman"/>
          <w:color w:val="000000"/>
          <w:kern w:val="0"/>
          <w:szCs w:val="24"/>
          <w:u w:val="single"/>
        </w:rPr>
        <w:t>；</w:t>
      </w:r>
      <w:r>
        <w:rPr>
          <w:rFonts w:eastAsia="宋体" w:cs="Times New Roman"/>
          <w:color w:val="000000"/>
          <w:kern w:val="0"/>
          <w:szCs w:val="24"/>
          <w:u w:val="single"/>
        </w:rPr>
        <w:t xml:space="preserve"> </w:t>
      </w:r>
    </w:p>
    <w:p>
      <w:pPr>
        <w:autoSpaceDE w:val="0"/>
        <w:autoSpaceDN w:val="0"/>
        <w:adjustRightInd w:val="0"/>
        <w:snapToGrid w:val="0"/>
        <w:spacing w:line="360" w:lineRule="auto"/>
        <w:ind w:firstLine="1200" w:firstLineChars="500"/>
        <w:jc w:val="left"/>
        <w:rPr>
          <w:rFonts w:eastAsia="宋体" w:cs="Times New Roman"/>
          <w:color w:val="000000"/>
          <w:kern w:val="0"/>
          <w:szCs w:val="24"/>
          <w:u w:val="single"/>
        </w:rPr>
      </w:pPr>
      <w:r>
        <w:rPr>
          <w:rFonts w:eastAsia="宋体" w:cs="Times New Roman"/>
          <w:color w:val="000000"/>
          <w:kern w:val="0"/>
          <w:szCs w:val="24"/>
          <w:u w:val="single"/>
        </w:rPr>
        <w:t>a—</w:t>
      </w:r>
      <w:r>
        <w:rPr>
          <w:rFonts w:hint="eastAsia" w:eastAsia="宋体" w:cs="Times New Roman"/>
          <w:color w:val="000000"/>
          <w:kern w:val="0"/>
          <w:szCs w:val="24"/>
          <w:u w:val="single"/>
        </w:rPr>
        <w:t>排放口到岸边的距离，</w:t>
      </w:r>
      <w:r>
        <w:rPr>
          <w:rFonts w:eastAsia="宋体" w:cs="Times New Roman"/>
          <w:color w:val="000000"/>
          <w:kern w:val="0"/>
          <w:szCs w:val="24"/>
          <w:u w:val="single"/>
        </w:rPr>
        <w:t>m</w:t>
      </w:r>
      <w:r>
        <w:rPr>
          <w:rFonts w:hint="eastAsia" w:eastAsia="宋体" w:cs="Times New Roman"/>
          <w:color w:val="000000"/>
          <w:kern w:val="0"/>
          <w:szCs w:val="24"/>
          <w:u w:val="single"/>
        </w:rPr>
        <w:t>，本项目为</w:t>
      </w:r>
      <w:r>
        <w:rPr>
          <w:rFonts w:eastAsia="宋体" w:cs="Times New Roman"/>
          <w:color w:val="000000"/>
          <w:kern w:val="0"/>
          <w:szCs w:val="24"/>
          <w:u w:val="single"/>
        </w:rPr>
        <w:t>0</w:t>
      </w:r>
      <w:r>
        <w:rPr>
          <w:rFonts w:hint="eastAsia" w:eastAsia="宋体" w:cs="Times New Roman"/>
          <w:color w:val="000000"/>
          <w:kern w:val="0"/>
          <w:szCs w:val="24"/>
          <w:u w:val="single"/>
        </w:rPr>
        <w:t>；</w:t>
      </w:r>
      <w:r>
        <w:rPr>
          <w:rFonts w:eastAsia="宋体" w:cs="Times New Roman"/>
          <w:color w:val="000000"/>
          <w:kern w:val="0"/>
          <w:szCs w:val="24"/>
          <w:u w:val="single"/>
        </w:rPr>
        <w:t xml:space="preserve"> </w:t>
      </w:r>
    </w:p>
    <w:p>
      <w:pPr>
        <w:autoSpaceDE w:val="0"/>
        <w:autoSpaceDN w:val="0"/>
        <w:adjustRightInd w:val="0"/>
        <w:snapToGrid w:val="0"/>
        <w:spacing w:line="360" w:lineRule="auto"/>
        <w:ind w:firstLine="1200" w:firstLineChars="500"/>
        <w:jc w:val="left"/>
        <w:rPr>
          <w:rFonts w:eastAsia="宋体" w:cs="Times New Roman"/>
          <w:color w:val="000000"/>
          <w:kern w:val="0"/>
          <w:szCs w:val="24"/>
          <w:u w:val="single"/>
        </w:rPr>
      </w:pPr>
      <w:r>
        <w:rPr>
          <w:rFonts w:eastAsia="宋体" w:cs="Times New Roman"/>
          <w:color w:val="000000"/>
          <w:kern w:val="0"/>
          <w:szCs w:val="24"/>
          <w:u w:val="single"/>
        </w:rPr>
        <w:t>u—</w:t>
      </w:r>
      <w:r>
        <w:rPr>
          <w:rFonts w:hint="eastAsia" w:eastAsia="宋体" w:cs="Times New Roman"/>
          <w:color w:val="000000"/>
          <w:kern w:val="0"/>
          <w:szCs w:val="24"/>
          <w:u w:val="single"/>
        </w:rPr>
        <w:t>断面流速，</w:t>
      </w:r>
      <w:r>
        <w:rPr>
          <w:rFonts w:eastAsia="宋体" w:cs="Times New Roman"/>
          <w:color w:val="000000"/>
          <w:kern w:val="0"/>
          <w:szCs w:val="24"/>
          <w:u w:val="single"/>
        </w:rPr>
        <w:t>m/s</w:t>
      </w:r>
      <w:r>
        <w:rPr>
          <w:rFonts w:hint="eastAsia" w:eastAsia="宋体" w:cs="Times New Roman"/>
          <w:color w:val="000000"/>
          <w:kern w:val="0"/>
          <w:szCs w:val="24"/>
          <w:u w:val="single"/>
        </w:rPr>
        <w:t>；</w:t>
      </w:r>
      <w:r>
        <w:rPr>
          <w:rFonts w:eastAsia="宋体" w:cs="Times New Roman"/>
          <w:color w:val="000000"/>
          <w:kern w:val="0"/>
          <w:szCs w:val="24"/>
          <w:u w:val="single"/>
        </w:rPr>
        <w:t xml:space="preserve"> </w:t>
      </w:r>
    </w:p>
    <w:p>
      <w:pPr>
        <w:autoSpaceDE w:val="0"/>
        <w:autoSpaceDN w:val="0"/>
        <w:adjustRightInd w:val="0"/>
        <w:snapToGrid w:val="0"/>
        <w:spacing w:line="360" w:lineRule="auto"/>
        <w:ind w:firstLine="1200" w:firstLineChars="500"/>
        <w:jc w:val="left"/>
        <w:rPr>
          <w:rFonts w:eastAsia="宋体" w:cs="Times New Roman"/>
          <w:color w:val="000000"/>
          <w:kern w:val="0"/>
          <w:szCs w:val="24"/>
          <w:u w:val="single"/>
        </w:rPr>
      </w:pPr>
      <w:r>
        <w:rPr>
          <w:rFonts w:eastAsia="宋体" w:cs="Times New Roman"/>
          <w:color w:val="000000"/>
          <w:kern w:val="0"/>
          <w:szCs w:val="24"/>
          <w:u w:val="single"/>
        </w:rPr>
        <w:t>E</w:t>
      </w:r>
      <w:r>
        <w:rPr>
          <w:rFonts w:eastAsia="宋体" w:cs="Times New Roman"/>
          <w:color w:val="000000"/>
          <w:kern w:val="0"/>
          <w:szCs w:val="24"/>
          <w:u w:val="single"/>
          <w:vertAlign w:val="subscript"/>
        </w:rPr>
        <w:t>y</w:t>
      </w:r>
      <w:r>
        <w:rPr>
          <w:rFonts w:eastAsia="宋体" w:cs="Times New Roman"/>
          <w:color w:val="000000"/>
          <w:kern w:val="0"/>
          <w:szCs w:val="24"/>
          <w:u w:val="single"/>
        </w:rPr>
        <w:t>—</w:t>
      </w:r>
      <w:r>
        <w:rPr>
          <w:rFonts w:hint="eastAsia" w:eastAsia="宋体" w:cs="Times New Roman"/>
          <w:color w:val="000000"/>
          <w:kern w:val="0"/>
          <w:szCs w:val="24"/>
          <w:u w:val="single"/>
        </w:rPr>
        <w:t>污染物横向扩散系数，</w:t>
      </w:r>
      <w:r>
        <w:rPr>
          <w:rFonts w:eastAsia="宋体" w:cs="Times New Roman"/>
          <w:color w:val="000000"/>
          <w:kern w:val="0"/>
          <w:szCs w:val="24"/>
          <w:u w:val="single"/>
        </w:rPr>
        <w:t>m</w:t>
      </w:r>
      <w:r>
        <w:rPr>
          <w:rFonts w:eastAsia="宋体" w:cs="Times New Roman"/>
          <w:color w:val="000000"/>
          <w:kern w:val="0"/>
          <w:szCs w:val="24"/>
          <w:u w:val="single"/>
          <w:vertAlign w:val="superscript"/>
        </w:rPr>
        <w:t>2</w:t>
      </w:r>
      <w:r>
        <w:rPr>
          <w:rFonts w:eastAsia="宋体" w:cs="Times New Roman"/>
          <w:color w:val="000000"/>
          <w:kern w:val="0"/>
          <w:szCs w:val="24"/>
          <w:u w:val="single"/>
        </w:rPr>
        <w:t>/s</w:t>
      </w:r>
      <w:r>
        <w:rPr>
          <w:rFonts w:hint="eastAsia" w:eastAsia="宋体" w:cs="Times New Roman"/>
          <w:color w:val="000000"/>
          <w:kern w:val="0"/>
          <w:szCs w:val="24"/>
          <w:u w:val="single"/>
        </w:rPr>
        <w:t>。</w:t>
      </w:r>
      <w:r>
        <w:rPr>
          <w:rFonts w:eastAsia="宋体" w:cs="Times New Roman"/>
          <w:color w:val="000000"/>
          <w:kern w:val="0"/>
          <w:szCs w:val="24"/>
          <w:u w:val="single"/>
        </w:rPr>
        <w:t xml:space="preserve"> </w:t>
      </w:r>
    </w:p>
    <w:p>
      <w:pPr>
        <w:adjustRightInd w:val="0"/>
        <w:snapToGrid w:val="0"/>
        <w:spacing w:line="360" w:lineRule="auto"/>
        <w:ind w:firstLine="1200" w:firstLineChars="500"/>
        <w:rPr>
          <w:rFonts w:eastAsia="宋体" w:cs="Times New Roman"/>
          <w:color w:val="000000"/>
          <w:kern w:val="0"/>
          <w:szCs w:val="24"/>
          <w:u w:val="single"/>
        </w:rPr>
      </w:pPr>
      <w:r>
        <w:rPr>
          <w:rFonts w:hint="eastAsia" w:eastAsia="宋体" w:cs="Times New Roman"/>
          <w:color w:val="000000"/>
          <w:kern w:val="0"/>
          <w:szCs w:val="24"/>
          <w:u w:val="single"/>
        </w:rPr>
        <w:t>经计算</w:t>
      </w:r>
      <w:r>
        <w:rPr>
          <w:rFonts w:eastAsia="宋体" w:cs="Times New Roman"/>
          <w:color w:val="000000"/>
          <w:kern w:val="0"/>
          <w:szCs w:val="24"/>
          <w:u w:val="single"/>
        </w:rPr>
        <w:t>L</w:t>
      </w:r>
      <w:r>
        <w:rPr>
          <w:rFonts w:eastAsia="宋体" w:cs="Times New Roman"/>
          <w:color w:val="000000"/>
          <w:kern w:val="0"/>
          <w:szCs w:val="24"/>
          <w:u w:val="single"/>
          <w:vertAlign w:val="subscript"/>
        </w:rPr>
        <w:t>m</w:t>
      </w:r>
      <w:r>
        <w:rPr>
          <w:rFonts w:eastAsia="宋体" w:cs="Times New Roman"/>
          <w:color w:val="000000"/>
          <w:kern w:val="0"/>
          <w:szCs w:val="24"/>
          <w:u w:val="single"/>
        </w:rPr>
        <w:t>=</w:t>
      </w:r>
      <w:r>
        <w:rPr>
          <w:rFonts w:hint="eastAsia" w:eastAsia="宋体" w:cs="Times New Roman"/>
          <w:color w:val="000000"/>
          <w:kern w:val="0"/>
          <w:szCs w:val="24"/>
          <w:u w:val="single"/>
        </w:rPr>
        <w:t>956</w:t>
      </w:r>
      <w:r>
        <w:rPr>
          <w:rFonts w:eastAsia="宋体" w:cs="Times New Roman"/>
          <w:color w:val="000000"/>
          <w:kern w:val="0"/>
          <w:szCs w:val="24"/>
          <w:u w:val="single"/>
        </w:rPr>
        <w:t>m</w:t>
      </w:r>
      <w:r>
        <w:rPr>
          <w:rFonts w:hint="eastAsia" w:eastAsia="宋体" w:cs="Times New Roman"/>
          <w:color w:val="000000"/>
          <w:kern w:val="0"/>
          <w:szCs w:val="24"/>
          <w:u w:val="single"/>
        </w:rPr>
        <w:t>。</w:t>
      </w:r>
    </w:p>
    <w:p>
      <w:pPr>
        <w:pStyle w:val="69"/>
        <w:tabs>
          <w:tab w:val="left" w:pos="1661"/>
        </w:tabs>
        <w:spacing w:before="156"/>
        <w:ind w:left="480" w:leftChars="200" w:firstLine="0" w:firstLineChars="0"/>
        <w:jc w:val="left"/>
        <w:rPr>
          <w:rFonts w:cs="Times New Roman"/>
          <w:color w:val="000000" w:themeColor="text1"/>
          <w:szCs w:val="24"/>
          <w:u w:val="single"/>
        </w:rPr>
      </w:pPr>
      <w:r>
        <w:rPr>
          <w:rFonts w:hint="eastAsia" w:cs="Times New Roman"/>
          <w:color w:val="000000" w:themeColor="text1"/>
          <w:szCs w:val="24"/>
          <w:u w:val="single"/>
        </w:rPr>
        <w:t>（4）项目源强</w:t>
      </w:r>
    </w:p>
    <w:p>
      <w:pPr>
        <w:pStyle w:val="17"/>
        <w:spacing w:before="161"/>
        <w:ind w:left="1060"/>
        <w:rPr>
          <w:u w:val="single"/>
        </w:rPr>
      </w:pPr>
      <w:r>
        <w:rPr>
          <w:u w:val="single"/>
        </w:rPr>
        <w:t>本论证正常排放及非正常排放源强见下表</w:t>
      </w:r>
    </w:p>
    <w:p>
      <w:pPr>
        <w:pStyle w:val="17"/>
        <w:spacing w:before="161"/>
        <w:ind w:left="1060"/>
        <w:rPr>
          <w:u w:val="single"/>
        </w:rPr>
      </w:pPr>
    </w:p>
    <w:p>
      <w:pPr>
        <w:pStyle w:val="14"/>
        <w:tabs>
          <w:tab w:val="left" w:pos="1661"/>
        </w:tabs>
        <w:spacing w:before="156" w:line="240" w:lineRule="auto"/>
        <w:ind w:left="480" w:leftChars="200"/>
        <w:rPr>
          <w:rFonts w:cs="Times New Roman"/>
          <w:color w:val="000000" w:themeColor="text1"/>
          <w:szCs w:val="24"/>
          <w:u w:val="single"/>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4</w:t>
      </w:r>
      <w:r>
        <w:rPr>
          <w:rFonts w:hint="eastAsia"/>
          <w:u w:val="single"/>
        </w:rPr>
        <w:t>.</w:t>
      </w:r>
      <w:r>
        <w:rPr>
          <w:u w:val="single"/>
        </w:rPr>
        <w:t>1</w:t>
      </w:r>
      <w:r>
        <w:rPr>
          <w:u w:val="single"/>
        </w:rPr>
        <w:fldChar w:fldCharType="end"/>
      </w:r>
      <w:r>
        <w:rPr>
          <w:rFonts w:hint="eastAsia"/>
          <w:u w:val="single"/>
        </w:rPr>
        <w:t>-</w:t>
      </w:r>
      <w:r>
        <w:rPr>
          <w:u w:val="single"/>
        </w:rPr>
        <w:fldChar w:fldCharType="begin"/>
      </w:r>
      <w:r>
        <w:rPr>
          <w:u w:val="single"/>
        </w:rPr>
        <w:instrText xml:space="preserve"> SEQ 表 \* ARABIC \s 2 </w:instrText>
      </w:r>
      <w:r>
        <w:rPr>
          <w:u w:val="single"/>
        </w:rPr>
        <w:fldChar w:fldCharType="separate"/>
      </w:r>
      <w:r>
        <w:rPr>
          <w:u w:val="single"/>
        </w:rPr>
        <w:t>13</w:t>
      </w:r>
      <w:r>
        <w:rPr>
          <w:u w:val="single"/>
        </w:rPr>
        <w:fldChar w:fldCharType="end"/>
      </w:r>
      <w:r>
        <w:rPr>
          <w:rFonts w:hint="eastAsia"/>
          <w:u w:val="single"/>
        </w:rPr>
        <w:t xml:space="preserve">  排放源一览表</w:t>
      </w:r>
    </w:p>
    <w:tbl>
      <w:tblPr>
        <w:tblStyle w:val="38"/>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803"/>
        <w:gridCol w:w="1803"/>
        <w:gridCol w:w="1807"/>
        <w:gridCol w:w="1803"/>
        <w:gridCol w:w="18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999" w:type="pct"/>
            <w:tcBorders>
              <w:top w:val="single" w:color="000000" w:sz="12" w:space="0"/>
              <w:left w:val="nil"/>
              <w:bottom w:val="single" w:color="000000" w:sz="4" w:space="0"/>
              <w:right w:val="single" w:color="000000" w:sz="4" w:space="0"/>
            </w:tcBorders>
          </w:tcPr>
          <w:p>
            <w:pPr>
              <w:pStyle w:val="159"/>
              <w:spacing w:before="21"/>
              <w:ind w:left="253" w:right="238"/>
              <w:rPr>
                <w:sz w:val="21"/>
                <w:u w:val="single"/>
              </w:rPr>
            </w:pPr>
            <w:r>
              <w:rPr>
                <w:sz w:val="21"/>
                <w:u w:val="single"/>
              </w:rPr>
              <w:t>项目</w:t>
            </w:r>
          </w:p>
        </w:tc>
        <w:tc>
          <w:tcPr>
            <w:tcW w:w="2000" w:type="pct"/>
            <w:gridSpan w:val="2"/>
            <w:vMerge w:val="restart"/>
            <w:tcBorders>
              <w:top w:val="single" w:color="000000" w:sz="12" w:space="0"/>
              <w:left w:val="single" w:color="000000" w:sz="4" w:space="0"/>
              <w:bottom w:val="single" w:color="000000" w:sz="4" w:space="0"/>
              <w:right w:val="single" w:color="000000" w:sz="4" w:space="0"/>
            </w:tcBorders>
          </w:tcPr>
          <w:p>
            <w:pPr>
              <w:pStyle w:val="159"/>
              <w:spacing w:before="187"/>
              <w:ind w:left="783"/>
              <w:jc w:val="left"/>
              <w:rPr>
                <w:sz w:val="21"/>
                <w:u w:val="single"/>
              </w:rPr>
            </w:pPr>
            <w:r>
              <w:rPr>
                <w:sz w:val="21"/>
                <w:u w:val="single"/>
              </w:rPr>
              <w:t>废水排放量（</w:t>
            </w:r>
            <w:r>
              <w:rPr>
                <w:rFonts w:ascii="Times New Roman" w:eastAsia="Times New Roman"/>
                <w:sz w:val="21"/>
                <w:u w:val="single"/>
              </w:rPr>
              <w:t>m</w:t>
            </w:r>
            <w:r>
              <w:rPr>
                <w:rFonts w:ascii="Times New Roman" w:eastAsia="Times New Roman"/>
                <w:position w:val="7"/>
                <w:sz w:val="13"/>
                <w:u w:val="single"/>
              </w:rPr>
              <w:t>3</w:t>
            </w:r>
            <w:r>
              <w:rPr>
                <w:rFonts w:ascii="Times New Roman" w:eastAsia="Times New Roman"/>
                <w:sz w:val="21"/>
                <w:u w:val="single"/>
              </w:rPr>
              <w:t>/s</w:t>
            </w:r>
            <w:r>
              <w:rPr>
                <w:sz w:val="21"/>
                <w:u w:val="single"/>
              </w:rPr>
              <w:t>）</w:t>
            </w:r>
          </w:p>
        </w:tc>
        <w:tc>
          <w:tcPr>
            <w:tcW w:w="2000" w:type="pct"/>
            <w:gridSpan w:val="2"/>
            <w:tcBorders>
              <w:top w:val="single" w:color="000000" w:sz="12" w:space="0"/>
              <w:left w:val="single" w:color="000000" w:sz="4" w:space="0"/>
              <w:bottom w:val="single" w:color="000000" w:sz="4" w:space="0"/>
              <w:right w:val="nil"/>
            </w:tcBorders>
          </w:tcPr>
          <w:p>
            <w:pPr>
              <w:pStyle w:val="159"/>
              <w:spacing w:before="21"/>
              <w:ind w:left="1263" w:right="1246"/>
              <w:rPr>
                <w:sz w:val="21"/>
                <w:u w:val="single"/>
              </w:rPr>
            </w:pPr>
            <w:r>
              <w:rPr>
                <w:sz w:val="21"/>
                <w:u w:val="single"/>
              </w:rPr>
              <w:t>预测因子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999" w:type="pct"/>
            <w:vMerge w:val="restart"/>
            <w:tcBorders>
              <w:top w:val="single" w:color="000000" w:sz="4" w:space="0"/>
              <w:left w:val="nil"/>
              <w:bottom w:val="single" w:color="000000" w:sz="4" w:space="0"/>
              <w:right w:val="single" w:color="000000" w:sz="4" w:space="0"/>
            </w:tcBorders>
          </w:tcPr>
          <w:p>
            <w:pPr>
              <w:pStyle w:val="159"/>
              <w:jc w:val="left"/>
              <w:rPr>
                <w:b/>
                <w:sz w:val="20"/>
                <w:u w:val="single"/>
              </w:rPr>
            </w:pPr>
          </w:p>
          <w:p>
            <w:pPr>
              <w:pStyle w:val="159"/>
              <w:spacing w:before="7"/>
              <w:jc w:val="left"/>
              <w:rPr>
                <w:b/>
                <w:sz w:val="26"/>
                <w:u w:val="single"/>
              </w:rPr>
            </w:pPr>
          </w:p>
          <w:p>
            <w:pPr>
              <w:pStyle w:val="159"/>
              <w:ind w:left="253" w:right="238"/>
              <w:rPr>
                <w:sz w:val="21"/>
                <w:u w:val="single"/>
              </w:rPr>
            </w:pPr>
            <w:r>
              <w:rPr>
                <w:sz w:val="21"/>
                <w:u w:val="single"/>
              </w:rPr>
              <w:t>尾水</w:t>
            </w:r>
          </w:p>
        </w:tc>
        <w:tc>
          <w:tcPr>
            <w:tcW w:w="2000" w:type="pct"/>
            <w:gridSpan w:val="2"/>
            <w:vMerge w:val="continue"/>
            <w:tcBorders>
              <w:top w:val="single" w:color="000000" w:sz="4" w:space="0"/>
              <w:left w:val="single" w:color="000000" w:sz="4" w:space="0"/>
              <w:bottom w:val="single" w:color="000000" w:sz="4" w:space="0"/>
              <w:right w:val="single" w:color="000000" w:sz="4" w:space="0"/>
            </w:tcBorders>
          </w:tcPr>
          <w:p>
            <w:pPr>
              <w:rPr>
                <w:sz w:val="2"/>
                <w:szCs w:val="2"/>
                <w:u w:val="single"/>
              </w:rPr>
            </w:pPr>
          </w:p>
        </w:tc>
        <w:tc>
          <w:tcPr>
            <w:tcW w:w="999" w:type="pct"/>
            <w:tcBorders>
              <w:top w:val="single" w:color="000000" w:sz="4" w:space="0"/>
              <w:left w:val="single" w:color="000000" w:sz="4" w:space="0"/>
              <w:bottom w:val="single" w:color="000000" w:sz="4" w:space="0"/>
              <w:right w:val="single" w:color="000000" w:sz="4" w:space="0"/>
            </w:tcBorders>
          </w:tcPr>
          <w:p>
            <w:pPr>
              <w:pStyle w:val="159"/>
              <w:spacing w:before="31" w:line="261" w:lineRule="exact"/>
              <w:ind w:left="260" w:right="238"/>
              <w:rPr>
                <w:rFonts w:ascii="Times New Roman"/>
                <w:sz w:val="21"/>
                <w:u w:val="single"/>
              </w:rPr>
            </w:pPr>
            <w:r>
              <w:rPr>
                <w:rFonts w:ascii="Times New Roman"/>
                <w:position w:val="2"/>
                <w:sz w:val="21"/>
                <w:u w:val="single"/>
              </w:rPr>
              <w:t>COD</w:t>
            </w:r>
            <w:r>
              <w:rPr>
                <w:rFonts w:ascii="Times New Roman"/>
                <w:position w:val="2"/>
                <w:sz w:val="21"/>
                <w:u w:val="single"/>
                <w:vertAlign w:val="subscript"/>
              </w:rPr>
              <w:t>cr</w:t>
            </w:r>
            <w:r>
              <w:rPr>
                <w:rFonts w:ascii="Times New Roman"/>
                <w:position w:val="2"/>
                <w:sz w:val="21"/>
                <w:u w:val="single"/>
              </w:rPr>
              <w:t>(mg/L)</w:t>
            </w:r>
          </w:p>
        </w:tc>
        <w:tc>
          <w:tcPr>
            <w:tcW w:w="1001" w:type="pct"/>
            <w:tcBorders>
              <w:top w:val="single" w:color="000000" w:sz="4" w:space="0"/>
              <w:left w:val="single" w:color="000000" w:sz="4" w:space="0"/>
              <w:bottom w:val="single" w:color="000000" w:sz="4" w:space="0"/>
              <w:right w:val="nil"/>
            </w:tcBorders>
          </w:tcPr>
          <w:p>
            <w:pPr>
              <w:pStyle w:val="159"/>
              <w:spacing w:before="31" w:line="261" w:lineRule="exact"/>
              <w:ind w:left="239" w:right="218"/>
              <w:rPr>
                <w:rFonts w:ascii="Times New Roman"/>
                <w:sz w:val="21"/>
                <w:u w:val="single"/>
              </w:rPr>
            </w:pPr>
            <w:r>
              <w:rPr>
                <w:rFonts w:ascii="Times New Roman"/>
                <w:position w:val="2"/>
                <w:sz w:val="21"/>
                <w:u w:val="single"/>
              </w:rPr>
              <w:t>NH</w:t>
            </w:r>
            <w:r>
              <w:rPr>
                <w:rFonts w:ascii="Times New Roman"/>
                <w:position w:val="2"/>
                <w:sz w:val="21"/>
                <w:u w:val="single"/>
                <w:vertAlign w:val="subscript"/>
              </w:rPr>
              <w:t>3</w:t>
            </w:r>
            <w:r>
              <w:rPr>
                <w:rFonts w:ascii="Times New Roman"/>
                <w:position w:val="2"/>
                <w:sz w:val="21"/>
                <w:u w:val="single"/>
              </w:rPr>
              <w:t>-N(mg/L)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999" w:type="pct"/>
            <w:vMerge w:val="continue"/>
            <w:tcBorders>
              <w:top w:val="single" w:color="000000" w:sz="4" w:space="0"/>
              <w:left w:val="nil"/>
              <w:bottom w:val="single" w:color="000000" w:sz="4" w:space="0"/>
              <w:right w:val="single" w:color="000000" w:sz="4" w:space="0"/>
            </w:tcBorders>
          </w:tcPr>
          <w:p>
            <w:pPr>
              <w:rPr>
                <w:sz w:val="2"/>
                <w:szCs w:val="2"/>
                <w:u w:val="single"/>
              </w:rPr>
            </w:pPr>
          </w:p>
        </w:tc>
        <w:tc>
          <w:tcPr>
            <w:tcW w:w="999" w:type="pct"/>
            <w:tcBorders>
              <w:top w:val="single" w:color="000000" w:sz="4" w:space="0"/>
              <w:left w:val="single" w:color="000000" w:sz="4" w:space="0"/>
              <w:bottom w:val="single" w:color="000000" w:sz="4" w:space="0"/>
              <w:right w:val="single" w:color="000000" w:sz="4" w:space="0"/>
            </w:tcBorders>
          </w:tcPr>
          <w:p>
            <w:pPr>
              <w:pStyle w:val="159"/>
              <w:spacing w:before="22"/>
              <w:ind w:left="253" w:right="238"/>
              <w:rPr>
                <w:sz w:val="21"/>
                <w:u w:val="single"/>
              </w:rPr>
            </w:pPr>
            <w:r>
              <w:rPr>
                <w:sz w:val="21"/>
                <w:u w:val="single"/>
              </w:rPr>
              <w:t>正常排放</w:t>
            </w:r>
          </w:p>
        </w:tc>
        <w:tc>
          <w:tcPr>
            <w:tcW w:w="1000" w:type="pct"/>
            <w:vMerge w:val="restart"/>
            <w:tcBorders>
              <w:top w:val="single" w:color="000000" w:sz="4" w:space="0"/>
              <w:left w:val="single" w:color="000000" w:sz="4" w:space="0"/>
              <w:bottom w:val="single" w:color="000000" w:sz="4" w:space="0"/>
              <w:right w:val="single" w:color="000000" w:sz="4" w:space="0"/>
            </w:tcBorders>
          </w:tcPr>
          <w:p>
            <w:pPr>
              <w:pStyle w:val="159"/>
              <w:spacing w:before="9"/>
              <w:jc w:val="left"/>
              <w:rPr>
                <w:b/>
                <w:sz w:val="15"/>
                <w:u w:val="single"/>
              </w:rPr>
            </w:pPr>
          </w:p>
          <w:p>
            <w:pPr>
              <w:pStyle w:val="159"/>
              <w:ind w:left="649" w:right="628"/>
              <w:rPr>
                <w:rFonts w:ascii="Times New Roman"/>
                <w:sz w:val="21"/>
                <w:u w:val="single"/>
              </w:rPr>
            </w:pPr>
            <w:r>
              <w:rPr>
                <w:rFonts w:ascii="Times New Roman"/>
                <w:sz w:val="21"/>
                <w:u w:val="single"/>
              </w:rPr>
              <w:t>0.22</w:t>
            </w:r>
          </w:p>
        </w:tc>
        <w:tc>
          <w:tcPr>
            <w:tcW w:w="999" w:type="pct"/>
            <w:tcBorders>
              <w:top w:val="single" w:color="000000" w:sz="4" w:space="0"/>
              <w:left w:val="single" w:color="000000" w:sz="4" w:space="0"/>
              <w:bottom w:val="single" w:color="000000" w:sz="4" w:space="0"/>
              <w:right w:val="single" w:color="000000" w:sz="4" w:space="0"/>
            </w:tcBorders>
          </w:tcPr>
          <w:p>
            <w:pPr>
              <w:pStyle w:val="159"/>
              <w:spacing w:before="36"/>
              <w:ind w:left="254" w:right="238"/>
              <w:rPr>
                <w:rFonts w:ascii="Times New Roman"/>
                <w:sz w:val="21"/>
                <w:u w:val="single"/>
              </w:rPr>
            </w:pPr>
            <w:r>
              <w:rPr>
                <w:rFonts w:ascii="Times New Roman"/>
                <w:sz w:val="21"/>
                <w:u w:val="single"/>
              </w:rPr>
              <w:t>50</w:t>
            </w:r>
          </w:p>
        </w:tc>
        <w:tc>
          <w:tcPr>
            <w:tcW w:w="1001" w:type="pct"/>
            <w:tcBorders>
              <w:top w:val="single" w:color="000000" w:sz="4" w:space="0"/>
              <w:left w:val="single" w:color="000000" w:sz="4" w:space="0"/>
              <w:bottom w:val="single" w:color="000000" w:sz="4" w:space="0"/>
              <w:right w:val="nil"/>
            </w:tcBorders>
          </w:tcPr>
          <w:p>
            <w:pPr>
              <w:pStyle w:val="159"/>
              <w:spacing w:before="36"/>
              <w:ind w:left="15"/>
              <w:rPr>
                <w:rFonts w:ascii="Times New Roman"/>
                <w:sz w:val="21"/>
                <w:u w:val="single"/>
              </w:rPr>
            </w:pPr>
            <w:r>
              <w:rPr>
                <w:rFonts w:ascii="Times New Roman"/>
                <w:w w:val="99"/>
                <w:sz w:val="21"/>
                <w:u w:val="single"/>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999" w:type="pct"/>
            <w:vMerge w:val="continue"/>
            <w:tcBorders>
              <w:top w:val="single" w:color="000000" w:sz="4" w:space="0"/>
              <w:left w:val="nil"/>
              <w:bottom w:val="single" w:color="000000" w:sz="4" w:space="0"/>
              <w:right w:val="single" w:color="000000" w:sz="4" w:space="0"/>
            </w:tcBorders>
          </w:tcPr>
          <w:p>
            <w:pPr>
              <w:rPr>
                <w:sz w:val="2"/>
                <w:szCs w:val="2"/>
                <w:u w:val="single"/>
              </w:rPr>
            </w:pPr>
          </w:p>
        </w:tc>
        <w:tc>
          <w:tcPr>
            <w:tcW w:w="999" w:type="pct"/>
            <w:tcBorders>
              <w:top w:val="single" w:color="000000" w:sz="4" w:space="0"/>
              <w:left w:val="single" w:color="000000" w:sz="4" w:space="0"/>
              <w:bottom w:val="single" w:color="000000" w:sz="4" w:space="0"/>
              <w:right w:val="single" w:color="000000" w:sz="4" w:space="0"/>
            </w:tcBorders>
          </w:tcPr>
          <w:p>
            <w:pPr>
              <w:pStyle w:val="159"/>
              <w:spacing w:before="21"/>
              <w:ind w:left="253" w:right="238"/>
              <w:rPr>
                <w:sz w:val="21"/>
                <w:u w:val="single"/>
              </w:rPr>
            </w:pPr>
            <w:r>
              <w:rPr>
                <w:sz w:val="21"/>
                <w:u w:val="single"/>
              </w:rPr>
              <w:t>事故排放</w:t>
            </w:r>
          </w:p>
        </w:tc>
        <w:tc>
          <w:tcPr>
            <w:tcW w:w="1000" w:type="pct"/>
            <w:vMerge w:val="continue"/>
            <w:tcBorders>
              <w:top w:val="single" w:color="000000" w:sz="4" w:space="0"/>
              <w:left w:val="single" w:color="000000" w:sz="4" w:space="0"/>
              <w:bottom w:val="single" w:color="000000" w:sz="4" w:space="0"/>
              <w:right w:val="single" w:color="000000" w:sz="4" w:space="0"/>
            </w:tcBorders>
          </w:tcPr>
          <w:p>
            <w:pPr>
              <w:rPr>
                <w:sz w:val="2"/>
                <w:szCs w:val="2"/>
                <w:u w:val="single"/>
              </w:rPr>
            </w:pPr>
          </w:p>
        </w:tc>
        <w:tc>
          <w:tcPr>
            <w:tcW w:w="999" w:type="pct"/>
            <w:tcBorders>
              <w:top w:val="single" w:color="000000" w:sz="4" w:space="0"/>
              <w:left w:val="single" w:color="000000" w:sz="4" w:space="0"/>
              <w:bottom w:val="single" w:color="000000" w:sz="4" w:space="0"/>
              <w:right w:val="single" w:color="000000" w:sz="4" w:space="0"/>
            </w:tcBorders>
          </w:tcPr>
          <w:p>
            <w:pPr>
              <w:pStyle w:val="159"/>
              <w:spacing w:before="35"/>
              <w:ind w:left="259" w:right="238"/>
              <w:rPr>
                <w:rFonts w:ascii="Times New Roman"/>
                <w:sz w:val="21"/>
                <w:u w:val="single"/>
              </w:rPr>
            </w:pPr>
            <w:r>
              <w:rPr>
                <w:rFonts w:ascii="Times New Roman"/>
                <w:sz w:val="21"/>
                <w:u w:val="single"/>
              </w:rPr>
              <w:t>420</w:t>
            </w:r>
          </w:p>
        </w:tc>
        <w:tc>
          <w:tcPr>
            <w:tcW w:w="1001" w:type="pct"/>
            <w:tcBorders>
              <w:top w:val="single" w:color="000000" w:sz="4" w:space="0"/>
              <w:left w:val="single" w:color="000000" w:sz="4" w:space="0"/>
              <w:bottom w:val="single" w:color="000000" w:sz="4" w:space="0"/>
              <w:right w:val="nil"/>
            </w:tcBorders>
          </w:tcPr>
          <w:p>
            <w:pPr>
              <w:pStyle w:val="159"/>
              <w:spacing w:before="35"/>
              <w:ind w:left="238" w:right="218"/>
              <w:rPr>
                <w:rFonts w:ascii="Times New Roman"/>
                <w:sz w:val="21"/>
                <w:u w:val="single"/>
              </w:rPr>
            </w:pPr>
            <w:r>
              <w:rPr>
                <w:rFonts w:ascii="Times New Roman"/>
                <w:sz w:val="21"/>
                <w:u w:val="single"/>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8" w:hRule="atLeast"/>
        </w:trPr>
        <w:tc>
          <w:tcPr>
            <w:tcW w:w="999" w:type="pct"/>
            <w:vMerge w:val="continue"/>
            <w:tcBorders>
              <w:top w:val="single" w:color="000000" w:sz="4" w:space="0"/>
              <w:left w:val="nil"/>
              <w:bottom w:val="single" w:color="000000" w:sz="12" w:space="0"/>
              <w:right w:val="single" w:color="000000" w:sz="4" w:space="0"/>
            </w:tcBorders>
          </w:tcPr>
          <w:p>
            <w:pPr>
              <w:rPr>
                <w:sz w:val="2"/>
                <w:szCs w:val="2"/>
                <w:u w:val="single"/>
              </w:rPr>
            </w:pPr>
          </w:p>
        </w:tc>
        <w:tc>
          <w:tcPr>
            <w:tcW w:w="2000" w:type="pct"/>
            <w:gridSpan w:val="2"/>
            <w:tcBorders>
              <w:top w:val="single" w:color="000000" w:sz="4" w:space="0"/>
              <w:left w:val="single" w:color="000000" w:sz="4" w:space="0"/>
              <w:bottom w:val="single" w:color="000000" w:sz="12" w:space="0"/>
              <w:right w:val="single" w:color="000000" w:sz="4" w:space="0"/>
            </w:tcBorders>
          </w:tcPr>
          <w:p>
            <w:pPr>
              <w:pStyle w:val="159"/>
              <w:spacing w:before="99"/>
              <w:ind w:left="1158" w:right="1140"/>
              <w:rPr>
                <w:sz w:val="21"/>
                <w:u w:val="single"/>
              </w:rPr>
            </w:pPr>
            <w:r>
              <w:rPr>
                <w:sz w:val="21"/>
                <w:u w:val="single"/>
              </w:rPr>
              <w:t>评价标准值</w:t>
            </w:r>
          </w:p>
        </w:tc>
        <w:tc>
          <w:tcPr>
            <w:tcW w:w="999" w:type="pct"/>
            <w:tcBorders>
              <w:top w:val="single" w:color="000000" w:sz="4" w:space="0"/>
              <w:left w:val="single" w:color="000000" w:sz="4" w:space="0"/>
              <w:bottom w:val="single" w:color="000000" w:sz="12" w:space="0"/>
              <w:right w:val="single" w:color="000000" w:sz="4" w:space="0"/>
            </w:tcBorders>
          </w:tcPr>
          <w:p>
            <w:pPr>
              <w:pStyle w:val="159"/>
              <w:spacing w:before="113"/>
              <w:ind w:left="254" w:right="238"/>
              <w:rPr>
                <w:rFonts w:ascii="Times New Roman"/>
                <w:sz w:val="21"/>
                <w:u w:val="single"/>
              </w:rPr>
            </w:pPr>
            <w:r>
              <w:rPr>
                <w:rFonts w:ascii="Times New Roman"/>
                <w:sz w:val="21"/>
                <w:u w:val="single"/>
              </w:rPr>
              <w:t>20</w:t>
            </w:r>
          </w:p>
        </w:tc>
        <w:tc>
          <w:tcPr>
            <w:tcW w:w="1001" w:type="pct"/>
            <w:tcBorders>
              <w:top w:val="single" w:color="000000" w:sz="4" w:space="0"/>
              <w:left w:val="single" w:color="000000" w:sz="4" w:space="0"/>
              <w:bottom w:val="single" w:color="000000" w:sz="12" w:space="0"/>
              <w:right w:val="nil"/>
            </w:tcBorders>
          </w:tcPr>
          <w:p>
            <w:pPr>
              <w:pStyle w:val="159"/>
              <w:spacing w:before="113"/>
              <w:ind w:left="238" w:right="218"/>
              <w:rPr>
                <w:rFonts w:ascii="Times New Roman"/>
                <w:sz w:val="21"/>
                <w:u w:val="single"/>
              </w:rPr>
            </w:pPr>
            <w:r>
              <w:rPr>
                <w:rFonts w:ascii="Times New Roman"/>
                <w:sz w:val="21"/>
                <w:u w:val="single"/>
              </w:rPr>
              <w:t>1.0</w:t>
            </w:r>
          </w:p>
        </w:tc>
      </w:tr>
    </w:tbl>
    <w:p>
      <w:pPr>
        <w:pStyle w:val="69"/>
        <w:tabs>
          <w:tab w:val="left" w:pos="1661"/>
        </w:tabs>
        <w:adjustRightInd w:val="0"/>
        <w:snapToGrid w:val="0"/>
        <w:spacing w:line="360" w:lineRule="auto"/>
        <w:ind w:firstLine="480"/>
        <w:jc w:val="left"/>
        <w:rPr>
          <w:rFonts w:cs="Times New Roman"/>
          <w:color w:val="000000" w:themeColor="text1"/>
          <w:szCs w:val="24"/>
          <w:u w:val="single"/>
        </w:rPr>
      </w:pPr>
      <w:r>
        <w:rPr>
          <w:rFonts w:hint="eastAsia" w:cs="Times New Roman"/>
          <w:color w:val="000000" w:themeColor="text1"/>
          <w:szCs w:val="24"/>
          <w:u w:val="single"/>
        </w:rPr>
        <w:t>（5）预测模型</w:t>
      </w:r>
    </w:p>
    <w:p>
      <w:pPr>
        <w:pStyle w:val="17"/>
        <w:adjustRightInd w:val="0"/>
        <w:snapToGrid w:val="0"/>
        <w:spacing w:after="0" w:line="360" w:lineRule="auto"/>
        <w:ind w:firstLine="480" w:firstLineChars="200"/>
        <w:rPr>
          <w:u w:val="single"/>
        </w:rPr>
      </w:pPr>
      <w:r>
        <w:rPr>
          <w:u w:val="single"/>
        </w:rPr>
        <w:t>本项目华</w:t>
      </w:r>
      <w:r>
        <w:rPr>
          <w:rFonts w:hint="eastAsia"/>
          <w:u w:val="single"/>
          <w:lang w:eastAsia="zh-CN"/>
        </w:rPr>
        <w:t>容</w:t>
      </w:r>
      <w:r>
        <w:rPr>
          <w:u w:val="single"/>
        </w:rPr>
        <w:t>河北支平均流量 84.52m</w:t>
      </w:r>
      <w:r>
        <w:rPr>
          <w:u w:val="single"/>
          <w:vertAlign w:val="superscript"/>
        </w:rPr>
        <w:t>3</w:t>
      </w:r>
      <w:r>
        <w:rPr>
          <w:u w:val="single"/>
        </w:rPr>
        <w:t>/s，属于中河，且 B/H≤200，故本评价采用《环境影响评价技术导则—地表水环境》（HJ2.3-2018）中的河流一维稳态水质模型进行预测评价</w:t>
      </w:r>
    </w:p>
    <w:p>
      <w:pPr>
        <w:pStyle w:val="69"/>
        <w:tabs>
          <w:tab w:val="left" w:pos="1661"/>
        </w:tabs>
        <w:adjustRightInd w:val="0"/>
        <w:snapToGrid w:val="0"/>
        <w:spacing w:line="360" w:lineRule="auto"/>
        <w:ind w:firstLine="480"/>
        <w:jc w:val="left"/>
        <w:rPr>
          <w:rFonts w:cs="Times New Roman"/>
          <w:color w:val="000000" w:themeColor="text1"/>
          <w:szCs w:val="24"/>
          <w:u w:val="single"/>
        </w:rPr>
      </w:pPr>
      <w:r>
        <w:rPr>
          <w:rFonts w:hint="eastAsia" w:cs="Times New Roman"/>
          <w:color w:val="000000" w:themeColor="text1"/>
          <w:szCs w:val="24"/>
          <w:u w:val="single"/>
        </w:rPr>
        <w:t>根据河流纵向一维水质模型方程的简化、分别判别条件（即：O’Connor数α和贝克来书Pe的临界值），选择相应的解析公式。</w:t>
      </w:r>
    </w:p>
    <w:p>
      <w:pPr>
        <w:pStyle w:val="69"/>
        <w:tabs>
          <w:tab w:val="left" w:pos="1661"/>
        </w:tabs>
        <w:adjustRightInd w:val="0"/>
        <w:snapToGrid w:val="0"/>
        <w:spacing w:line="360" w:lineRule="auto"/>
        <w:ind w:firstLine="480"/>
        <w:jc w:val="left"/>
        <w:rPr>
          <w:rFonts w:cs="Times New Roman"/>
          <w:color w:val="000000" w:themeColor="text1"/>
          <w:szCs w:val="24"/>
          <w:u w:val="single"/>
        </w:rPr>
      </w:pPr>
      <w:r>
        <w:rPr>
          <w:rFonts w:hint="eastAsia" w:cs="Times New Roman"/>
          <w:color w:val="000000" w:themeColor="text1"/>
          <w:szCs w:val="24"/>
          <w:u w:val="single"/>
        </w:rPr>
        <w:t>公式如下：</w:t>
      </w:r>
    </w:p>
    <w:p>
      <w:pPr>
        <w:pStyle w:val="69"/>
        <w:tabs>
          <w:tab w:val="left" w:pos="1661"/>
        </w:tabs>
        <w:adjustRightInd w:val="0"/>
        <w:snapToGrid w:val="0"/>
        <w:spacing w:line="360" w:lineRule="auto"/>
        <w:ind w:firstLine="480"/>
        <w:jc w:val="left"/>
        <w:rPr>
          <w:rFonts w:cs="Times New Roman"/>
          <w:color w:val="000000" w:themeColor="text1"/>
          <w:szCs w:val="24"/>
          <w:u w:val="single"/>
        </w:rPr>
      </w:pPr>
      <w:r>
        <w:rPr>
          <w:rFonts w:hint="eastAsia"/>
          <w:u w:val="single"/>
        </w:rPr>
        <w:t xml:space="preserve">       </w:t>
      </w:r>
      <w:r>
        <w:rPr>
          <w:rFonts w:hint="eastAsia"/>
          <w:u w:val="single"/>
          <w:lang w:val="en-US" w:eastAsia="zh-CN"/>
        </w:rPr>
        <w:t xml:space="preserve">   </w:t>
      </w:r>
      <w:r>
        <w:rPr>
          <w:rFonts w:hint="eastAsia"/>
          <w:u w:val="single"/>
        </w:rPr>
        <w:t xml:space="preserve">  </w:t>
      </w:r>
      <w:r>
        <w:rPr>
          <w:u w:val="single"/>
        </w:rPr>
        <w:drawing>
          <wp:inline distT="0" distB="0" distL="114300" distR="114300">
            <wp:extent cx="615315" cy="459105"/>
            <wp:effectExtent l="0" t="0" r="0" b="1714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9"/>
                    <a:stretch>
                      <a:fillRect/>
                    </a:stretch>
                  </pic:blipFill>
                  <pic:spPr>
                    <a:xfrm>
                      <a:off x="0" y="0"/>
                      <a:ext cx="615315" cy="459105"/>
                    </a:xfrm>
                    <a:prstGeom prst="rect">
                      <a:avLst/>
                    </a:prstGeom>
                    <a:noFill/>
                    <a:ln>
                      <a:noFill/>
                    </a:ln>
                  </pic:spPr>
                </pic:pic>
              </a:graphicData>
            </a:graphic>
          </wp:inline>
        </w:drawing>
      </w:r>
      <w:r>
        <w:rPr>
          <w:rFonts w:hint="eastAsia"/>
          <w:u w:val="single"/>
        </w:rPr>
        <w:t xml:space="preserve">                     </w:t>
      </w:r>
      <w:r>
        <w:rPr>
          <w:u w:val="single"/>
        </w:rPr>
        <w:drawing>
          <wp:inline distT="0" distB="0" distL="114300" distR="114300">
            <wp:extent cx="552450" cy="428625"/>
            <wp:effectExtent l="0" t="0" r="0" b="82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0"/>
                    <a:stretch>
                      <a:fillRect/>
                    </a:stretch>
                  </pic:blipFill>
                  <pic:spPr>
                    <a:xfrm>
                      <a:off x="0" y="0"/>
                      <a:ext cx="552450" cy="428625"/>
                    </a:xfrm>
                    <a:prstGeom prst="rect">
                      <a:avLst/>
                    </a:prstGeom>
                    <a:noFill/>
                    <a:ln>
                      <a:noFill/>
                    </a:ln>
                  </pic:spPr>
                </pic:pic>
              </a:graphicData>
            </a:graphic>
          </wp:inline>
        </w:drawing>
      </w:r>
      <w:r>
        <w:rPr>
          <w:rFonts w:hint="eastAsia"/>
          <w:u w:val="single"/>
        </w:rPr>
        <w:t xml:space="preserve">               </w:t>
      </w:r>
    </w:p>
    <w:p>
      <w:pPr>
        <w:adjustRightInd w:val="0"/>
        <w:snapToGrid w:val="0"/>
        <w:spacing w:line="360" w:lineRule="auto"/>
        <w:ind w:firstLine="480" w:firstLineChars="200"/>
        <w:jc w:val="left"/>
        <w:rPr>
          <w:rFonts w:ascii="TimesNewRomanPSMT" w:hAnsi="TimesNewRomanPSMT" w:eastAsia="TimesNewRomanPSMT"/>
          <w:szCs w:val="24"/>
          <w:u w:val="single"/>
        </w:rPr>
      </w:pPr>
      <w:r>
        <w:rPr>
          <w:rFonts w:hint="eastAsia" w:ascii="宋体" w:hAnsi="宋体" w:eastAsia="宋体"/>
          <w:szCs w:val="24"/>
          <w:u w:val="single"/>
        </w:rPr>
        <w:t>式中</w:t>
      </w:r>
      <w:r>
        <w:rPr>
          <w:rFonts w:hint="eastAsia" w:ascii="TimesNewRomanPSMT" w:hAnsi="TimesNewRomanPSMT" w:eastAsia="TimesNewRomanPSMT"/>
          <w:szCs w:val="24"/>
          <w:u w:val="single"/>
        </w:rPr>
        <w:t xml:space="preserve">:α——O'Connor </w:t>
      </w:r>
      <w:r>
        <w:rPr>
          <w:rFonts w:hint="eastAsia" w:ascii="宋体" w:hAnsi="宋体" w:eastAsia="宋体"/>
          <w:szCs w:val="24"/>
          <w:u w:val="single"/>
        </w:rPr>
        <w:t>数，量纲为</w:t>
      </w:r>
      <w:r>
        <w:rPr>
          <w:rFonts w:hint="eastAsia" w:ascii="TimesNewRomanPSMT" w:hAnsi="TimesNewRomanPSMT" w:eastAsia="TimesNewRomanPSMT"/>
          <w:szCs w:val="24"/>
          <w:u w:val="single"/>
        </w:rPr>
        <w:t>1,</w:t>
      </w:r>
      <w:r>
        <w:rPr>
          <w:rFonts w:hint="eastAsia" w:ascii="宋体" w:hAnsi="宋体" w:eastAsia="宋体"/>
          <w:szCs w:val="24"/>
          <w:u w:val="single"/>
        </w:rPr>
        <w:t>表征物质离散降解通量与移流通量比值</w:t>
      </w:r>
      <w:r>
        <w:rPr>
          <w:rFonts w:hint="eastAsia" w:ascii="TimesNewRomanPSMT" w:hAnsi="TimesNewRomanPSMT" w:eastAsia="TimesNewRomanPSMT"/>
          <w:szCs w:val="24"/>
          <w:u w:val="single"/>
        </w:rPr>
        <w:t>:</w:t>
      </w:r>
    </w:p>
    <w:p>
      <w:pPr>
        <w:adjustRightInd w:val="0"/>
        <w:snapToGrid w:val="0"/>
        <w:spacing w:line="360" w:lineRule="auto"/>
        <w:ind w:firstLine="960" w:firstLineChars="400"/>
        <w:jc w:val="left"/>
        <w:rPr>
          <w:rFonts w:ascii="TimesNewRomanPSMT" w:hAnsi="TimesNewRomanPSMT" w:eastAsia="TimesNewRomanPSMT"/>
          <w:szCs w:val="24"/>
          <w:u w:val="single"/>
        </w:rPr>
      </w:pPr>
      <w:r>
        <w:rPr>
          <w:rFonts w:hint="eastAsia" w:ascii="TimesNewRomanPSMT" w:hAnsi="TimesNewRomanPSMT" w:eastAsia="TimesNewRomanPSMT"/>
          <w:szCs w:val="24"/>
          <w:u w:val="single"/>
        </w:rPr>
        <w:t>Pe——</w:t>
      </w:r>
      <w:r>
        <w:rPr>
          <w:rFonts w:hint="eastAsia" w:ascii="宋体" w:hAnsi="宋体" w:eastAsia="宋体"/>
          <w:szCs w:val="24"/>
          <w:u w:val="single"/>
        </w:rPr>
        <w:t>贝克来数，量纲为</w:t>
      </w:r>
      <w:r>
        <w:rPr>
          <w:rFonts w:hint="eastAsia" w:ascii="TimesNewRomanPSMT" w:hAnsi="TimesNewRomanPSMT" w:eastAsia="TimesNewRomanPSMT"/>
          <w:szCs w:val="24"/>
          <w:u w:val="single"/>
        </w:rPr>
        <w:t>1,</w:t>
      </w:r>
      <w:r>
        <w:rPr>
          <w:rFonts w:hint="eastAsia" w:ascii="宋体" w:hAnsi="宋体" w:eastAsia="宋体"/>
          <w:szCs w:val="24"/>
          <w:u w:val="single"/>
        </w:rPr>
        <w:t>表征物质移流通量与离散通量比值</w:t>
      </w:r>
      <w:r>
        <w:rPr>
          <w:rFonts w:hint="eastAsia" w:ascii="TimesNewRomanPSMT" w:hAnsi="TimesNewRomanPSMT" w:eastAsia="TimesNewRomanPSMT"/>
          <w:szCs w:val="24"/>
          <w:u w:val="single"/>
        </w:rPr>
        <w:t>:</w:t>
      </w:r>
    </w:p>
    <w:p>
      <w:pPr>
        <w:adjustRightInd w:val="0"/>
        <w:snapToGrid w:val="0"/>
        <w:spacing w:line="360" w:lineRule="auto"/>
        <w:ind w:firstLine="960" w:firstLineChars="400"/>
        <w:jc w:val="left"/>
        <w:rPr>
          <w:rFonts w:ascii="TimesNewRomanPSMT" w:hAnsi="TimesNewRomanPSMT" w:eastAsia="TimesNewRomanPSMT"/>
          <w:szCs w:val="24"/>
          <w:u w:val="single"/>
        </w:rPr>
      </w:pPr>
      <w:r>
        <w:rPr>
          <w:rFonts w:hint="eastAsia" w:ascii="TimesNewRomanPSMT" w:hAnsi="TimesNewRomanPSMT" w:eastAsia="TimesNewRomanPSMT"/>
          <w:szCs w:val="24"/>
          <w:u w:val="single"/>
        </w:rPr>
        <w:t>C0——</w:t>
      </w:r>
      <w:r>
        <w:rPr>
          <w:rFonts w:hint="eastAsia" w:ascii="宋体" w:hAnsi="宋体" w:eastAsia="宋体"/>
          <w:szCs w:val="24"/>
          <w:u w:val="single"/>
        </w:rPr>
        <w:t>河流排放口初始断面混合浓度，</w:t>
      </w:r>
      <w:r>
        <w:rPr>
          <w:rFonts w:hint="eastAsia" w:ascii="TimesNewRomanPSMT" w:hAnsi="TimesNewRomanPSMT" w:eastAsia="TimesNewRomanPSMT"/>
          <w:szCs w:val="24"/>
          <w:u w:val="single"/>
        </w:rPr>
        <w:t>mg/L:</w:t>
      </w:r>
    </w:p>
    <w:p>
      <w:pPr>
        <w:pStyle w:val="69"/>
        <w:tabs>
          <w:tab w:val="left" w:pos="1661"/>
        </w:tabs>
        <w:adjustRightInd w:val="0"/>
        <w:snapToGrid w:val="0"/>
        <w:spacing w:line="360" w:lineRule="auto"/>
        <w:ind w:firstLine="960" w:firstLineChars="400"/>
        <w:jc w:val="left"/>
        <w:rPr>
          <w:rFonts w:ascii="宋体" w:hAnsi="宋体" w:eastAsia="宋体"/>
          <w:szCs w:val="24"/>
          <w:u w:val="single"/>
        </w:rPr>
      </w:pPr>
      <w:r>
        <w:rPr>
          <w:rFonts w:hint="eastAsia" w:ascii="TimesNewRomanPSMT" w:hAnsi="TimesNewRomanPSMT" w:eastAsia="TimesNewRomanPSMT"/>
          <w:szCs w:val="24"/>
          <w:u w:val="single"/>
        </w:rPr>
        <w:t>X——</w:t>
      </w:r>
      <w:r>
        <w:rPr>
          <w:rFonts w:hint="eastAsia" w:ascii="宋体" w:hAnsi="宋体" w:eastAsia="宋体"/>
          <w:szCs w:val="24"/>
          <w:u w:val="single"/>
        </w:rPr>
        <w:t>河流沿程坐标，</w:t>
      </w:r>
      <w:r>
        <w:rPr>
          <w:rFonts w:hint="eastAsia" w:ascii="TimesNewRomanPSMT" w:hAnsi="TimesNewRomanPSMT" w:eastAsia="TimesNewRomanPSMT"/>
          <w:szCs w:val="24"/>
          <w:u w:val="single"/>
        </w:rPr>
        <w:t>m</w:t>
      </w:r>
      <w:r>
        <w:rPr>
          <w:rFonts w:hint="eastAsia" w:ascii="宋体" w:hAnsi="宋体" w:eastAsia="宋体"/>
          <w:szCs w:val="24"/>
          <w:u w:val="single"/>
        </w:rPr>
        <w:t>。</w:t>
      </w:r>
    </w:p>
    <w:p>
      <w:pPr>
        <w:pStyle w:val="69"/>
        <w:tabs>
          <w:tab w:val="left" w:pos="1661"/>
        </w:tabs>
        <w:adjustRightInd w:val="0"/>
        <w:snapToGrid w:val="0"/>
        <w:spacing w:line="360" w:lineRule="auto"/>
        <w:ind w:firstLine="960" w:firstLineChars="400"/>
        <w:jc w:val="left"/>
        <w:rPr>
          <w:rFonts w:ascii="宋体" w:hAnsi="宋体" w:eastAsia="宋体"/>
          <w:szCs w:val="24"/>
          <w:u w:val="single"/>
        </w:rPr>
      </w:pPr>
      <w:r>
        <w:rPr>
          <w:rFonts w:hint="eastAsia" w:ascii="宋体" w:hAnsi="宋体" w:eastAsia="宋体"/>
          <w:szCs w:val="24"/>
          <w:u w:val="single"/>
        </w:rPr>
        <w:t>计算结果见下表所示。</w:t>
      </w:r>
    </w:p>
    <w:p>
      <w:pPr>
        <w:pStyle w:val="14"/>
        <w:tabs>
          <w:tab w:val="left" w:pos="1661"/>
        </w:tabs>
        <w:adjustRightInd w:val="0"/>
        <w:snapToGrid w:val="0"/>
        <w:spacing w:line="240" w:lineRule="auto"/>
        <w:rPr>
          <w:rFonts w:ascii="宋体" w:hAnsi="宋体"/>
          <w:szCs w:val="24"/>
          <w:u w:val="single"/>
        </w:rPr>
      </w:pPr>
      <w:r>
        <w:rPr>
          <w:szCs w:val="24"/>
          <w:u w:val="single"/>
        </w:rPr>
        <w:t xml:space="preserve">表 </w:t>
      </w:r>
      <w:r>
        <w:rPr>
          <w:szCs w:val="24"/>
          <w:u w:val="single"/>
        </w:rPr>
        <w:fldChar w:fldCharType="begin"/>
      </w:r>
      <w:r>
        <w:rPr>
          <w:szCs w:val="24"/>
          <w:u w:val="single"/>
        </w:rPr>
        <w:instrText xml:space="preserve"> STYLEREF 2 \s </w:instrText>
      </w:r>
      <w:r>
        <w:rPr>
          <w:szCs w:val="24"/>
          <w:u w:val="single"/>
        </w:rPr>
        <w:fldChar w:fldCharType="separate"/>
      </w:r>
      <w:r>
        <w:rPr>
          <w:szCs w:val="24"/>
          <w:u w:val="single"/>
        </w:rPr>
        <w:t>4</w:t>
      </w:r>
      <w:r>
        <w:rPr>
          <w:rFonts w:hint="eastAsia"/>
          <w:szCs w:val="24"/>
          <w:u w:val="single"/>
        </w:rPr>
        <w:t>.</w:t>
      </w:r>
      <w:r>
        <w:rPr>
          <w:szCs w:val="24"/>
          <w:u w:val="single"/>
        </w:rPr>
        <w:t>1</w:t>
      </w:r>
      <w:r>
        <w:rPr>
          <w:szCs w:val="24"/>
          <w:u w:val="single"/>
        </w:rPr>
        <w:fldChar w:fldCharType="end"/>
      </w:r>
      <w:r>
        <w:rPr>
          <w:rFonts w:hint="eastAsia"/>
          <w:szCs w:val="24"/>
          <w:u w:val="single"/>
        </w:rPr>
        <w:t>-</w:t>
      </w:r>
      <w:r>
        <w:rPr>
          <w:szCs w:val="24"/>
          <w:u w:val="single"/>
        </w:rPr>
        <w:fldChar w:fldCharType="begin"/>
      </w:r>
      <w:r>
        <w:rPr>
          <w:szCs w:val="24"/>
          <w:u w:val="single"/>
        </w:rPr>
        <w:instrText xml:space="preserve"> SEQ 表 \* ARABIC \s 2 </w:instrText>
      </w:r>
      <w:r>
        <w:rPr>
          <w:szCs w:val="24"/>
          <w:u w:val="single"/>
        </w:rPr>
        <w:fldChar w:fldCharType="separate"/>
      </w:r>
      <w:r>
        <w:rPr>
          <w:szCs w:val="24"/>
          <w:u w:val="single"/>
        </w:rPr>
        <w:t>14</w:t>
      </w:r>
      <w:r>
        <w:rPr>
          <w:szCs w:val="24"/>
          <w:u w:val="single"/>
        </w:rPr>
        <w:fldChar w:fldCharType="end"/>
      </w:r>
      <w:r>
        <w:rPr>
          <w:rFonts w:hint="eastAsia"/>
          <w:szCs w:val="24"/>
          <w:u w:val="single"/>
        </w:rPr>
        <w:t xml:space="preserve">  </w:t>
      </w:r>
      <w:r>
        <w:rPr>
          <w:rFonts w:eastAsia="Times New Roman"/>
          <w:szCs w:val="24"/>
          <w:u w:val="single"/>
        </w:rPr>
        <w:t>α</w:t>
      </w:r>
      <w:r>
        <w:rPr>
          <w:szCs w:val="24"/>
          <w:u w:val="single"/>
        </w:rPr>
        <w:t>、</w:t>
      </w:r>
      <w:r>
        <w:rPr>
          <w:rFonts w:eastAsia="Times New Roman"/>
          <w:szCs w:val="24"/>
          <w:u w:val="single"/>
        </w:rPr>
        <w:t>Pe</w:t>
      </w:r>
      <w:r>
        <w:rPr>
          <w:rFonts w:eastAsia="Times New Roman"/>
          <w:spacing w:val="1"/>
          <w:szCs w:val="24"/>
          <w:u w:val="single"/>
        </w:rPr>
        <w:t xml:space="preserve"> </w:t>
      </w:r>
      <w:r>
        <w:rPr>
          <w:rFonts w:hint="eastAsia"/>
          <w:spacing w:val="1"/>
          <w:szCs w:val="24"/>
          <w:u w:val="single"/>
        </w:rPr>
        <w:t>计算结果一栏表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top w:val="single" w:color="auto" w:sz="12" w:space="0"/>
              <w:lef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项目</w:t>
            </w:r>
          </w:p>
        </w:tc>
        <w:tc>
          <w:tcPr>
            <w:tcW w:w="2500" w:type="pct"/>
            <w:tcBorders>
              <w:top w:val="single" w:color="auto" w:sz="12" w:space="0"/>
              <w:righ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计算结果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500" w:type="pct"/>
            <w:tcBorders>
              <w:lef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CODα</w:t>
            </w:r>
          </w:p>
        </w:tc>
        <w:tc>
          <w:tcPr>
            <w:tcW w:w="2500" w:type="pct"/>
            <w:tcBorders>
              <w:righ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0.001055402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lef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CODPe</w:t>
            </w:r>
          </w:p>
        </w:tc>
        <w:tc>
          <w:tcPr>
            <w:tcW w:w="2500" w:type="pct"/>
            <w:tcBorders>
              <w:righ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eastAsia="TimesNewRomanPSMT" w:cs="Times New Roman"/>
                <w:b w:val="0"/>
                <w:bCs/>
                <w:sz w:val="21"/>
                <w:szCs w:val="21"/>
                <w:u w:val="single"/>
              </w:rPr>
              <w:t>1.113788487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lef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氨氮α</w:t>
            </w:r>
          </w:p>
        </w:tc>
        <w:tc>
          <w:tcPr>
            <w:tcW w:w="2500" w:type="pct"/>
            <w:tcBorders>
              <w:righ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eastAsia="TimesNewRomanPSMT" w:cs="Times New Roman"/>
                <w:b w:val="0"/>
                <w:bCs/>
                <w:sz w:val="21"/>
                <w:szCs w:val="21"/>
                <w:u w:val="single"/>
              </w:rPr>
              <w:t>0.000844232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left w:val="nil"/>
              <w:bottom w:val="single" w:color="auto" w:sz="12" w:space="0"/>
            </w:tcBorders>
            <w:vAlign w:val="center"/>
          </w:tcPr>
          <w:p>
            <w:pPr>
              <w:pStyle w:val="14"/>
              <w:tabs>
                <w:tab w:val="left" w:pos="1661"/>
              </w:tabs>
              <w:adjustRightInd w:val="0"/>
              <w:snapToGrid w:val="0"/>
              <w:spacing w:line="240" w:lineRule="auto"/>
              <w:rPr>
                <w:rFonts w:cs="Times New Roman"/>
                <w:b w:val="0"/>
                <w:bCs/>
                <w:sz w:val="21"/>
                <w:szCs w:val="21"/>
                <w:u w:val="single"/>
              </w:rPr>
            </w:pPr>
            <w:r>
              <w:rPr>
                <w:rFonts w:cs="Times New Roman"/>
                <w:b w:val="0"/>
                <w:bCs/>
                <w:sz w:val="21"/>
                <w:szCs w:val="21"/>
                <w:u w:val="single"/>
              </w:rPr>
              <w:t>氨氮Pe</w:t>
            </w:r>
          </w:p>
        </w:tc>
        <w:tc>
          <w:tcPr>
            <w:tcW w:w="2500" w:type="pct"/>
            <w:tcBorders>
              <w:bottom w:val="single" w:color="auto" w:sz="12" w:space="0"/>
              <w:right w:val="nil"/>
            </w:tcBorders>
            <w:vAlign w:val="center"/>
          </w:tcPr>
          <w:p>
            <w:pPr>
              <w:pStyle w:val="14"/>
              <w:tabs>
                <w:tab w:val="left" w:pos="1661"/>
              </w:tabs>
              <w:adjustRightInd w:val="0"/>
              <w:snapToGrid w:val="0"/>
              <w:spacing w:line="240" w:lineRule="auto"/>
              <w:rPr>
                <w:rFonts w:cs="Times New Roman"/>
                <w:b w:val="0"/>
                <w:bCs/>
                <w:sz w:val="21"/>
                <w:szCs w:val="21"/>
                <w:u w:val="single"/>
              </w:rPr>
            </w:pPr>
            <w:r>
              <w:rPr>
                <w:rFonts w:eastAsia="TimesNewRomanPSMT" w:cs="Times New Roman"/>
                <w:b w:val="0"/>
                <w:bCs/>
                <w:sz w:val="21"/>
                <w:szCs w:val="21"/>
                <w:u w:val="single"/>
              </w:rPr>
              <w:t>1.113788487</w:t>
            </w:r>
          </w:p>
        </w:tc>
      </w:tr>
    </w:tbl>
    <w:p>
      <w:pPr>
        <w:pStyle w:val="69"/>
        <w:tabs>
          <w:tab w:val="left" w:pos="1661"/>
        </w:tabs>
        <w:adjustRightInd w:val="0"/>
        <w:snapToGrid w:val="0"/>
        <w:spacing w:line="360" w:lineRule="auto"/>
        <w:ind w:firstLine="480"/>
        <w:jc w:val="left"/>
        <w:rPr>
          <w:rFonts w:eastAsia="宋体" w:cs="Times New Roman"/>
          <w:szCs w:val="24"/>
          <w:u w:val="single"/>
        </w:rPr>
      </w:pPr>
      <w:r>
        <w:rPr>
          <w:rFonts w:eastAsia="宋体" w:cs="Times New Roman"/>
          <w:szCs w:val="24"/>
          <w:u w:val="single"/>
        </w:rPr>
        <w:t>由上可知，当α≤0.027、Pe≥1 时，适用对流降解模型。</w:t>
      </w:r>
    </w:p>
    <w:p>
      <w:pPr>
        <w:pStyle w:val="69"/>
        <w:tabs>
          <w:tab w:val="left" w:pos="1661"/>
        </w:tabs>
        <w:adjustRightInd w:val="0"/>
        <w:snapToGrid w:val="0"/>
        <w:spacing w:line="360" w:lineRule="auto"/>
        <w:ind w:firstLine="480"/>
        <w:jc w:val="left"/>
        <w:rPr>
          <w:rFonts w:eastAsia="宋体" w:cs="Times New Roman"/>
          <w:szCs w:val="24"/>
          <w:u w:val="single"/>
        </w:rPr>
      </w:pPr>
      <w:r>
        <w:rPr>
          <w:rFonts w:hint="eastAsia" w:eastAsia="宋体" w:cs="Times New Roman"/>
          <w:szCs w:val="24"/>
          <w:u w:val="single"/>
        </w:rPr>
        <w:t>公式如下：</w:t>
      </w:r>
    </w:p>
    <w:p>
      <w:pPr>
        <w:pStyle w:val="69"/>
        <w:tabs>
          <w:tab w:val="left" w:pos="1661"/>
        </w:tabs>
        <w:adjustRightInd w:val="0"/>
        <w:snapToGrid w:val="0"/>
        <w:spacing w:line="360" w:lineRule="auto"/>
        <w:ind w:firstLine="480"/>
        <w:jc w:val="center"/>
        <w:rPr>
          <w:rFonts w:hint="eastAsia" w:eastAsiaTheme="minorEastAsia"/>
          <w:u w:val="single"/>
          <w:lang w:val="en-US" w:eastAsia="zh-CN"/>
        </w:rPr>
      </w:pPr>
      <w:r>
        <w:rPr>
          <w:u w:val="single"/>
        </w:rPr>
        <w:drawing>
          <wp:inline distT="0" distB="0" distL="114300" distR="114300">
            <wp:extent cx="1771650" cy="428625"/>
            <wp:effectExtent l="0" t="0" r="0" b="889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1"/>
                    <a:stretch>
                      <a:fillRect/>
                    </a:stretch>
                  </pic:blipFill>
                  <pic:spPr>
                    <a:xfrm>
                      <a:off x="0" y="0"/>
                      <a:ext cx="1771650" cy="428625"/>
                    </a:xfrm>
                    <a:prstGeom prst="rect">
                      <a:avLst/>
                    </a:prstGeom>
                    <a:noFill/>
                    <a:ln>
                      <a:noFill/>
                    </a:ln>
                  </pic:spPr>
                </pic:pic>
              </a:graphicData>
            </a:graphic>
          </wp:inline>
        </w:drawing>
      </w:r>
    </w:p>
    <w:p>
      <w:pPr>
        <w:pStyle w:val="69"/>
        <w:tabs>
          <w:tab w:val="left" w:pos="1661"/>
        </w:tabs>
        <w:adjustRightInd w:val="0"/>
        <w:snapToGrid w:val="0"/>
        <w:spacing w:line="360" w:lineRule="auto"/>
        <w:ind w:firstLine="480"/>
        <w:rPr>
          <w:u w:val="single"/>
        </w:rPr>
      </w:pPr>
      <w:r>
        <w:rPr>
          <w:rFonts w:hint="eastAsia"/>
          <w:u w:val="single"/>
        </w:rPr>
        <w:t>C</w:t>
      </w:r>
      <w:r>
        <w:rPr>
          <w:rFonts w:hint="eastAsia"/>
          <w:u w:val="single"/>
          <w:vertAlign w:val="subscript"/>
        </w:rPr>
        <w:t>0</w:t>
      </w:r>
      <w:r>
        <w:rPr>
          <w:rFonts w:hint="eastAsia"/>
          <w:u w:val="single"/>
        </w:rPr>
        <w:t>计算公式如下：</w:t>
      </w:r>
    </w:p>
    <w:p>
      <w:pPr>
        <w:pStyle w:val="69"/>
        <w:tabs>
          <w:tab w:val="left" w:pos="1661"/>
        </w:tabs>
        <w:adjustRightInd w:val="0"/>
        <w:snapToGrid w:val="0"/>
        <w:spacing w:line="360" w:lineRule="auto"/>
        <w:ind w:firstLine="480"/>
        <w:jc w:val="center"/>
        <w:rPr>
          <w:u w:val="single"/>
        </w:rPr>
      </w:pPr>
      <w:r>
        <w:rPr>
          <w:u w:val="single"/>
        </w:rPr>
        <w:drawing>
          <wp:inline distT="0" distB="0" distL="114300" distR="114300">
            <wp:extent cx="1386840" cy="518795"/>
            <wp:effectExtent l="0" t="0" r="3810" b="1460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2"/>
                    <a:stretch>
                      <a:fillRect/>
                    </a:stretch>
                  </pic:blipFill>
                  <pic:spPr>
                    <a:xfrm>
                      <a:off x="0" y="0"/>
                      <a:ext cx="1386840" cy="518795"/>
                    </a:xfrm>
                    <a:prstGeom prst="rect">
                      <a:avLst/>
                    </a:prstGeom>
                    <a:noFill/>
                    <a:ln>
                      <a:noFill/>
                    </a:ln>
                  </pic:spPr>
                </pic:pic>
              </a:graphicData>
            </a:graphic>
          </wp:inline>
        </w:drawing>
      </w:r>
    </w:p>
    <w:p>
      <w:pPr>
        <w:adjustRightInd w:val="0"/>
        <w:snapToGrid w:val="0"/>
        <w:spacing w:line="360" w:lineRule="auto"/>
        <w:jc w:val="left"/>
        <w:rPr>
          <w:rFonts w:ascii="宋体" w:hAnsi="宋体" w:eastAsia="宋体"/>
          <w:szCs w:val="24"/>
          <w:u w:val="single"/>
        </w:rPr>
      </w:pPr>
      <w:r>
        <w:rPr>
          <w:rFonts w:hint="eastAsia" w:ascii="宋体" w:hAnsi="宋体" w:eastAsia="宋体"/>
          <w:szCs w:val="24"/>
          <w:u w:val="single"/>
        </w:rPr>
        <w:t>式中：</w:t>
      </w:r>
      <w:r>
        <w:rPr>
          <w:rFonts w:hint="eastAsia" w:ascii="TimesNewRomanPSMT" w:hAnsi="TimesNewRomanPSMT" w:eastAsia="TimesNewRomanPSMT"/>
          <w:szCs w:val="24"/>
          <w:u w:val="single"/>
        </w:rPr>
        <w:t>C</w:t>
      </w:r>
      <w:r>
        <w:rPr>
          <w:rFonts w:hint="eastAsia" w:ascii="TimesNewRomanPSMT" w:hAnsi="TimesNewRomanPSMT" w:eastAsia="TimesNewRomanPSMT"/>
          <w:szCs w:val="24"/>
          <w:u w:val="single"/>
          <w:vertAlign w:val="subscript"/>
        </w:rPr>
        <w:t>0</w:t>
      </w:r>
      <w:r>
        <w:rPr>
          <w:rFonts w:hint="eastAsia" w:ascii="TimesNewRomanPSMT" w:hAnsi="TimesNewRomanPSMT" w:eastAsia="TimesNewRomanPSMT"/>
          <w:szCs w:val="24"/>
          <w:u w:val="single"/>
        </w:rPr>
        <w:t>——</w:t>
      </w:r>
      <w:r>
        <w:rPr>
          <w:rFonts w:hint="eastAsia" w:ascii="宋体" w:hAnsi="宋体" w:eastAsia="宋体"/>
          <w:szCs w:val="24"/>
          <w:u w:val="single"/>
        </w:rPr>
        <w:t>初始断面浓度</w:t>
      </w:r>
    </w:p>
    <w:p>
      <w:pPr>
        <w:adjustRightInd w:val="0"/>
        <w:snapToGrid w:val="0"/>
        <w:spacing w:line="360" w:lineRule="auto"/>
        <w:ind w:firstLine="720" w:firstLineChars="300"/>
        <w:jc w:val="left"/>
        <w:rPr>
          <w:rFonts w:ascii="宋体" w:hAnsi="宋体" w:eastAsia="宋体"/>
          <w:szCs w:val="24"/>
          <w:u w:val="single"/>
        </w:rPr>
      </w:pPr>
      <w:r>
        <w:rPr>
          <w:rFonts w:hint="eastAsia" w:ascii="TimesNewRomanPSMT" w:hAnsi="TimesNewRomanPSMT" w:eastAsia="TimesNewRomanPSMT"/>
          <w:szCs w:val="24"/>
          <w:u w:val="single"/>
        </w:rPr>
        <w:t>C</w:t>
      </w:r>
      <w:r>
        <w:rPr>
          <w:rFonts w:hint="eastAsia" w:ascii="TimesNewRomanPSMT" w:hAnsi="TimesNewRomanPSMT" w:eastAsia="TimesNewRomanPSMT"/>
          <w:szCs w:val="24"/>
          <w:u w:val="single"/>
          <w:vertAlign w:val="subscript"/>
        </w:rPr>
        <w:t>p</w:t>
      </w:r>
      <w:r>
        <w:rPr>
          <w:rFonts w:hint="eastAsia" w:ascii="TimesNewRomanPSMT" w:hAnsi="TimesNewRomanPSMT" w:eastAsia="TimesNewRomanPSMT"/>
          <w:szCs w:val="24"/>
          <w:u w:val="single"/>
        </w:rPr>
        <w:t>——</w:t>
      </w:r>
      <w:r>
        <w:rPr>
          <w:rFonts w:hint="eastAsia" w:ascii="宋体" w:hAnsi="宋体" w:eastAsia="宋体"/>
          <w:szCs w:val="24"/>
          <w:u w:val="single"/>
        </w:rPr>
        <w:t>污染物排放浓度</w:t>
      </w:r>
    </w:p>
    <w:p>
      <w:pPr>
        <w:adjustRightInd w:val="0"/>
        <w:snapToGrid w:val="0"/>
        <w:spacing w:line="360" w:lineRule="auto"/>
        <w:ind w:firstLine="720" w:firstLineChars="300"/>
        <w:jc w:val="left"/>
        <w:rPr>
          <w:rFonts w:ascii="宋体" w:hAnsi="宋体" w:eastAsia="宋体"/>
          <w:szCs w:val="24"/>
          <w:u w:val="single"/>
        </w:rPr>
      </w:pPr>
      <w:r>
        <w:rPr>
          <w:rFonts w:hint="eastAsia" w:ascii="TimesNewRomanPSMT" w:hAnsi="TimesNewRomanPSMT" w:eastAsia="TimesNewRomanPSMT"/>
          <w:szCs w:val="24"/>
          <w:u w:val="single"/>
        </w:rPr>
        <w:t>Q</w:t>
      </w:r>
      <w:r>
        <w:rPr>
          <w:rFonts w:hint="eastAsia" w:ascii="TimesNewRomanPSMT" w:hAnsi="TimesNewRomanPSMT" w:eastAsia="TimesNewRomanPSMT"/>
          <w:szCs w:val="24"/>
          <w:u w:val="single"/>
          <w:vertAlign w:val="subscript"/>
        </w:rPr>
        <w:t>p</w:t>
      </w:r>
      <w:r>
        <w:rPr>
          <w:rFonts w:hint="eastAsia" w:ascii="TimesNewRomanPSMT" w:hAnsi="TimesNewRomanPSMT" w:eastAsia="TimesNewRomanPSMT"/>
          <w:szCs w:val="24"/>
          <w:u w:val="single"/>
        </w:rPr>
        <w:t>——</w:t>
      </w:r>
      <w:r>
        <w:rPr>
          <w:rFonts w:hint="eastAsia" w:ascii="宋体" w:hAnsi="宋体" w:eastAsia="宋体"/>
          <w:szCs w:val="24"/>
          <w:u w:val="single"/>
        </w:rPr>
        <w:t>污水排放量</w:t>
      </w:r>
    </w:p>
    <w:p>
      <w:pPr>
        <w:adjustRightInd w:val="0"/>
        <w:snapToGrid w:val="0"/>
        <w:spacing w:line="360" w:lineRule="auto"/>
        <w:ind w:firstLine="720" w:firstLineChars="300"/>
        <w:jc w:val="left"/>
        <w:rPr>
          <w:rFonts w:ascii="宋体" w:hAnsi="宋体" w:eastAsia="宋体"/>
          <w:szCs w:val="24"/>
          <w:u w:val="single"/>
        </w:rPr>
      </w:pPr>
      <w:r>
        <w:rPr>
          <w:rFonts w:hint="eastAsia" w:ascii="TimesNewRomanPSMT" w:hAnsi="TimesNewRomanPSMT" w:eastAsia="TimesNewRomanPSMT"/>
          <w:szCs w:val="24"/>
          <w:u w:val="single"/>
        </w:rPr>
        <w:t>C</w:t>
      </w:r>
      <w:r>
        <w:rPr>
          <w:rFonts w:hint="eastAsia" w:ascii="TimesNewRomanPSMT" w:hAnsi="TimesNewRomanPSMT" w:eastAsia="TimesNewRomanPSMT"/>
          <w:szCs w:val="24"/>
          <w:u w:val="single"/>
          <w:vertAlign w:val="subscript"/>
        </w:rPr>
        <w:t>h</w:t>
      </w:r>
      <w:r>
        <w:rPr>
          <w:rFonts w:hint="eastAsia" w:ascii="TimesNewRomanPSMT" w:hAnsi="TimesNewRomanPSMT" w:eastAsia="TimesNewRomanPSMT"/>
          <w:szCs w:val="24"/>
          <w:u w:val="single"/>
        </w:rPr>
        <w:t>——</w:t>
      </w:r>
      <w:r>
        <w:rPr>
          <w:rFonts w:hint="eastAsia" w:ascii="宋体" w:hAnsi="宋体" w:eastAsia="宋体"/>
          <w:szCs w:val="24"/>
          <w:u w:val="single"/>
        </w:rPr>
        <w:t>河流上游污染物浓度</w:t>
      </w:r>
    </w:p>
    <w:p>
      <w:pPr>
        <w:pStyle w:val="69"/>
        <w:tabs>
          <w:tab w:val="left" w:pos="1661"/>
        </w:tabs>
        <w:adjustRightInd w:val="0"/>
        <w:snapToGrid w:val="0"/>
        <w:spacing w:line="360" w:lineRule="auto"/>
        <w:ind w:firstLine="720" w:firstLineChars="300"/>
        <w:rPr>
          <w:rFonts w:ascii="宋体" w:hAnsi="宋体" w:eastAsia="宋体"/>
          <w:szCs w:val="24"/>
          <w:u w:val="single"/>
        </w:rPr>
      </w:pPr>
      <w:r>
        <w:rPr>
          <w:rFonts w:hint="eastAsia" w:ascii="TimesNewRomanPSMT" w:hAnsi="TimesNewRomanPSMT" w:eastAsia="TimesNewRomanPSMT"/>
          <w:szCs w:val="24"/>
          <w:u w:val="single"/>
        </w:rPr>
        <w:t>Q</w:t>
      </w:r>
      <w:r>
        <w:rPr>
          <w:rFonts w:hint="eastAsia" w:ascii="TimesNewRomanPSMT" w:hAnsi="TimesNewRomanPSMT" w:eastAsia="TimesNewRomanPSMT"/>
          <w:szCs w:val="24"/>
          <w:u w:val="single"/>
          <w:vertAlign w:val="subscript"/>
        </w:rPr>
        <w:t>h</w:t>
      </w:r>
      <w:r>
        <w:rPr>
          <w:rFonts w:hint="eastAsia" w:ascii="TimesNewRomanPSMT" w:hAnsi="TimesNewRomanPSMT" w:eastAsia="TimesNewRomanPSMT"/>
          <w:szCs w:val="24"/>
          <w:u w:val="single"/>
        </w:rPr>
        <w:t>——</w:t>
      </w:r>
      <w:r>
        <w:rPr>
          <w:rFonts w:hint="eastAsia" w:ascii="宋体" w:hAnsi="宋体" w:eastAsia="宋体"/>
          <w:szCs w:val="24"/>
          <w:u w:val="single"/>
        </w:rPr>
        <w:t>河流流量</w:t>
      </w:r>
    </w:p>
    <w:p>
      <w:pPr>
        <w:pStyle w:val="69"/>
        <w:tabs>
          <w:tab w:val="left" w:pos="1661"/>
        </w:tabs>
        <w:adjustRightInd w:val="0"/>
        <w:snapToGrid w:val="0"/>
        <w:spacing w:line="360" w:lineRule="auto"/>
        <w:ind w:firstLine="720" w:firstLineChars="300"/>
        <w:rPr>
          <w:rFonts w:ascii="宋体" w:hAnsi="宋体" w:eastAsia="宋体" w:cs="宋体"/>
          <w:szCs w:val="24"/>
          <w:u w:val="single"/>
        </w:rPr>
      </w:pPr>
      <w:r>
        <w:rPr>
          <w:rFonts w:hint="eastAsia" w:ascii="宋体" w:hAnsi="宋体" w:eastAsia="宋体" w:cs="宋体"/>
          <w:szCs w:val="24"/>
          <w:u w:val="single"/>
        </w:rPr>
        <w:t>①正常情况下预测结果见下表所示。</w:t>
      </w:r>
    </w:p>
    <w:p>
      <w:pPr>
        <w:pStyle w:val="14"/>
        <w:tabs>
          <w:tab w:val="left" w:pos="1661"/>
        </w:tabs>
        <w:adjustRightInd w:val="0"/>
        <w:snapToGrid w:val="0"/>
        <w:spacing w:line="240" w:lineRule="auto"/>
        <w:ind w:firstLine="723" w:firstLineChars="300"/>
        <w:jc w:val="both"/>
        <w:rPr>
          <w:rFonts w:ascii="宋体" w:hAnsi="宋体" w:cs="宋体"/>
          <w:szCs w:val="24"/>
          <w:u w:val="single"/>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4</w:t>
      </w:r>
      <w:r>
        <w:rPr>
          <w:rFonts w:hint="eastAsia"/>
          <w:u w:val="single"/>
        </w:rPr>
        <w:t>.</w:t>
      </w:r>
      <w:r>
        <w:rPr>
          <w:u w:val="single"/>
        </w:rPr>
        <w:t>1</w:t>
      </w:r>
      <w:r>
        <w:rPr>
          <w:u w:val="single"/>
        </w:rPr>
        <w:fldChar w:fldCharType="end"/>
      </w:r>
      <w:r>
        <w:rPr>
          <w:rFonts w:hint="eastAsia"/>
          <w:u w:val="single"/>
        </w:rPr>
        <w:t>-</w:t>
      </w:r>
      <w:r>
        <w:rPr>
          <w:u w:val="single"/>
        </w:rPr>
        <w:fldChar w:fldCharType="begin"/>
      </w:r>
      <w:r>
        <w:rPr>
          <w:u w:val="single"/>
        </w:rPr>
        <w:instrText xml:space="preserve"> SEQ 表 \* ARABIC \s 2 </w:instrText>
      </w:r>
      <w:r>
        <w:rPr>
          <w:u w:val="single"/>
        </w:rPr>
        <w:fldChar w:fldCharType="separate"/>
      </w:r>
      <w:r>
        <w:rPr>
          <w:u w:val="single"/>
        </w:rPr>
        <w:t>15</w:t>
      </w:r>
      <w:r>
        <w:rPr>
          <w:u w:val="single"/>
        </w:rPr>
        <w:fldChar w:fldCharType="end"/>
      </w:r>
      <w:r>
        <w:rPr>
          <w:rFonts w:hint="eastAsia"/>
          <w:u w:val="single"/>
        </w:rPr>
        <w:t xml:space="preserve">  尾水达标排放对华容河河段CODcr浓度预测值   单位：mg/L</w:t>
      </w:r>
    </w:p>
    <w:tbl>
      <w:tblPr>
        <w:tblStyle w:val="38"/>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208"/>
        <w:gridCol w:w="982"/>
        <w:gridCol w:w="1134"/>
        <w:gridCol w:w="1134"/>
        <w:gridCol w:w="1137"/>
        <w:gridCol w:w="1134"/>
        <w:gridCol w:w="1134"/>
        <w:gridCol w:w="11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5000" w:type="pct"/>
            <w:gridSpan w:val="8"/>
            <w:tcBorders>
              <w:top w:val="single" w:color="000000" w:sz="12" w:space="0"/>
              <w:left w:val="nil"/>
              <w:bottom w:val="single" w:color="000000" w:sz="4" w:space="0"/>
              <w:right w:val="nil"/>
            </w:tcBorders>
          </w:tcPr>
          <w:p>
            <w:pPr>
              <w:pStyle w:val="159"/>
              <w:spacing w:before="33"/>
              <w:ind w:left="3343" w:right="3323"/>
              <w:rPr>
                <w:rFonts w:ascii="Times New Roman" w:hAnsi="Times New Roman" w:cs="Times New Roman"/>
                <w:sz w:val="21"/>
                <w:u w:val="single"/>
              </w:rPr>
            </w:pPr>
            <w:r>
              <w:rPr>
                <w:rFonts w:ascii="Times New Roman" w:hAnsi="Times New Roman" w:eastAsia="Times New Roman" w:cs="Times New Roman"/>
                <w:sz w:val="21"/>
                <w:u w:val="single"/>
              </w:rPr>
              <w:t>α≤0.027</w:t>
            </w:r>
            <w:r>
              <w:rPr>
                <w:rFonts w:ascii="Times New Roman" w:hAnsi="Times New Roman" w:cs="Times New Roman"/>
                <w:sz w:val="21"/>
                <w:u w:val="single"/>
              </w:rPr>
              <w:t>、</w:t>
            </w:r>
            <w:r>
              <w:rPr>
                <w:rFonts w:ascii="Times New Roman" w:hAnsi="Times New Roman" w:eastAsia="Times New Roman" w:cs="Times New Roman"/>
                <w:sz w:val="21"/>
                <w:u w:val="single"/>
              </w:rPr>
              <w:t xml:space="preserve">Pe≥1 </w:t>
            </w:r>
            <w:r>
              <w:rPr>
                <w:rFonts w:ascii="Times New Roman" w:hAnsi="Times New Roman" w:cs="Times New Roman"/>
                <w:sz w:val="21"/>
                <w:u w:val="single"/>
              </w:rPr>
              <w:t>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70" w:type="pct"/>
            <w:tcBorders>
              <w:top w:val="single" w:color="000000" w:sz="4" w:space="0"/>
              <w:left w:val="nil"/>
              <w:bottom w:val="single" w:color="000000" w:sz="4" w:space="0"/>
              <w:right w:val="single" w:color="000000" w:sz="4" w:space="0"/>
            </w:tcBorders>
          </w:tcPr>
          <w:p>
            <w:pPr>
              <w:pStyle w:val="159"/>
              <w:spacing w:before="35"/>
              <w:ind w:left="13" w:right="28"/>
              <w:rPr>
                <w:rFonts w:ascii="Times New Roman" w:hAnsi="Times New Roman" w:cs="Times New Roman"/>
                <w:sz w:val="21"/>
                <w:u w:val="single"/>
              </w:rPr>
            </w:pPr>
            <w:r>
              <w:rPr>
                <w:rFonts w:ascii="Times New Roman" w:hAnsi="Times New Roman" w:eastAsia="Times New Roman" w:cs="Times New Roman"/>
                <w:sz w:val="21"/>
                <w:u w:val="single"/>
              </w:rPr>
              <w:t>X</w:t>
            </w:r>
            <w:r>
              <w:rPr>
                <w:rFonts w:ascii="Times New Roman" w:hAnsi="Times New Roman" w:cs="Times New Roman"/>
                <w:sz w:val="21"/>
                <w:u w:val="single"/>
              </w:rPr>
              <w:t>（</w:t>
            </w:r>
            <w:r>
              <w:rPr>
                <w:rFonts w:ascii="Times New Roman" w:hAnsi="Times New Roman" w:eastAsia="Times New Roman" w:cs="Times New Roman"/>
                <w:sz w:val="21"/>
                <w:u w:val="single"/>
              </w:rPr>
              <w:t>X≥0</w:t>
            </w:r>
            <w:r>
              <w:rPr>
                <w:rFonts w:ascii="Times New Roman" w:hAnsi="Times New Roman" w:cs="Times New Roman"/>
                <w:sz w:val="21"/>
                <w:u w:val="single"/>
              </w:rPr>
              <w:t>）</w:t>
            </w:r>
          </w:p>
        </w:tc>
        <w:tc>
          <w:tcPr>
            <w:tcW w:w="543" w:type="pct"/>
            <w:tcBorders>
              <w:top w:val="single" w:color="000000" w:sz="4" w:space="0"/>
              <w:left w:val="single" w:color="000000" w:sz="4" w:space="0"/>
              <w:bottom w:val="single" w:color="000000" w:sz="4" w:space="0"/>
              <w:right w:val="single" w:color="000000" w:sz="4" w:space="0"/>
            </w:tcBorders>
          </w:tcPr>
          <w:p>
            <w:pPr>
              <w:pStyle w:val="159"/>
              <w:spacing w:before="49"/>
              <w:ind w:left="271" w:right="290"/>
              <w:rPr>
                <w:rFonts w:ascii="Times New Roman" w:hAnsi="Times New Roman" w:cs="Times New Roman"/>
                <w:sz w:val="21"/>
                <w:u w:val="single"/>
              </w:rPr>
            </w:pPr>
            <w:r>
              <w:rPr>
                <w:rFonts w:ascii="Times New Roman" w:hAnsi="Times New Roman" w:cs="Times New Roman"/>
                <w:sz w:val="21"/>
                <w:u w:val="single"/>
              </w:rPr>
              <w:t>10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204" w:right="188"/>
              <w:rPr>
                <w:rFonts w:ascii="Times New Roman" w:hAnsi="Times New Roman" w:cs="Times New Roman"/>
                <w:sz w:val="21"/>
                <w:u w:val="single"/>
              </w:rPr>
            </w:pPr>
            <w:r>
              <w:rPr>
                <w:rFonts w:ascii="Times New Roman" w:hAnsi="Times New Roman" w:cs="Times New Roman"/>
                <w:sz w:val="21"/>
                <w:u w:val="single"/>
              </w:rPr>
              <w:t>100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206" w:right="188"/>
              <w:rPr>
                <w:rFonts w:ascii="Times New Roman" w:hAnsi="Times New Roman" w:cs="Times New Roman"/>
                <w:sz w:val="21"/>
                <w:u w:val="single"/>
              </w:rPr>
            </w:pPr>
            <w:r>
              <w:rPr>
                <w:rFonts w:ascii="Times New Roman" w:hAnsi="Times New Roman" w:cs="Times New Roman"/>
                <w:sz w:val="21"/>
                <w:u w:val="single"/>
              </w:rPr>
              <w:t>300</w:t>
            </w:r>
          </w:p>
        </w:tc>
        <w:tc>
          <w:tcPr>
            <w:tcW w:w="630" w:type="pct"/>
            <w:tcBorders>
              <w:top w:val="single" w:color="000000" w:sz="4" w:space="0"/>
              <w:left w:val="single" w:color="000000" w:sz="4" w:space="0"/>
              <w:bottom w:val="single" w:color="000000" w:sz="4" w:space="0"/>
              <w:right w:val="single" w:color="000000" w:sz="4" w:space="0"/>
            </w:tcBorders>
          </w:tcPr>
          <w:p>
            <w:pPr>
              <w:pStyle w:val="159"/>
              <w:spacing w:before="49"/>
              <w:ind w:left="163" w:right="142"/>
              <w:rPr>
                <w:rFonts w:ascii="Times New Roman" w:hAnsi="Times New Roman" w:cs="Times New Roman"/>
                <w:sz w:val="21"/>
                <w:u w:val="single"/>
              </w:rPr>
            </w:pPr>
            <w:r>
              <w:rPr>
                <w:rFonts w:ascii="Times New Roman" w:hAnsi="Times New Roman" w:cs="Times New Roman"/>
                <w:sz w:val="21"/>
                <w:u w:val="single"/>
              </w:rPr>
              <w:t>500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208" w:right="188"/>
              <w:rPr>
                <w:rFonts w:ascii="Times New Roman" w:hAnsi="Times New Roman" w:cs="Times New Roman"/>
                <w:sz w:val="21"/>
                <w:u w:val="single"/>
              </w:rPr>
            </w:pPr>
            <w:r>
              <w:rPr>
                <w:rFonts w:ascii="Times New Roman" w:hAnsi="Times New Roman" w:cs="Times New Roman"/>
                <w:sz w:val="21"/>
                <w:u w:val="single"/>
              </w:rPr>
              <w:t>1000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314"/>
              <w:jc w:val="left"/>
              <w:rPr>
                <w:rFonts w:ascii="Times New Roman" w:hAnsi="Times New Roman" w:cs="Times New Roman"/>
                <w:sz w:val="21"/>
                <w:u w:val="single"/>
              </w:rPr>
            </w:pPr>
            <w:r>
              <w:rPr>
                <w:rFonts w:ascii="Times New Roman" w:hAnsi="Times New Roman" w:cs="Times New Roman"/>
                <w:sz w:val="21"/>
                <w:u w:val="single"/>
              </w:rPr>
              <w:t>1500</w:t>
            </w:r>
          </w:p>
        </w:tc>
        <w:tc>
          <w:tcPr>
            <w:tcW w:w="639" w:type="pct"/>
            <w:tcBorders>
              <w:top w:val="single" w:color="000000" w:sz="4" w:space="0"/>
              <w:left w:val="single" w:color="000000" w:sz="4" w:space="0"/>
              <w:bottom w:val="single" w:color="000000" w:sz="4" w:space="0"/>
              <w:right w:val="nil"/>
            </w:tcBorders>
          </w:tcPr>
          <w:p>
            <w:pPr>
              <w:pStyle w:val="159"/>
              <w:spacing w:before="49"/>
              <w:ind w:left="320"/>
              <w:jc w:val="left"/>
              <w:rPr>
                <w:rFonts w:ascii="Times New Roman" w:hAnsi="Times New Roman" w:cs="Times New Roman"/>
                <w:sz w:val="21"/>
                <w:u w:val="single"/>
              </w:rPr>
            </w:pPr>
            <w:r>
              <w:rPr>
                <w:rFonts w:ascii="Times New Roman" w:hAnsi="Times New Roman" w:cs="Times New Roman"/>
                <w:sz w:val="21"/>
                <w:u w:val="single"/>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670" w:type="pct"/>
            <w:tcBorders>
              <w:top w:val="single" w:color="000000" w:sz="4" w:space="0"/>
              <w:left w:val="nil"/>
              <w:bottom w:val="single" w:color="000000" w:sz="4" w:space="0"/>
              <w:right w:val="single" w:color="000000" w:sz="4" w:space="0"/>
            </w:tcBorders>
          </w:tcPr>
          <w:p>
            <w:pPr>
              <w:pStyle w:val="159"/>
              <w:spacing w:before="45" w:line="259" w:lineRule="exact"/>
              <w:ind w:left="16" w:right="28"/>
              <w:rPr>
                <w:rFonts w:ascii="Times New Roman" w:hAnsi="Times New Roman" w:cs="Times New Roman"/>
                <w:sz w:val="21"/>
                <w:u w:val="single"/>
              </w:rPr>
            </w:pPr>
            <w:r>
              <w:rPr>
                <w:rFonts w:ascii="Times New Roman" w:hAnsi="Times New Roman" w:cs="Times New Roman"/>
                <w:w w:val="105"/>
                <w:position w:val="2"/>
                <w:sz w:val="21"/>
                <w:u w:val="single"/>
              </w:rPr>
              <w:t>C</w:t>
            </w:r>
            <w:r>
              <w:rPr>
                <w:rFonts w:ascii="Times New Roman" w:hAnsi="Times New Roman" w:cs="Times New Roman"/>
                <w:w w:val="105"/>
                <w:position w:val="2"/>
                <w:sz w:val="21"/>
                <w:u w:val="single"/>
                <w:vertAlign w:val="subscript"/>
              </w:rPr>
              <w:t>COD</w:t>
            </w:r>
          </w:p>
        </w:tc>
        <w:tc>
          <w:tcPr>
            <w:tcW w:w="543" w:type="pct"/>
            <w:tcBorders>
              <w:top w:val="single" w:color="000000" w:sz="4" w:space="0"/>
              <w:left w:val="single" w:color="000000" w:sz="4" w:space="0"/>
              <w:bottom w:val="single" w:color="000000" w:sz="4" w:space="0"/>
              <w:right w:val="single" w:color="000000" w:sz="4" w:space="0"/>
            </w:tcBorders>
          </w:tcPr>
          <w:p>
            <w:pPr>
              <w:pStyle w:val="159"/>
              <w:spacing w:before="48"/>
              <w:ind w:right="108"/>
              <w:jc w:val="right"/>
              <w:rPr>
                <w:rFonts w:ascii="Times New Roman" w:hAnsi="Times New Roman" w:cs="Times New Roman"/>
                <w:sz w:val="21"/>
                <w:u w:val="single"/>
              </w:rPr>
            </w:pPr>
            <w:r>
              <w:rPr>
                <w:rFonts w:ascii="Times New Roman" w:hAnsi="Times New Roman" w:cs="Times New Roman"/>
                <w:w w:val="95"/>
                <w:sz w:val="21"/>
                <w:u w:val="single"/>
              </w:rPr>
              <w:t>17.6864</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right="160"/>
              <w:jc w:val="right"/>
              <w:rPr>
                <w:rFonts w:ascii="Times New Roman" w:hAnsi="Times New Roman" w:cs="Times New Roman"/>
                <w:sz w:val="21"/>
                <w:u w:val="single"/>
              </w:rPr>
            </w:pPr>
            <w:r>
              <w:rPr>
                <w:rFonts w:ascii="Times New Roman" w:hAnsi="Times New Roman" w:cs="Times New Roman"/>
                <w:w w:val="95"/>
                <w:sz w:val="21"/>
                <w:u w:val="single"/>
              </w:rPr>
              <w:t>17.6576</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left="100" w:right="80"/>
              <w:rPr>
                <w:rFonts w:ascii="Times New Roman" w:hAnsi="Times New Roman" w:cs="Times New Roman"/>
                <w:sz w:val="21"/>
                <w:u w:val="single"/>
              </w:rPr>
            </w:pPr>
            <w:r>
              <w:rPr>
                <w:rFonts w:ascii="Times New Roman" w:hAnsi="Times New Roman" w:cs="Times New Roman"/>
                <w:sz w:val="21"/>
                <w:u w:val="single"/>
              </w:rPr>
              <w:t>17.5939</w:t>
            </w:r>
          </w:p>
        </w:tc>
        <w:tc>
          <w:tcPr>
            <w:tcW w:w="630" w:type="pct"/>
            <w:tcBorders>
              <w:top w:val="single" w:color="000000" w:sz="4" w:space="0"/>
              <w:left w:val="single" w:color="000000" w:sz="4" w:space="0"/>
              <w:bottom w:val="single" w:color="000000" w:sz="4" w:space="0"/>
              <w:right w:val="single" w:color="000000" w:sz="4" w:space="0"/>
            </w:tcBorders>
          </w:tcPr>
          <w:p>
            <w:pPr>
              <w:pStyle w:val="159"/>
              <w:spacing w:before="48"/>
              <w:ind w:left="163" w:right="144"/>
              <w:rPr>
                <w:rFonts w:ascii="Times New Roman" w:hAnsi="Times New Roman" w:cs="Times New Roman"/>
                <w:sz w:val="21"/>
                <w:u w:val="single"/>
              </w:rPr>
            </w:pPr>
            <w:r>
              <w:rPr>
                <w:rFonts w:ascii="Times New Roman" w:hAnsi="Times New Roman" w:cs="Times New Roman"/>
                <w:sz w:val="21"/>
                <w:u w:val="single"/>
              </w:rPr>
              <w:t>17.5304</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left="98" w:right="80"/>
              <w:rPr>
                <w:rFonts w:ascii="Times New Roman" w:hAnsi="Times New Roman" w:cs="Times New Roman"/>
                <w:sz w:val="21"/>
                <w:u w:val="single"/>
              </w:rPr>
            </w:pPr>
            <w:r>
              <w:rPr>
                <w:rFonts w:ascii="Times New Roman" w:hAnsi="Times New Roman" w:cs="Times New Roman"/>
                <w:sz w:val="21"/>
                <w:u w:val="single"/>
              </w:rPr>
              <w:t>17.3726</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right="160"/>
              <w:jc w:val="right"/>
              <w:rPr>
                <w:rFonts w:ascii="Times New Roman" w:hAnsi="Times New Roman" w:cs="Times New Roman"/>
                <w:sz w:val="21"/>
                <w:u w:val="single"/>
              </w:rPr>
            </w:pPr>
            <w:r>
              <w:rPr>
                <w:rFonts w:ascii="Times New Roman" w:hAnsi="Times New Roman" w:cs="Times New Roman"/>
                <w:w w:val="95"/>
                <w:sz w:val="21"/>
                <w:u w:val="single"/>
              </w:rPr>
              <w:t>17.2162</w:t>
            </w:r>
          </w:p>
        </w:tc>
        <w:tc>
          <w:tcPr>
            <w:tcW w:w="639" w:type="pct"/>
            <w:tcBorders>
              <w:top w:val="single" w:color="000000" w:sz="4" w:space="0"/>
              <w:left w:val="single" w:color="000000" w:sz="4" w:space="0"/>
              <w:bottom w:val="single" w:color="000000" w:sz="4" w:space="0"/>
              <w:right w:val="nil"/>
            </w:tcBorders>
          </w:tcPr>
          <w:p>
            <w:pPr>
              <w:pStyle w:val="159"/>
              <w:spacing w:before="48"/>
              <w:ind w:left="188"/>
              <w:jc w:val="left"/>
              <w:rPr>
                <w:rFonts w:ascii="Times New Roman" w:hAnsi="Times New Roman" w:cs="Times New Roman"/>
                <w:sz w:val="21"/>
                <w:u w:val="single"/>
              </w:rPr>
            </w:pPr>
            <w:r>
              <w:rPr>
                <w:rFonts w:ascii="Times New Roman" w:hAnsi="Times New Roman" w:cs="Times New Roman"/>
                <w:sz w:val="21"/>
                <w:u w:val="single"/>
              </w:rPr>
              <w:t>17.0612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1214" w:type="pct"/>
            <w:gridSpan w:val="2"/>
            <w:tcBorders>
              <w:top w:val="single" w:color="000000" w:sz="4" w:space="0"/>
              <w:left w:val="nil"/>
              <w:bottom w:val="single" w:color="000000" w:sz="4" w:space="0"/>
              <w:right w:val="single" w:color="000000" w:sz="4" w:space="0"/>
            </w:tcBorders>
          </w:tcPr>
          <w:p>
            <w:pPr>
              <w:pStyle w:val="159"/>
              <w:spacing w:before="61"/>
              <w:ind w:left="258"/>
              <w:jc w:val="left"/>
              <w:rPr>
                <w:rFonts w:ascii="Times New Roman" w:hAnsi="Times New Roman" w:cs="Times New Roman"/>
                <w:sz w:val="21"/>
                <w:u w:val="single"/>
              </w:rPr>
            </w:pPr>
            <w:r>
              <w:rPr>
                <w:rFonts w:ascii="Times New Roman" w:hAnsi="Times New Roman" w:eastAsia="Times New Roman" w:cs="Times New Roman"/>
                <w:position w:val="2"/>
                <w:sz w:val="21"/>
                <w:u w:val="single"/>
              </w:rPr>
              <w:t>C</w:t>
            </w:r>
            <w:r>
              <w:rPr>
                <w:rFonts w:ascii="Times New Roman" w:hAnsi="Times New Roman" w:eastAsia="Times New Roman" w:cs="Times New Roman"/>
                <w:position w:val="2"/>
                <w:sz w:val="21"/>
                <w:u w:val="single"/>
                <w:vertAlign w:val="subscript"/>
              </w:rPr>
              <w:t>0</w:t>
            </w:r>
            <w:r>
              <w:rPr>
                <w:rFonts w:ascii="Times New Roman" w:hAnsi="Times New Roman" w:cs="Times New Roman"/>
                <w:position w:val="2"/>
                <w:sz w:val="21"/>
                <w:u w:val="single"/>
              </w:rPr>
              <w:t>初始断面浓度</w:t>
            </w:r>
          </w:p>
        </w:tc>
        <w:tc>
          <w:tcPr>
            <w:tcW w:w="3785" w:type="pct"/>
            <w:gridSpan w:val="6"/>
            <w:tcBorders>
              <w:top w:val="single" w:color="000000" w:sz="4" w:space="0"/>
              <w:left w:val="single" w:color="000000" w:sz="4" w:space="0"/>
              <w:bottom w:val="single" w:color="000000" w:sz="4" w:space="0"/>
              <w:right w:val="nil"/>
            </w:tcBorders>
          </w:tcPr>
          <w:p>
            <w:pPr>
              <w:pStyle w:val="159"/>
              <w:spacing w:before="76"/>
              <w:ind w:left="2597" w:right="2579"/>
              <w:rPr>
                <w:rFonts w:ascii="Times New Roman" w:hAnsi="Times New Roman" w:cs="Times New Roman"/>
                <w:sz w:val="21"/>
                <w:u w:val="single"/>
              </w:rPr>
            </w:pPr>
            <w:r>
              <w:rPr>
                <w:rFonts w:ascii="Times New Roman" w:hAnsi="Times New Roman" w:cs="Times New Roman"/>
                <w:sz w:val="21"/>
                <w:u w:val="single"/>
              </w:rPr>
              <w:t>17.6896mg/l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70" w:type="pct"/>
            <w:tcBorders>
              <w:top w:val="single" w:color="000000" w:sz="4" w:space="0"/>
              <w:left w:val="nil"/>
              <w:bottom w:val="single" w:color="000000" w:sz="4" w:space="0"/>
              <w:right w:val="single" w:color="000000" w:sz="4" w:space="0"/>
            </w:tcBorders>
          </w:tcPr>
          <w:p>
            <w:pPr>
              <w:pStyle w:val="159"/>
              <w:spacing w:before="35"/>
              <w:ind w:left="84" w:right="28"/>
              <w:rPr>
                <w:rFonts w:ascii="Times New Roman" w:hAnsi="Times New Roman" w:cs="Times New Roman"/>
                <w:sz w:val="21"/>
                <w:u w:val="single"/>
              </w:rPr>
            </w:pPr>
            <w:r>
              <w:rPr>
                <w:rFonts w:ascii="Times New Roman" w:hAnsi="Times New Roman" w:eastAsia="Times New Roman" w:cs="Times New Roman"/>
                <w:sz w:val="21"/>
                <w:u w:val="single"/>
              </w:rPr>
              <w:t>X</w:t>
            </w:r>
            <w:r>
              <w:rPr>
                <w:rFonts w:ascii="Times New Roman" w:hAnsi="Times New Roman" w:cs="Times New Roman"/>
                <w:sz w:val="21"/>
                <w:u w:val="single"/>
              </w:rPr>
              <w:t>（</w:t>
            </w:r>
            <w:r>
              <w:rPr>
                <w:rFonts w:ascii="Times New Roman" w:hAnsi="Times New Roman" w:eastAsia="Times New Roman" w:cs="Times New Roman"/>
                <w:sz w:val="21"/>
                <w:u w:val="single"/>
              </w:rPr>
              <w:t>X≥0</w:t>
            </w:r>
            <w:r>
              <w:rPr>
                <w:rFonts w:ascii="Times New Roman" w:hAnsi="Times New Roman" w:cs="Times New Roman"/>
                <w:sz w:val="21"/>
                <w:u w:val="single"/>
              </w:rPr>
              <w:t>）</w:t>
            </w:r>
          </w:p>
        </w:tc>
        <w:tc>
          <w:tcPr>
            <w:tcW w:w="543" w:type="pct"/>
            <w:tcBorders>
              <w:top w:val="single" w:color="000000" w:sz="4" w:space="0"/>
              <w:left w:val="single" w:color="000000" w:sz="4" w:space="0"/>
              <w:bottom w:val="single" w:color="000000" w:sz="4" w:space="0"/>
              <w:right w:val="single" w:color="000000" w:sz="4" w:space="0"/>
            </w:tcBorders>
          </w:tcPr>
          <w:p>
            <w:pPr>
              <w:pStyle w:val="159"/>
              <w:spacing w:before="49"/>
              <w:ind w:left="308" w:right="253"/>
              <w:rPr>
                <w:rFonts w:ascii="Times New Roman" w:hAnsi="Times New Roman" w:cs="Times New Roman"/>
                <w:sz w:val="21"/>
                <w:u w:val="single"/>
              </w:rPr>
            </w:pPr>
            <w:r>
              <w:rPr>
                <w:rFonts w:ascii="Times New Roman" w:hAnsi="Times New Roman" w:cs="Times New Roman"/>
                <w:sz w:val="21"/>
                <w:u w:val="single"/>
              </w:rPr>
              <w:t>10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204" w:right="188"/>
              <w:rPr>
                <w:rFonts w:ascii="Times New Roman" w:hAnsi="Times New Roman" w:cs="Times New Roman"/>
                <w:sz w:val="21"/>
                <w:u w:val="single"/>
              </w:rPr>
            </w:pPr>
            <w:r>
              <w:rPr>
                <w:rFonts w:ascii="Times New Roman" w:hAnsi="Times New Roman" w:cs="Times New Roman"/>
                <w:sz w:val="21"/>
                <w:u w:val="single"/>
              </w:rPr>
              <w:t>100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206" w:right="188"/>
              <w:rPr>
                <w:rFonts w:ascii="Times New Roman" w:hAnsi="Times New Roman" w:cs="Times New Roman"/>
                <w:sz w:val="21"/>
                <w:u w:val="single"/>
              </w:rPr>
            </w:pPr>
            <w:r>
              <w:rPr>
                <w:rFonts w:ascii="Times New Roman" w:hAnsi="Times New Roman" w:cs="Times New Roman"/>
                <w:sz w:val="21"/>
                <w:u w:val="single"/>
              </w:rPr>
              <w:t>300</w:t>
            </w:r>
          </w:p>
        </w:tc>
        <w:tc>
          <w:tcPr>
            <w:tcW w:w="630" w:type="pct"/>
            <w:tcBorders>
              <w:top w:val="single" w:color="000000" w:sz="4" w:space="0"/>
              <w:left w:val="single" w:color="000000" w:sz="4" w:space="0"/>
              <w:bottom w:val="single" w:color="000000" w:sz="4" w:space="0"/>
              <w:right w:val="single" w:color="000000" w:sz="4" w:space="0"/>
            </w:tcBorders>
          </w:tcPr>
          <w:p>
            <w:pPr>
              <w:pStyle w:val="159"/>
              <w:spacing w:before="49"/>
              <w:ind w:left="163" w:right="142"/>
              <w:rPr>
                <w:rFonts w:ascii="Times New Roman" w:hAnsi="Times New Roman" w:cs="Times New Roman"/>
                <w:sz w:val="21"/>
                <w:u w:val="single"/>
              </w:rPr>
            </w:pPr>
            <w:r>
              <w:rPr>
                <w:rFonts w:ascii="Times New Roman" w:hAnsi="Times New Roman" w:cs="Times New Roman"/>
                <w:sz w:val="21"/>
                <w:u w:val="single"/>
              </w:rPr>
              <w:t>500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208" w:right="188"/>
              <w:rPr>
                <w:rFonts w:ascii="Times New Roman" w:hAnsi="Times New Roman" w:cs="Times New Roman"/>
                <w:sz w:val="21"/>
                <w:u w:val="single"/>
              </w:rPr>
            </w:pPr>
            <w:r>
              <w:rPr>
                <w:rFonts w:ascii="Times New Roman" w:hAnsi="Times New Roman" w:cs="Times New Roman"/>
                <w:sz w:val="21"/>
                <w:u w:val="single"/>
              </w:rPr>
              <w:t>1000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9"/>
              <w:ind w:left="314"/>
              <w:jc w:val="left"/>
              <w:rPr>
                <w:rFonts w:ascii="Times New Roman" w:hAnsi="Times New Roman" w:cs="Times New Roman"/>
                <w:sz w:val="21"/>
                <w:u w:val="single"/>
              </w:rPr>
            </w:pPr>
            <w:r>
              <w:rPr>
                <w:rFonts w:ascii="Times New Roman" w:hAnsi="Times New Roman" w:cs="Times New Roman"/>
                <w:sz w:val="21"/>
                <w:u w:val="single"/>
              </w:rPr>
              <w:t>1500</w:t>
            </w:r>
          </w:p>
        </w:tc>
        <w:tc>
          <w:tcPr>
            <w:tcW w:w="639" w:type="pct"/>
            <w:tcBorders>
              <w:top w:val="single" w:color="000000" w:sz="4" w:space="0"/>
              <w:left w:val="single" w:color="000000" w:sz="4" w:space="0"/>
              <w:bottom w:val="single" w:color="000000" w:sz="4" w:space="0"/>
              <w:right w:val="nil"/>
            </w:tcBorders>
          </w:tcPr>
          <w:p>
            <w:pPr>
              <w:pStyle w:val="159"/>
              <w:spacing w:before="49"/>
              <w:ind w:left="320"/>
              <w:jc w:val="left"/>
              <w:rPr>
                <w:rFonts w:ascii="Times New Roman" w:hAnsi="Times New Roman" w:cs="Times New Roman"/>
                <w:sz w:val="21"/>
                <w:u w:val="single"/>
              </w:rPr>
            </w:pPr>
            <w:r>
              <w:rPr>
                <w:rFonts w:ascii="Times New Roman" w:hAnsi="Times New Roman" w:cs="Times New Roman"/>
                <w:sz w:val="21"/>
                <w:u w:val="single"/>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670" w:type="pct"/>
            <w:tcBorders>
              <w:top w:val="single" w:color="000000" w:sz="4" w:space="0"/>
              <w:left w:val="nil"/>
              <w:bottom w:val="single" w:color="000000" w:sz="4" w:space="0"/>
              <w:right w:val="single" w:color="000000" w:sz="4" w:space="0"/>
            </w:tcBorders>
          </w:tcPr>
          <w:p>
            <w:pPr>
              <w:pStyle w:val="159"/>
              <w:spacing w:before="49"/>
              <w:ind w:left="84" w:right="25"/>
              <w:rPr>
                <w:rFonts w:ascii="Times New Roman" w:hAnsi="Times New Roman" w:cs="Times New Roman"/>
                <w:sz w:val="10"/>
                <w:u w:val="single"/>
              </w:rPr>
            </w:pPr>
            <w:r>
              <w:rPr>
                <w:rFonts w:ascii="Times New Roman" w:hAnsi="Times New Roman" w:eastAsia="Times New Roman" w:cs="Times New Roman"/>
                <w:w w:val="105"/>
                <w:position w:val="3"/>
                <w:sz w:val="21"/>
                <w:u w:val="single"/>
              </w:rPr>
              <w:t>C</w:t>
            </w:r>
            <w:r>
              <w:rPr>
                <w:rFonts w:ascii="Times New Roman" w:hAnsi="Times New Roman" w:cs="Times New Roman"/>
                <w:w w:val="105"/>
                <w:sz w:val="21"/>
                <w:szCs w:val="21"/>
                <w:u w:val="single"/>
                <w:vertAlign w:val="subscript"/>
              </w:rPr>
              <w:t>氨氮</w:t>
            </w:r>
          </w:p>
        </w:tc>
        <w:tc>
          <w:tcPr>
            <w:tcW w:w="543" w:type="pct"/>
            <w:tcBorders>
              <w:top w:val="single" w:color="000000" w:sz="4" w:space="0"/>
              <w:left w:val="single" w:color="000000" w:sz="4" w:space="0"/>
              <w:bottom w:val="single" w:color="000000" w:sz="4" w:space="0"/>
              <w:right w:val="single" w:color="000000" w:sz="4" w:space="0"/>
            </w:tcBorders>
          </w:tcPr>
          <w:p>
            <w:pPr>
              <w:pStyle w:val="159"/>
              <w:spacing w:before="48"/>
              <w:ind w:right="123"/>
              <w:jc w:val="right"/>
              <w:rPr>
                <w:rFonts w:ascii="Times New Roman" w:hAnsi="Times New Roman" w:cs="Times New Roman"/>
                <w:sz w:val="21"/>
                <w:u w:val="single"/>
              </w:rPr>
            </w:pPr>
            <w:r>
              <w:rPr>
                <w:rFonts w:ascii="Times New Roman" w:hAnsi="Times New Roman" w:cs="Times New Roman"/>
                <w:w w:val="95"/>
                <w:sz w:val="21"/>
                <w:u w:val="single"/>
              </w:rPr>
              <w:t>0.4916</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right="213"/>
              <w:jc w:val="right"/>
              <w:rPr>
                <w:rFonts w:ascii="Times New Roman" w:hAnsi="Times New Roman" w:cs="Times New Roman"/>
                <w:sz w:val="21"/>
                <w:u w:val="single"/>
              </w:rPr>
            </w:pPr>
            <w:r>
              <w:rPr>
                <w:rFonts w:ascii="Times New Roman" w:hAnsi="Times New Roman" w:cs="Times New Roman"/>
                <w:w w:val="95"/>
                <w:sz w:val="21"/>
                <w:u w:val="single"/>
              </w:rPr>
              <w:t>0.4910</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left="204" w:right="188"/>
              <w:rPr>
                <w:rFonts w:ascii="Times New Roman" w:hAnsi="Times New Roman" w:cs="Times New Roman"/>
                <w:sz w:val="21"/>
                <w:u w:val="single"/>
              </w:rPr>
            </w:pPr>
            <w:r>
              <w:rPr>
                <w:rFonts w:ascii="Times New Roman" w:hAnsi="Times New Roman" w:cs="Times New Roman"/>
                <w:sz w:val="21"/>
                <w:u w:val="single"/>
              </w:rPr>
              <w:t>0.4896</w:t>
            </w:r>
          </w:p>
        </w:tc>
        <w:tc>
          <w:tcPr>
            <w:tcW w:w="630" w:type="pct"/>
            <w:tcBorders>
              <w:top w:val="single" w:color="000000" w:sz="4" w:space="0"/>
              <w:left w:val="single" w:color="000000" w:sz="4" w:space="0"/>
              <w:bottom w:val="single" w:color="000000" w:sz="4" w:space="0"/>
              <w:right w:val="single" w:color="000000" w:sz="4" w:space="0"/>
            </w:tcBorders>
          </w:tcPr>
          <w:p>
            <w:pPr>
              <w:pStyle w:val="159"/>
              <w:spacing w:before="48"/>
              <w:ind w:left="163" w:right="144"/>
              <w:rPr>
                <w:rFonts w:ascii="Times New Roman" w:hAnsi="Times New Roman" w:cs="Times New Roman"/>
                <w:sz w:val="21"/>
                <w:u w:val="single"/>
              </w:rPr>
            </w:pPr>
            <w:r>
              <w:rPr>
                <w:rFonts w:ascii="Times New Roman" w:hAnsi="Times New Roman" w:cs="Times New Roman"/>
                <w:sz w:val="21"/>
                <w:u w:val="single"/>
              </w:rPr>
              <w:t>0.4882</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left="206" w:right="188"/>
              <w:rPr>
                <w:rFonts w:ascii="Times New Roman" w:hAnsi="Times New Roman" w:cs="Times New Roman"/>
                <w:sz w:val="21"/>
                <w:u w:val="single"/>
              </w:rPr>
            </w:pPr>
            <w:r>
              <w:rPr>
                <w:rFonts w:ascii="Times New Roman" w:hAnsi="Times New Roman" w:cs="Times New Roman"/>
                <w:sz w:val="21"/>
                <w:u w:val="single"/>
              </w:rPr>
              <w:t>0.4846</w:t>
            </w:r>
          </w:p>
        </w:tc>
        <w:tc>
          <w:tcPr>
            <w:tcW w:w="628" w:type="pct"/>
            <w:tcBorders>
              <w:top w:val="single" w:color="000000" w:sz="4" w:space="0"/>
              <w:left w:val="single" w:color="000000" w:sz="4" w:space="0"/>
              <w:bottom w:val="single" w:color="000000" w:sz="4" w:space="0"/>
              <w:right w:val="single" w:color="000000" w:sz="4" w:space="0"/>
            </w:tcBorders>
          </w:tcPr>
          <w:p>
            <w:pPr>
              <w:pStyle w:val="159"/>
              <w:spacing w:before="48"/>
              <w:ind w:right="213"/>
              <w:jc w:val="right"/>
              <w:rPr>
                <w:rFonts w:ascii="Times New Roman" w:hAnsi="Times New Roman" w:cs="Times New Roman"/>
                <w:sz w:val="21"/>
                <w:u w:val="single"/>
              </w:rPr>
            </w:pPr>
            <w:r>
              <w:rPr>
                <w:rFonts w:ascii="Times New Roman" w:hAnsi="Times New Roman" w:cs="Times New Roman"/>
                <w:w w:val="95"/>
                <w:sz w:val="21"/>
                <w:u w:val="single"/>
              </w:rPr>
              <w:t>0.4811</w:t>
            </w:r>
          </w:p>
        </w:tc>
        <w:tc>
          <w:tcPr>
            <w:tcW w:w="639" w:type="pct"/>
            <w:tcBorders>
              <w:top w:val="single" w:color="000000" w:sz="4" w:space="0"/>
              <w:left w:val="single" w:color="000000" w:sz="4" w:space="0"/>
              <w:bottom w:val="single" w:color="000000" w:sz="4" w:space="0"/>
              <w:right w:val="nil"/>
            </w:tcBorders>
          </w:tcPr>
          <w:p>
            <w:pPr>
              <w:pStyle w:val="159"/>
              <w:spacing w:before="48"/>
              <w:ind w:left="240"/>
              <w:jc w:val="left"/>
              <w:rPr>
                <w:rFonts w:ascii="Times New Roman" w:hAnsi="Times New Roman" w:cs="Times New Roman"/>
                <w:sz w:val="21"/>
                <w:u w:val="single"/>
              </w:rPr>
            </w:pPr>
            <w:r>
              <w:rPr>
                <w:rFonts w:ascii="Times New Roman" w:hAnsi="Times New Roman" w:cs="Times New Roman"/>
                <w:sz w:val="21"/>
                <w:u w:val="single"/>
              </w:rPr>
              <w:t>0.4777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 w:hRule="atLeast"/>
        </w:trPr>
        <w:tc>
          <w:tcPr>
            <w:tcW w:w="1214" w:type="pct"/>
            <w:gridSpan w:val="2"/>
            <w:tcBorders>
              <w:top w:val="single" w:color="000000" w:sz="4" w:space="0"/>
              <w:left w:val="nil"/>
              <w:bottom w:val="single" w:color="000000" w:sz="12" w:space="0"/>
              <w:right w:val="single" w:color="000000" w:sz="4" w:space="0"/>
            </w:tcBorders>
          </w:tcPr>
          <w:p>
            <w:pPr>
              <w:pStyle w:val="159"/>
              <w:spacing w:before="61"/>
              <w:ind w:left="258"/>
              <w:jc w:val="left"/>
              <w:rPr>
                <w:rFonts w:ascii="Times New Roman" w:hAnsi="Times New Roman" w:cs="Times New Roman"/>
                <w:sz w:val="21"/>
                <w:u w:val="single"/>
              </w:rPr>
            </w:pPr>
            <w:r>
              <w:rPr>
                <w:rFonts w:ascii="Times New Roman" w:hAnsi="Times New Roman" w:eastAsia="Times New Roman" w:cs="Times New Roman"/>
                <w:position w:val="2"/>
                <w:sz w:val="21"/>
                <w:u w:val="single"/>
              </w:rPr>
              <w:t>C</w:t>
            </w:r>
            <w:r>
              <w:rPr>
                <w:rFonts w:ascii="Times New Roman" w:hAnsi="Times New Roman" w:eastAsia="Times New Roman" w:cs="Times New Roman"/>
                <w:position w:val="2"/>
                <w:sz w:val="21"/>
                <w:u w:val="single"/>
                <w:vertAlign w:val="subscript"/>
              </w:rPr>
              <w:t>0</w:t>
            </w:r>
            <w:r>
              <w:rPr>
                <w:rFonts w:ascii="Times New Roman" w:hAnsi="Times New Roman" w:cs="Times New Roman"/>
                <w:position w:val="2"/>
                <w:sz w:val="21"/>
                <w:u w:val="single"/>
              </w:rPr>
              <w:t>初始断面浓度</w:t>
            </w:r>
          </w:p>
        </w:tc>
        <w:tc>
          <w:tcPr>
            <w:tcW w:w="3785" w:type="pct"/>
            <w:gridSpan w:val="6"/>
            <w:tcBorders>
              <w:top w:val="single" w:color="000000" w:sz="4" w:space="0"/>
              <w:left w:val="single" w:color="000000" w:sz="4" w:space="0"/>
              <w:bottom w:val="single" w:color="000000" w:sz="12" w:space="0"/>
              <w:right w:val="nil"/>
            </w:tcBorders>
          </w:tcPr>
          <w:p>
            <w:pPr>
              <w:pStyle w:val="159"/>
              <w:spacing w:before="76"/>
              <w:ind w:left="2597" w:right="2579"/>
              <w:rPr>
                <w:rFonts w:ascii="Times New Roman" w:hAnsi="Times New Roman" w:cs="Times New Roman"/>
                <w:sz w:val="21"/>
                <w:u w:val="single"/>
              </w:rPr>
            </w:pPr>
            <w:r>
              <w:rPr>
                <w:rFonts w:ascii="Times New Roman" w:hAnsi="Times New Roman" w:cs="Times New Roman"/>
                <w:sz w:val="21"/>
                <w:u w:val="single"/>
              </w:rPr>
              <w:t>0.4917mg/l</w:t>
            </w:r>
          </w:p>
        </w:tc>
      </w:tr>
    </w:tbl>
    <w:p>
      <w:pPr>
        <w:pStyle w:val="17"/>
        <w:adjustRightInd w:val="0"/>
        <w:snapToGrid w:val="0"/>
        <w:spacing w:after="0" w:line="360" w:lineRule="auto"/>
        <w:ind w:firstLine="420" w:firstLineChars="200"/>
        <w:rPr>
          <w:rFonts w:hint="eastAsia" w:ascii="宋体" w:hAnsi="宋体" w:eastAsia="宋体" w:cs="宋体"/>
          <w:szCs w:val="24"/>
          <w:u w:val="single"/>
          <w:lang w:eastAsia="zh-CN"/>
        </w:rPr>
      </w:pPr>
      <w:r>
        <w:rPr>
          <w:spacing w:val="-15"/>
          <w:u w:val="single"/>
        </w:rPr>
        <w:t>从上表</w:t>
      </w:r>
      <w:r>
        <w:rPr>
          <w:u w:val="single"/>
        </w:rPr>
        <w:t>可看出，项目正常运行，出水达标情况状态下，叠加华容河本</w:t>
      </w:r>
      <w:r>
        <w:rPr>
          <w:spacing w:val="-1"/>
          <w:position w:val="2"/>
          <w:u w:val="single"/>
        </w:rPr>
        <w:t>底值，</w:t>
      </w:r>
      <w:r>
        <w:rPr>
          <w:rFonts w:eastAsia="Times New Roman"/>
          <w:spacing w:val="-3"/>
          <w:position w:val="2"/>
          <w:u w:val="single"/>
        </w:rPr>
        <w:t>COD</w:t>
      </w:r>
      <w:r>
        <w:rPr>
          <w:spacing w:val="-10"/>
          <w:position w:val="2"/>
          <w:u w:val="single"/>
        </w:rPr>
        <w:t>、</w:t>
      </w:r>
      <w:r>
        <w:rPr>
          <w:rFonts w:eastAsia="Times New Roman"/>
          <w:position w:val="2"/>
          <w:u w:val="single"/>
        </w:rPr>
        <w:t>NH</w:t>
      </w:r>
      <w:r>
        <w:rPr>
          <w:rFonts w:eastAsia="Times New Roman"/>
          <w:position w:val="2"/>
          <w:u w:val="single"/>
          <w:vertAlign w:val="subscript"/>
        </w:rPr>
        <w:t>3</w:t>
      </w:r>
      <w:r>
        <w:rPr>
          <w:rFonts w:eastAsia="Times New Roman"/>
          <w:position w:val="2"/>
          <w:u w:val="single"/>
        </w:rPr>
        <w:t xml:space="preserve">-N </w:t>
      </w:r>
      <w:r>
        <w:rPr>
          <w:spacing w:val="-4"/>
          <w:position w:val="2"/>
          <w:u w:val="single"/>
        </w:rPr>
        <w:t>浓度均未超过《地表水环境质量标准》</w:t>
      </w:r>
      <w:r>
        <w:rPr>
          <w:spacing w:val="-7"/>
          <w:position w:val="2"/>
          <w:u w:val="single"/>
        </w:rPr>
        <w:t>（</w:t>
      </w:r>
      <w:r>
        <w:rPr>
          <w:rFonts w:eastAsia="Times New Roman"/>
          <w:spacing w:val="-7"/>
          <w:position w:val="2"/>
          <w:u w:val="single"/>
        </w:rPr>
        <w:t>GB3038-2002</w:t>
      </w:r>
      <w:r>
        <w:rPr>
          <w:spacing w:val="-7"/>
          <w:position w:val="2"/>
          <w:u w:val="single"/>
        </w:rPr>
        <w:t>）</w:t>
      </w:r>
      <w:r>
        <w:rPr>
          <w:rFonts w:eastAsia="Times New Roman"/>
          <w:spacing w:val="-7"/>
          <w:position w:val="2"/>
          <w:u w:val="single"/>
        </w:rPr>
        <w:t xml:space="preserve">Ⅲ </w:t>
      </w:r>
      <w:r>
        <w:rPr>
          <w:spacing w:val="-13"/>
          <w:position w:val="2"/>
          <w:u w:val="single"/>
        </w:rPr>
        <w:t xml:space="preserve">类水标准，且 </w:t>
      </w:r>
      <w:r>
        <w:rPr>
          <w:rFonts w:eastAsia="Times New Roman"/>
          <w:position w:val="2"/>
          <w:u w:val="single"/>
        </w:rPr>
        <w:t>COD</w:t>
      </w:r>
      <w:r>
        <w:rPr>
          <w:rFonts w:eastAsia="Times New Roman"/>
          <w:position w:val="2"/>
          <w:u w:val="single"/>
          <w:vertAlign w:val="subscript"/>
        </w:rPr>
        <w:t>Cr</w:t>
      </w:r>
      <w:r>
        <w:rPr>
          <w:spacing w:val="-29"/>
          <w:position w:val="2"/>
          <w:u w:val="single"/>
        </w:rPr>
        <w:t>、</w:t>
      </w:r>
      <w:r>
        <w:rPr>
          <w:rFonts w:eastAsia="Times New Roman"/>
          <w:position w:val="2"/>
          <w:u w:val="single"/>
        </w:rPr>
        <w:t>NH</w:t>
      </w:r>
      <w:r>
        <w:rPr>
          <w:rFonts w:eastAsia="Times New Roman"/>
          <w:position w:val="2"/>
          <w:u w:val="single"/>
          <w:vertAlign w:val="subscript"/>
        </w:rPr>
        <w:t>3</w:t>
      </w:r>
      <w:r>
        <w:rPr>
          <w:rFonts w:eastAsia="Times New Roman"/>
          <w:position w:val="2"/>
          <w:u w:val="single"/>
        </w:rPr>
        <w:t xml:space="preserve">-N </w:t>
      </w:r>
      <w:r>
        <w:rPr>
          <w:spacing w:val="-5"/>
          <w:position w:val="2"/>
          <w:u w:val="single"/>
        </w:rPr>
        <w:t>预测值浓度较本底值增幅较低。因此，影响华容河</w:t>
      </w:r>
      <w:r>
        <w:rPr>
          <w:spacing w:val="-10"/>
          <w:u w:val="single"/>
        </w:rPr>
        <w:t>段范围较小，在华容河水质保证现状的情况下，其处理达标尾水对评价范围内的</w:t>
      </w:r>
      <w:r>
        <w:rPr>
          <w:u w:val="single"/>
        </w:rPr>
        <w:t>水质影响较小，不会影响水功能区的使用功能。</w:t>
      </w:r>
    </w:p>
    <w:p>
      <w:pPr>
        <w:pStyle w:val="17"/>
        <w:adjustRightInd w:val="0"/>
        <w:snapToGrid w:val="0"/>
        <w:spacing w:after="0" w:line="360" w:lineRule="auto"/>
        <w:ind w:firstLine="480" w:firstLineChars="200"/>
        <w:rPr>
          <w:u w:val="single"/>
        </w:rPr>
      </w:pPr>
      <w:r>
        <w:rPr>
          <w:u w:val="single"/>
        </w:rPr>
        <w:t>②非正常情况下预测结果见下表</w:t>
      </w:r>
    </w:p>
    <w:p>
      <w:pPr>
        <w:pStyle w:val="17"/>
        <w:adjustRightInd w:val="0"/>
        <w:snapToGrid w:val="0"/>
        <w:spacing w:after="0" w:line="360" w:lineRule="auto"/>
        <w:ind w:firstLine="480" w:firstLineChars="200"/>
        <w:rPr>
          <w:u w:val="single"/>
        </w:rPr>
      </w:pPr>
    </w:p>
    <w:p>
      <w:pPr>
        <w:tabs>
          <w:tab w:val="left" w:pos="2262"/>
          <w:tab w:val="left" w:pos="7129"/>
        </w:tabs>
        <w:spacing w:before="100" w:after="23"/>
        <w:jc w:val="center"/>
        <w:rPr>
          <w:rFonts w:eastAsia="Times New Roman"/>
          <w:b/>
          <w:bCs/>
          <w:sz w:val="24"/>
          <w:szCs w:val="24"/>
          <w:u w:val="single"/>
        </w:rPr>
      </w:pPr>
      <w:r>
        <w:rPr>
          <w:b/>
          <w:bCs/>
          <w:sz w:val="24"/>
          <w:szCs w:val="24"/>
          <w:u w:val="single"/>
        </w:rPr>
        <w:t xml:space="preserve">表 </w:t>
      </w:r>
      <w:r>
        <w:rPr>
          <w:b/>
          <w:bCs/>
          <w:sz w:val="24"/>
          <w:szCs w:val="24"/>
          <w:u w:val="single"/>
        </w:rPr>
        <w:fldChar w:fldCharType="begin"/>
      </w:r>
      <w:r>
        <w:rPr>
          <w:b/>
          <w:bCs/>
          <w:sz w:val="24"/>
          <w:szCs w:val="24"/>
          <w:u w:val="single"/>
        </w:rPr>
        <w:instrText xml:space="preserve"> STYLEREF 2 \s </w:instrText>
      </w:r>
      <w:r>
        <w:rPr>
          <w:b/>
          <w:bCs/>
          <w:sz w:val="24"/>
          <w:szCs w:val="24"/>
          <w:u w:val="single"/>
        </w:rPr>
        <w:fldChar w:fldCharType="separate"/>
      </w:r>
      <w:r>
        <w:rPr>
          <w:b/>
          <w:bCs/>
          <w:sz w:val="24"/>
          <w:szCs w:val="24"/>
          <w:u w:val="single"/>
        </w:rPr>
        <w:t>4</w:t>
      </w:r>
      <w:r>
        <w:rPr>
          <w:rFonts w:hint="eastAsia"/>
          <w:b/>
          <w:bCs/>
          <w:sz w:val="24"/>
          <w:szCs w:val="24"/>
          <w:u w:val="single"/>
        </w:rPr>
        <w:t>.</w:t>
      </w:r>
      <w:r>
        <w:rPr>
          <w:b/>
          <w:bCs/>
          <w:sz w:val="24"/>
          <w:szCs w:val="24"/>
          <w:u w:val="single"/>
        </w:rPr>
        <w:t>1</w:t>
      </w:r>
      <w:r>
        <w:rPr>
          <w:b/>
          <w:bCs/>
          <w:sz w:val="24"/>
          <w:szCs w:val="24"/>
          <w:u w:val="single"/>
        </w:rPr>
        <w:fldChar w:fldCharType="end"/>
      </w:r>
      <w:r>
        <w:rPr>
          <w:rFonts w:hint="eastAsia"/>
          <w:b/>
          <w:bCs/>
          <w:sz w:val="24"/>
          <w:szCs w:val="24"/>
          <w:u w:val="single"/>
        </w:rPr>
        <w:t>-</w:t>
      </w:r>
      <w:r>
        <w:rPr>
          <w:b/>
          <w:bCs/>
          <w:sz w:val="24"/>
          <w:szCs w:val="24"/>
          <w:u w:val="single"/>
        </w:rPr>
        <w:fldChar w:fldCharType="begin"/>
      </w:r>
      <w:r>
        <w:rPr>
          <w:b/>
          <w:bCs/>
          <w:sz w:val="24"/>
          <w:szCs w:val="24"/>
          <w:u w:val="single"/>
        </w:rPr>
        <w:instrText xml:space="preserve"> SEQ 表 \* ARABIC \s 2 </w:instrText>
      </w:r>
      <w:r>
        <w:rPr>
          <w:b/>
          <w:bCs/>
          <w:sz w:val="24"/>
          <w:szCs w:val="24"/>
          <w:u w:val="single"/>
        </w:rPr>
        <w:fldChar w:fldCharType="separate"/>
      </w:r>
      <w:r>
        <w:rPr>
          <w:b/>
          <w:bCs/>
          <w:sz w:val="24"/>
          <w:szCs w:val="24"/>
          <w:u w:val="single"/>
        </w:rPr>
        <w:t>16</w:t>
      </w:r>
      <w:r>
        <w:rPr>
          <w:b/>
          <w:bCs/>
          <w:sz w:val="24"/>
          <w:szCs w:val="24"/>
          <w:u w:val="single"/>
        </w:rPr>
        <w:fldChar w:fldCharType="end"/>
      </w:r>
      <w:r>
        <w:rPr>
          <w:rFonts w:hint="eastAsia"/>
          <w:b/>
          <w:bCs/>
          <w:sz w:val="24"/>
          <w:szCs w:val="24"/>
          <w:u w:val="single"/>
        </w:rPr>
        <w:t xml:space="preserve">  </w:t>
      </w:r>
      <w:r>
        <w:rPr>
          <w:b/>
          <w:bCs/>
          <w:sz w:val="24"/>
          <w:szCs w:val="24"/>
          <w:u w:val="single"/>
        </w:rPr>
        <w:t>尾水非正常排放对华容河河段</w:t>
      </w:r>
      <w:r>
        <w:rPr>
          <w:b/>
          <w:bCs/>
          <w:spacing w:val="-54"/>
          <w:sz w:val="24"/>
          <w:szCs w:val="24"/>
          <w:u w:val="single"/>
        </w:rPr>
        <w:t xml:space="preserve"> </w:t>
      </w:r>
      <w:r>
        <w:rPr>
          <w:rFonts w:eastAsia="Times New Roman"/>
          <w:b/>
          <w:bCs/>
          <w:sz w:val="24"/>
          <w:szCs w:val="24"/>
          <w:u w:val="single"/>
        </w:rPr>
        <w:t>CODcr</w:t>
      </w:r>
      <w:r>
        <w:rPr>
          <w:rFonts w:eastAsia="Times New Roman"/>
          <w:b/>
          <w:bCs/>
          <w:spacing w:val="-2"/>
          <w:sz w:val="24"/>
          <w:szCs w:val="24"/>
          <w:u w:val="single"/>
        </w:rPr>
        <w:t xml:space="preserve"> </w:t>
      </w:r>
      <w:r>
        <w:rPr>
          <w:b/>
          <w:bCs/>
          <w:sz w:val="24"/>
          <w:szCs w:val="24"/>
          <w:u w:val="single"/>
        </w:rPr>
        <w:t>浓度预测值</w:t>
      </w:r>
      <w:r>
        <w:rPr>
          <w:rFonts w:hint="eastAsia"/>
          <w:b/>
          <w:bCs/>
          <w:sz w:val="24"/>
          <w:szCs w:val="24"/>
          <w:u w:val="single"/>
          <w:lang w:val="en-US" w:eastAsia="zh-CN"/>
        </w:rPr>
        <w:t xml:space="preserve"> </w:t>
      </w:r>
      <w:r>
        <w:rPr>
          <w:b/>
          <w:bCs/>
          <w:sz w:val="24"/>
          <w:szCs w:val="24"/>
          <w:u w:val="single"/>
        </w:rPr>
        <w:t>单位：</w:t>
      </w:r>
      <w:r>
        <w:rPr>
          <w:rFonts w:eastAsia="Times New Roman"/>
          <w:b/>
          <w:bCs/>
          <w:sz w:val="24"/>
          <w:szCs w:val="24"/>
          <w:u w:val="single"/>
        </w:rPr>
        <w:t>mg/L</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044"/>
        <w:gridCol w:w="939"/>
        <w:gridCol w:w="943"/>
        <w:gridCol w:w="945"/>
        <w:gridCol w:w="1139"/>
        <w:gridCol w:w="1139"/>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top w:val="single" w:color="auto" w:sz="12" w:space="0"/>
              <w:left w:val="nil"/>
              <w:right w:val="nil"/>
            </w:tcBorders>
            <w:vAlign w:val="center"/>
          </w:tcPr>
          <w:p>
            <w:pPr>
              <w:tabs>
                <w:tab w:val="left" w:pos="2262"/>
                <w:tab w:val="left" w:pos="7129"/>
              </w:tabs>
              <w:spacing w:before="100" w:after="23"/>
              <w:jc w:val="center"/>
              <w:rPr>
                <w:rFonts w:eastAsia="Times New Roman"/>
                <w:sz w:val="21"/>
                <w:u w:val="single"/>
              </w:rPr>
            </w:pPr>
            <w:r>
              <w:rPr>
                <w:rFonts w:eastAsia="Times New Roman"/>
                <w:sz w:val="21"/>
                <w:u w:val="single"/>
              </w:rPr>
              <w:t>α≤0.027</w:t>
            </w:r>
            <w:r>
              <w:rPr>
                <w:sz w:val="21"/>
                <w:u w:val="single"/>
              </w:rPr>
              <w:t>、</w:t>
            </w:r>
            <w:r>
              <w:rPr>
                <w:rFonts w:eastAsia="Times New Roman"/>
                <w:sz w:val="21"/>
                <w:u w:val="single"/>
              </w:rPr>
              <w:t>Pe≥1</w:t>
            </w:r>
            <w:r>
              <w:rPr>
                <w:sz w:val="21"/>
                <w:u w:val="single"/>
              </w:rPr>
              <w:t>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tcBorders>
              <w:left w:val="nil"/>
            </w:tcBorders>
            <w:vAlign w:val="center"/>
          </w:tcPr>
          <w:p>
            <w:pPr>
              <w:tabs>
                <w:tab w:val="left" w:pos="2262"/>
                <w:tab w:val="left" w:pos="7129"/>
              </w:tabs>
              <w:spacing w:before="100" w:after="23"/>
              <w:jc w:val="center"/>
              <w:rPr>
                <w:rFonts w:eastAsia="Times New Roman"/>
                <w:sz w:val="21"/>
                <w:u w:val="single"/>
              </w:rPr>
            </w:pPr>
            <w:r>
              <w:rPr>
                <w:rFonts w:eastAsia="Times New Roman"/>
                <w:sz w:val="21"/>
                <w:u w:val="single"/>
              </w:rPr>
              <w:t>X</w:t>
            </w:r>
            <w:r>
              <w:rPr>
                <w:sz w:val="21"/>
                <w:u w:val="single"/>
              </w:rPr>
              <w:t>（</w:t>
            </w:r>
            <w:r>
              <w:rPr>
                <w:rFonts w:eastAsia="Times New Roman"/>
                <w:sz w:val="21"/>
                <w:u w:val="single"/>
              </w:rPr>
              <w:t>X≥0</w:t>
            </w:r>
            <w:r>
              <w:rPr>
                <w:sz w:val="21"/>
                <w:u w:val="single"/>
              </w:rPr>
              <w:t>）</w:t>
            </w:r>
          </w:p>
        </w:tc>
        <w:tc>
          <w:tcPr>
            <w:tcW w:w="565" w:type="pct"/>
            <w:vAlign w:val="center"/>
          </w:tcPr>
          <w:p>
            <w:pPr>
              <w:tabs>
                <w:tab w:val="left" w:pos="2262"/>
                <w:tab w:val="left" w:pos="7129"/>
              </w:tabs>
              <w:spacing w:before="100" w:after="23"/>
              <w:jc w:val="center"/>
              <w:rPr>
                <w:rFonts w:eastAsia="宋体"/>
                <w:sz w:val="21"/>
                <w:u w:val="single"/>
              </w:rPr>
            </w:pPr>
            <w:r>
              <w:rPr>
                <w:rFonts w:hint="eastAsia" w:eastAsia="宋体"/>
                <w:sz w:val="21"/>
                <w:u w:val="single"/>
              </w:rPr>
              <w:t>10</w:t>
            </w:r>
          </w:p>
        </w:tc>
        <w:tc>
          <w:tcPr>
            <w:tcW w:w="508" w:type="pct"/>
            <w:vAlign w:val="center"/>
          </w:tcPr>
          <w:p>
            <w:pPr>
              <w:tabs>
                <w:tab w:val="left" w:pos="2262"/>
                <w:tab w:val="left" w:pos="7129"/>
              </w:tabs>
              <w:spacing w:before="100" w:after="23"/>
              <w:jc w:val="center"/>
              <w:rPr>
                <w:rFonts w:eastAsia="宋体"/>
                <w:sz w:val="21"/>
                <w:u w:val="single"/>
              </w:rPr>
            </w:pPr>
            <w:r>
              <w:rPr>
                <w:rFonts w:hint="eastAsia" w:eastAsia="宋体"/>
                <w:sz w:val="21"/>
                <w:u w:val="single"/>
              </w:rPr>
              <w:t>100</w:t>
            </w:r>
          </w:p>
        </w:tc>
        <w:tc>
          <w:tcPr>
            <w:tcW w:w="510" w:type="pct"/>
            <w:vAlign w:val="center"/>
          </w:tcPr>
          <w:p>
            <w:pPr>
              <w:tabs>
                <w:tab w:val="left" w:pos="2262"/>
                <w:tab w:val="left" w:pos="7129"/>
              </w:tabs>
              <w:spacing w:before="100" w:after="23"/>
              <w:jc w:val="center"/>
              <w:rPr>
                <w:rFonts w:eastAsia="宋体"/>
                <w:sz w:val="21"/>
                <w:u w:val="single"/>
              </w:rPr>
            </w:pPr>
            <w:r>
              <w:rPr>
                <w:rFonts w:hint="eastAsia" w:eastAsia="宋体"/>
                <w:sz w:val="21"/>
                <w:u w:val="single"/>
              </w:rPr>
              <w:t>300</w:t>
            </w:r>
          </w:p>
        </w:tc>
        <w:tc>
          <w:tcPr>
            <w:tcW w:w="511" w:type="pct"/>
            <w:vAlign w:val="center"/>
          </w:tcPr>
          <w:p>
            <w:pPr>
              <w:tabs>
                <w:tab w:val="left" w:pos="2262"/>
                <w:tab w:val="left" w:pos="7129"/>
              </w:tabs>
              <w:spacing w:before="100" w:after="23"/>
              <w:jc w:val="center"/>
              <w:rPr>
                <w:rFonts w:eastAsia="宋体"/>
                <w:sz w:val="21"/>
                <w:u w:val="single"/>
              </w:rPr>
            </w:pPr>
            <w:r>
              <w:rPr>
                <w:rFonts w:hint="eastAsia" w:eastAsia="宋体"/>
                <w:sz w:val="21"/>
                <w:u w:val="single"/>
              </w:rPr>
              <w:t>500</w:t>
            </w:r>
          </w:p>
        </w:tc>
        <w:tc>
          <w:tcPr>
            <w:tcW w:w="616" w:type="pct"/>
            <w:vAlign w:val="center"/>
          </w:tcPr>
          <w:p>
            <w:pPr>
              <w:tabs>
                <w:tab w:val="left" w:pos="2262"/>
                <w:tab w:val="left" w:pos="7129"/>
              </w:tabs>
              <w:spacing w:before="100" w:after="23"/>
              <w:jc w:val="center"/>
              <w:rPr>
                <w:rFonts w:eastAsia="宋体"/>
                <w:sz w:val="21"/>
                <w:u w:val="single"/>
              </w:rPr>
            </w:pPr>
            <w:r>
              <w:rPr>
                <w:rFonts w:hint="eastAsia" w:eastAsia="宋体"/>
                <w:sz w:val="21"/>
                <w:u w:val="single"/>
              </w:rPr>
              <w:t>1000</w:t>
            </w:r>
          </w:p>
        </w:tc>
        <w:tc>
          <w:tcPr>
            <w:tcW w:w="616" w:type="pct"/>
            <w:vAlign w:val="center"/>
          </w:tcPr>
          <w:p>
            <w:pPr>
              <w:tabs>
                <w:tab w:val="left" w:pos="2262"/>
                <w:tab w:val="left" w:pos="7129"/>
              </w:tabs>
              <w:spacing w:before="100" w:after="23"/>
              <w:jc w:val="center"/>
              <w:rPr>
                <w:rFonts w:eastAsia="宋体"/>
                <w:sz w:val="21"/>
                <w:u w:val="single"/>
              </w:rPr>
            </w:pPr>
            <w:r>
              <w:rPr>
                <w:rFonts w:hint="eastAsia" w:eastAsia="宋体"/>
                <w:sz w:val="21"/>
                <w:u w:val="single"/>
              </w:rPr>
              <w:t>1500</w:t>
            </w:r>
          </w:p>
        </w:tc>
        <w:tc>
          <w:tcPr>
            <w:tcW w:w="644" w:type="pct"/>
            <w:tcBorders>
              <w:right w:val="nil"/>
            </w:tcBorders>
            <w:vAlign w:val="center"/>
          </w:tcPr>
          <w:p>
            <w:pPr>
              <w:tabs>
                <w:tab w:val="left" w:pos="2262"/>
                <w:tab w:val="left" w:pos="7129"/>
              </w:tabs>
              <w:spacing w:before="100" w:after="23"/>
              <w:jc w:val="center"/>
              <w:rPr>
                <w:rFonts w:eastAsia="宋体"/>
                <w:sz w:val="21"/>
                <w:u w:val="single"/>
              </w:rPr>
            </w:pPr>
            <w:r>
              <w:rPr>
                <w:rFonts w:hint="eastAsia" w:eastAsia="宋体"/>
                <w:sz w:val="21"/>
                <w:u w:val="singl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tcBorders>
              <w:left w:val="nil"/>
              <w:bottom w:val="single" w:color="auto" w:sz="4" w:space="0"/>
              <w:right w:val="single" w:color="auto" w:sz="4" w:space="0"/>
            </w:tcBorders>
            <w:vAlign w:val="center"/>
          </w:tcPr>
          <w:p>
            <w:pPr>
              <w:tabs>
                <w:tab w:val="left" w:pos="2262"/>
                <w:tab w:val="left" w:pos="7129"/>
              </w:tabs>
              <w:spacing w:before="100" w:after="23"/>
              <w:jc w:val="center"/>
              <w:rPr>
                <w:rFonts w:eastAsia="Times New Roman"/>
                <w:sz w:val="21"/>
                <w:u w:val="single"/>
              </w:rPr>
            </w:pPr>
            <w:r>
              <w:rPr>
                <w:w w:val="105"/>
                <w:position w:val="1"/>
                <w:sz w:val="21"/>
                <w:u w:val="single"/>
              </w:rPr>
              <w:t>C</w:t>
            </w:r>
            <w:r>
              <w:rPr>
                <w:w w:val="105"/>
                <w:position w:val="1"/>
                <w:sz w:val="21"/>
                <w:u w:val="single"/>
                <w:vertAlign w:val="subscript"/>
              </w:rPr>
              <w:t>COD</w:t>
            </w:r>
          </w:p>
        </w:tc>
        <w:tc>
          <w:tcPr>
            <w:tcW w:w="565" w:type="pct"/>
            <w:tcBorders>
              <w:left w:val="single" w:color="auto" w:sz="4" w:space="0"/>
              <w:bottom w:val="single" w:color="auto" w:sz="4" w:space="0"/>
              <w:right w:val="single" w:color="auto" w:sz="4" w:space="0"/>
            </w:tcBorders>
            <w:vAlign w:val="center"/>
          </w:tcPr>
          <w:p>
            <w:pPr>
              <w:tabs>
                <w:tab w:val="left" w:pos="2262"/>
                <w:tab w:val="left" w:pos="7129"/>
              </w:tabs>
              <w:spacing w:before="100" w:after="23"/>
              <w:jc w:val="center"/>
              <w:rPr>
                <w:rFonts w:eastAsia="Times New Roman"/>
                <w:sz w:val="21"/>
                <w:u w:val="single"/>
              </w:rPr>
            </w:pPr>
            <w:r>
              <w:rPr>
                <w:w w:val="95"/>
                <w:sz w:val="21"/>
                <w:u w:val="single"/>
              </w:rPr>
              <w:t>24.9265</w:t>
            </w:r>
          </w:p>
        </w:tc>
        <w:tc>
          <w:tcPr>
            <w:tcW w:w="508" w:type="pct"/>
            <w:tcBorders>
              <w:left w:val="single" w:color="auto" w:sz="4" w:space="0"/>
            </w:tcBorders>
            <w:vAlign w:val="center"/>
          </w:tcPr>
          <w:p>
            <w:pPr>
              <w:tabs>
                <w:tab w:val="left" w:pos="2262"/>
                <w:tab w:val="left" w:pos="7129"/>
              </w:tabs>
              <w:spacing w:before="100" w:after="23"/>
              <w:jc w:val="center"/>
              <w:rPr>
                <w:rFonts w:eastAsia="Times New Roman"/>
                <w:sz w:val="21"/>
                <w:u w:val="single"/>
              </w:rPr>
            </w:pPr>
            <w:r>
              <w:rPr>
                <w:w w:val="95"/>
                <w:sz w:val="21"/>
                <w:u w:val="single"/>
              </w:rPr>
              <w:t>24.8860</w:t>
            </w:r>
          </w:p>
        </w:tc>
        <w:tc>
          <w:tcPr>
            <w:tcW w:w="510" w:type="pct"/>
            <w:vAlign w:val="center"/>
          </w:tcPr>
          <w:p>
            <w:pPr>
              <w:tabs>
                <w:tab w:val="left" w:pos="2262"/>
                <w:tab w:val="left" w:pos="7129"/>
              </w:tabs>
              <w:spacing w:before="100" w:after="23"/>
              <w:jc w:val="center"/>
              <w:rPr>
                <w:rFonts w:eastAsia="Times New Roman"/>
                <w:sz w:val="21"/>
                <w:u w:val="single"/>
              </w:rPr>
            </w:pPr>
            <w:r>
              <w:rPr>
                <w:sz w:val="21"/>
                <w:u w:val="single"/>
              </w:rPr>
              <w:t>24.7961</w:t>
            </w:r>
          </w:p>
        </w:tc>
        <w:tc>
          <w:tcPr>
            <w:tcW w:w="511" w:type="pct"/>
            <w:vAlign w:val="center"/>
          </w:tcPr>
          <w:p>
            <w:pPr>
              <w:tabs>
                <w:tab w:val="left" w:pos="2262"/>
                <w:tab w:val="left" w:pos="7129"/>
              </w:tabs>
              <w:spacing w:before="100" w:after="23"/>
              <w:jc w:val="center"/>
              <w:rPr>
                <w:rFonts w:eastAsia="Times New Roman"/>
                <w:sz w:val="21"/>
                <w:u w:val="single"/>
              </w:rPr>
            </w:pPr>
            <w:r>
              <w:rPr>
                <w:sz w:val="21"/>
                <w:u w:val="single"/>
              </w:rPr>
              <w:t>24.7066</w:t>
            </w:r>
          </w:p>
        </w:tc>
        <w:tc>
          <w:tcPr>
            <w:tcW w:w="616" w:type="pct"/>
            <w:vAlign w:val="center"/>
          </w:tcPr>
          <w:p>
            <w:pPr>
              <w:tabs>
                <w:tab w:val="left" w:pos="2262"/>
                <w:tab w:val="left" w:pos="7129"/>
              </w:tabs>
              <w:spacing w:before="100" w:after="23"/>
              <w:jc w:val="center"/>
              <w:rPr>
                <w:rFonts w:eastAsia="Times New Roman"/>
                <w:sz w:val="21"/>
                <w:u w:val="single"/>
              </w:rPr>
            </w:pPr>
            <w:r>
              <w:rPr>
                <w:sz w:val="21"/>
                <w:u w:val="single"/>
              </w:rPr>
              <w:t>24.4842</w:t>
            </w:r>
          </w:p>
        </w:tc>
        <w:tc>
          <w:tcPr>
            <w:tcW w:w="616" w:type="pct"/>
            <w:vAlign w:val="center"/>
          </w:tcPr>
          <w:p>
            <w:pPr>
              <w:tabs>
                <w:tab w:val="left" w:pos="2262"/>
                <w:tab w:val="left" w:pos="7129"/>
              </w:tabs>
              <w:spacing w:before="100" w:after="23"/>
              <w:jc w:val="center"/>
              <w:rPr>
                <w:rFonts w:eastAsia="Times New Roman"/>
                <w:sz w:val="21"/>
                <w:u w:val="single"/>
              </w:rPr>
            </w:pPr>
            <w:r>
              <w:rPr>
                <w:w w:val="95"/>
                <w:sz w:val="21"/>
                <w:u w:val="single"/>
              </w:rPr>
              <w:t>24.2638</w:t>
            </w:r>
          </w:p>
        </w:tc>
        <w:tc>
          <w:tcPr>
            <w:tcW w:w="644" w:type="pct"/>
            <w:tcBorders>
              <w:right w:val="nil"/>
            </w:tcBorders>
            <w:vAlign w:val="center"/>
          </w:tcPr>
          <w:p>
            <w:pPr>
              <w:tabs>
                <w:tab w:val="left" w:pos="2262"/>
                <w:tab w:val="left" w:pos="7129"/>
              </w:tabs>
              <w:spacing w:before="100" w:after="23"/>
              <w:jc w:val="center"/>
              <w:rPr>
                <w:rFonts w:eastAsia="Times New Roman"/>
                <w:sz w:val="21"/>
                <w:u w:val="single"/>
              </w:rPr>
            </w:pPr>
            <w:r>
              <w:rPr>
                <w:sz w:val="21"/>
                <w:u w:val="single"/>
              </w:rPr>
              <w:t>24.0454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tcBorders>
              <w:top w:val="single" w:color="auto" w:sz="4" w:space="0"/>
              <w:left w:val="nil"/>
              <w:right w:val="single" w:color="auto" w:sz="4" w:space="0"/>
            </w:tcBorders>
            <w:vAlign w:val="center"/>
          </w:tcPr>
          <w:p>
            <w:pPr>
              <w:tabs>
                <w:tab w:val="left" w:pos="2262"/>
                <w:tab w:val="left" w:pos="7129"/>
              </w:tabs>
              <w:spacing w:before="100" w:after="23"/>
              <w:jc w:val="center"/>
              <w:rPr>
                <w:rFonts w:eastAsia="Times New Roman"/>
                <w:sz w:val="21"/>
                <w:u w:val="single"/>
              </w:rPr>
            </w:pPr>
            <w:r>
              <w:rPr>
                <w:rFonts w:eastAsia="Times New Roman"/>
                <w:position w:val="2"/>
                <w:sz w:val="21"/>
                <w:u w:val="single"/>
              </w:rPr>
              <w:t>C</w:t>
            </w:r>
            <w:r>
              <w:rPr>
                <w:rFonts w:eastAsia="Times New Roman"/>
                <w:position w:val="2"/>
                <w:sz w:val="21"/>
                <w:u w:val="single"/>
                <w:vertAlign w:val="subscript"/>
              </w:rPr>
              <w:t>0</w:t>
            </w:r>
            <w:r>
              <w:rPr>
                <w:position w:val="2"/>
                <w:sz w:val="21"/>
                <w:u w:val="single"/>
              </w:rPr>
              <w:t>初始断面浓度</w:t>
            </w:r>
          </w:p>
        </w:tc>
        <w:tc>
          <w:tcPr>
            <w:tcW w:w="3972" w:type="pct"/>
            <w:gridSpan w:val="7"/>
            <w:tcBorders>
              <w:left w:val="single" w:color="auto" w:sz="4" w:space="0"/>
              <w:right w:val="nil"/>
            </w:tcBorders>
            <w:vAlign w:val="center"/>
          </w:tcPr>
          <w:p>
            <w:pPr>
              <w:tabs>
                <w:tab w:val="left" w:pos="2262"/>
                <w:tab w:val="left" w:pos="7129"/>
              </w:tabs>
              <w:spacing w:before="100" w:after="23"/>
              <w:ind w:firstLine="210" w:firstLineChars="100"/>
              <w:jc w:val="center"/>
              <w:rPr>
                <w:rFonts w:eastAsia="Times New Roman"/>
                <w:sz w:val="21"/>
                <w:u w:val="single"/>
              </w:rPr>
            </w:pPr>
            <w:r>
              <w:rPr>
                <w:sz w:val="21"/>
                <w:u w:val="single"/>
              </w:rPr>
              <w:t>24.931mg/l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tcBorders>
              <w:left w:val="nil"/>
            </w:tcBorders>
            <w:vAlign w:val="center"/>
          </w:tcPr>
          <w:p>
            <w:pPr>
              <w:tabs>
                <w:tab w:val="left" w:pos="2262"/>
                <w:tab w:val="left" w:pos="7129"/>
              </w:tabs>
              <w:spacing w:before="100" w:after="23"/>
              <w:jc w:val="center"/>
              <w:rPr>
                <w:rFonts w:eastAsia="Times New Roman"/>
                <w:sz w:val="21"/>
                <w:u w:val="single"/>
              </w:rPr>
            </w:pPr>
            <w:r>
              <w:rPr>
                <w:rFonts w:eastAsia="Times New Roman"/>
                <w:sz w:val="21"/>
                <w:u w:val="single"/>
              </w:rPr>
              <w:t>X</w:t>
            </w:r>
            <w:r>
              <w:rPr>
                <w:sz w:val="21"/>
                <w:u w:val="single"/>
              </w:rPr>
              <w:t>（</w:t>
            </w:r>
            <w:r>
              <w:rPr>
                <w:rFonts w:eastAsia="Times New Roman"/>
                <w:sz w:val="21"/>
                <w:u w:val="single"/>
              </w:rPr>
              <w:t>X≥0</w:t>
            </w:r>
            <w:r>
              <w:rPr>
                <w:sz w:val="21"/>
                <w:u w:val="single"/>
              </w:rPr>
              <w:t>）</w:t>
            </w:r>
          </w:p>
        </w:tc>
        <w:tc>
          <w:tcPr>
            <w:tcW w:w="565" w:type="pct"/>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10</w:t>
            </w:r>
          </w:p>
        </w:tc>
        <w:tc>
          <w:tcPr>
            <w:tcW w:w="508" w:type="pct"/>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100</w:t>
            </w:r>
          </w:p>
        </w:tc>
        <w:tc>
          <w:tcPr>
            <w:tcW w:w="510" w:type="pct"/>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300</w:t>
            </w:r>
          </w:p>
        </w:tc>
        <w:tc>
          <w:tcPr>
            <w:tcW w:w="511" w:type="pct"/>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500</w:t>
            </w:r>
          </w:p>
        </w:tc>
        <w:tc>
          <w:tcPr>
            <w:tcW w:w="616" w:type="pct"/>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1000</w:t>
            </w:r>
          </w:p>
        </w:tc>
        <w:tc>
          <w:tcPr>
            <w:tcW w:w="616" w:type="pct"/>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1500</w:t>
            </w:r>
          </w:p>
        </w:tc>
        <w:tc>
          <w:tcPr>
            <w:tcW w:w="644" w:type="pct"/>
            <w:tcBorders>
              <w:right w:val="nil"/>
            </w:tcBorders>
            <w:vAlign w:val="center"/>
          </w:tcPr>
          <w:p>
            <w:pPr>
              <w:tabs>
                <w:tab w:val="left" w:pos="2262"/>
                <w:tab w:val="left" w:pos="7129"/>
              </w:tabs>
              <w:spacing w:before="100" w:after="23"/>
              <w:jc w:val="center"/>
              <w:rPr>
                <w:rFonts w:eastAsia="Times New Roman"/>
                <w:sz w:val="21"/>
                <w:u w:val="single"/>
              </w:rPr>
            </w:pPr>
            <w:r>
              <w:rPr>
                <w:rFonts w:hint="eastAsia" w:eastAsia="宋体"/>
                <w:sz w:val="21"/>
                <w:u w:val="singl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tcBorders>
              <w:left w:val="nil"/>
            </w:tcBorders>
            <w:vAlign w:val="center"/>
          </w:tcPr>
          <w:p>
            <w:pPr>
              <w:tabs>
                <w:tab w:val="left" w:pos="2262"/>
                <w:tab w:val="left" w:pos="7129"/>
              </w:tabs>
              <w:spacing w:before="100" w:after="23"/>
              <w:jc w:val="center"/>
              <w:rPr>
                <w:rFonts w:eastAsia="Times New Roman"/>
                <w:sz w:val="21"/>
                <w:u w:val="single"/>
              </w:rPr>
            </w:pPr>
            <w:r>
              <w:rPr>
                <w:rFonts w:eastAsia="Times New Roman"/>
                <w:w w:val="105"/>
                <w:position w:val="3"/>
                <w:sz w:val="21"/>
                <w:u w:val="single"/>
              </w:rPr>
              <w:t>C</w:t>
            </w:r>
            <w:r>
              <w:rPr>
                <w:w w:val="105"/>
                <w:sz w:val="21"/>
                <w:u w:val="single"/>
                <w:vertAlign w:val="subscript"/>
              </w:rPr>
              <w:t>氨氮</w:t>
            </w:r>
          </w:p>
        </w:tc>
        <w:tc>
          <w:tcPr>
            <w:tcW w:w="565" w:type="pct"/>
            <w:vAlign w:val="center"/>
          </w:tcPr>
          <w:p>
            <w:pPr>
              <w:tabs>
                <w:tab w:val="left" w:pos="2262"/>
                <w:tab w:val="left" w:pos="7129"/>
              </w:tabs>
              <w:spacing w:before="100" w:after="23"/>
              <w:jc w:val="center"/>
              <w:rPr>
                <w:rFonts w:eastAsia="Times New Roman"/>
                <w:sz w:val="21"/>
                <w:u w:val="single"/>
              </w:rPr>
            </w:pPr>
            <w:r>
              <w:rPr>
                <w:w w:val="95"/>
                <w:sz w:val="21"/>
                <w:u w:val="single"/>
              </w:rPr>
              <w:t>0.9743</w:t>
            </w:r>
          </w:p>
        </w:tc>
        <w:tc>
          <w:tcPr>
            <w:tcW w:w="508" w:type="pct"/>
            <w:vAlign w:val="center"/>
          </w:tcPr>
          <w:p>
            <w:pPr>
              <w:tabs>
                <w:tab w:val="left" w:pos="2262"/>
                <w:tab w:val="left" w:pos="7129"/>
              </w:tabs>
              <w:spacing w:before="100" w:after="23"/>
              <w:jc w:val="center"/>
              <w:rPr>
                <w:rFonts w:eastAsia="Times New Roman"/>
                <w:sz w:val="21"/>
                <w:u w:val="single"/>
              </w:rPr>
            </w:pPr>
            <w:r>
              <w:rPr>
                <w:w w:val="95"/>
                <w:sz w:val="21"/>
                <w:u w:val="single"/>
              </w:rPr>
              <w:t>0.9731</w:t>
            </w:r>
          </w:p>
        </w:tc>
        <w:tc>
          <w:tcPr>
            <w:tcW w:w="510" w:type="pct"/>
            <w:vAlign w:val="center"/>
          </w:tcPr>
          <w:p>
            <w:pPr>
              <w:tabs>
                <w:tab w:val="left" w:pos="2262"/>
                <w:tab w:val="left" w:pos="7129"/>
              </w:tabs>
              <w:spacing w:before="100" w:after="23"/>
              <w:jc w:val="center"/>
              <w:rPr>
                <w:rFonts w:eastAsia="Times New Roman"/>
                <w:sz w:val="21"/>
                <w:u w:val="single"/>
              </w:rPr>
            </w:pPr>
            <w:r>
              <w:rPr>
                <w:sz w:val="21"/>
                <w:u w:val="single"/>
              </w:rPr>
              <w:t>0.9703</w:t>
            </w:r>
          </w:p>
        </w:tc>
        <w:tc>
          <w:tcPr>
            <w:tcW w:w="511" w:type="pct"/>
            <w:vAlign w:val="center"/>
          </w:tcPr>
          <w:p>
            <w:pPr>
              <w:tabs>
                <w:tab w:val="left" w:pos="2262"/>
                <w:tab w:val="left" w:pos="7129"/>
              </w:tabs>
              <w:spacing w:before="100" w:after="23"/>
              <w:jc w:val="center"/>
              <w:rPr>
                <w:rFonts w:eastAsia="Times New Roman"/>
                <w:sz w:val="21"/>
                <w:u w:val="single"/>
              </w:rPr>
            </w:pPr>
            <w:r>
              <w:rPr>
                <w:sz w:val="21"/>
                <w:u w:val="single"/>
              </w:rPr>
              <w:t>0.9675</w:t>
            </w:r>
          </w:p>
        </w:tc>
        <w:tc>
          <w:tcPr>
            <w:tcW w:w="616" w:type="pct"/>
            <w:vAlign w:val="center"/>
          </w:tcPr>
          <w:p>
            <w:pPr>
              <w:tabs>
                <w:tab w:val="left" w:pos="2262"/>
                <w:tab w:val="left" w:pos="7129"/>
              </w:tabs>
              <w:spacing w:before="100" w:after="23"/>
              <w:jc w:val="center"/>
              <w:rPr>
                <w:rFonts w:eastAsia="Times New Roman"/>
                <w:sz w:val="21"/>
                <w:u w:val="single"/>
              </w:rPr>
            </w:pPr>
            <w:r>
              <w:rPr>
                <w:sz w:val="21"/>
                <w:u w:val="single"/>
              </w:rPr>
              <w:t>0.9605</w:t>
            </w:r>
          </w:p>
        </w:tc>
        <w:tc>
          <w:tcPr>
            <w:tcW w:w="616" w:type="pct"/>
            <w:vAlign w:val="center"/>
          </w:tcPr>
          <w:p>
            <w:pPr>
              <w:tabs>
                <w:tab w:val="left" w:pos="2262"/>
                <w:tab w:val="left" w:pos="7129"/>
              </w:tabs>
              <w:spacing w:before="100" w:after="23"/>
              <w:jc w:val="center"/>
              <w:rPr>
                <w:rFonts w:eastAsia="Times New Roman"/>
                <w:sz w:val="21"/>
                <w:u w:val="single"/>
              </w:rPr>
            </w:pPr>
            <w:r>
              <w:rPr>
                <w:w w:val="95"/>
                <w:sz w:val="21"/>
                <w:u w:val="single"/>
              </w:rPr>
              <w:t>0.9536</w:t>
            </w:r>
          </w:p>
        </w:tc>
        <w:tc>
          <w:tcPr>
            <w:tcW w:w="644" w:type="pct"/>
            <w:tcBorders>
              <w:right w:val="nil"/>
            </w:tcBorders>
            <w:vAlign w:val="center"/>
          </w:tcPr>
          <w:p>
            <w:pPr>
              <w:tabs>
                <w:tab w:val="left" w:pos="2262"/>
                <w:tab w:val="left" w:pos="7129"/>
              </w:tabs>
              <w:spacing w:before="100" w:after="23"/>
              <w:jc w:val="center"/>
              <w:rPr>
                <w:rFonts w:eastAsia="Times New Roman"/>
                <w:sz w:val="21"/>
                <w:u w:val="single"/>
              </w:rPr>
            </w:pPr>
            <w:r>
              <w:rPr>
                <w:sz w:val="21"/>
                <w:u w:val="single"/>
              </w:rPr>
              <w:t>0.9467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tcBorders>
              <w:left w:val="nil"/>
              <w:bottom w:val="single" w:color="auto" w:sz="12" w:space="0"/>
            </w:tcBorders>
            <w:vAlign w:val="center"/>
          </w:tcPr>
          <w:p>
            <w:pPr>
              <w:tabs>
                <w:tab w:val="left" w:pos="2262"/>
                <w:tab w:val="left" w:pos="7129"/>
              </w:tabs>
              <w:spacing w:before="100" w:after="23"/>
              <w:jc w:val="center"/>
              <w:rPr>
                <w:rFonts w:eastAsia="Times New Roman"/>
                <w:sz w:val="21"/>
                <w:u w:val="single"/>
              </w:rPr>
            </w:pPr>
            <w:r>
              <w:rPr>
                <w:rFonts w:eastAsia="Times New Roman"/>
                <w:position w:val="2"/>
                <w:sz w:val="21"/>
                <w:u w:val="single"/>
              </w:rPr>
              <w:t>C</w:t>
            </w:r>
            <w:r>
              <w:rPr>
                <w:rFonts w:eastAsia="Times New Roman"/>
                <w:position w:val="2"/>
                <w:sz w:val="21"/>
                <w:u w:val="single"/>
                <w:vertAlign w:val="subscript"/>
              </w:rPr>
              <w:t>0</w:t>
            </w:r>
            <w:r>
              <w:rPr>
                <w:position w:val="2"/>
                <w:sz w:val="21"/>
                <w:u w:val="single"/>
              </w:rPr>
              <w:t>初始断面浓度</w:t>
            </w:r>
          </w:p>
        </w:tc>
        <w:tc>
          <w:tcPr>
            <w:tcW w:w="3972" w:type="pct"/>
            <w:gridSpan w:val="7"/>
            <w:tcBorders>
              <w:bottom w:val="single" w:color="auto" w:sz="12" w:space="0"/>
              <w:right w:val="nil"/>
            </w:tcBorders>
            <w:vAlign w:val="center"/>
          </w:tcPr>
          <w:p>
            <w:pPr>
              <w:tabs>
                <w:tab w:val="left" w:pos="2262"/>
                <w:tab w:val="left" w:pos="7129"/>
              </w:tabs>
              <w:spacing w:before="100" w:after="23"/>
              <w:jc w:val="center"/>
              <w:rPr>
                <w:rFonts w:eastAsia="Times New Roman"/>
                <w:sz w:val="21"/>
                <w:u w:val="single"/>
              </w:rPr>
            </w:pPr>
            <w:r>
              <w:rPr>
                <w:sz w:val="21"/>
                <w:u w:val="single"/>
              </w:rPr>
              <w:t>0.97448mg/l</w:t>
            </w:r>
          </w:p>
        </w:tc>
      </w:tr>
    </w:tbl>
    <w:p>
      <w:pPr>
        <w:pStyle w:val="17"/>
        <w:adjustRightInd w:val="0"/>
        <w:snapToGrid w:val="0"/>
        <w:spacing w:after="0" w:line="360" w:lineRule="auto"/>
        <w:ind w:firstLine="464" w:firstLineChars="200"/>
        <w:rPr>
          <w:rFonts w:hint="default" w:ascii="Times New Roman" w:hAnsi="Times New Roman" w:cs="Times New Roman"/>
          <w:spacing w:val="-4"/>
          <w:position w:val="2"/>
          <w:u w:val="single"/>
        </w:rPr>
      </w:pPr>
      <w:r>
        <w:rPr>
          <w:rFonts w:hint="default" w:ascii="Times New Roman" w:hAnsi="Times New Roman" w:cs="Times New Roman"/>
          <w:spacing w:val="-4"/>
          <w:position w:val="2"/>
          <w:u w:val="single"/>
        </w:rPr>
        <w:t>从上表可看出，本项目事故状态下、枯水期废水直接的排放状况下，叠加华容河本底值，COD</w:t>
      </w:r>
      <w:r>
        <w:rPr>
          <w:rFonts w:hint="default" w:ascii="Times New Roman" w:hAnsi="Times New Roman" w:cs="Times New Roman"/>
          <w:spacing w:val="-4"/>
          <w:position w:val="2"/>
          <w:u w:val="single"/>
          <w:vertAlign w:val="subscript"/>
        </w:rPr>
        <w:t>Cr</w:t>
      </w:r>
      <w:r>
        <w:rPr>
          <w:rFonts w:hint="default" w:ascii="Times New Roman" w:hAnsi="Times New Roman" w:cs="Times New Roman"/>
          <w:spacing w:val="-4"/>
          <w:position w:val="2"/>
          <w:u w:val="single"/>
        </w:rPr>
        <w:t>浓度超过《地表水环境质量标准》（GB3038-2002）Ⅲ类水标准，在下游潘家渡省控断面基本恢复到地表水Ⅲ类标准限值以下。NH</w:t>
      </w:r>
      <w:r>
        <w:rPr>
          <w:rFonts w:hint="default" w:ascii="Times New Roman" w:hAnsi="Times New Roman" w:cs="Times New Roman"/>
          <w:spacing w:val="-4"/>
          <w:position w:val="2"/>
          <w:u w:val="single"/>
          <w:vertAlign w:val="subscript"/>
        </w:rPr>
        <w:t>3</w:t>
      </w:r>
      <w:r>
        <w:rPr>
          <w:rFonts w:hint="default" w:ascii="Times New Roman" w:hAnsi="Times New Roman" w:cs="Times New Roman"/>
          <w:spacing w:val="-4"/>
          <w:position w:val="2"/>
          <w:u w:val="single"/>
        </w:rPr>
        <w:t>-N浓度未超过《地表水环境质量标准》（GB3038-2002）Ⅲ类水标准，而且预测值相对于正常排放情况下大幅度提高。因此，运营过程中应加强废水处理设施的管理和维护，尽量避免事故情况的发生，一旦发生事故排放的情况，则及时采取处理措施，将事故排放的时间及影响降至最短。</w:t>
      </w:r>
    </w:p>
    <w:p>
      <w:pPr>
        <w:pStyle w:val="17"/>
        <w:adjustRightInd w:val="0"/>
        <w:snapToGrid w:val="0"/>
        <w:spacing w:after="0" w:line="360" w:lineRule="auto"/>
        <w:ind w:firstLine="464" w:firstLineChars="200"/>
        <w:rPr>
          <w:spacing w:val="-4"/>
          <w:position w:val="2"/>
          <w:u w:val="single"/>
        </w:rPr>
      </w:pPr>
      <w:r>
        <w:rPr>
          <w:spacing w:val="-4"/>
          <w:position w:val="2"/>
          <w:u w:val="single"/>
        </w:rPr>
        <w:t>由上可知本项目尾水正常排放时对华容河水体基本没有影响，事故排放时对华容河水体有一定的影响，所以应该尽量避免事故的发生，一旦发生事故应及时采取相应的有效手段进行处理，将事故排放时的影响降至最低。</w:t>
      </w:r>
    </w:p>
    <w:p>
      <w:pPr>
        <w:tabs>
          <w:tab w:val="left" w:pos="2262"/>
          <w:tab w:val="left" w:pos="7129"/>
        </w:tabs>
        <w:spacing w:before="100" w:after="23"/>
        <w:ind w:left="1247"/>
        <w:jc w:val="left"/>
        <w:rPr>
          <w:rFonts w:eastAsia="Times New Roman"/>
          <w:b/>
          <w:bCs/>
          <w:sz w:val="21"/>
        </w:rPr>
      </w:pPr>
    </w:p>
    <w:p>
      <w:pPr>
        <w:pStyle w:val="14"/>
        <w:tabs>
          <w:tab w:val="left" w:pos="1661"/>
        </w:tabs>
        <w:adjustRightInd w:val="0"/>
        <w:snapToGrid w:val="0"/>
        <w:ind w:firstLine="482" w:firstLineChars="200"/>
        <w:jc w:val="both"/>
      </w:pPr>
    </w:p>
    <w:p>
      <w:pPr>
        <w:pStyle w:val="69"/>
        <w:tabs>
          <w:tab w:val="left" w:pos="1661"/>
        </w:tabs>
        <w:adjustRightInd w:val="0"/>
        <w:snapToGrid w:val="0"/>
        <w:spacing w:line="360" w:lineRule="auto"/>
        <w:ind w:firstLine="480"/>
        <w:jc w:val="left"/>
        <w:rPr>
          <w:rFonts w:eastAsia="宋体" w:cs="Times New Roman"/>
          <w:szCs w:val="24"/>
        </w:rPr>
      </w:pPr>
    </w:p>
    <w:p>
      <w:pPr>
        <w:pStyle w:val="69"/>
        <w:tabs>
          <w:tab w:val="left" w:pos="1661"/>
        </w:tabs>
        <w:adjustRightInd w:val="0"/>
        <w:snapToGrid w:val="0"/>
        <w:spacing w:line="360" w:lineRule="auto"/>
        <w:ind w:firstLine="480"/>
        <w:jc w:val="left"/>
        <w:rPr>
          <w:rFonts w:eastAsia="宋体" w:cs="Times New Roman"/>
          <w:szCs w:val="24"/>
        </w:rPr>
      </w:pPr>
    </w:p>
    <w:p>
      <w:pPr>
        <w:adjustRightInd w:val="0"/>
        <w:snapToGrid w:val="0"/>
        <w:spacing w:line="360" w:lineRule="auto"/>
        <w:ind w:firstLine="480" w:firstLineChars="200"/>
        <w:jc w:val="center"/>
      </w:pPr>
    </w:p>
    <w:p>
      <w:pPr>
        <w:adjustRightInd w:val="0"/>
        <w:snapToGrid w:val="0"/>
        <w:spacing w:line="360" w:lineRule="auto"/>
        <w:ind w:firstLine="480" w:firstLineChars="200"/>
        <w:jc w:val="center"/>
        <w:sectPr>
          <w:pgSz w:w="11906" w:h="16838"/>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pPr>
    </w:p>
    <w:p>
      <w:pPr>
        <w:pStyle w:val="14"/>
        <w:spacing w:line="240" w:lineRule="auto"/>
        <w:rPr>
          <w:rFonts w:cs="Times New Roman"/>
          <w:color w:val="000000" w:themeColor="text1"/>
          <w:szCs w:val="24"/>
        </w:rPr>
      </w:pPr>
      <w:r>
        <w:rPr>
          <w:rFonts w:hint="eastAsia" w:cs="Times New Roman"/>
          <w:color w:val="000000" w:themeColor="text1"/>
          <w:szCs w:val="24"/>
        </w:rPr>
        <w:t>表</w:t>
      </w:r>
      <w:r>
        <w:rPr>
          <w:rFonts w:cs="Times New Roman"/>
          <w:color w:val="000000" w:themeColor="text1"/>
          <w:szCs w:val="24"/>
        </w:rPr>
        <w:fldChar w:fldCharType="begin"/>
      </w:r>
      <w:r>
        <w:rPr>
          <w:rFonts w:hint="eastAsia" w:cs="Times New Roman"/>
          <w:color w:val="000000" w:themeColor="text1"/>
          <w:szCs w:val="24"/>
        </w:rPr>
        <w:instrText xml:space="preserve">STYLEREF 2 \s</w:instrText>
      </w:r>
      <w:r>
        <w:rPr>
          <w:rFonts w:cs="Times New Roman"/>
          <w:color w:val="000000" w:themeColor="text1"/>
          <w:szCs w:val="24"/>
        </w:rPr>
        <w:fldChar w:fldCharType="separate"/>
      </w:r>
      <w:r>
        <w:rPr>
          <w:rFonts w:cs="Times New Roman"/>
          <w:color w:val="000000" w:themeColor="text1"/>
          <w:szCs w:val="24"/>
        </w:rPr>
        <w:t>4.1</w:t>
      </w:r>
      <w:r>
        <w:rPr>
          <w:rFonts w:cs="Times New Roman"/>
          <w:color w:val="000000" w:themeColor="text1"/>
          <w:szCs w:val="24"/>
        </w:rPr>
        <w:fldChar w:fldCharType="end"/>
      </w:r>
      <w:r>
        <w:rPr>
          <w:rFonts w:cs="Times New Roman"/>
          <w:color w:val="000000" w:themeColor="text1"/>
          <w:szCs w:val="24"/>
        </w:rPr>
        <w:noBreakHyphen/>
      </w:r>
      <w:r>
        <w:rPr>
          <w:rFonts w:cs="Times New Roman"/>
          <w:color w:val="000000" w:themeColor="text1"/>
          <w:szCs w:val="24"/>
        </w:rPr>
        <w:fldChar w:fldCharType="begin"/>
      </w:r>
      <w:r>
        <w:rPr>
          <w:rFonts w:hint="eastAsia" w:cs="Times New Roman"/>
          <w:color w:val="000000" w:themeColor="text1"/>
          <w:szCs w:val="24"/>
        </w:rPr>
        <w:instrText xml:space="preserve">SEQ 表 \* ARABIC \s 2</w:instrText>
      </w:r>
      <w:r>
        <w:rPr>
          <w:rFonts w:cs="Times New Roman"/>
          <w:color w:val="000000" w:themeColor="text1"/>
          <w:szCs w:val="24"/>
        </w:rPr>
        <w:fldChar w:fldCharType="separate"/>
      </w:r>
      <w:r>
        <w:rPr>
          <w:rFonts w:hint="eastAsia" w:cs="Times New Roman"/>
          <w:color w:val="000000" w:themeColor="text1"/>
          <w:szCs w:val="24"/>
        </w:rPr>
        <w:t>17</w:t>
      </w:r>
      <w:r>
        <w:rPr>
          <w:rFonts w:cs="Times New Roman"/>
          <w:color w:val="000000" w:themeColor="text1"/>
          <w:szCs w:val="24"/>
        </w:rPr>
        <w:fldChar w:fldCharType="end"/>
      </w:r>
      <w:r>
        <w:rPr>
          <w:rFonts w:hint="eastAsia" w:cs="Times New Roman"/>
          <w:color w:val="000000" w:themeColor="text1"/>
          <w:szCs w:val="24"/>
          <w:lang w:val="en-US" w:eastAsia="zh-CN"/>
        </w:rPr>
        <w:t xml:space="preserve"> </w:t>
      </w:r>
      <w:r>
        <w:rPr>
          <w:rFonts w:cs="Times New Roman"/>
          <w:bCs/>
          <w:szCs w:val="24"/>
        </w:rPr>
        <w:t>废水类别、污染物</w:t>
      </w:r>
      <w:r>
        <w:rPr>
          <w:rFonts w:hint="eastAsia" w:cs="Times New Roman"/>
          <w:bCs/>
          <w:szCs w:val="24"/>
        </w:rPr>
        <w:t>及</w:t>
      </w:r>
      <w:r>
        <w:rPr>
          <w:rFonts w:cs="Times New Roman"/>
          <w:bCs/>
          <w:szCs w:val="24"/>
        </w:rPr>
        <w:t>治理设施信息表</w:t>
      </w:r>
    </w:p>
    <w:tbl>
      <w:tblPr>
        <w:tblStyle w:val="39"/>
        <w:tblW w:w="14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53"/>
        <w:gridCol w:w="1452"/>
        <w:gridCol w:w="1453"/>
        <w:gridCol w:w="1452"/>
        <w:gridCol w:w="1373"/>
        <w:gridCol w:w="1375"/>
        <w:gridCol w:w="1374"/>
        <w:gridCol w:w="1374"/>
        <w:gridCol w:w="1374"/>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vAlign w:val="center"/>
          </w:tcPr>
          <w:p>
            <w:pPr>
              <w:jc w:val="center"/>
              <w:rPr>
                <w:rFonts w:eastAsia="宋体" w:cs="Times New Roman"/>
                <w:sz w:val="21"/>
              </w:rPr>
            </w:pPr>
            <w:r>
              <w:rPr>
                <w:rFonts w:eastAsia="宋体" w:cs="Times New Roman"/>
                <w:sz w:val="21"/>
              </w:rPr>
              <w:t>序号</w:t>
            </w:r>
          </w:p>
        </w:tc>
        <w:tc>
          <w:tcPr>
            <w:tcW w:w="1453" w:type="dxa"/>
            <w:vMerge w:val="restart"/>
            <w:vAlign w:val="center"/>
          </w:tcPr>
          <w:p>
            <w:pPr>
              <w:jc w:val="center"/>
              <w:rPr>
                <w:rFonts w:eastAsia="宋体" w:cs="Times New Roman"/>
                <w:sz w:val="21"/>
                <w:vertAlign w:val="superscript"/>
              </w:rPr>
            </w:pPr>
            <w:r>
              <w:rPr>
                <w:rFonts w:eastAsia="宋体" w:cs="Times New Roman"/>
                <w:sz w:val="21"/>
              </w:rPr>
              <w:t>废水类别</w:t>
            </w:r>
            <w:r>
              <w:rPr>
                <w:rFonts w:eastAsia="宋体" w:cs="Times New Roman"/>
                <w:sz w:val="21"/>
                <w:vertAlign w:val="superscript"/>
              </w:rPr>
              <w:t>a</w:t>
            </w:r>
          </w:p>
        </w:tc>
        <w:tc>
          <w:tcPr>
            <w:tcW w:w="1452" w:type="dxa"/>
            <w:vMerge w:val="restart"/>
            <w:vAlign w:val="center"/>
          </w:tcPr>
          <w:p>
            <w:pPr>
              <w:jc w:val="center"/>
              <w:rPr>
                <w:rFonts w:eastAsia="宋体" w:cs="Times New Roman"/>
                <w:sz w:val="21"/>
                <w:vertAlign w:val="superscript"/>
              </w:rPr>
            </w:pPr>
            <w:r>
              <w:rPr>
                <w:rFonts w:eastAsia="宋体" w:cs="Times New Roman"/>
                <w:sz w:val="21"/>
              </w:rPr>
              <w:t>污染物种类</w:t>
            </w:r>
            <w:r>
              <w:rPr>
                <w:rFonts w:eastAsia="宋体" w:cs="Times New Roman"/>
                <w:sz w:val="21"/>
                <w:vertAlign w:val="superscript"/>
              </w:rPr>
              <w:t>b</w:t>
            </w:r>
          </w:p>
        </w:tc>
        <w:tc>
          <w:tcPr>
            <w:tcW w:w="1453" w:type="dxa"/>
            <w:vMerge w:val="restart"/>
            <w:vAlign w:val="center"/>
          </w:tcPr>
          <w:p>
            <w:pPr>
              <w:jc w:val="center"/>
              <w:rPr>
                <w:rFonts w:eastAsia="宋体" w:cs="Times New Roman"/>
                <w:sz w:val="21"/>
                <w:vertAlign w:val="superscript"/>
              </w:rPr>
            </w:pPr>
            <w:r>
              <w:rPr>
                <w:rFonts w:eastAsia="宋体" w:cs="Times New Roman"/>
                <w:sz w:val="21"/>
              </w:rPr>
              <w:t>排放去向</w:t>
            </w:r>
            <w:r>
              <w:rPr>
                <w:rFonts w:eastAsia="宋体" w:cs="Times New Roman"/>
                <w:sz w:val="21"/>
                <w:vertAlign w:val="superscript"/>
              </w:rPr>
              <w:t>c</w:t>
            </w:r>
          </w:p>
        </w:tc>
        <w:tc>
          <w:tcPr>
            <w:tcW w:w="1452" w:type="dxa"/>
            <w:vMerge w:val="restart"/>
            <w:vAlign w:val="center"/>
          </w:tcPr>
          <w:p>
            <w:pPr>
              <w:jc w:val="center"/>
              <w:rPr>
                <w:rFonts w:eastAsia="宋体" w:cs="Times New Roman"/>
                <w:sz w:val="21"/>
                <w:vertAlign w:val="superscript"/>
              </w:rPr>
            </w:pPr>
            <w:r>
              <w:rPr>
                <w:rFonts w:eastAsia="宋体" w:cs="Times New Roman"/>
                <w:sz w:val="21"/>
              </w:rPr>
              <w:t>排放规律</w:t>
            </w:r>
            <w:r>
              <w:rPr>
                <w:rFonts w:eastAsia="宋体" w:cs="Times New Roman"/>
                <w:sz w:val="21"/>
                <w:vertAlign w:val="superscript"/>
              </w:rPr>
              <w:t>d</w:t>
            </w:r>
          </w:p>
        </w:tc>
        <w:tc>
          <w:tcPr>
            <w:tcW w:w="4122" w:type="dxa"/>
            <w:gridSpan w:val="3"/>
            <w:vAlign w:val="center"/>
          </w:tcPr>
          <w:p>
            <w:pPr>
              <w:jc w:val="center"/>
              <w:rPr>
                <w:rFonts w:eastAsia="宋体" w:cs="Times New Roman"/>
                <w:sz w:val="21"/>
              </w:rPr>
            </w:pPr>
            <w:r>
              <w:rPr>
                <w:rFonts w:eastAsia="宋体" w:cs="Times New Roman"/>
                <w:sz w:val="21"/>
              </w:rPr>
              <w:t>污染治理设施</w:t>
            </w:r>
          </w:p>
        </w:tc>
        <w:tc>
          <w:tcPr>
            <w:tcW w:w="1374" w:type="dxa"/>
            <w:vMerge w:val="restart"/>
            <w:vAlign w:val="center"/>
          </w:tcPr>
          <w:p>
            <w:pPr>
              <w:jc w:val="center"/>
              <w:rPr>
                <w:rFonts w:eastAsia="宋体" w:cs="Times New Roman"/>
                <w:sz w:val="21"/>
              </w:rPr>
            </w:pPr>
            <w:r>
              <w:rPr>
                <w:rFonts w:eastAsia="宋体" w:cs="Times New Roman"/>
                <w:sz w:val="21"/>
              </w:rPr>
              <w:t>排放口编号</w:t>
            </w:r>
            <w:r>
              <w:rPr>
                <w:rFonts w:eastAsia="宋体" w:cs="Times New Roman"/>
                <w:sz w:val="21"/>
                <w:vertAlign w:val="superscript"/>
              </w:rPr>
              <w:t>f</w:t>
            </w:r>
          </w:p>
        </w:tc>
        <w:tc>
          <w:tcPr>
            <w:tcW w:w="1374" w:type="dxa"/>
            <w:vMerge w:val="restart"/>
            <w:vAlign w:val="center"/>
          </w:tcPr>
          <w:p>
            <w:pPr>
              <w:jc w:val="center"/>
              <w:rPr>
                <w:rFonts w:eastAsia="宋体" w:cs="Times New Roman"/>
                <w:sz w:val="21"/>
                <w:vertAlign w:val="superscript"/>
              </w:rPr>
            </w:pPr>
            <w:r>
              <w:rPr>
                <w:rFonts w:eastAsia="宋体" w:cs="Times New Roman"/>
                <w:sz w:val="21"/>
              </w:rPr>
              <w:t>排放口设置是否符合要求</w:t>
            </w:r>
            <w:r>
              <w:rPr>
                <w:rFonts w:eastAsia="宋体" w:cs="Times New Roman"/>
                <w:sz w:val="21"/>
                <w:vertAlign w:val="superscript"/>
              </w:rPr>
              <w:t>g</w:t>
            </w:r>
          </w:p>
        </w:tc>
        <w:tc>
          <w:tcPr>
            <w:tcW w:w="1378" w:type="dxa"/>
            <w:vMerge w:val="restart"/>
            <w:vAlign w:val="center"/>
          </w:tcPr>
          <w:p>
            <w:pPr>
              <w:jc w:val="center"/>
              <w:rPr>
                <w:rFonts w:eastAsia="宋体" w:cs="Times New Roman"/>
                <w:sz w:val="21"/>
              </w:rPr>
            </w:pPr>
            <w:r>
              <w:rPr>
                <w:rFonts w:eastAsia="宋体" w:cs="Times New Roman"/>
                <w:sz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jc w:val="center"/>
              <w:rPr>
                <w:rFonts w:eastAsia="宋体" w:cs="Times New Roman"/>
                <w:sz w:val="21"/>
              </w:rPr>
            </w:pPr>
          </w:p>
        </w:tc>
        <w:tc>
          <w:tcPr>
            <w:tcW w:w="1453" w:type="dxa"/>
            <w:vMerge w:val="continue"/>
            <w:vAlign w:val="center"/>
          </w:tcPr>
          <w:p>
            <w:pPr>
              <w:jc w:val="center"/>
              <w:rPr>
                <w:rFonts w:eastAsia="宋体" w:cs="Times New Roman"/>
                <w:sz w:val="21"/>
              </w:rPr>
            </w:pPr>
          </w:p>
        </w:tc>
        <w:tc>
          <w:tcPr>
            <w:tcW w:w="1452" w:type="dxa"/>
            <w:vMerge w:val="continue"/>
            <w:vAlign w:val="center"/>
          </w:tcPr>
          <w:p>
            <w:pPr>
              <w:jc w:val="center"/>
              <w:rPr>
                <w:rFonts w:eastAsia="宋体" w:cs="Times New Roman"/>
                <w:sz w:val="21"/>
              </w:rPr>
            </w:pPr>
          </w:p>
        </w:tc>
        <w:tc>
          <w:tcPr>
            <w:tcW w:w="1453" w:type="dxa"/>
            <w:vMerge w:val="continue"/>
            <w:vAlign w:val="center"/>
          </w:tcPr>
          <w:p>
            <w:pPr>
              <w:jc w:val="center"/>
              <w:rPr>
                <w:rFonts w:eastAsia="宋体" w:cs="Times New Roman"/>
                <w:sz w:val="21"/>
              </w:rPr>
            </w:pPr>
          </w:p>
        </w:tc>
        <w:tc>
          <w:tcPr>
            <w:tcW w:w="1452" w:type="dxa"/>
            <w:vMerge w:val="continue"/>
            <w:vAlign w:val="center"/>
          </w:tcPr>
          <w:p>
            <w:pPr>
              <w:jc w:val="center"/>
              <w:rPr>
                <w:rFonts w:eastAsia="宋体" w:cs="Times New Roman"/>
                <w:sz w:val="21"/>
              </w:rPr>
            </w:pPr>
          </w:p>
        </w:tc>
        <w:tc>
          <w:tcPr>
            <w:tcW w:w="1373" w:type="dxa"/>
            <w:vAlign w:val="center"/>
          </w:tcPr>
          <w:p>
            <w:pPr>
              <w:jc w:val="center"/>
              <w:rPr>
                <w:rFonts w:eastAsia="宋体" w:cs="Times New Roman"/>
                <w:sz w:val="21"/>
              </w:rPr>
            </w:pPr>
            <w:r>
              <w:rPr>
                <w:rFonts w:eastAsia="宋体" w:cs="Times New Roman"/>
                <w:sz w:val="21"/>
              </w:rPr>
              <w:t>污染治理设施编号</w:t>
            </w:r>
          </w:p>
        </w:tc>
        <w:tc>
          <w:tcPr>
            <w:tcW w:w="1375" w:type="dxa"/>
            <w:vAlign w:val="center"/>
          </w:tcPr>
          <w:p>
            <w:pPr>
              <w:jc w:val="center"/>
              <w:rPr>
                <w:rFonts w:eastAsia="宋体" w:cs="Times New Roman"/>
                <w:sz w:val="21"/>
                <w:vertAlign w:val="superscript"/>
              </w:rPr>
            </w:pPr>
            <w:r>
              <w:rPr>
                <w:rFonts w:eastAsia="宋体" w:cs="Times New Roman"/>
                <w:sz w:val="21"/>
              </w:rPr>
              <w:t>污染治理设施名称</w:t>
            </w:r>
            <w:r>
              <w:rPr>
                <w:rFonts w:eastAsia="宋体" w:cs="Times New Roman"/>
                <w:sz w:val="21"/>
                <w:vertAlign w:val="superscript"/>
              </w:rPr>
              <w:t>e</w:t>
            </w:r>
          </w:p>
        </w:tc>
        <w:tc>
          <w:tcPr>
            <w:tcW w:w="1374" w:type="dxa"/>
            <w:vAlign w:val="center"/>
          </w:tcPr>
          <w:p>
            <w:pPr>
              <w:jc w:val="center"/>
              <w:rPr>
                <w:rFonts w:eastAsia="宋体" w:cs="Times New Roman"/>
                <w:sz w:val="21"/>
              </w:rPr>
            </w:pPr>
            <w:r>
              <w:rPr>
                <w:rFonts w:eastAsia="宋体" w:cs="Times New Roman"/>
                <w:sz w:val="21"/>
              </w:rPr>
              <w:t>污染治理设施工艺</w:t>
            </w:r>
          </w:p>
        </w:tc>
        <w:tc>
          <w:tcPr>
            <w:tcW w:w="1374" w:type="dxa"/>
            <w:vMerge w:val="continue"/>
            <w:vAlign w:val="center"/>
          </w:tcPr>
          <w:p>
            <w:pPr>
              <w:jc w:val="center"/>
              <w:rPr>
                <w:rFonts w:eastAsia="宋体" w:cs="Times New Roman"/>
                <w:sz w:val="21"/>
              </w:rPr>
            </w:pPr>
          </w:p>
        </w:tc>
        <w:tc>
          <w:tcPr>
            <w:tcW w:w="1374" w:type="dxa"/>
            <w:vMerge w:val="continue"/>
            <w:vAlign w:val="center"/>
          </w:tcPr>
          <w:p>
            <w:pPr>
              <w:jc w:val="center"/>
              <w:rPr>
                <w:rFonts w:eastAsia="宋体" w:cs="Times New Roman"/>
                <w:sz w:val="21"/>
              </w:rPr>
            </w:pPr>
          </w:p>
        </w:tc>
        <w:tc>
          <w:tcPr>
            <w:tcW w:w="137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pPr>
              <w:jc w:val="center"/>
              <w:rPr>
                <w:rFonts w:eastAsia="宋体" w:cs="Times New Roman"/>
                <w:sz w:val="21"/>
              </w:rPr>
            </w:pPr>
            <w:r>
              <w:rPr>
                <w:rFonts w:hint="eastAsia" w:eastAsia="宋体" w:cs="Times New Roman"/>
                <w:sz w:val="21"/>
              </w:rPr>
              <w:t>1</w:t>
            </w:r>
          </w:p>
        </w:tc>
        <w:tc>
          <w:tcPr>
            <w:tcW w:w="1453" w:type="dxa"/>
            <w:vAlign w:val="center"/>
          </w:tcPr>
          <w:p>
            <w:pPr>
              <w:jc w:val="center"/>
              <w:rPr>
                <w:rFonts w:eastAsia="宋体" w:cs="Times New Roman"/>
                <w:sz w:val="21"/>
              </w:rPr>
            </w:pPr>
            <w:r>
              <w:rPr>
                <w:rFonts w:eastAsia="宋体" w:cs="Times New Roman"/>
                <w:sz w:val="21"/>
              </w:rPr>
              <w:t>污水处理厂</w:t>
            </w:r>
          </w:p>
        </w:tc>
        <w:tc>
          <w:tcPr>
            <w:tcW w:w="1452" w:type="dxa"/>
            <w:vAlign w:val="center"/>
          </w:tcPr>
          <w:p>
            <w:pPr>
              <w:jc w:val="center"/>
              <w:rPr>
                <w:rFonts w:eastAsia="宋体" w:cs="Times New Roman"/>
                <w:sz w:val="21"/>
              </w:rPr>
            </w:pPr>
            <w:r>
              <w:rPr>
                <w:rFonts w:eastAsia="宋体" w:cs="Times New Roman"/>
                <w:color w:val="000000" w:themeColor="text1"/>
                <w:sz w:val="21"/>
              </w:rPr>
              <w:t>CODcr</w:t>
            </w:r>
            <w:r>
              <w:rPr>
                <w:rFonts w:hint="eastAsia" w:eastAsia="宋体" w:cs="Times New Roman"/>
                <w:color w:val="000000" w:themeColor="text1"/>
                <w:sz w:val="21"/>
              </w:rPr>
              <w:t>、</w:t>
            </w:r>
            <w:r>
              <w:rPr>
                <w:rFonts w:eastAsia="宋体" w:cs="Times New Roman"/>
                <w:color w:val="000000" w:themeColor="text1"/>
                <w:sz w:val="21"/>
              </w:rPr>
              <w:t>BOD</w:t>
            </w:r>
            <w:r>
              <w:rPr>
                <w:rFonts w:eastAsia="宋体" w:cs="Times New Roman"/>
                <w:color w:val="000000" w:themeColor="text1"/>
                <w:sz w:val="21"/>
                <w:vertAlign w:val="subscript"/>
              </w:rPr>
              <w:t>5</w:t>
            </w:r>
            <w:r>
              <w:rPr>
                <w:rFonts w:hint="eastAsia" w:eastAsia="宋体" w:cs="Times New Roman"/>
                <w:color w:val="000000" w:themeColor="text1"/>
                <w:sz w:val="21"/>
                <w:vertAlign w:val="subscript"/>
              </w:rPr>
              <w:t>、</w:t>
            </w:r>
            <w:r>
              <w:rPr>
                <w:rFonts w:eastAsia="宋体" w:cs="Times New Roman"/>
                <w:color w:val="000000" w:themeColor="text1"/>
                <w:sz w:val="21"/>
              </w:rPr>
              <w:t>SS</w:t>
            </w:r>
            <w:r>
              <w:rPr>
                <w:rFonts w:hint="eastAsia" w:eastAsia="宋体" w:cs="Times New Roman"/>
                <w:color w:val="000000" w:themeColor="text1"/>
                <w:sz w:val="21"/>
              </w:rPr>
              <w:t>、</w:t>
            </w:r>
            <w:r>
              <w:rPr>
                <w:rFonts w:eastAsia="宋体" w:cs="Times New Roman"/>
                <w:color w:val="000000" w:themeColor="text1"/>
                <w:sz w:val="21"/>
              </w:rPr>
              <w:t>NH</w:t>
            </w:r>
            <w:r>
              <w:rPr>
                <w:rFonts w:eastAsia="宋体" w:cs="Times New Roman"/>
                <w:color w:val="000000" w:themeColor="text1"/>
                <w:sz w:val="21"/>
                <w:vertAlign w:val="subscript"/>
              </w:rPr>
              <w:t>3</w:t>
            </w:r>
            <w:r>
              <w:rPr>
                <w:rFonts w:eastAsia="宋体" w:cs="Times New Roman"/>
                <w:color w:val="000000" w:themeColor="text1"/>
                <w:sz w:val="21"/>
              </w:rPr>
              <w:t>-N</w:t>
            </w:r>
            <w:r>
              <w:rPr>
                <w:rFonts w:hint="eastAsia" w:eastAsia="宋体" w:cs="Times New Roman"/>
                <w:color w:val="000000" w:themeColor="text1"/>
                <w:sz w:val="21"/>
              </w:rPr>
              <w:t>、</w:t>
            </w:r>
            <w:r>
              <w:rPr>
                <w:rFonts w:eastAsia="宋体" w:cs="Times New Roman"/>
                <w:color w:val="000000" w:themeColor="text1"/>
                <w:sz w:val="21"/>
              </w:rPr>
              <w:t>TN</w:t>
            </w:r>
            <w:r>
              <w:rPr>
                <w:rFonts w:hint="eastAsia" w:eastAsia="宋体" w:cs="Times New Roman"/>
                <w:color w:val="000000" w:themeColor="text1"/>
                <w:sz w:val="21"/>
              </w:rPr>
              <w:t>、</w:t>
            </w:r>
            <w:r>
              <w:rPr>
                <w:rFonts w:eastAsia="宋体" w:cs="Times New Roman"/>
                <w:color w:val="000000" w:themeColor="text1"/>
                <w:sz w:val="21"/>
              </w:rPr>
              <w:t>TP</w:t>
            </w:r>
          </w:p>
        </w:tc>
        <w:tc>
          <w:tcPr>
            <w:tcW w:w="1453" w:type="dxa"/>
            <w:vAlign w:val="center"/>
          </w:tcPr>
          <w:p>
            <w:pPr>
              <w:jc w:val="center"/>
              <w:rPr>
                <w:rFonts w:eastAsia="宋体" w:cs="Times New Roman"/>
                <w:sz w:val="21"/>
              </w:rPr>
            </w:pPr>
            <w:r>
              <w:rPr>
                <w:rFonts w:eastAsia="宋体" w:cs="Times New Roman"/>
                <w:sz w:val="21"/>
              </w:rPr>
              <w:t>华容河</w:t>
            </w:r>
          </w:p>
        </w:tc>
        <w:tc>
          <w:tcPr>
            <w:tcW w:w="1452" w:type="dxa"/>
            <w:vAlign w:val="center"/>
          </w:tcPr>
          <w:p>
            <w:pPr>
              <w:jc w:val="center"/>
              <w:rPr>
                <w:rFonts w:eastAsia="宋体" w:cs="Times New Roman"/>
                <w:sz w:val="21"/>
              </w:rPr>
            </w:pPr>
            <w:r>
              <w:rPr>
                <w:rFonts w:eastAsia="宋体" w:cs="Times New Roman"/>
                <w:sz w:val="21"/>
              </w:rPr>
              <w:t>连续排放，流量稳定</w:t>
            </w:r>
          </w:p>
        </w:tc>
        <w:tc>
          <w:tcPr>
            <w:tcW w:w="1373" w:type="dxa"/>
            <w:vAlign w:val="center"/>
          </w:tcPr>
          <w:p>
            <w:pPr>
              <w:jc w:val="center"/>
              <w:rPr>
                <w:rFonts w:eastAsia="宋体" w:cs="Times New Roman"/>
                <w:sz w:val="21"/>
              </w:rPr>
            </w:pPr>
            <w:r>
              <w:rPr>
                <w:rFonts w:hint="eastAsia" w:eastAsia="宋体" w:cs="Times New Roman"/>
                <w:sz w:val="21"/>
              </w:rPr>
              <w:t>M1</w:t>
            </w:r>
          </w:p>
        </w:tc>
        <w:tc>
          <w:tcPr>
            <w:tcW w:w="1375" w:type="dxa"/>
            <w:vAlign w:val="center"/>
          </w:tcPr>
          <w:p>
            <w:pPr>
              <w:jc w:val="center"/>
              <w:rPr>
                <w:rFonts w:eastAsia="宋体" w:cs="Times New Roman"/>
                <w:sz w:val="21"/>
              </w:rPr>
            </w:pPr>
            <w:r>
              <w:rPr>
                <w:rFonts w:eastAsia="宋体" w:cs="Times New Roman"/>
                <w:sz w:val="21"/>
              </w:rPr>
              <w:t>综合污水处理站</w:t>
            </w:r>
          </w:p>
        </w:tc>
        <w:tc>
          <w:tcPr>
            <w:tcW w:w="1374" w:type="dxa"/>
            <w:vAlign w:val="center"/>
          </w:tcPr>
          <w:p>
            <w:pPr>
              <w:jc w:val="center"/>
              <w:rPr>
                <w:rFonts w:eastAsia="宋体" w:cs="Times New Roman"/>
                <w:sz w:val="21"/>
              </w:rPr>
            </w:pPr>
            <w:r>
              <w:rPr>
                <w:rFonts w:eastAsia="宋体" w:cs="Times New Roman"/>
                <w:sz w:val="21"/>
              </w:rPr>
              <w:t>预处理+组合池（水解酸化池+AAO生物池+二沉池）+深度处理</w:t>
            </w:r>
          </w:p>
        </w:tc>
        <w:tc>
          <w:tcPr>
            <w:tcW w:w="1374" w:type="dxa"/>
            <w:vAlign w:val="center"/>
          </w:tcPr>
          <w:p>
            <w:pPr>
              <w:jc w:val="center"/>
              <w:rPr>
                <w:rFonts w:eastAsia="宋体" w:cs="Times New Roman"/>
                <w:sz w:val="21"/>
              </w:rPr>
            </w:pPr>
          </w:p>
        </w:tc>
        <w:tc>
          <w:tcPr>
            <w:tcW w:w="1374" w:type="dxa"/>
            <w:vAlign w:val="center"/>
          </w:tcPr>
          <w:p>
            <w:pPr>
              <w:jc w:val="center"/>
              <w:rPr>
                <w:rFonts w:eastAsia="宋体" w:cs="Times New Roman"/>
                <w:sz w:val="21"/>
              </w:rPr>
            </w:pPr>
          </w:p>
          <w:p>
            <w:pPr>
              <w:jc w:val="center"/>
              <w:rPr>
                <w:rFonts w:eastAsia="宋体" w:cs="Times New Roman"/>
                <w:sz w:val="21"/>
              </w:rPr>
            </w:pPr>
          </w:p>
          <w:p>
            <w:pPr>
              <w:jc w:val="center"/>
              <w:rPr>
                <w:rFonts w:eastAsia="宋体" w:cs="Times New Roman"/>
                <w:sz w:val="21"/>
              </w:rPr>
            </w:pPr>
          </w:p>
          <w:p>
            <w:pPr>
              <w:jc w:val="center"/>
              <w:rPr>
                <w:rFonts w:hint="eastAsia" w:eastAsia="宋体" w:cs="Times New Roman"/>
                <w:sz w:val="21"/>
                <w:lang w:val="en-US" w:eastAsia="zh-CN"/>
              </w:rPr>
            </w:pPr>
            <w:r>
              <w:rPr>
                <w:rFonts w:hint="eastAsia" w:eastAsia="宋体" w:cs="Times New Roman"/>
                <w:sz w:val="21"/>
              </w:rPr>
              <w:sym w:font="Wingdings 2" w:char="0052"/>
            </w:r>
            <w:r>
              <w:rPr>
                <w:rFonts w:hint="eastAsia" w:eastAsia="宋体" w:cs="Times New Roman"/>
                <w:sz w:val="21"/>
                <w:lang w:val="en-US" w:eastAsia="zh-CN"/>
              </w:rPr>
              <w:t>是</w:t>
            </w:r>
          </w:p>
          <w:p>
            <w:pPr>
              <w:jc w:val="center"/>
              <w:rPr>
                <w:rFonts w:eastAsia="宋体" w:cs="Times New Roman"/>
                <w:sz w:val="21"/>
              </w:rPr>
            </w:pPr>
            <w:r>
              <w:rPr>
                <w:rFonts w:hint="eastAsia" w:eastAsia="宋体" w:cs="Times New Roman"/>
                <w:sz w:val="21"/>
              </w:rPr>
              <w:sym w:font="Wingdings 2" w:char="00A3"/>
            </w:r>
            <w:r>
              <w:rPr>
                <w:rFonts w:eastAsia="宋体" w:cs="Times New Roman"/>
                <w:sz w:val="21"/>
              </w:rPr>
              <w:t>否</w:t>
            </w:r>
          </w:p>
          <w:p>
            <w:pPr>
              <w:jc w:val="center"/>
              <w:rPr>
                <w:rFonts w:eastAsia="宋体" w:cs="Times New Roman"/>
                <w:sz w:val="21"/>
              </w:rPr>
            </w:pPr>
          </w:p>
          <w:p>
            <w:pPr>
              <w:jc w:val="center"/>
              <w:rPr>
                <w:rFonts w:eastAsia="宋体" w:cs="Times New Roman"/>
                <w:sz w:val="21"/>
              </w:rPr>
            </w:pPr>
          </w:p>
          <w:p>
            <w:pPr>
              <w:jc w:val="center"/>
              <w:rPr>
                <w:rFonts w:eastAsia="宋体" w:cs="Times New Roman"/>
                <w:sz w:val="21"/>
              </w:rPr>
            </w:pPr>
          </w:p>
          <w:p>
            <w:pPr>
              <w:jc w:val="center"/>
              <w:rPr>
                <w:rFonts w:eastAsia="宋体" w:cs="Times New Roman"/>
                <w:sz w:val="21"/>
              </w:rPr>
            </w:pPr>
          </w:p>
          <w:p>
            <w:pPr>
              <w:jc w:val="center"/>
              <w:rPr>
                <w:rFonts w:eastAsia="宋体" w:cs="Times New Roman"/>
                <w:sz w:val="21"/>
              </w:rPr>
            </w:pPr>
          </w:p>
        </w:tc>
        <w:tc>
          <w:tcPr>
            <w:tcW w:w="1378" w:type="dxa"/>
            <w:vAlign w:val="center"/>
          </w:tcPr>
          <w:p>
            <w:pPr>
              <w:jc w:val="center"/>
              <w:rPr>
                <w:rFonts w:eastAsia="宋体" w:cs="Times New Roman"/>
                <w:sz w:val="21"/>
              </w:rPr>
            </w:pPr>
            <w:r>
              <w:rPr>
                <w:rFonts w:hint="eastAsia" w:eastAsia="宋体" w:cs="Times New Roman"/>
                <w:sz w:val="21"/>
              </w:rPr>
              <w:sym w:font="Wingdings 2" w:char="0052"/>
            </w:r>
            <w:r>
              <w:rPr>
                <w:rFonts w:hint="eastAsia" w:eastAsia="宋体" w:cs="Times New Roman"/>
                <w:sz w:val="21"/>
                <w:lang w:val="en-US" w:eastAsia="zh-CN"/>
              </w:rPr>
              <w:t>企</w:t>
            </w:r>
            <w:r>
              <w:rPr>
                <w:rFonts w:eastAsia="宋体" w:cs="Times New Roman"/>
                <w:sz w:val="21"/>
              </w:rPr>
              <w:t>业排口</w:t>
            </w:r>
          </w:p>
          <w:p>
            <w:pPr>
              <w:jc w:val="center"/>
              <w:rPr>
                <w:rFonts w:eastAsia="宋体" w:cs="Times New Roman"/>
                <w:sz w:val="21"/>
              </w:rPr>
            </w:pPr>
            <w:r>
              <w:rPr>
                <w:rFonts w:hint="eastAsia" w:eastAsia="宋体" w:cs="Times New Roman"/>
                <w:sz w:val="21"/>
              </w:rPr>
              <w:sym w:font="Wingdings 2" w:char="00A3"/>
            </w:r>
            <w:r>
              <w:rPr>
                <w:rFonts w:eastAsia="宋体" w:cs="Times New Roman"/>
                <w:sz w:val="21"/>
              </w:rPr>
              <w:t>雨水排放</w:t>
            </w:r>
          </w:p>
          <w:p>
            <w:pPr>
              <w:jc w:val="center"/>
              <w:rPr>
                <w:rFonts w:eastAsia="宋体" w:cs="Times New Roman"/>
                <w:sz w:val="21"/>
              </w:rPr>
            </w:pPr>
            <w:r>
              <w:rPr>
                <w:rFonts w:hint="eastAsia" w:eastAsia="宋体" w:cs="Times New Roman"/>
                <w:sz w:val="21"/>
              </w:rPr>
              <w:t>□</w:t>
            </w:r>
            <w:r>
              <w:rPr>
                <w:rFonts w:eastAsia="宋体" w:cs="Times New Roman"/>
                <w:sz w:val="21"/>
              </w:rPr>
              <w:t>清净下水排放</w:t>
            </w:r>
          </w:p>
          <w:p>
            <w:pPr>
              <w:jc w:val="center"/>
              <w:rPr>
                <w:rFonts w:eastAsia="宋体" w:cs="Times New Roman"/>
                <w:sz w:val="21"/>
              </w:rPr>
            </w:pPr>
            <w:r>
              <w:rPr>
                <w:rFonts w:hint="eastAsia" w:eastAsia="宋体" w:cs="Times New Roman"/>
                <w:sz w:val="21"/>
              </w:rPr>
              <w:t>□</w:t>
            </w:r>
            <w:r>
              <w:rPr>
                <w:rFonts w:eastAsia="宋体" w:cs="Times New Roman"/>
                <w:sz w:val="21"/>
              </w:rPr>
              <w:t>温排水排放</w:t>
            </w:r>
          </w:p>
          <w:p>
            <w:pPr>
              <w:jc w:val="center"/>
              <w:rPr>
                <w:rFonts w:eastAsia="宋体" w:cs="Times New Roman"/>
                <w:sz w:val="21"/>
              </w:rPr>
            </w:pPr>
            <w:r>
              <w:rPr>
                <w:rFonts w:hint="eastAsia" w:eastAsia="宋体" w:cs="Times New Roman"/>
                <w:sz w:val="21"/>
              </w:rPr>
              <w:t>□</w:t>
            </w:r>
            <w:r>
              <w:rPr>
                <w:rFonts w:eastAsia="宋体" w:cs="Times New Roman"/>
                <w:sz w:val="21"/>
              </w:rPr>
              <w:t>车间或车间处理设施排放口</w:t>
            </w:r>
          </w:p>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0" w:type="dxa"/>
            <w:gridSpan w:val="11"/>
            <w:vAlign w:val="center"/>
          </w:tcPr>
          <w:p>
            <w:pPr>
              <w:ind w:firstLine="420" w:firstLineChars="200"/>
              <w:rPr>
                <w:rFonts w:eastAsia="宋体" w:cs="Times New Roman"/>
                <w:sz w:val="21"/>
              </w:rPr>
            </w:pPr>
            <w:r>
              <w:rPr>
                <w:rFonts w:eastAsia="宋体" w:cs="Times New Roman"/>
                <w:sz w:val="21"/>
              </w:rPr>
              <w:t>a指产生废水的工艺、工序，或废水类型的名称。</w:t>
            </w:r>
          </w:p>
          <w:p>
            <w:pPr>
              <w:ind w:firstLine="420" w:firstLineChars="200"/>
              <w:rPr>
                <w:rFonts w:eastAsia="宋体" w:cs="Times New Roman"/>
                <w:sz w:val="21"/>
              </w:rPr>
            </w:pPr>
            <w:r>
              <w:rPr>
                <w:rFonts w:eastAsia="宋体" w:cs="Times New Roman"/>
                <w:sz w:val="21"/>
              </w:rPr>
              <w:t>b指产生的主要污染物类型，以相应排放标准中确定的污染因子为准。</w:t>
            </w:r>
          </w:p>
          <w:p>
            <w:pPr>
              <w:ind w:firstLine="420" w:firstLineChars="200"/>
              <w:rPr>
                <w:rFonts w:eastAsia="宋体" w:cs="Times New Roman"/>
                <w:sz w:val="21"/>
              </w:rPr>
            </w:pPr>
            <w:r>
              <w:rPr>
                <w:rFonts w:eastAsia="宋体" w:cs="Times New Roman"/>
                <w:sz w:val="21"/>
              </w:rPr>
              <w:t>c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w:t>
            </w:r>
            <w:r>
              <w:rPr>
                <w:rFonts w:hint="eastAsia" w:eastAsia="宋体" w:cs="Times New Roman"/>
                <w:sz w:val="21"/>
              </w:rPr>
              <w:t>“不外排”</w:t>
            </w:r>
            <w:r>
              <w:rPr>
                <w:rFonts w:eastAsia="宋体" w:cs="Times New Roman"/>
                <w:sz w:val="21"/>
              </w:rPr>
              <w:t>指全部在工序内部循环使用，</w:t>
            </w:r>
            <w:r>
              <w:rPr>
                <w:rFonts w:hint="eastAsia" w:eastAsia="宋体" w:cs="Times New Roman"/>
                <w:sz w:val="21"/>
              </w:rPr>
              <w:t>“排至厂内综合污水处理站”</w:t>
            </w:r>
            <w:r>
              <w:rPr>
                <w:rFonts w:eastAsia="宋体" w:cs="Times New Roman"/>
                <w:sz w:val="21"/>
              </w:rPr>
              <w:t>指工序废水经处理后排至综合处理站。对于综合污水处理站，</w:t>
            </w:r>
            <w:r>
              <w:rPr>
                <w:rFonts w:hint="eastAsia" w:eastAsia="宋体" w:cs="Times New Roman"/>
                <w:sz w:val="21"/>
              </w:rPr>
              <w:t>“不外排”</w:t>
            </w:r>
            <w:r>
              <w:rPr>
                <w:rFonts w:eastAsia="宋体" w:cs="Times New Roman"/>
                <w:sz w:val="21"/>
              </w:rPr>
              <w:t>指全厂废水经处理后全部回用不排放。</w:t>
            </w:r>
          </w:p>
          <w:p>
            <w:pPr>
              <w:ind w:firstLine="420" w:firstLineChars="200"/>
              <w:rPr>
                <w:rFonts w:eastAsia="宋体" w:cs="Times New Roman"/>
                <w:sz w:val="21"/>
              </w:rPr>
            </w:pPr>
            <w:r>
              <w:rPr>
                <w:rFonts w:eastAsia="宋体" w:cs="Times New Roman"/>
                <w:sz w:val="21"/>
              </w:rPr>
              <w:t>d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ind w:firstLine="420" w:firstLineChars="200"/>
              <w:rPr>
                <w:rFonts w:eastAsia="宋体" w:cs="Times New Roman"/>
                <w:sz w:val="21"/>
              </w:rPr>
            </w:pPr>
            <w:r>
              <w:rPr>
                <w:rFonts w:eastAsia="宋体" w:cs="Times New Roman"/>
                <w:sz w:val="21"/>
              </w:rPr>
              <w:t>e指主要污水处理设施名称，如</w:t>
            </w:r>
            <w:r>
              <w:rPr>
                <w:rFonts w:hint="eastAsia" w:eastAsia="宋体" w:cs="Times New Roman"/>
                <w:sz w:val="21"/>
              </w:rPr>
              <w:t>“综合污水处理站”“生活污水处理系统”</w:t>
            </w:r>
            <w:r>
              <w:rPr>
                <w:rFonts w:eastAsia="宋体" w:cs="Times New Roman"/>
                <w:sz w:val="21"/>
              </w:rPr>
              <w:t>等。</w:t>
            </w:r>
          </w:p>
          <w:p>
            <w:pPr>
              <w:ind w:firstLine="420" w:firstLineChars="200"/>
              <w:rPr>
                <w:rFonts w:eastAsia="宋体" w:cs="Times New Roman"/>
                <w:sz w:val="21"/>
              </w:rPr>
            </w:pPr>
            <w:r>
              <w:rPr>
                <w:rFonts w:eastAsia="宋体" w:cs="Times New Roman"/>
                <w:sz w:val="21"/>
              </w:rPr>
              <w:t>f排放口编号可按地方环境管理部门现有编号进行填写或由企业根据国家相关规范进行编制。</w:t>
            </w:r>
          </w:p>
          <w:p>
            <w:pPr>
              <w:ind w:firstLine="420" w:firstLineChars="200"/>
              <w:rPr>
                <w:rFonts w:eastAsia="宋体" w:cs="Times New Roman"/>
                <w:sz w:val="21"/>
              </w:rPr>
            </w:pPr>
            <w:r>
              <w:rPr>
                <w:rFonts w:eastAsia="宋体" w:cs="Times New Roman"/>
                <w:sz w:val="21"/>
              </w:rPr>
              <w:t>g指排放口设置是否符合排放口规范化整治技术要求等相关文件的规定。</w:t>
            </w:r>
          </w:p>
        </w:tc>
      </w:tr>
    </w:tbl>
    <w:p>
      <w:pPr>
        <w:pStyle w:val="14"/>
        <w:spacing w:line="240" w:lineRule="auto"/>
        <w:rPr>
          <w:rFonts w:cs="Times New Roman"/>
          <w:color w:val="000000" w:themeColor="text1"/>
          <w:szCs w:val="24"/>
        </w:rPr>
      </w:pPr>
      <w:r>
        <w:rPr>
          <w:rFonts w:cs="Times New Roman"/>
          <w:color w:val="000000" w:themeColor="text1"/>
          <w:szCs w:val="24"/>
        </w:rPr>
        <w:t>表</w:t>
      </w:r>
      <w:r>
        <w:rPr>
          <w:rFonts w:cs="Times New Roman"/>
          <w:color w:val="000000" w:themeColor="text1"/>
          <w:szCs w:val="24"/>
        </w:rPr>
        <w:fldChar w:fldCharType="begin"/>
      </w:r>
      <w:r>
        <w:rPr>
          <w:rFonts w:cs="Times New Roman"/>
          <w:color w:val="000000" w:themeColor="text1"/>
          <w:szCs w:val="24"/>
        </w:rPr>
        <w:instrText xml:space="preserve"> STYLEREF 2 \s </w:instrText>
      </w:r>
      <w:r>
        <w:rPr>
          <w:rFonts w:cs="Times New Roman"/>
          <w:color w:val="000000" w:themeColor="text1"/>
          <w:szCs w:val="24"/>
        </w:rPr>
        <w:fldChar w:fldCharType="separate"/>
      </w:r>
      <w:r>
        <w:rPr>
          <w:rFonts w:cs="Times New Roman"/>
          <w:color w:val="000000" w:themeColor="text1"/>
          <w:szCs w:val="24"/>
        </w:rPr>
        <w:t>4.1</w:t>
      </w:r>
      <w:r>
        <w:rPr>
          <w:rFonts w:cs="Times New Roman"/>
          <w:color w:val="000000" w:themeColor="text1"/>
          <w:szCs w:val="24"/>
        </w:rPr>
        <w:fldChar w:fldCharType="end"/>
      </w:r>
      <w:r>
        <w:rPr>
          <w:rFonts w:cs="Times New Roman"/>
          <w:color w:val="000000" w:themeColor="text1"/>
          <w:szCs w:val="24"/>
        </w:rPr>
        <w:noBreakHyphen/>
      </w:r>
      <w:r>
        <w:rPr>
          <w:rFonts w:cs="Times New Roman"/>
          <w:color w:val="000000" w:themeColor="text1"/>
          <w:szCs w:val="24"/>
        </w:rPr>
        <w:fldChar w:fldCharType="begin"/>
      </w:r>
      <w:r>
        <w:rPr>
          <w:rFonts w:cs="Times New Roman"/>
          <w:color w:val="000000" w:themeColor="text1"/>
          <w:szCs w:val="24"/>
        </w:rPr>
        <w:instrText xml:space="preserve"> SEQ 表 \* ARABIC \s 2 </w:instrText>
      </w:r>
      <w:r>
        <w:rPr>
          <w:rFonts w:cs="Times New Roman"/>
          <w:color w:val="000000" w:themeColor="text1"/>
          <w:szCs w:val="24"/>
        </w:rPr>
        <w:fldChar w:fldCharType="separate"/>
      </w:r>
      <w:r>
        <w:rPr>
          <w:rFonts w:cs="Times New Roman"/>
          <w:color w:val="000000" w:themeColor="text1"/>
          <w:szCs w:val="24"/>
        </w:rPr>
        <w:t>18</w:t>
      </w:r>
      <w:r>
        <w:rPr>
          <w:rFonts w:cs="Times New Roman"/>
          <w:color w:val="000000" w:themeColor="text1"/>
          <w:szCs w:val="24"/>
        </w:rPr>
        <w:fldChar w:fldCharType="end"/>
      </w:r>
      <w:r>
        <w:rPr>
          <w:rFonts w:hint="eastAsia" w:cs="Times New Roman"/>
          <w:color w:val="000000" w:themeColor="text1"/>
          <w:szCs w:val="24"/>
          <w:lang w:val="en-US" w:eastAsia="zh-CN"/>
        </w:rPr>
        <w:t xml:space="preserve"> </w:t>
      </w:r>
      <w:r>
        <w:rPr>
          <w:rFonts w:hint="eastAsia" w:cs="Times New Roman"/>
          <w:bCs/>
          <w:szCs w:val="24"/>
        </w:rPr>
        <w:t>废水直接排放口基本情况表</w:t>
      </w:r>
    </w:p>
    <w:tbl>
      <w:tblPr>
        <w:tblStyle w:val="39"/>
        <w:tblW w:w="14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3"/>
        <w:gridCol w:w="1134"/>
        <w:gridCol w:w="1133"/>
        <w:gridCol w:w="1134"/>
        <w:gridCol w:w="1133"/>
        <w:gridCol w:w="1134"/>
        <w:gridCol w:w="1133"/>
        <w:gridCol w:w="1134"/>
        <w:gridCol w:w="1134"/>
        <w:gridCol w:w="1135"/>
        <w:gridCol w:w="1134"/>
        <w:gridCol w:w="1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pPr>
              <w:jc w:val="center"/>
              <w:rPr>
                <w:rFonts w:eastAsia="宋体" w:cs="Times New Roman"/>
                <w:sz w:val="21"/>
              </w:rPr>
            </w:pPr>
            <w:r>
              <w:rPr>
                <w:rFonts w:hint="eastAsia" w:eastAsia="宋体" w:cs="Times New Roman"/>
                <w:sz w:val="21"/>
              </w:rPr>
              <w:t>序号</w:t>
            </w:r>
          </w:p>
        </w:tc>
        <w:tc>
          <w:tcPr>
            <w:tcW w:w="1133" w:type="dxa"/>
            <w:vMerge w:val="restart"/>
            <w:vAlign w:val="center"/>
          </w:tcPr>
          <w:p>
            <w:pPr>
              <w:jc w:val="center"/>
              <w:rPr>
                <w:rFonts w:eastAsia="宋体" w:cs="Times New Roman"/>
                <w:sz w:val="21"/>
              </w:rPr>
            </w:pPr>
            <w:r>
              <w:rPr>
                <w:rFonts w:hint="eastAsia" w:eastAsia="宋体" w:cs="Times New Roman"/>
                <w:sz w:val="21"/>
              </w:rPr>
              <w:t>排放口编号</w:t>
            </w:r>
          </w:p>
        </w:tc>
        <w:tc>
          <w:tcPr>
            <w:tcW w:w="2267" w:type="dxa"/>
            <w:gridSpan w:val="2"/>
            <w:vAlign w:val="center"/>
          </w:tcPr>
          <w:p>
            <w:pPr>
              <w:jc w:val="center"/>
              <w:rPr>
                <w:rFonts w:eastAsia="宋体" w:cs="Times New Roman"/>
                <w:sz w:val="21"/>
                <w:vertAlign w:val="superscript"/>
              </w:rPr>
            </w:pPr>
            <w:r>
              <w:rPr>
                <w:rFonts w:hint="eastAsia" w:eastAsia="宋体" w:cs="Times New Roman"/>
                <w:sz w:val="21"/>
              </w:rPr>
              <w:t>排放口地理坐标</w:t>
            </w:r>
            <w:r>
              <w:rPr>
                <w:rFonts w:hint="eastAsia" w:eastAsia="宋体" w:cs="Times New Roman"/>
                <w:sz w:val="21"/>
                <w:vertAlign w:val="superscript"/>
              </w:rPr>
              <w:t>a</w:t>
            </w:r>
          </w:p>
        </w:tc>
        <w:tc>
          <w:tcPr>
            <w:tcW w:w="1134" w:type="dxa"/>
            <w:vMerge w:val="restart"/>
            <w:vAlign w:val="center"/>
          </w:tcPr>
          <w:p>
            <w:pPr>
              <w:jc w:val="center"/>
              <w:rPr>
                <w:rFonts w:eastAsia="宋体" w:cs="Times New Roman"/>
                <w:sz w:val="21"/>
              </w:rPr>
            </w:pPr>
            <w:r>
              <w:rPr>
                <w:rFonts w:hint="eastAsia" w:eastAsia="宋体" w:cs="Times New Roman"/>
                <w:sz w:val="21"/>
              </w:rPr>
              <w:t>废水排放量/（万t/a）</w:t>
            </w:r>
          </w:p>
        </w:tc>
        <w:tc>
          <w:tcPr>
            <w:tcW w:w="1133" w:type="dxa"/>
            <w:vMerge w:val="restart"/>
            <w:vAlign w:val="center"/>
          </w:tcPr>
          <w:p>
            <w:pPr>
              <w:jc w:val="center"/>
              <w:rPr>
                <w:rFonts w:eastAsia="宋体" w:cs="Times New Roman"/>
                <w:sz w:val="21"/>
              </w:rPr>
            </w:pPr>
            <w:r>
              <w:rPr>
                <w:rFonts w:hint="eastAsia" w:eastAsia="宋体" w:cs="Times New Roman"/>
                <w:sz w:val="21"/>
              </w:rPr>
              <w:t>排放去向</w:t>
            </w:r>
          </w:p>
        </w:tc>
        <w:tc>
          <w:tcPr>
            <w:tcW w:w="1134" w:type="dxa"/>
            <w:vMerge w:val="restart"/>
            <w:vAlign w:val="center"/>
          </w:tcPr>
          <w:p>
            <w:pPr>
              <w:jc w:val="center"/>
              <w:rPr>
                <w:rFonts w:eastAsia="宋体" w:cs="Times New Roman"/>
                <w:sz w:val="21"/>
              </w:rPr>
            </w:pPr>
            <w:r>
              <w:rPr>
                <w:rFonts w:hint="eastAsia" w:eastAsia="宋体" w:cs="Times New Roman"/>
                <w:sz w:val="21"/>
              </w:rPr>
              <w:t>排放规律</w:t>
            </w:r>
          </w:p>
        </w:tc>
        <w:tc>
          <w:tcPr>
            <w:tcW w:w="1133" w:type="dxa"/>
            <w:vMerge w:val="restart"/>
            <w:vAlign w:val="center"/>
          </w:tcPr>
          <w:p>
            <w:pPr>
              <w:jc w:val="center"/>
              <w:rPr>
                <w:rFonts w:eastAsia="宋体" w:cs="Times New Roman"/>
                <w:sz w:val="21"/>
              </w:rPr>
            </w:pPr>
            <w:r>
              <w:rPr>
                <w:rFonts w:hint="eastAsia" w:eastAsia="宋体" w:cs="Times New Roman"/>
                <w:sz w:val="21"/>
              </w:rPr>
              <w:t>间歇排放时段</w:t>
            </w:r>
          </w:p>
        </w:tc>
        <w:tc>
          <w:tcPr>
            <w:tcW w:w="2268" w:type="dxa"/>
            <w:gridSpan w:val="2"/>
            <w:vAlign w:val="center"/>
          </w:tcPr>
          <w:p>
            <w:pPr>
              <w:jc w:val="center"/>
              <w:rPr>
                <w:rFonts w:eastAsia="宋体" w:cs="Times New Roman"/>
                <w:sz w:val="21"/>
              </w:rPr>
            </w:pPr>
            <w:r>
              <w:rPr>
                <w:rFonts w:hint="eastAsia" w:eastAsia="宋体" w:cs="Times New Roman"/>
                <w:sz w:val="21"/>
              </w:rPr>
              <w:t>受纳自然水体信息</w:t>
            </w:r>
          </w:p>
        </w:tc>
        <w:tc>
          <w:tcPr>
            <w:tcW w:w="2269" w:type="dxa"/>
            <w:gridSpan w:val="2"/>
            <w:vAlign w:val="center"/>
          </w:tcPr>
          <w:p>
            <w:pPr>
              <w:jc w:val="center"/>
              <w:rPr>
                <w:rFonts w:eastAsia="宋体" w:cs="Times New Roman"/>
                <w:sz w:val="21"/>
                <w:vertAlign w:val="superscript"/>
              </w:rPr>
            </w:pPr>
            <w:r>
              <w:rPr>
                <w:rFonts w:hint="eastAsia" w:eastAsia="宋体" w:cs="Times New Roman"/>
                <w:sz w:val="21"/>
              </w:rPr>
              <w:t>汇入受纳自然水体处地理坐标</w:t>
            </w:r>
            <w:r>
              <w:rPr>
                <w:rFonts w:hint="eastAsia" w:eastAsia="宋体" w:cs="Times New Roman"/>
                <w:sz w:val="21"/>
                <w:vertAlign w:val="superscript"/>
              </w:rPr>
              <w:t>d</w:t>
            </w:r>
          </w:p>
        </w:tc>
        <w:tc>
          <w:tcPr>
            <w:tcW w:w="1135" w:type="dxa"/>
            <w:vMerge w:val="restart"/>
            <w:vAlign w:val="center"/>
          </w:tcPr>
          <w:p>
            <w:pPr>
              <w:jc w:val="center"/>
              <w:rPr>
                <w:rFonts w:eastAsia="宋体" w:cs="Times New Roman"/>
                <w:sz w:val="21"/>
                <w:vertAlign w:val="superscript"/>
              </w:rPr>
            </w:pPr>
            <w:r>
              <w:rPr>
                <w:rFonts w:hint="eastAsia" w:eastAsia="宋体" w:cs="Times New Roman"/>
                <w:sz w:val="21"/>
              </w:rPr>
              <w:t>备注</w:t>
            </w:r>
            <w:r>
              <w:rPr>
                <w:rFonts w:hint="eastAsia" w:eastAsia="宋体" w:cs="Times New Roman"/>
                <w:sz w:val="21"/>
                <w:vertAlign w:val="superscript"/>
              </w:rPr>
              <w: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vAlign w:val="center"/>
          </w:tcPr>
          <w:p>
            <w:pPr>
              <w:jc w:val="center"/>
              <w:rPr>
                <w:rFonts w:eastAsia="宋体" w:cs="Times New Roman"/>
                <w:sz w:val="21"/>
              </w:rPr>
            </w:pPr>
          </w:p>
        </w:tc>
        <w:tc>
          <w:tcPr>
            <w:tcW w:w="1133" w:type="dxa"/>
            <w:vMerge w:val="continue"/>
            <w:vAlign w:val="center"/>
          </w:tcPr>
          <w:p>
            <w:pPr>
              <w:jc w:val="center"/>
              <w:rPr>
                <w:rFonts w:eastAsia="宋体" w:cs="Times New Roman"/>
                <w:sz w:val="21"/>
              </w:rPr>
            </w:pPr>
          </w:p>
        </w:tc>
        <w:tc>
          <w:tcPr>
            <w:tcW w:w="1134" w:type="dxa"/>
            <w:vAlign w:val="center"/>
          </w:tcPr>
          <w:p>
            <w:pPr>
              <w:jc w:val="center"/>
              <w:rPr>
                <w:rFonts w:eastAsia="宋体" w:cs="Times New Roman"/>
                <w:sz w:val="21"/>
              </w:rPr>
            </w:pPr>
            <w:r>
              <w:rPr>
                <w:rFonts w:hint="eastAsia" w:eastAsia="宋体" w:cs="Times New Roman"/>
                <w:sz w:val="21"/>
              </w:rPr>
              <w:t>经度</w:t>
            </w:r>
          </w:p>
        </w:tc>
        <w:tc>
          <w:tcPr>
            <w:tcW w:w="1133" w:type="dxa"/>
            <w:vAlign w:val="center"/>
          </w:tcPr>
          <w:p>
            <w:pPr>
              <w:jc w:val="center"/>
              <w:rPr>
                <w:rFonts w:eastAsia="宋体" w:cs="Times New Roman"/>
                <w:sz w:val="21"/>
              </w:rPr>
            </w:pPr>
            <w:r>
              <w:rPr>
                <w:rFonts w:hint="eastAsia" w:eastAsia="宋体" w:cs="Times New Roman"/>
                <w:sz w:val="21"/>
              </w:rPr>
              <w:t>纬度</w:t>
            </w:r>
          </w:p>
        </w:tc>
        <w:tc>
          <w:tcPr>
            <w:tcW w:w="1134" w:type="dxa"/>
            <w:vMerge w:val="continue"/>
            <w:vAlign w:val="center"/>
          </w:tcPr>
          <w:p>
            <w:pPr>
              <w:jc w:val="center"/>
              <w:rPr>
                <w:rFonts w:eastAsia="宋体" w:cs="Times New Roman"/>
                <w:sz w:val="21"/>
              </w:rPr>
            </w:pPr>
          </w:p>
        </w:tc>
        <w:tc>
          <w:tcPr>
            <w:tcW w:w="1133" w:type="dxa"/>
            <w:vMerge w:val="continue"/>
            <w:vAlign w:val="center"/>
          </w:tcPr>
          <w:p>
            <w:pPr>
              <w:jc w:val="center"/>
              <w:rPr>
                <w:rFonts w:eastAsia="宋体" w:cs="Times New Roman"/>
                <w:sz w:val="21"/>
              </w:rPr>
            </w:pPr>
          </w:p>
        </w:tc>
        <w:tc>
          <w:tcPr>
            <w:tcW w:w="1134" w:type="dxa"/>
            <w:vMerge w:val="continue"/>
            <w:vAlign w:val="center"/>
          </w:tcPr>
          <w:p>
            <w:pPr>
              <w:jc w:val="center"/>
              <w:rPr>
                <w:rFonts w:eastAsia="宋体" w:cs="Times New Roman"/>
                <w:sz w:val="21"/>
              </w:rPr>
            </w:pPr>
          </w:p>
        </w:tc>
        <w:tc>
          <w:tcPr>
            <w:tcW w:w="1133" w:type="dxa"/>
            <w:vMerge w:val="continue"/>
            <w:vAlign w:val="center"/>
          </w:tcPr>
          <w:p>
            <w:pPr>
              <w:jc w:val="center"/>
              <w:rPr>
                <w:rFonts w:eastAsia="宋体" w:cs="Times New Roman"/>
                <w:sz w:val="21"/>
              </w:rPr>
            </w:pPr>
          </w:p>
        </w:tc>
        <w:tc>
          <w:tcPr>
            <w:tcW w:w="1134" w:type="dxa"/>
            <w:vAlign w:val="center"/>
          </w:tcPr>
          <w:p>
            <w:pPr>
              <w:jc w:val="center"/>
              <w:rPr>
                <w:rFonts w:eastAsia="宋体" w:cs="Times New Roman"/>
                <w:sz w:val="21"/>
              </w:rPr>
            </w:pPr>
            <w:r>
              <w:rPr>
                <w:rFonts w:hint="eastAsia" w:eastAsia="宋体" w:cs="Times New Roman"/>
                <w:sz w:val="21"/>
              </w:rPr>
              <w:t>名称</w:t>
            </w:r>
            <w:r>
              <w:rPr>
                <w:rFonts w:hint="eastAsia" w:eastAsia="宋体" w:cs="Times New Roman"/>
                <w:sz w:val="21"/>
                <w:vertAlign w:val="superscript"/>
              </w:rPr>
              <w:t>b</w:t>
            </w:r>
          </w:p>
        </w:tc>
        <w:tc>
          <w:tcPr>
            <w:tcW w:w="1134" w:type="dxa"/>
            <w:vAlign w:val="center"/>
          </w:tcPr>
          <w:p>
            <w:pPr>
              <w:jc w:val="center"/>
              <w:rPr>
                <w:rFonts w:eastAsia="宋体" w:cs="Times New Roman"/>
                <w:sz w:val="21"/>
                <w:vertAlign w:val="superscript"/>
              </w:rPr>
            </w:pPr>
            <w:r>
              <w:rPr>
                <w:rFonts w:hint="eastAsia" w:eastAsia="宋体" w:cs="Times New Roman"/>
                <w:sz w:val="21"/>
              </w:rPr>
              <w:t>受纳水体功能目标</w:t>
            </w:r>
            <w:r>
              <w:rPr>
                <w:rFonts w:hint="eastAsia" w:eastAsia="宋体" w:cs="Times New Roman"/>
                <w:sz w:val="21"/>
                <w:vertAlign w:val="superscript"/>
              </w:rPr>
              <w:t>c</w:t>
            </w:r>
          </w:p>
        </w:tc>
        <w:tc>
          <w:tcPr>
            <w:tcW w:w="1135" w:type="dxa"/>
            <w:vAlign w:val="center"/>
          </w:tcPr>
          <w:p>
            <w:pPr>
              <w:jc w:val="center"/>
              <w:rPr>
                <w:rFonts w:eastAsia="宋体" w:cs="Times New Roman"/>
                <w:sz w:val="21"/>
              </w:rPr>
            </w:pPr>
            <w:r>
              <w:rPr>
                <w:rFonts w:hint="eastAsia" w:eastAsia="宋体" w:cs="Times New Roman"/>
                <w:sz w:val="21"/>
              </w:rPr>
              <w:t>经度</w:t>
            </w:r>
          </w:p>
        </w:tc>
        <w:tc>
          <w:tcPr>
            <w:tcW w:w="1134" w:type="dxa"/>
            <w:vAlign w:val="center"/>
          </w:tcPr>
          <w:p>
            <w:pPr>
              <w:jc w:val="center"/>
              <w:rPr>
                <w:rFonts w:eastAsia="宋体" w:cs="Times New Roman"/>
                <w:sz w:val="21"/>
              </w:rPr>
            </w:pPr>
            <w:r>
              <w:rPr>
                <w:rFonts w:hint="eastAsia" w:eastAsia="宋体" w:cs="Times New Roman"/>
                <w:sz w:val="21"/>
              </w:rPr>
              <w:t>纬度</w:t>
            </w:r>
          </w:p>
        </w:tc>
        <w:tc>
          <w:tcPr>
            <w:tcW w:w="1135"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jc w:val="center"/>
              <w:rPr>
                <w:rFonts w:eastAsia="宋体" w:cs="Times New Roman"/>
                <w:sz w:val="21"/>
              </w:rPr>
            </w:pPr>
            <w:r>
              <w:rPr>
                <w:rFonts w:hint="eastAsia" w:eastAsia="宋体" w:cs="Times New Roman"/>
                <w:sz w:val="21"/>
              </w:rPr>
              <w:t>1</w:t>
            </w:r>
          </w:p>
        </w:tc>
        <w:tc>
          <w:tcPr>
            <w:tcW w:w="1133" w:type="dxa"/>
            <w:vAlign w:val="center"/>
          </w:tcPr>
          <w:p>
            <w:pPr>
              <w:jc w:val="center"/>
              <w:rPr>
                <w:rFonts w:eastAsia="宋体" w:cs="Times New Roman"/>
                <w:sz w:val="21"/>
              </w:rPr>
            </w:pPr>
            <w:r>
              <w:rPr>
                <w:rFonts w:hint="eastAsia" w:eastAsia="宋体" w:cs="Times New Roman"/>
                <w:sz w:val="21"/>
              </w:rPr>
              <w:t>Q1</w:t>
            </w:r>
          </w:p>
        </w:tc>
        <w:tc>
          <w:tcPr>
            <w:tcW w:w="1134" w:type="dxa"/>
            <w:vAlign w:val="center"/>
          </w:tcPr>
          <w:p>
            <w:pPr>
              <w:jc w:val="center"/>
              <w:rPr>
                <w:rFonts w:eastAsia="宋体" w:cs="Times New Roman"/>
                <w:sz w:val="21"/>
              </w:rPr>
            </w:pPr>
            <w:r>
              <w:rPr>
                <w:rFonts w:eastAsia="宋体" w:cs="Times New Roman"/>
                <w:sz w:val="21"/>
              </w:rPr>
              <w:t>112°35'53.4"</w:t>
            </w:r>
          </w:p>
        </w:tc>
        <w:tc>
          <w:tcPr>
            <w:tcW w:w="1133" w:type="dxa"/>
            <w:vAlign w:val="center"/>
          </w:tcPr>
          <w:p>
            <w:pPr>
              <w:jc w:val="center"/>
              <w:rPr>
                <w:rFonts w:eastAsia="宋体" w:cs="Times New Roman"/>
                <w:sz w:val="21"/>
              </w:rPr>
            </w:pPr>
            <w:r>
              <w:rPr>
                <w:rFonts w:eastAsia="宋体" w:cs="Times New Roman"/>
                <w:sz w:val="21"/>
              </w:rPr>
              <w:t>29°31'39.7"</w:t>
            </w:r>
          </w:p>
        </w:tc>
        <w:tc>
          <w:tcPr>
            <w:tcW w:w="1134"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730</w:t>
            </w:r>
          </w:p>
        </w:tc>
        <w:tc>
          <w:tcPr>
            <w:tcW w:w="1133" w:type="dxa"/>
            <w:vAlign w:val="center"/>
          </w:tcPr>
          <w:p>
            <w:pPr>
              <w:jc w:val="center"/>
              <w:rPr>
                <w:rFonts w:eastAsia="宋体" w:cs="Times New Roman"/>
                <w:color w:val="000000" w:themeColor="text1"/>
                <w:sz w:val="21"/>
              </w:rPr>
            </w:pPr>
            <w:r>
              <w:rPr>
                <w:rFonts w:eastAsia="宋体" w:cs="Times New Roman"/>
                <w:color w:val="000000" w:themeColor="text1"/>
                <w:sz w:val="21"/>
              </w:rPr>
              <w:t>华容河</w:t>
            </w:r>
          </w:p>
        </w:tc>
        <w:tc>
          <w:tcPr>
            <w:tcW w:w="1134" w:type="dxa"/>
            <w:vAlign w:val="center"/>
          </w:tcPr>
          <w:p>
            <w:pPr>
              <w:jc w:val="center"/>
              <w:rPr>
                <w:rFonts w:eastAsia="宋体" w:cs="Times New Roman"/>
                <w:color w:val="000000" w:themeColor="text1"/>
                <w:sz w:val="21"/>
              </w:rPr>
            </w:pPr>
            <w:r>
              <w:rPr>
                <w:rFonts w:eastAsia="宋体" w:cs="Times New Roman"/>
                <w:color w:val="000000" w:themeColor="text1"/>
                <w:sz w:val="21"/>
              </w:rPr>
              <w:t>连续稳定排放</w:t>
            </w:r>
          </w:p>
        </w:tc>
        <w:tc>
          <w:tcPr>
            <w:tcW w:w="1133"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w:t>
            </w:r>
          </w:p>
        </w:tc>
        <w:tc>
          <w:tcPr>
            <w:tcW w:w="1134" w:type="dxa"/>
            <w:vAlign w:val="center"/>
          </w:tcPr>
          <w:p>
            <w:pPr>
              <w:jc w:val="center"/>
              <w:rPr>
                <w:rFonts w:eastAsia="宋体" w:cs="Times New Roman"/>
                <w:color w:val="000000" w:themeColor="text1"/>
                <w:sz w:val="21"/>
              </w:rPr>
            </w:pPr>
            <w:r>
              <w:rPr>
                <w:rFonts w:eastAsia="宋体" w:cs="Times New Roman"/>
                <w:color w:val="000000" w:themeColor="text1"/>
                <w:sz w:val="21"/>
              </w:rPr>
              <w:t>华容河</w:t>
            </w:r>
          </w:p>
        </w:tc>
        <w:tc>
          <w:tcPr>
            <w:tcW w:w="1134" w:type="dxa"/>
            <w:vAlign w:val="center"/>
          </w:tcPr>
          <w:p>
            <w:pPr>
              <w:jc w:val="center"/>
              <w:rPr>
                <w:rFonts w:eastAsia="宋体" w:cs="Times New Roman"/>
                <w:color w:val="000000" w:themeColor="text1"/>
                <w:sz w:val="21"/>
              </w:rPr>
            </w:pPr>
            <w:r>
              <w:rPr>
                <w:rFonts w:eastAsia="宋体" w:cs="Times New Roman"/>
                <w:color w:val="000000" w:themeColor="text1"/>
                <w:sz w:val="21"/>
              </w:rPr>
              <w:t>Ⅲ类</w:t>
            </w:r>
          </w:p>
        </w:tc>
        <w:tc>
          <w:tcPr>
            <w:tcW w:w="1135" w:type="dxa"/>
            <w:vAlign w:val="center"/>
          </w:tcPr>
          <w:p>
            <w:pPr>
              <w:jc w:val="center"/>
              <w:rPr>
                <w:rFonts w:eastAsia="宋体" w:cs="Times New Roman"/>
                <w:color w:val="000000" w:themeColor="text1"/>
                <w:sz w:val="21"/>
              </w:rPr>
            </w:pPr>
            <w:r>
              <w:rPr>
                <w:rFonts w:eastAsia="宋体" w:cs="Times New Roman"/>
                <w:color w:val="000000" w:themeColor="text1"/>
                <w:sz w:val="21"/>
              </w:rPr>
              <w:t>112°35'55.5"</w:t>
            </w:r>
          </w:p>
        </w:tc>
        <w:tc>
          <w:tcPr>
            <w:tcW w:w="1134" w:type="dxa"/>
            <w:vAlign w:val="center"/>
          </w:tcPr>
          <w:p>
            <w:pPr>
              <w:jc w:val="center"/>
              <w:rPr>
                <w:rFonts w:eastAsia="宋体" w:cs="Times New Roman"/>
                <w:color w:val="000000" w:themeColor="text1"/>
                <w:sz w:val="21"/>
              </w:rPr>
            </w:pPr>
            <w:r>
              <w:rPr>
                <w:rFonts w:eastAsia="宋体" w:cs="Times New Roman"/>
                <w:color w:val="000000" w:themeColor="text1"/>
                <w:sz w:val="21"/>
              </w:rPr>
              <w:t>29°31'36.7"</w:t>
            </w:r>
          </w:p>
        </w:tc>
        <w:tc>
          <w:tcPr>
            <w:tcW w:w="1135"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0" w:type="dxa"/>
            <w:gridSpan w:val="13"/>
            <w:vAlign w:val="center"/>
          </w:tcPr>
          <w:p>
            <w:pPr>
              <w:ind w:firstLine="420" w:firstLineChars="200"/>
              <w:rPr>
                <w:rFonts w:hint="default" w:ascii="Times New Roman" w:hAnsi="Times New Roman" w:eastAsia="宋体" w:cs="Times New Roman"/>
                <w:sz w:val="21"/>
              </w:rPr>
            </w:pPr>
            <w:r>
              <w:rPr>
                <w:rFonts w:hint="default" w:ascii="Times New Roman" w:hAnsi="Times New Roman" w:eastAsia="宋体" w:cs="Times New Roman"/>
                <w:sz w:val="21"/>
              </w:rPr>
              <w:t>a对于直接排放至地表水体的排放口，指废水排出厂界处经纬度坐标；纳入管控的车间或车间处理设施排放口，指废水排出车间或车间处理设施边界处经纬度坐标。</w:t>
            </w:r>
          </w:p>
          <w:p>
            <w:pPr>
              <w:ind w:firstLine="420" w:firstLineChars="200"/>
              <w:rPr>
                <w:rFonts w:hint="default" w:ascii="Times New Roman" w:hAnsi="Times New Roman" w:eastAsia="宋体" w:cs="Times New Roman"/>
                <w:sz w:val="21"/>
              </w:rPr>
            </w:pPr>
            <w:r>
              <w:rPr>
                <w:rFonts w:hint="default" w:ascii="Times New Roman" w:hAnsi="Times New Roman" w:eastAsia="宋体" w:cs="Times New Roman"/>
                <w:sz w:val="21"/>
              </w:rPr>
              <w:t>b指受纳水体的名称如南沙河、太子河、温榆河等。</w:t>
            </w:r>
          </w:p>
          <w:p>
            <w:pPr>
              <w:ind w:firstLine="420" w:firstLineChars="200"/>
              <w:rPr>
                <w:rFonts w:hint="default" w:ascii="Times New Roman" w:hAnsi="Times New Roman" w:eastAsia="宋体" w:cs="Times New Roman"/>
                <w:sz w:val="21"/>
              </w:rPr>
            </w:pPr>
            <w:r>
              <w:rPr>
                <w:rFonts w:hint="default" w:ascii="Times New Roman" w:hAnsi="Times New Roman" w:eastAsia="宋体" w:cs="Times New Roman"/>
                <w:sz w:val="21"/>
              </w:rPr>
              <w:t>c指对于直接排放至地表水体的排放口，其所处受纳水体功能类别，如Ⅲ类、Ⅳ类、Ⅴ类等。</w:t>
            </w:r>
          </w:p>
          <w:p>
            <w:pPr>
              <w:ind w:firstLine="420" w:firstLineChars="200"/>
              <w:rPr>
                <w:rFonts w:hint="default" w:ascii="Times New Roman" w:hAnsi="Times New Roman" w:eastAsia="宋体" w:cs="Times New Roman"/>
                <w:sz w:val="21"/>
              </w:rPr>
            </w:pPr>
            <w:r>
              <w:rPr>
                <w:rFonts w:hint="default" w:ascii="Times New Roman" w:hAnsi="Times New Roman" w:eastAsia="宋体" w:cs="Times New Roman"/>
                <w:sz w:val="21"/>
              </w:rPr>
              <w:t>d对于直接排放至地表水体的排放口，指废水汇入地表水体处经纬度坐标。</w:t>
            </w:r>
          </w:p>
          <w:p>
            <w:pPr>
              <w:ind w:firstLine="420" w:firstLineChars="200"/>
              <w:rPr>
                <w:rFonts w:eastAsia="宋体" w:cs="Times New Roman"/>
                <w:sz w:val="21"/>
              </w:rPr>
            </w:pPr>
            <w:r>
              <w:rPr>
                <w:rFonts w:hint="default" w:ascii="Times New Roman" w:hAnsi="Times New Roman" w:eastAsia="宋体" w:cs="Times New Roman"/>
                <w:sz w:val="21"/>
              </w:rPr>
              <w:t>e废水向海洋排放的，应当填写岸边排放或深海排放。深海排放的，还应说明排放口的深度、与岸线直线距离。在备注中填写。</w:t>
            </w:r>
          </w:p>
        </w:tc>
      </w:tr>
    </w:tbl>
    <w:p>
      <w:pPr>
        <w:pStyle w:val="14"/>
        <w:spacing w:line="240" w:lineRule="auto"/>
        <w:rPr>
          <w:rFonts w:cs="Times New Roman"/>
          <w:color w:val="000000" w:themeColor="text1"/>
          <w:szCs w:val="24"/>
        </w:rPr>
      </w:pPr>
      <w:r>
        <w:rPr>
          <w:rFonts w:cs="Times New Roman"/>
          <w:color w:val="000000" w:themeColor="text1"/>
          <w:szCs w:val="24"/>
        </w:rPr>
        <w:t>表</w:t>
      </w:r>
      <w:r>
        <w:rPr>
          <w:rFonts w:cs="Times New Roman"/>
          <w:color w:val="000000" w:themeColor="text1"/>
          <w:szCs w:val="24"/>
        </w:rPr>
        <w:fldChar w:fldCharType="begin"/>
      </w:r>
      <w:r>
        <w:rPr>
          <w:rFonts w:cs="Times New Roman"/>
          <w:color w:val="000000" w:themeColor="text1"/>
          <w:szCs w:val="24"/>
        </w:rPr>
        <w:instrText xml:space="preserve"> STYLEREF 2 \s </w:instrText>
      </w:r>
      <w:r>
        <w:rPr>
          <w:rFonts w:cs="Times New Roman"/>
          <w:color w:val="000000" w:themeColor="text1"/>
          <w:szCs w:val="24"/>
        </w:rPr>
        <w:fldChar w:fldCharType="separate"/>
      </w:r>
      <w:r>
        <w:rPr>
          <w:rFonts w:cs="Times New Roman"/>
          <w:color w:val="000000" w:themeColor="text1"/>
          <w:szCs w:val="24"/>
        </w:rPr>
        <w:t>4.1</w:t>
      </w:r>
      <w:r>
        <w:rPr>
          <w:rFonts w:cs="Times New Roman"/>
          <w:color w:val="000000" w:themeColor="text1"/>
          <w:szCs w:val="24"/>
        </w:rPr>
        <w:fldChar w:fldCharType="end"/>
      </w:r>
      <w:r>
        <w:rPr>
          <w:rFonts w:cs="Times New Roman"/>
          <w:color w:val="000000" w:themeColor="text1"/>
          <w:szCs w:val="24"/>
        </w:rPr>
        <w:noBreakHyphen/>
      </w:r>
      <w:r>
        <w:rPr>
          <w:rFonts w:cs="Times New Roman"/>
          <w:color w:val="000000" w:themeColor="text1"/>
          <w:szCs w:val="24"/>
        </w:rPr>
        <w:fldChar w:fldCharType="begin"/>
      </w:r>
      <w:r>
        <w:rPr>
          <w:rFonts w:cs="Times New Roman"/>
          <w:color w:val="000000" w:themeColor="text1"/>
          <w:szCs w:val="24"/>
        </w:rPr>
        <w:instrText xml:space="preserve"> SEQ 表 \* ARABIC \s 2 </w:instrText>
      </w:r>
      <w:r>
        <w:rPr>
          <w:rFonts w:cs="Times New Roman"/>
          <w:color w:val="000000" w:themeColor="text1"/>
          <w:szCs w:val="24"/>
        </w:rPr>
        <w:fldChar w:fldCharType="separate"/>
      </w:r>
      <w:r>
        <w:rPr>
          <w:rFonts w:cs="Times New Roman"/>
          <w:color w:val="000000" w:themeColor="text1"/>
          <w:szCs w:val="24"/>
        </w:rPr>
        <w:t>19</w:t>
      </w:r>
      <w:r>
        <w:rPr>
          <w:rFonts w:cs="Times New Roman"/>
          <w:color w:val="000000" w:themeColor="text1"/>
          <w:szCs w:val="24"/>
        </w:rPr>
        <w:fldChar w:fldCharType="end"/>
      </w:r>
      <w:r>
        <w:rPr>
          <w:rFonts w:hint="eastAsia" w:cs="Times New Roman"/>
          <w:color w:val="000000" w:themeColor="text1"/>
          <w:szCs w:val="24"/>
          <w:lang w:val="en-US" w:eastAsia="zh-CN"/>
        </w:rPr>
        <w:t xml:space="preserve"> </w:t>
      </w:r>
      <w:r>
        <w:rPr>
          <w:rFonts w:hint="eastAsia" w:cs="Times New Roman"/>
          <w:bCs/>
          <w:szCs w:val="24"/>
        </w:rPr>
        <w:t>废水污染物排放执行标准表</w:t>
      </w:r>
    </w:p>
    <w:tbl>
      <w:tblPr>
        <w:tblStyle w:val="39"/>
        <w:tblW w:w="14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7"/>
        <w:gridCol w:w="2948"/>
        <w:gridCol w:w="2949"/>
        <w:gridCol w:w="2948"/>
        <w:gridCol w:w="2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947" w:type="dxa"/>
            <w:vAlign w:val="center"/>
          </w:tcPr>
          <w:p>
            <w:pPr>
              <w:jc w:val="center"/>
              <w:rPr>
                <w:rFonts w:eastAsia="宋体" w:cs="Times New Roman"/>
                <w:sz w:val="21"/>
              </w:rPr>
            </w:pPr>
            <w:r>
              <w:rPr>
                <w:rFonts w:hint="eastAsia" w:eastAsia="宋体" w:cs="Times New Roman"/>
                <w:sz w:val="21"/>
              </w:rPr>
              <w:t>序号</w:t>
            </w:r>
          </w:p>
        </w:tc>
        <w:tc>
          <w:tcPr>
            <w:tcW w:w="2948" w:type="dxa"/>
            <w:vAlign w:val="center"/>
          </w:tcPr>
          <w:p>
            <w:pPr>
              <w:jc w:val="center"/>
              <w:rPr>
                <w:rFonts w:eastAsia="宋体" w:cs="Times New Roman"/>
                <w:sz w:val="21"/>
              </w:rPr>
            </w:pPr>
            <w:r>
              <w:rPr>
                <w:rFonts w:hint="eastAsia" w:eastAsia="宋体" w:cs="Times New Roman"/>
                <w:sz w:val="21"/>
              </w:rPr>
              <w:t>排放口编号</w:t>
            </w:r>
          </w:p>
        </w:tc>
        <w:tc>
          <w:tcPr>
            <w:tcW w:w="2949" w:type="dxa"/>
            <w:vAlign w:val="center"/>
          </w:tcPr>
          <w:p>
            <w:pPr>
              <w:jc w:val="center"/>
              <w:rPr>
                <w:rFonts w:eastAsia="宋体" w:cs="Times New Roman"/>
                <w:sz w:val="21"/>
              </w:rPr>
            </w:pPr>
            <w:r>
              <w:rPr>
                <w:rFonts w:hint="eastAsia" w:eastAsia="宋体" w:cs="Times New Roman"/>
                <w:sz w:val="21"/>
              </w:rPr>
              <w:t>污染物种类</w:t>
            </w:r>
          </w:p>
        </w:tc>
        <w:tc>
          <w:tcPr>
            <w:tcW w:w="5896" w:type="dxa"/>
            <w:gridSpan w:val="2"/>
            <w:vAlign w:val="center"/>
          </w:tcPr>
          <w:p>
            <w:pPr>
              <w:jc w:val="center"/>
              <w:rPr>
                <w:rFonts w:eastAsia="宋体" w:cs="Times New Roman"/>
                <w:sz w:val="21"/>
                <w:vertAlign w:val="superscript"/>
              </w:rPr>
            </w:pPr>
            <w:r>
              <w:rPr>
                <w:rFonts w:hint="eastAsia" w:eastAsia="宋体" w:cs="Times New Roman"/>
                <w:sz w:val="21"/>
              </w:rPr>
              <w:t>国家或地方污染物排放标准及其他按规定商定的排放协议</w:t>
            </w:r>
            <w:r>
              <w:rPr>
                <w:rFonts w:hint="eastAsia" w:eastAsia="宋体" w:cs="Times New Roman"/>
                <w:sz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restart"/>
            <w:vAlign w:val="center"/>
          </w:tcPr>
          <w:p>
            <w:pPr>
              <w:jc w:val="center"/>
              <w:rPr>
                <w:rFonts w:eastAsia="宋体" w:cs="Times New Roman"/>
                <w:sz w:val="21"/>
              </w:rPr>
            </w:pPr>
            <w:r>
              <w:rPr>
                <w:rFonts w:hint="eastAsia" w:eastAsia="宋体" w:cs="Times New Roman"/>
                <w:sz w:val="21"/>
              </w:rPr>
              <w:t>1</w:t>
            </w:r>
          </w:p>
        </w:tc>
        <w:tc>
          <w:tcPr>
            <w:tcW w:w="2948" w:type="dxa"/>
            <w:vMerge w:val="restart"/>
            <w:vAlign w:val="center"/>
          </w:tcPr>
          <w:p>
            <w:pPr>
              <w:jc w:val="center"/>
              <w:rPr>
                <w:rFonts w:eastAsia="宋体" w:cs="Times New Roman"/>
                <w:sz w:val="21"/>
              </w:rPr>
            </w:pPr>
            <w:r>
              <w:rPr>
                <w:rFonts w:hint="eastAsia" w:eastAsia="宋体" w:cs="Times New Roman"/>
                <w:sz w:val="21"/>
              </w:rPr>
              <w:t>W1</w:t>
            </w:r>
          </w:p>
        </w:tc>
        <w:tc>
          <w:tcPr>
            <w:tcW w:w="2949" w:type="dxa"/>
            <w:vAlign w:val="center"/>
          </w:tcPr>
          <w:p>
            <w:pPr>
              <w:jc w:val="center"/>
              <w:rPr>
                <w:rFonts w:eastAsia="宋体" w:cs="Times New Roman"/>
                <w:sz w:val="21"/>
              </w:rPr>
            </w:pPr>
            <w:r>
              <w:rPr>
                <w:rFonts w:eastAsia="宋体" w:cs="Times New Roman"/>
                <w:sz w:val="21"/>
              </w:rPr>
              <w:t>pH</w:t>
            </w:r>
          </w:p>
        </w:tc>
        <w:tc>
          <w:tcPr>
            <w:tcW w:w="2948" w:type="dxa"/>
            <w:vAlign w:val="center"/>
          </w:tcPr>
          <w:p>
            <w:pPr>
              <w:pStyle w:val="122"/>
              <w:rPr>
                <w:rFonts w:cs="Times New Roman"/>
                <w:szCs w:val="21"/>
              </w:rPr>
            </w:pPr>
            <w:r>
              <w:rPr>
                <w:rFonts w:cs="Times New Roman"/>
                <w:szCs w:val="21"/>
              </w:rPr>
              <w:t>6-9</w:t>
            </w:r>
          </w:p>
        </w:tc>
        <w:tc>
          <w:tcPr>
            <w:tcW w:w="2948" w:type="dxa"/>
            <w:vMerge w:val="restart"/>
            <w:vAlign w:val="center"/>
          </w:tcPr>
          <w:p>
            <w:pPr>
              <w:jc w:val="center"/>
              <w:rPr>
                <w:rFonts w:eastAsia="宋体" w:cs="Times New Roman"/>
                <w:sz w:val="21"/>
              </w:rPr>
            </w:pPr>
            <w:r>
              <w:rPr>
                <w:rFonts w:eastAsia="宋体" w:cs="Times New Roman"/>
                <w:bCs/>
                <w:sz w:val="21"/>
              </w:rPr>
              <w:t>执行《城镇污水处理厂污染物排放标准》（GB18918-2002）一级A标准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continue"/>
            <w:vAlign w:val="center"/>
          </w:tcPr>
          <w:p>
            <w:pPr>
              <w:jc w:val="center"/>
              <w:rPr>
                <w:rFonts w:eastAsia="宋体" w:cs="Times New Roman"/>
                <w:sz w:val="21"/>
              </w:rPr>
            </w:pPr>
          </w:p>
        </w:tc>
        <w:tc>
          <w:tcPr>
            <w:tcW w:w="2948" w:type="dxa"/>
            <w:vMerge w:val="continue"/>
            <w:vAlign w:val="center"/>
          </w:tcPr>
          <w:p>
            <w:pPr>
              <w:jc w:val="center"/>
              <w:rPr>
                <w:rFonts w:eastAsia="宋体" w:cs="Times New Roman"/>
                <w:sz w:val="21"/>
              </w:rPr>
            </w:pPr>
          </w:p>
        </w:tc>
        <w:tc>
          <w:tcPr>
            <w:tcW w:w="2949" w:type="dxa"/>
            <w:vAlign w:val="center"/>
          </w:tcPr>
          <w:p>
            <w:pPr>
              <w:jc w:val="center"/>
              <w:rPr>
                <w:rFonts w:eastAsia="宋体" w:cs="Times New Roman"/>
                <w:sz w:val="21"/>
              </w:rPr>
            </w:pPr>
            <w:r>
              <w:rPr>
                <w:rFonts w:eastAsia="宋体" w:cs="Times New Roman"/>
                <w:sz w:val="21"/>
              </w:rPr>
              <w:t>COD</w:t>
            </w:r>
            <w:r>
              <w:rPr>
                <w:rFonts w:eastAsia="宋体" w:cs="Times New Roman"/>
                <w:sz w:val="21"/>
                <w:vertAlign w:val="subscript"/>
              </w:rPr>
              <w:t>Cr</w:t>
            </w:r>
          </w:p>
        </w:tc>
        <w:tc>
          <w:tcPr>
            <w:tcW w:w="2948" w:type="dxa"/>
            <w:vAlign w:val="center"/>
          </w:tcPr>
          <w:p>
            <w:pPr>
              <w:pStyle w:val="122"/>
              <w:rPr>
                <w:rFonts w:cs="Times New Roman"/>
                <w:szCs w:val="21"/>
              </w:rPr>
            </w:pPr>
            <w:r>
              <w:rPr>
                <w:rFonts w:cs="Times New Roman"/>
                <w:szCs w:val="21"/>
              </w:rPr>
              <w:t>≤</w:t>
            </w:r>
            <w:r>
              <w:rPr>
                <w:rFonts w:hint="eastAsia" w:cs="Times New Roman"/>
                <w:szCs w:val="21"/>
              </w:rPr>
              <w:t>50</w:t>
            </w:r>
          </w:p>
        </w:tc>
        <w:tc>
          <w:tcPr>
            <w:tcW w:w="294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continue"/>
            <w:vAlign w:val="center"/>
          </w:tcPr>
          <w:p>
            <w:pPr>
              <w:jc w:val="center"/>
              <w:rPr>
                <w:rFonts w:eastAsia="宋体" w:cs="Times New Roman"/>
                <w:sz w:val="21"/>
              </w:rPr>
            </w:pPr>
          </w:p>
        </w:tc>
        <w:tc>
          <w:tcPr>
            <w:tcW w:w="2948" w:type="dxa"/>
            <w:vMerge w:val="continue"/>
            <w:vAlign w:val="center"/>
          </w:tcPr>
          <w:p>
            <w:pPr>
              <w:jc w:val="center"/>
              <w:rPr>
                <w:rFonts w:eastAsia="宋体" w:cs="Times New Roman"/>
                <w:sz w:val="21"/>
              </w:rPr>
            </w:pPr>
          </w:p>
        </w:tc>
        <w:tc>
          <w:tcPr>
            <w:tcW w:w="2949" w:type="dxa"/>
            <w:vAlign w:val="center"/>
          </w:tcPr>
          <w:p>
            <w:pPr>
              <w:jc w:val="center"/>
              <w:rPr>
                <w:rFonts w:eastAsia="宋体" w:cs="Times New Roman"/>
                <w:sz w:val="21"/>
              </w:rPr>
            </w:pPr>
            <w:r>
              <w:rPr>
                <w:rFonts w:eastAsia="宋体" w:cs="Times New Roman"/>
                <w:sz w:val="21"/>
              </w:rPr>
              <w:t>BOD</w:t>
            </w:r>
            <w:r>
              <w:rPr>
                <w:rFonts w:eastAsia="宋体" w:cs="Times New Roman"/>
                <w:sz w:val="21"/>
                <w:vertAlign w:val="subscript"/>
              </w:rPr>
              <w:t>5</w:t>
            </w:r>
          </w:p>
        </w:tc>
        <w:tc>
          <w:tcPr>
            <w:tcW w:w="2948" w:type="dxa"/>
            <w:vAlign w:val="center"/>
          </w:tcPr>
          <w:p>
            <w:pPr>
              <w:pStyle w:val="122"/>
              <w:rPr>
                <w:rFonts w:cs="Times New Roman"/>
                <w:szCs w:val="21"/>
              </w:rPr>
            </w:pPr>
            <w:r>
              <w:rPr>
                <w:rFonts w:cs="Times New Roman"/>
                <w:szCs w:val="21"/>
              </w:rPr>
              <w:t>≤10</w:t>
            </w:r>
          </w:p>
        </w:tc>
        <w:tc>
          <w:tcPr>
            <w:tcW w:w="294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continue"/>
            <w:vAlign w:val="center"/>
          </w:tcPr>
          <w:p>
            <w:pPr>
              <w:jc w:val="center"/>
              <w:rPr>
                <w:rFonts w:eastAsia="宋体" w:cs="Times New Roman"/>
                <w:sz w:val="21"/>
              </w:rPr>
            </w:pPr>
          </w:p>
        </w:tc>
        <w:tc>
          <w:tcPr>
            <w:tcW w:w="2948" w:type="dxa"/>
            <w:vMerge w:val="continue"/>
            <w:vAlign w:val="center"/>
          </w:tcPr>
          <w:p>
            <w:pPr>
              <w:jc w:val="center"/>
              <w:rPr>
                <w:rFonts w:eastAsia="宋体" w:cs="Times New Roman"/>
                <w:sz w:val="21"/>
              </w:rPr>
            </w:pPr>
          </w:p>
        </w:tc>
        <w:tc>
          <w:tcPr>
            <w:tcW w:w="2949" w:type="dxa"/>
            <w:vAlign w:val="center"/>
          </w:tcPr>
          <w:p>
            <w:pPr>
              <w:jc w:val="center"/>
              <w:rPr>
                <w:rFonts w:eastAsia="宋体" w:cs="Times New Roman"/>
                <w:sz w:val="21"/>
              </w:rPr>
            </w:pPr>
            <w:r>
              <w:rPr>
                <w:rFonts w:eastAsia="宋体" w:cs="Times New Roman"/>
                <w:sz w:val="21"/>
              </w:rPr>
              <w:t>悬浮物（SS）</w:t>
            </w:r>
          </w:p>
        </w:tc>
        <w:tc>
          <w:tcPr>
            <w:tcW w:w="2948" w:type="dxa"/>
            <w:vAlign w:val="center"/>
          </w:tcPr>
          <w:p>
            <w:pPr>
              <w:pStyle w:val="122"/>
              <w:rPr>
                <w:rFonts w:cs="Times New Roman"/>
                <w:szCs w:val="21"/>
              </w:rPr>
            </w:pPr>
            <w:r>
              <w:rPr>
                <w:rFonts w:cs="Times New Roman"/>
                <w:szCs w:val="21"/>
              </w:rPr>
              <w:t>≤10</w:t>
            </w:r>
          </w:p>
        </w:tc>
        <w:tc>
          <w:tcPr>
            <w:tcW w:w="294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continue"/>
            <w:vAlign w:val="center"/>
          </w:tcPr>
          <w:p>
            <w:pPr>
              <w:jc w:val="center"/>
              <w:rPr>
                <w:rFonts w:eastAsia="宋体" w:cs="Times New Roman"/>
                <w:sz w:val="21"/>
              </w:rPr>
            </w:pPr>
          </w:p>
        </w:tc>
        <w:tc>
          <w:tcPr>
            <w:tcW w:w="2948" w:type="dxa"/>
            <w:vMerge w:val="continue"/>
            <w:vAlign w:val="center"/>
          </w:tcPr>
          <w:p>
            <w:pPr>
              <w:jc w:val="center"/>
              <w:rPr>
                <w:rFonts w:eastAsia="宋体" w:cs="Times New Roman"/>
                <w:sz w:val="21"/>
              </w:rPr>
            </w:pPr>
          </w:p>
        </w:tc>
        <w:tc>
          <w:tcPr>
            <w:tcW w:w="2949" w:type="dxa"/>
            <w:vAlign w:val="center"/>
          </w:tcPr>
          <w:p>
            <w:pPr>
              <w:pStyle w:val="122"/>
              <w:rPr>
                <w:rFonts w:cs="Times New Roman"/>
                <w:szCs w:val="21"/>
              </w:rPr>
            </w:pPr>
            <w:r>
              <w:rPr>
                <w:rFonts w:cs="Times New Roman"/>
                <w:szCs w:val="21"/>
              </w:rPr>
              <w:t>氨氮</w:t>
            </w:r>
            <w:r>
              <w:rPr>
                <w:rFonts w:hint="eastAsia" w:cs="Times New Roman"/>
                <w:szCs w:val="21"/>
              </w:rPr>
              <w:t>（以N计）</w:t>
            </w:r>
          </w:p>
        </w:tc>
        <w:tc>
          <w:tcPr>
            <w:tcW w:w="2948" w:type="dxa"/>
            <w:vAlign w:val="center"/>
          </w:tcPr>
          <w:p>
            <w:pPr>
              <w:pStyle w:val="122"/>
              <w:rPr>
                <w:rFonts w:cs="Times New Roman"/>
                <w:szCs w:val="21"/>
              </w:rPr>
            </w:pPr>
            <w:r>
              <w:rPr>
                <w:rFonts w:cs="Times New Roman"/>
                <w:szCs w:val="21"/>
              </w:rPr>
              <w:t>≤</w:t>
            </w:r>
            <w:r>
              <w:rPr>
                <w:rFonts w:hint="eastAsia" w:cs="Times New Roman"/>
                <w:szCs w:val="21"/>
              </w:rPr>
              <w:t>5</w:t>
            </w:r>
            <w:r>
              <w:rPr>
                <w:rFonts w:cs="Times New Roman"/>
                <w:szCs w:val="21"/>
              </w:rPr>
              <w:t>（</w:t>
            </w:r>
            <w:r>
              <w:rPr>
                <w:rFonts w:hint="eastAsia" w:cs="Times New Roman"/>
                <w:szCs w:val="21"/>
              </w:rPr>
              <w:t>8</w:t>
            </w:r>
            <w:r>
              <w:rPr>
                <w:rFonts w:cs="Times New Roman"/>
                <w:szCs w:val="21"/>
              </w:rPr>
              <w:t>）</w:t>
            </w:r>
          </w:p>
        </w:tc>
        <w:tc>
          <w:tcPr>
            <w:tcW w:w="294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continue"/>
            <w:vAlign w:val="center"/>
          </w:tcPr>
          <w:p>
            <w:pPr>
              <w:jc w:val="center"/>
              <w:rPr>
                <w:rFonts w:eastAsia="宋体" w:cs="Times New Roman"/>
                <w:sz w:val="21"/>
              </w:rPr>
            </w:pPr>
          </w:p>
        </w:tc>
        <w:tc>
          <w:tcPr>
            <w:tcW w:w="2948" w:type="dxa"/>
            <w:vMerge w:val="continue"/>
            <w:vAlign w:val="center"/>
          </w:tcPr>
          <w:p>
            <w:pPr>
              <w:jc w:val="center"/>
              <w:rPr>
                <w:rFonts w:eastAsia="宋体" w:cs="Times New Roman"/>
                <w:sz w:val="21"/>
              </w:rPr>
            </w:pPr>
          </w:p>
        </w:tc>
        <w:tc>
          <w:tcPr>
            <w:tcW w:w="2949" w:type="dxa"/>
            <w:vAlign w:val="center"/>
          </w:tcPr>
          <w:p>
            <w:pPr>
              <w:pStyle w:val="122"/>
              <w:rPr>
                <w:rFonts w:cs="Times New Roman"/>
                <w:szCs w:val="21"/>
              </w:rPr>
            </w:pPr>
            <w:r>
              <w:rPr>
                <w:rFonts w:hint="eastAsia" w:cs="Times New Roman"/>
                <w:szCs w:val="21"/>
              </w:rPr>
              <w:t>总氮（以N计）</w:t>
            </w:r>
          </w:p>
        </w:tc>
        <w:tc>
          <w:tcPr>
            <w:tcW w:w="2948" w:type="dxa"/>
            <w:vAlign w:val="center"/>
          </w:tcPr>
          <w:p>
            <w:pPr>
              <w:pStyle w:val="122"/>
              <w:rPr>
                <w:rFonts w:cs="Times New Roman"/>
                <w:szCs w:val="21"/>
              </w:rPr>
            </w:pPr>
            <w:r>
              <w:rPr>
                <w:rFonts w:cs="Times New Roman"/>
                <w:szCs w:val="21"/>
              </w:rPr>
              <w:t>≤</w:t>
            </w:r>
            <w:r>
              <w:rPr>
                <w:rFonts w:hint="eastAsia" w:cs="Times New Roman"/>
                <w:szCs w:val="21"/>
              </w:rPr>
              <w:t>15</w:t>
            </w:r>
          </w:p>
        </w:tc>
        <w:tc>
          <w:tcPr>
            <w:tcW w:w="294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47" w:type="dxa"/>
            <w:vMerge w:val="continue"/>
            <w:vAlign w:val="center"/>
          </w:tcPr>
          <w:p>
            <w:pPr>
              <w:jc w:val="center"/>
              <w:rPr>
                <w:rFonts w:eastAsia="宋体" w:cs="Times New Roman"/>
                <w:sz w:val="21"/>
              </w:rPr>
            </w:pPr>
          </w:p>
        </w:tc>
        <w:tc>
          <w:tcPr>
            <w:tcW w:w="2948" w:type="dxa"/>
            <w:vMerge w:val="continue"/>
            <w:vAlign w:val="center"/>
          </w:tcPr>
          <w:p>
            <w:pPr>
              <w:jc w:val="center"/>
              <w:rPr>
                <w:rFonts w:eastAsia="宋体" w:cs="Times New Roman"/>
                <w:sz w:val="21"/>
              </w:rPr>
            </w:pPr>
          </w:p>
        </w:tc>
        <w:tc>
          <w:tcPr>
            <w:tcW w:w="2949" w:type="dxa"/>
            <w:vAlign w:val="center"/>
          </w:tcPr>
          <w:p>
            <w:pPr>
              <w:pStyle w:val="122"/>
              <w:rPr>
                <w:rFonts w:cs="Times New Roman"/>
                <w:szCs w:val="21"/>
              </w:rPr>
            </w:pPr>
            <w:r>
              <w:rPr>
                <w:rFonts w:cs="Times New Roman"/>
                <w:szCs w:val="21"/>
              </w:rPr>
              <w:t>总磷</w:t>
            </w:r>
            <w:r>
              <w:rPr>
                <w:rFonts w:hint="eastAsia" w:cs="Times New Roman"/>
                <w:szCs w:val="21"/>
              </w:rPr>
              <w:t>（以p计）</w:t>
            </w:r>
          </w:p>
        </w:tc>
        <w:tc>
          <w:tcPr>
            <w:tcW w:w="2948" w:type="dxa"/>
            <w:vAlign w:val="center"/>
          </w:tcPr>
          <w:p>
            <w:pPr>
              <w:pStyle w:val="122"/>
              <w:rPr>
                <w:rFonts w:cs="Times New Roman"/>
                <w:szCs w:val="21"/>
              </w:rPr>
            </w:pPr>
            <w:r>
              <w:rPr>
                <w:rFonts w:cs="Times New Roman"/>
                <w:szCs w:val="21"/>
              </w:rPr>
              <w:t>≤0.5</w:t>
            </w:r>
          </w:p>
        </w:tc>
        <w:tc>
          <w:tcPr>
            <w:tcW w:w="2948" w:type="dxa"/>
            <w:vMerge w:val="continue"/>
            <w:vAlign w:val="center"/>
          </w:tcPr>
          <w:p>
            <w:pPr>
              <w:jc w:val="center"/>
              <w:rPr>
                <w:rFonts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0" w:type="dxa"/>
            <w:gridSpan w:val="5"/>
            <w:vAlign w:val="center"/>
          </w:tcPr>
          <w:p>
            <w:pPr>
              <w:ind w:firstLine="420" w:firstLineChars="200"/>
              <w:rPr>
                <w:rFonts w:eastAsia="宋体" w:cs="Times New Roman"/>
                <w:sz w:val="21"/>
              </w:rPr>
            </w:pPr>
            <w:r>
              <w:rPr>
                <w:rFonts w:eastAsia="宋体" w:cs="Times New Roman"/>
                <w:sz w:val="21"/>
              </w:rPr>
              <w:t>a指对应排放口需执行的国家或地方污染物排放标准以及其他按规定商定建设项目水污染物排放控制要求的协议，据此确定的排放浓度限值。</w:t>
            </w:r>
          </w:p>
        </w:tc>
      </w:tr>
    </w:tbl>
    <w:p>
      <w:pPr>
        <w:pStyle w:val="14"/>
        <w:spacing w:line="240" w:lineRule="auto"/>
      </w:pPr>
      <w:r>
        <w:rPr>
          <w:rFonts w:hint="eastAsia" w:cs="Times New Roman"/>
          <w:bCs/>
          <w:szCs w:val="24"/>
        </w:rPr>
        <w:t>表</w:t>
      </w:r>
      <w:r>
        <w:rPr>
          <w:rFonts w:cs="Times New Roman"/>
          <w:bCs/>
          <w:szCs w:val="24"/>
        </w:rPr>
        <w:fldChar w:fldCharType="begin"/>
      </w:r>
      <w:r>
        <w:rPr>
          <w:rFonts w:hint="eastAsia" w:cs="Times New Roman"/>
          <w:bCs/>
          <w:szCs w:val="24"/>
        </w:rPr>
        <w:instrText xml:space="preserve">STYLEREF 2 \s</w:instrText>
      </w:r>
      <w:r>
        <w:rPr>
          <w:rFonts w:cs="Times New Roman"/>
          <w:bCs/>
          <w:szCs w:val="24"/>
        </w:rPr>
        <w:fldChar w:fldCharType="separate"/>
      </w:r>
      <w:r>
        <w:rPr>
          <w:rFonts w:cs="Times New Roman"/>
          <w:bCs/>
          <w:szCs w:val="24"/>
        </w:rPr>
        <w:t>4.1</w:t>
      </w:r>
      <w:r>
        <w:rPr>
          <w:rFonts w:cs="Times New Roman"/>
          <w:bCs/>
          <w:szCs w:val="24"/>
        </w:rPr>
        <w:fldChar w:fldCharType="end"/>
      </w:r>
      <w:r>
        <w:rPr>
          <w:rFonts w:cs="Times New Roman"/>
          <w:bCs/>
          <w:szCs w:val="24"/>
        </w:rPr>
        <w:noBreakHyphen/>
      </w:r>
      <w:r>
        <w:rPr>
          <w:rFonts w:cs="Times New Roman"/>
          <w:bCs/>
          <w:szCs w:val="24"/>
        </w:rPr>
        <w:fldChar w:fldCharType="begin"/>
      </w:r>
      <w:r>
        <w:rPr>
          <w:rFonts w:hint="eastAsia" w:cs="Times New Roman"/>
          <w:bCs/>
          <w:szCs w:val="24"/>
        </w:rPr>
        <w:instrText xml:space="preserve">SEQ 表 \* ARABIC \s 2</w:instrText>
      </w:r>
      <w:r>
        <w:rPr>
          <w:rFonts w:cs="Times New Roman"/>
          <w:bCs/>
          <w:szCs w:val="24"/>
        </w:rPr>
        <w:fldChar w:fldCharType="separate"/>
      </w:r>
      <w:r>
        <w:rPr>
          <w:rFonts w:hint="eastAsia" w:cs="Times New Roman"/>
          <w:bCs/>
          <w:szCs w:val="24"/>
        </w:rPr>
        <w:t>20</w:t>
      </w:r>
      <w:r>
        <w:rPr>
          <w:rFonts w:cs="Times New Roman"/>
          <w:bCs/>
          <w:szCs w:val="24"/>
        </w:rPr>
        <w:fldChar w:fldCharType="end"/>
      </w:r>
      <w:r>
        <w:rPr>
          <w:rFonts w:hint="eastAsia" w:cs="Times New Roman"/>
          <w:bCs/>
          <w:szCs w:val="24"/>
          <w:lang w:val="en-US" w:eastAsia="zh-CN"/>
        </w:rPr>
        <w:t xml:space="preserve"> </w:t>
      </w:r>
      <w:r>
        <w:rPr>
          <w:rFonts w:hint="eastAsia" w:cs="Times New Roman"/>
          <w:bCs/>
          <w:szCs w:val="24"/>
        </w:rPr>
        <w:t>废水污染物排放信息表</w:t>
      </w:r>
    </w:p>
    <w:tbl>
      <w:tblPr>
        <w:tblStyle w:val="39"/>
        <w:tblW w:w="14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2457"/>
        <w:gridCol w:w="2456"/>
        <w:gridCol w:w="2456"/>
        <w:gridCol w:w="2458"/>
        <w:gridCol w:w="2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序号</w:t>
            </w:r>
          </w:p>
        </w:tc>
        <w:tc>
          <w:tcPr>
            <w:tcW w:w="245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排放口编号</w:t>
            </w:r>
          </w:p>
        </w:tc>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污染物种类</w:t>
            </w:r>
          </w:p>
        </w:tc>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排放浓度/（mg/L）</w:t>
            </w:r>
          </w:p>
        </w:tc>
        <w:tc>
          <w:tcPr>
            <w:tcW w:w="2458"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日排放量/（t/d）</w:t>
            </w:r>
          </w:p>
        </w:tc>
        <w:tc>
          <w:tcPr>
            <w:tcW w:w="245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1</w:t>
            </w:r>
          </w:p>
        </w:tc>
        <w:tc>
          <w:tcPr>
            <w:tcW w:w="2457" w:type="dxa"/>
            <w:vMerge w:val="restart"/>
            <w:vAlign w:val="center"/>
          </w:tcPr>
          <w:p>
            <w:pPr>
              <w:jc w:val="center"/>
              <w:rPr>
                <w:rFonts w:eastAsia="宋体" w:cs="Times New Roman"/>
                <w:color w:val="000000" w:themeColor="text1"/>
                <w:sz w:val="21"/>
              </w:rPr>
            </w:pPr>
            <w:r>
              <w:rPr>
                <w:rFonts w:hint="eastAsia" w:eastAsia="宋体" w:cs="Times New Roman"/>
                <w:color w:val="000000" w:themeColor="text1"/>
                <w:sz w:val="21"/>
              </w:rPr>
              <w:t>W1</w:t>
            </w:r>
          </w:p>
        </w:tc>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COD</w:t>
            </w:r>
            <w:r>
              <w:rPr>
                <w:rFonts w:hint="eastAsia" w:eastAsia="宋体" w:cs="Times New Roman"/>
                <w:color w:val="000000" w:themeColor="text1"/>
                <w:sz w:val="21"/>
                <w:vertAlign w:val="subscript"/>
              </w:rPr>
              <w:t>cr</w:t>
            </w:r>
          </w:p>
        </w:tc>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50</w:t>
            </w:r>
          </w:p>
        </w:tc>
        <w:tc>
          <w:tcPr>
            <w:tcW w:w="2458" w:type="dxa"/>
            <w:vAlign w:val="center"/>
          </w:tcPr>
          <w:p>
            <w:pPr>
              <w:jc w:val="center"/>
              <w:rPr>
                <w:rFonts w:hint="default" w:eastAsia="宋体" w:cs="Times New Roman"/>
                <w:color w:val="000000" w:themeColor="text1"/>
                <w:sz w:val="21"/>
                <w:lang w:val="en-US" w:eastAsia="zh-CN"/>
              </w:rPr>
            </w:pPr>
            <w:r>
              <w:rPr>
                <w:rFonts w:hint="eastAsia" w:eastAsia="宋体" w:cs="Times New Roman"/>
                <w:color w:val="000000" w:themeColor="text1"/>
                <w:sz w:val="21"/>
                <w:lang w:val="en-US" w:eastAsia="zh-CN"/>
              </w:rPr>
              <w:t>8.4t/d</w:t>
            </w:r>
          </w:p>
        </w:tc>
        <w:tc>
          <w:tcPr>
            <w:tcW w:w="2457" w:type="dxa"/>
            <w:vAlign w:val="center"/>
          </w:tcPr>
          <w:p>
            <w:pPr>
              <w:jc w:val="center"/>
              <w:rPr>
                <w:rFonts w:hint="default" w:eastAsia="宋体" w:cs="Times New Roman"/>
                <w:color w:val="000000" w:themeColor="text1"/>
                <w:sz w:val="21"/>
                <w:lang w:val="en-US" w:eastAsia="zh-CN"/>
              </w:rPr>
            </w:pPr>
            <w:r>
              <w:rPr>
                <w:rFonts w:hint="eastAsia" w:eastAsia="宋体" w:cs="Times New Roman"/>
                <w:color w:val="000000" w:themeColor="text1"/>
                <w:sz w:val="21"/>
                <w:lang w:val="en-US" w:eastAsia="zh-CN"/>
              </w:rPr>
              <w:t>3066t/a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2</w:t>
            </w:r>
          </w:p>
        </w:tc>
        <w:tc>
          <w:tcPr>
            <w:tcW w:w="2457" w:type="dxa"/>
            <w:vMerge w:val="continue"/>
            <w:vAlign w:val="center"/>
          </w:tcPr>
          <w:p>
            <w:pPr>
              <w:jc w:val="center"/>
              <w:rPr>
                <w:rFonts w:eastAsia="宋体" w:cs="Times New Roman"/>
                <w:color w:val="000000" w:themeColor="text1"/>
                <w:sz w:val="21"/>
              </w:rPr>
            </w:pPr>
          </w:p>
        </w:tc>
        <w:tc>
          <w:tcPr>
            <w:tcW w:w="2456" w:type="dxa"/>
            <w:vAlign w:val="center"/>
          </w:tcPr>
          <w:p>
            <w:pPr>
              <w:jc w:val="center"/>
              <w:rPr>
                <w:rFonts w:eastAsia="宋体" w:cs="Times New Roman"/>
                <w:color w:val="000000" w:themeColor="text1"/>
                <w:sz w:val="21"/>
                <w:vertAlign w:val="subscript"/>
              </w:rPr>
            </w:pPr>
            <w:r>
              <w:rPr>
                <w:rFonts w:hint="eastAsia" w:eastAsia="宋体" w:cs="Times New Roman"/>
                <w:color w:val="000000" w:themeColor="text1"/>
                <w:sz w:val="21"/>
              </w:rPr>
              <w:t>NH</w:t>
            </w:r>
            <w:r>
              <w:rPr>
                <w:rFonts w:hint="eastAsia" w:eastAsia="宋体" w:cs="Times New Roman"/>
                <w:color w:val="000000" w:themeColor="text1"/>
                <w:sz w:val="21"/>
                <w:vertAlign w:val="subscript"/>
              </w:rPr>
              <w:t>3</w:t>
            </w:r>
            <w:r>
              <w:rPr>
                <w:rFonts w:hint="eastAsia" w:eastAsia="宋体" w:cs="Times New Roman"/>
                <w:color w:val="000000" w:themeColor="text1"/>
                <w:sz w:val="21"/>
              </w:rPr>
              <w:t>-N</w:t>
            </w:r>
          </w:p>
        </w:tc>
        <w:tc>
          <w:tcPr>
            <w:tcW w:w="2456"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8</w:t>
            </w:r>
          </w:p>
        </w:tc>
        <w:tc>
          <w:tcPr>
            <w:tcW w:w="2458" w:type="dxa"/>
            <w:vAlign w:val="center"/>
          </w:tcPr>
          <w:p>
            <w:pPr>
              <w:jc w:val="center"/>
              <w:rPr>
                <w:rFonts w:eastAsia="宋体" w:cs="Times New Roman"/>
                <w:color w:val="000000" w:themeColor="text1"/>
                <w:sz w:val="21"/>
              </w:rPr>
            </w:pPr>
            <w:r>
              <w:rPr>
                <w:rFonts w:hint="eastAsia" w:eastAsia="宋体" w:cs="Times New Roman"/>
                <w:color w:val="000000" w:themeColor="text1"/>
                <w:sz w:val="21"/>
                <w:lang w:val="en-US" w:eastAsia="zh-CN"/>
              </w:rPr>
              <w:t>0.72t/d</w:t>
            </w:r>
          </w:p>
        </w:tc>
        <w:tc>
          <w:tcPr>
            <w:tcW w:w="2457" w:type="dxa"/>
            <w:vAlign w:val="center"/>
          </w:tcPr>
          <w:p>
            <w:pPr>
              <w:jc w:val="center"/>
              <w:rPr>
                <w:rFonts w:hint="default" w:eastAsia="宋体" w:cs="Times New Roman"/>
                <w:color w:val="000000" w:themeColor="text1"/>
                <w:sz w:val="21"/>
                <w:lang w:val="en-US" w:eastAsia="zh-CN"/>
              </w:rPr>
            </w:pPr>
            <w:r>
              <w:rPr>
                <w:rFonts w:hint="eastAsia" w:eastAsia="宋体" w:cs="Times New Roman"/>
                <w:color w:val="000000" w:themeColor="text1"/>
                <w:sz w:val="21"/>
                <w:lang w:val="en-US" w:eastAsia="zh-CN"/>
              </w:rPr>
              <w:t>262.8t/a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3" w:type="dxa"/>
            <w:gridSpan w:val="2"/>
            <w:vMerge w:val="restart"/>
            <w:vAlign w:val="center"/>
          </w:tcPr>
          <w:p>
            <w:pPr>
              <w:jc w:val="center"/>
              <w:rPr>
                <w:rFonts w:eastAsia="宋体" w:cs="Times New Roman"/>
                <w:color w:val="000000" w:themeColor="text1"/>
                <w:sz w:val="21"/>
              </w:rPr>
            </w:pPr>
            <w:r>
              <w:rPr>
                <w:rFonts w:hint="eastAsia" w:eastAsia="宋体" w:cs="Times New Roman"/>
                <w:color w:val="000000" w:themeColor="text1"/>
                <w:sz w:val="21"/>
              </w:rPr>
              <w:t>全厂排放口合计</w:t>
            </w:r>
          </w:p>
        </w:tc>
        <w:tc>
          <w:tcPr>
            <w:tcW w:w="7370" w:type="dxa"/>
            <w:gridSpan w:val="3"/>
            <w:vAlign w:val="center"/>
          </w:tcPr>
          <w:p>
            <w:pPr>
              <w:jc w:val="center"/>
              <w:rPr>
                <w:rFonts w:eastAsia="宋体" w:cs="Times New Roman"/>
                <w:color w:val="000000" w:themeColor="text1"/>
                <w:sz w:val="21"/>
              </w:rPr>
            </w:pPr>
            <w:r>
              <w:rPr>
                <w:rFonts w:hint="eastAsia" w:eastAsia="宋体" w:cs="Times New Roman"/>
                <w:color w:val="000000" w:themeColor="text1"/>
                <w:sz w:val="21"/>
              </w:rPr>
              <w:t>COD</w:t>
            </w:r>
            <w:r>
              <w:rPr>
                <w:rFonts w:hint="eastAsia" w:eastAsia="宋体" w:cs="Times New Roman"/>
                <w:color w:val="000000" w:themeColor="text1"/>
                <w:sz w:val="21"/>
                <w:vertAlign w:val="subscript"/>
              </w:rPr>
              <w:t>cr</w:t>
            </w:r>
          </w:p>
        </w:tc>
        <w:tc>
          <w:tcPr>
            <w:tcW w:w="2457" w:type="dxa"/>
            <w:vAlign w:val="center"/>
          </w:tcPr>
          <w:p>
            <w:pPr>
              <w:jc w:val="center"/>
              <w:rPr>
                <w:rFonts w:eastAsia="宋体" w:cs="Times New Roman"/>
                <w:color w:val="000000" w:themeColor="text1"/>
                <w:sz w:val="21"/>
              </w:rPr>
            </w:pPr>
            <w:r>
              <w:rPr>
                <w:rFonts w:hint="eastAsia" w:eastAsia="宋体" w:cs="Times New Roman"/>
                <w:color w:val="000000" w:themeColor="text1"/>
                <w:sz w:val="21"/>
                <w:lang w:val="en-US" w:eastAsia="zh-CN"/>
              </w:rPr>
              <w:t>3066t/a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3" w:type="dxa"/>
            <w:gridSpan w:val="2"/>
            <w:vMerge w:val="continue"/>
            <w:vAlign w:val="center"/>
          </w:tcPr>
          <w:p>
            <w:pPr>
              <w:jc w:val="center"/>
              <w:rPr>
                <w:rFonts w:eastAsia="宋体" w:cs="Times New Roman"/>
                <w:color w:val="000000" w:themeColor="text1"/>
                <w:sz w:val="21"/>
              </w:rPr>
            </w:pPr>
          </w:p>
        </w:tc>
        <w:tc>
          <w:tcPr>
            <w:tcW w:w="7370" w:type="dxa"/>
            <w:gridSpan w:val="3"/>
            <w:vAlign w:val="center"/>
          </w:tcPr>
          <w:p>
            <w:pPr>
              <w:jc w:val="center"/>
              <w:rPr>
                <w:rFonts w:eastAsia="宋体" w:cs="Times New Roman"/>
                <w:color w:val="000000" w:themeColor="text1"/>
                <w:sz w:val="21"/>
                <w:vertAlign w:val="subscript"/>
              </w:rPr>
            </w:pPr>
            <w:r>
              <w:rPr>
                <w:rFonts w:hint="eastAsia" w:eastAsia="宋体" w:cs="Times New Roman"/>
                <w:color w:val="000000" w:themeColor="text1"/>
                <w:sz w:val="21"/>
              </w:rPr>
              <w:t>NH</w:t>
            </w:r>
            <w:r>
              <w:rPr>
                <w:rFonts w:hint="eastAsia" w:eastAsia="宋体" w:cs="Times New Roman"/>
                <w:color w:val="000000" w:themeColor="text1"/>
                <w:sz w:val="21"/>
                <w:vertAlign w:val="subscript"/>
              </w:rPr>
              <w:t>3</w:t>
            </w:r>
            <w:r>
              <w:rPr>
                <w:rFonts w:hint="eastAsia" w:eastAsia="宋体" w:cs="Times New Roman"/>
                <w:color w:val="000000" w:themeColor="text1"/>
                <w:sz w:val="21"/>
              </w:rPr>
              <w:t>-N</w:t>
            </w:r>
          </w:p>
        </w:tc>
        <w:tc>
          <w:tcPr>
            <w:tcW w:w="2457" w:type="dxa"/>
            <w:vAlign w:val="center"/>
          </w:tcPr>
          <w:p>
            <w:pPr>
              <w:jc w:val="center"/>
              <w:rPr>
                <w:rFonts w:eastAsia="宋体" w:cs="Times New Roman"/>
                <w:color w:val="000000" w:themeColor="text1"/>
                <w:sz w:val="21"/>
              </w:rPr>
            </w:pPr>
            <w:r>
              <w:rPr>
                <w:rFonts w:hint="eastAsia" w:eastAsia="宋体" w:cs="Times New Roman"/>
                <w:color w:val="000000" w:themeColor="text1"/>
                <w:sz w:val="21"/>
                <w:lang w:val="en-US" w:eastAsia="zh-CN"/>
              </w:rPr>
              <w:t>262.8t/a</w:t>
            </w:r>
          </w:p>
        </w:tc>
      </w:tr>
    </w:tbl>
    <w:p>
      <w:pPr>
        <w:pStyle w:val="14"/>
        <w:spacing w:line="240" w:lineRule="auto"/>
        <w:rPr>
          <w:rFonts w:cs="Times New Roman"/>
          <w:color w:val="000000" w:themeColor="text1"/>
          <w:szCs w:val="24"/>
        </w:rPr>
      </w:pPr>
    </w:p>
    <w:p>
      <w:pPr>
        <w:pStyle w:val="14"/>
        <w:rPr>
          <w:rFonts w:cs="Times New Roman"/>
          <w:color w:val="000000" w:themeColor="text1"/>
          <w:szCs w:val="24"/>
        </w:rPr>
      </w:pPr>
    </w:p>
    <w:p>
      <w:pPr>
        <w:pStyle w:val="14"/>
        <w:keepNext/>
        <w:spacing w:line="240" w:lineRule="auto"/>
      </w:pPr>
    </w:p>
    <w:p/>
    <w:p/>
    <w:p>
      <w:pPr>
        <w:spacing w:line="360" w:lineRule="auto"/>
        <w:ind w:firstLine="480" w:firstLineChars="200"/>
        <w:rPr>
          <w:rFonts w:cs="Times New Roman"/>
          <w:color w:val="000000" w:themeColor="text1"/>
          <w:szCs w:val="24"/>
        </w:rPr>
        <w:sectPr>
          <w:pgSz w:w="16838" w:h="11906" w:orient="landscape"/>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pPr>
    </w:p>
    <w:p>
      <w:pPr>
        <w:pStyle w:val="5"/>
        <w:rPr>
          <w:color w:val="000000" w:themeColor="text1"/>
        </w:rPr>
      </w:pPr>
      <w:bookmarkStart w:id="171" w:name="_Toc532497665"/>
      <w:r>
        <w:rPr>
          <w:rFonts w:hint="eastAsia"/>
          <w:color w:val="000000" w:themeColor="text1"/>
        </w:rPr>
        <w:t>地下水环境影响分析</w:t>
      </w:r>
      <w:bookmarkEnd w:id="171"/>
    </w:p>
    <w:p>
      <w:pPr>
        <w:pStyle w:val="61"/>
      </w:pPr>
      <w:r>
        <w:t>项目地下水污染途径分析</w:t>
      </w:r>
    </w:p>
    <w:p>
      <w:pPr>
        <w:spacing w:line="360" w:lineRule="auto"/>
        <w:ind w:firstLine="480" w:firstLineChars="200"/>
        <w:rPr>
          <w:szCs w:val="24"/>
        </w:rPr>
      </w:pPr>
      <w:r>
        <w:rPr>
          <w:rFonts w:hint="eastAsia"/>
          <w:szCs w:val="24"/>
        </w:rPr>
        <w:t>本项目可能污染地下水的主要环节有厂内废水输送管网破裂、废水各处理构筑物渗漏以及污泥脱水间渗漏。</w:t>
      </w:r>
    </w:p>
    <w:p>
      <w:pPr>
        <w:spacing w:line="360" w:lineRule="auto"/>
        <w:ind w:firstLine="480" w:firstLineChars="200"/>
        <w:rPr>
          <w:szCs w:val="24"/>
        </w:rPr>
      </w:pPr>
      <w:r>
        <w:rPr>
          <w:rFonts w:hint="eastAsia"/>
          <w:szCs w:val="24"/>
        </w:rPr>
        <w:t>本项目废水输送管网中</w:t>
      </w:r>
      <w:r>
        <w:rPr>
          <w:rFonts w:hint="eastAsia"/>
          <w:color w:val="000000" w:themeColor="text1"/>
          <w:szCs w:val="24"/>
        </w:rPr>
        <w:t>有压管道采用</w:t>
      </w:r>
      <w:r>
        <w:rPr>
          <w:rFonts w:cs="Times New Roman"/>
          <w:color w:val="000000" w:themeColor="text1"/>
          <w:szCs w:val="24"/>
        </w:rPr>
        <w:t>U-PVC</w:t>
      </w:r>
      <w:r>
        <w:rPr>
          <w:rFonts w:hint="eastAsia"/>
          <w:color w:val="000000" w:themeColor="text1"/>
          <w:szCs w:val="24"/>
        </w:rPr>
        <w:t>管；</w:t>
      </w:r>
      <w:r>
        <w:rPr>
          <w:rFonts w:hint="eastAsia"/>
          <w:szCs w:val="24"/>
        </w:rPr>
        <w:t>废水处理构筑物中格栅池、污泥池、调节池、水解酸化池、二沉池、AAO生物池采用防渗混凝土现场修建，再做过渗水试验后，池子和设备不渗水才可使用。；项目污泥脱水间地面将进行防渗处置，并设有排水措施。因此，正常工况下，本项目废水处理过程中不会发生废水渗漏，不会对厂区地下水造成污染。</w:t>
      </w:r>
    </w:p>
    <w:p>
      <w:pPr>
        <w:spacing w:line="360" w:lineRule="auto"/>
        <w:ind w:firstLine="480" w:firstLineChars="200"/>
        <w:rPr>
          <w:szCs w:val="24"/>
        </w:rPr>
      </w:pPr>
      <w:r>
        <w:rPr>
          <w:rFonts w:hint="eastAsia"/>
          <w:szCs w:val="24"/>
        </w:rPr>
        <w:t>在非正常工况条件下，废水输送管网、废水各处理构筑物一级污泥脱水间防渗地面。随着时间流逝，会由于老化、腐蚀等原因导致使防渗措施减弱或失效，从而发生渗漏，废水进入厂区地下包气带迁移，对地下水水质造成影响。</w:t>
      </w:r>
    </w:p>
    <w:p>
      <w:pPr>
        <w:spacing w:line="360" w:lineRule="auto"/>
        <w:ind w:firstLine="480" w:firstLineChars="200"/>
        <w:rPr>
          <w:szCs w:val="24"/>
        </w:rPr>
      </w:pPr>
      <w:r>
        <w:rPr>
          <w:rFonts w:hint="eastAsia"/>
          <w:szCs w:val="24"/>
        </w:rPr>
        <w:t>如果污泥脱水间可视场防渗层地埋破损，因本项目污泥处理间面积较小，可及时发现并进行修补，且本项目污泥处理量较小，污泥中不涉重金属和排水涉持久性有机物，因此，短时间的污泥滤液渗漏对地下水影响不大。</w:t>
      </w:r>
    </w:p>
    <w:p>
      <w:pPr>
        <w:spacing w:line="360" w:lineRule="auto"/>
        <w:ind w:firstLine="480" w:firstLineChars="200"/>
        <w:rPr>
          <w:szCs w:val="24"/>
        </w:rPr>
      </w:pPr>
      <w:r>
        <w:rPr>
          <w:rFonts w:hint="eastAsia"/>
          <w:szCs w:val="24"/>
        </w:rPr>
        <w:t>因此，非正常工况下废水输送管网及废水各处理构筑物渗漏为污染地下水的主要途径。根据地下水污染类型分析，非正常排放的情况下，废水量和入渗到地下水中的渗入量见下表所示。</w:t>
      </w:r>
    </w:p>
    <w:p>
      <w:pPr>
        <w:pStyle w:val="14"/>
        <w:spacing w:line="240" w:lineRule="auto"/>
        <w:rPr>
          <w:szCs w:val="24"/>
        </w:rPr>
      </w:pPr>
      <w:r>
        <w:rPr>
          <w:rFonts w:hint="eastAsia"/>
          <w:szCs w:val="24"/>
        </w:rPr>
        <w:t xml:space="preserve">表 </w:t>
      </w:r>
      <w:r>
        <w:rPr>
          <w:szCs w:val="24"/>
        </w:rPr>
        <w:fldChar w:fldCharType="begin"/>
      </w:r>
      <w:r>
        <w:rPr>
          <w:rFonts w:hint="eastAsia"/>
          <w:szCs w:val="24"/>
        </w:rPr>
        <w:instrText xml:space="preserve">STYLEREF 2 \s</w:instrText>
      </w:r>
      <w:r>
        <w:rPr>
          <w:szCs w:val="24"/>
        </w:rPr>
        <w:fldChar w:fldCharType="separate"/>
      </w:r>
      <w:r>
        <w:rPr>
          <w:rFonts w:hint="eastAsia"/>
          <w:szCs w:val="24"/>
        </w:rPr>
        <w:t>4</w:t>
      </w:r>
      <w:r>
        <w:rPr>
          <w:rFonts w:hint="eastAsia"/>
          <w:szCs w:val="24"/>
          <w:lang w:val="en-US" w:eastAsia="zh-CN"/>
        </w:rPr>
        <w:t>.</w:t>
      </w:r>
      <w:r>
        <w:rPr>
          <w:rFonts w:hint="eastAsia"/>
          <w:szCs w:val="24"/>
        </w:rPr>
        <w:t>1</w:t>
      </w:r>
      <w:r>
        <w:rPr>
          <w:szCs w:val="24"/>
        </w:rPr>
        <w:fldChar w:fldCharType="end"/>
      </w:r>
      <w:r>
        <w:rPr>
          <w:szCs w:val="24"/>
        </w:rPr>
        <w:noBreakHyphen/>
      </w:r>
      <w:r>
        <w:rPr>
          <w:szCs w:val="24"/>
        </w:rPr>
        <w:fldChar w:fldCharType="begin"/>
      </w:r>
      <w:r>
        <w:rPr>
          <w:rFonts w:hint="eastAsia"/>
          <w:szCs w:val="24"/>
        </w:rPr>
        <w:instrText xml:space="preserve">SEQ 表 \* ARABIC \s 2</w:instrText>
      </w:r>
      <w:r>
        <w:rPr>
          <w:szCs w:val="24"/>
        </w:rPr>
        <w:fldChar w:fldCharType="separate"/>
      </w:r>
      <w:r>
        <w:rPr>
          <w:rFonts w:hint="eastAsia"/>
          <w:szCs w:val="24"/>
        </w:rPr>
        <w:t>21</w:t>
      </w:r>
      <w:r>
        <w:rPr>
          <w:szCs w:val="24"/>
        </w:rPr>
        <w:fldChar w:fldCharType="end"/>
      </w:r>
      <w:r>
        <w:rPr>
          <w:rFonts w:hint="eastAsia"/>
          <w:szCs w:val="24"/>
        </w:rPr>
        <w:t xml:space="preserve">  营运期废水量及渗入地下的入渗量一览表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015"/>
        <w:gridCol w:w="2233"/>
        <w:gridCol w:w="1250"/>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dxa"/>
            <w:vAlign w:val="center"/>
          </w:tcPr>
          <w:p>
            <w:pPr>
              <w:pStyle w:val="14"/>
              <w:rPr>
                <w:rFonts w:cs="Times New Roman"/>
                <w:b w:val="0"/>
                <w:sz w:val="21"/>
                <w:szCs w:val="21"/>
              </w:rPr>
            </w:pPr>
            <w:r>
              <w:rPr>
                <w:rFonts w:cs="Times New Roman"/>
                <w:b w:val="0"/>
                <w:sz w:val="21"/>
                <w:szCs w:val="21"/>
              </w:rPr>
              <w:t>污染源类型</w:t>
            </w:r>
          </w:p>
        </w:tc>
        <w:tc>
          <w:tcPr>
            <w:tcW w:w="2015" w:type="dxa"/>
            <w:vAlign w:val="center"/>
          </w:tcPr>
          <w:p>
            <w:pPr>
              <w:pStyle w:val="14"/>
              <w:rPr>
                <w:rFonts w:cs="Times New Roman"/>
                <w:b w:val="0"/>
                <w:sz w:val="21"/>
                <w:szCs w:val="21"/>
              </w:rPr>
            </w:pPr>
            <w:r>
              <w:rPr>
                <w:rFonts w:cs="Times New Roman"/>
                <w:b w:val="0"/>
                <w:sz w:val="21"/>
                <w:szCs w:val="21"/>
              </w:rPr>
              <w:t>入渗量计算公式</w:t>
            </w:r>
          </w:p>
        </w:tc>
        <w:tc>
          <w:tcPr>
            <w:tcW w:w="2233" w:type="dxa"/>
            <w:vAlign w:val="center"/>
          </w:tcPr>
          <w:p>
            <w:pPr>
              <w:pStyle w:val="14"/>
              <w:rPr>
                <w:rFonts w:cs="Times New Roman"/>
                <w:b w:val="0"/>
                <w:sz w:val="21"/>
                <w:szCs w:val="21"/>
              </w:rPr>
            </w:pPr>
            <w:r>
              <w:rPr>
                <w:rFonts w:cs="Times New Roman"/>
                <w:b w:val="0"/>
                <w:sz w:val="21"/>
                <w:szCs w:val="21"/>
              </w:rPr>
              <w:t>废水量Q（m</w:t>
            </w:r>
            <w:r>
              <w:rPr>
                <w:rFonts w:cs="Times New Roman"/>
                <w:b w:val="0"/>
                <w:sz w:val="21"/>
                <w:szCs w:val="21"/>
                <w:vertAlign w:val="superscript"/>
              </w:rPr>
              <w:t>3</w:t>
            </w:r>
            <w:r>
              <w:rPr>
                <w:rFonts w:cs="Times New Roman"/>
                <w:b w:val="0"/>
                <w:sz w:val="21"/>
                <w:szCs w:val="21"/>
              </w:rPr>
              <w:t>/d）</w:t>
            </w:r>
          </w:p>
        </w:tc>
        <w:tc>
          <w:tcPr>
            <w:tcW w:w="1250" w:type="dxa"/>
            <w:vAlign w:val="center"/>
          </w:tcPr>
          <w:p>
            <w:pPr>
              <w:pStyle w:val="78"/>
              <w:jc w:val="center"/>
              <w:rPr>
                <w:rFonts w:eastAsia="宋体"/>
                <w:kern w:val="2"/>
                <w:sz w:val="21"/>
                <w:szCs w:val="21"/>
              </w:rPr>
            </w:pPr>
            <w:r>
              <w:rPr>
                <w:rFonts w:eastAsia="宋体"/>
                <w:kern w:val="2"/>
                <w:sz w:val="21"/>
                <w:szCs w:val="21"/>
              </w:rPr>
              <w:t>漏失率β</w:t>
            </w:r>
          </w:p>
        </w:tc>
        <w:tc>
          <w:tcPr>
            <w:tcW w:w="2240" w:type="dxa"/>
            <w:vAlign w:val="center"/>
          </w:tcPr>
          <w:p>
            <w:pPr>
              <w:pStyle w:val="78"/>
              <w:jc w:val="center"/>
              <w:rPr>
                <w:rFonts w:eastAsia="宋体"/>
                <w:kern w:val="2"/>
                <w:sz w:val="21"/>
                <w:szCs w:val="21"/>
              </w:rPr>
            </w:pPr>
            <w:r>
              <w:rPr>
                <w:rFonts w:eastAsia="宋体"/>
                <w:kern w:val="2"/>
                <w:sz w:val="21"/>
                <w:szCs w:val="21"/>
              </w:rPr>
              <w:t>入渗量</w:t>
            </w:r>
            <w:r>
              <w:rPr>
                <w:rFonts w:eastAsia="宋体"/>
                <w:bCs/>
                <w:kern w:val="2"/>
                <w:sz w:val="21"/>
                <w:szCs w:val="21"/>
              </w:rPr>
              <w:t>q</w:t>
            </w:r>
            <w:r>
              <w:rPr>
                <w:rFonts w:eastAsia="宋体"/>
                <w:kern w:val="2"/>
                <w:sz w:val="21"/>
                <w:szCs w:val="21"/>
              </w:rPr>
              <w:t>（</w:t>
            </w:r>
            <w:r>
              <w:rPr>
                <w:rFonts w:eastAsia="宋体"/>
                <w:bCs/>
                <w:kern w:val="2"/>
                <w:sz w:val="21"/>
                <w:szCs w:val="21"/>
              </w:rPr>
              <w:t>m</w:t>
            </w:r>
            <w:r>
              <w:rPr>
                <w:rFonts w:eastAsia="宋体"/>
                <w:bCs/>
                <w:kern w:val="2"/>
                <w:sz w:val="21"/>
                <w:szCs w:val="21"/>
                <w:vertAlign w:val="superscript"/>
              </w:rPr>
              <w:t>3</w:t>
            </w:r>
            <w:r>
              <w:rPr>
                <w:rFonts w:eastAsia="宋体"/>
                <w:bCs/>
                <w:kern w:val="2"/>
                <w:sz w:val="21"/>
                <w:szCs w:val="21"/>
              </w:rPr>
              <w:t>/d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4" w:type="dxa"/>
            <w:vAlign w:val="center"/>
          </w:tcPr>
          <w:p>
            <w:pPr>
              <w:pStyle w:val="14"/>
              <w:rPr>
                <w:rFonts w:cs="Times New Roman"/>
                <w:b w:val="0"/>
                <w:sz w:val="21"/>
                <w:szCs w:val="21"/>
              </w:rPr>
            </w:pPr>
            <w:r>
              <w:rPr>
                <w:rFonts w:cs="Times New Roman"/>
                <w:b w:val="0"/>
                <w:sz w:val="21"/>
                <w:szCs w:val="21"/>
              </w:rPr>
              <w:t>综合污水</w:t>
            </w:r>
          </w:p>
        </w:tc>
        <w:tc>
          <w:tcPr>
            <w:tcW w:w="2015" w:type="dxa"/>
            <w:vAlign w:val="center"/>
          </w:tcPr>
          <w:p>
            <w:pPr>
              <w:pStyle w:val="14"/>
              <w:rPr>
                <w:rFonts w:cs="Times New Roman"/>
                <w:b w:val="0"/>
                <w:sz w:val="21"/>
                <w:szCs w:val="21"/>
              </w:rPr>
            </w:pPr>
            <w:r>
              <w:rPr>
                <w:rFonts w:cs="Times New Roman"/>
                <w:b w:val="0"/>
                <w:sz w:val="21"/>
                <w:szCs w:val="21"/>
              </w:rPr>
              <w:t>q=BQ</w:t>
            </w:r>
          </w:p>
        </w:tc>
        <w:tc>
          <w:tcPr>
            <w:tcW w:w="2233" w:type="dxa"/>
            <w:vAlign w:val="center"/>
          </w:tcPr>
          <w:p>
            <w:pPr>
              <w:pStyle w:val="14"/>
              <w:rPr>
                <w:rFonts w:cs="Times New Roman"/>
                <w:b w:val="0"/>
                <w:sz w:val="21"/>
                <w:szCs w:val="21"/>
              </w:rPr>
            </w:pPr>
            <w:r>
              <w:rPr>
                <w:rFonts w:cs="Times New Roman"/>
                <w:b w:val="0"/>
                <w:sz w:val="21"/>
                <w:szCs w:val="21"/>
              </w:rPr>
              <w:t>20000</w:t>
            </w:r>
          </w:p>
        </w:tc>
        <w:tc>
          <w:tcPr>
            <w:tcW w:w="1250" w:type="dxa"/>
            <w:vAlign w:val="center"/>
          </w:tcPr>
          <w:p>
            <w:pPr>
              <w:pStyle w:val="14"/>
              <w:rPr>
                <w:rFonts w:cs="Times New Roman"/>
                <w:b w:val="0"/>
                <w:sz w:val="21"/>
                <w:szCs w:val="21"/>
              </w:rPr>
            </w:pPr>
            <w:r>
              <w:rPr>
                <w:rFonts w:cs="Times New Roman"/>
                <w:b w:val="0"/>
                <w:sz w:val="21"/>
                <w:szCs w:val="21"/>
              </w:rPr>
              <w:t>0.05</w:t>
            </w:r>
          </w:p>
        </w:tc>
        <w:tc>
          <w:tcPr>
            <w:tcW w:w="2240" w:type="dxa"/>
            <w:vAlign w:val="center"/>
          </w:tcPr>
          <w:p>
            <w:pPr>
              <w:pStyle w:val="14"/>
              <w:rPr>
                <w:rFonts w:cs="Times New Roman"/>
                <w:b w:val="0"/>
                <w:sz w:val="21"/>
                <w:szCs w:val="21"/>
              </w:rPr>
            </w:pPr>
            <w:r>
              <w:rPr>
                <w:rFonts w:cs="Times New Roman"/>
                <w:b w:val="0"/>
                <w:sz w:val="21"/>
                <w:szCs w:val="21"/>
              </w:rPr>
              <w:t>15</w:t>
            </w:r>
          </w:p>
        </w:tc>
      </w:tr>
    </w:tbl>
    <w:p>
      <w:pPr>
        <w:pStyle w:val="61"/>
        <w:rPr>
          <w:szCs w:val="24"/>
        </w:rPr>
      </w:pPr>
      <w:r>
        <w:rPr>
          <w:rFonts w:hint="eastAsia"/>
          <w:szCs w:val="24"/>
        </w:rPr>
        <w:t>2地下水环境影响分析</w:t>
      </w:r>
    </w:p>
    <w:p>
      <w:pPr>
        <w:adjustRightInd w:val="0"/>
        <w:snapToGrid w:val="0"/>
        <w:spacing w:line="360" w:lineRule="auto"/>
        <w:ind w:firstLine="480" w:firstLineChars="200"/>
        <w:rPr>
          <w:rFonts w:hint="eastAsia"/>
          <w:color w:val="000000" w:themeColor="text1"/>
          <w:u w:val="none"/>
          <w:lang w:eastAsia="zh-CN"/>
        </w:rPr>
      </w:pPr>
      <w:r>
        <w:rPr>
          <w:rFonts w:hint="eastAsia" w:ascii="宋体" w:eastAsia="宋体" w:cs="宋体"/>
          <w:color w:val="000000" w:themeColor="text1"/>
          <w:kern w:val="0"/>
          <w:szCs w:val="24"/>
          <w:u w:val="none"/>
          <w:lang w:eastAsia="zh-CN"/>
        </w:rPr>
        <w:t>本项目为城镇污水处理厂，本项目已建成运营，主要处理生活污水和工业污水。项目选址位于湖南省岳阳市华容县石伏工业园，根据现场踏勘，本项目地势较低且具有较好的排放条件，有利于污水的收集和排放</w:t>
      </w:r>
      <w:r>
        <w:rPr>
          <w:rFonts w:hint="eastAsia" w:ascii="宋体" w:eastAsia="宋体" w:cs="宋体"/>
          <w:color w:val="000000" w:themeColor="text1"/>
          <w:kern w:val="0"/>
          <w:szCs w:val="24"/>
          <w:u w:val="none"/>
        </w:rPr>
        <w:t>。</w:t>
      </w:r>
      <w:r>
        <w:rPr>
          <w:rFonts w:hint="eastAsia" w:ascii="宋体" w:eastAsia="宋体" w:cs="宋体"/>
          <w:color w:val="000000" w:themeColor="text1"/>
          <w:kern w:val="0"/>
          <w:szCs w:val="24"/>
          <w:u w:val="none"/>
          <w:lang w:eastAsia="zh-CN"/>
        </w:rPr>
        <w:t>本项目收集的废水处理达到《</w:t>
      </w:r>
      <w:r>
        <w:rPr>
          <w:rFonts w:hint="eastAsia"/>
          <w:color w:val="000000" w:themeColor="text1"/>
          <w:u w:val="none"/>
        </w:rPr>
        <w:t>城镇污水处理厂污染物排放标准</w:t>
      </w:r>
      <w:r>
        <w:rPr>
          <w:rFonts w:hint="eastAsia" w:ascii="宋体" w:eastAsia="宋体" w:cs="宋体"/>
          <w:color w:val="000000" w:themeColor="text1"/>
          <w:kern w:val="0"/>
          <w:szCs w:val="24"/>
          <w:u w:val="none"/>
          <w:lang w:eastAsia="zh-CN"/>
        </w:rPr>
        <w:t>》</w:t>
      </w:r>
      <w:r>
        <w:rPr>
          <w:rFonts w:hint="eastAsia"/>
          <w:color w:val="000000" w:themeColor="text1"/>
          <w:u w:val="none"/>
        </w:rPr>
        <w:t>（GB18918-2002）中一级A标准后排入</w:t>
      </w:r>
      <w:r>
        <w:rPr>
          <w:rFonts w:hint="eastAsia"/>
          <w:color w:val="000000" w:themeColor="text1"/>
          <w:u w:val="none"/>
          <w:lang w:eastAsia="zh-CN"/>
        </w:rPr>
        <w:t>华</w:t>
      </w:r>
      <w:r>
        <w:rPr>
          <w:rFonts w:hint="eastAsia"/>
          <w:u w:val="none"/>
        </w:rPr>
        <w:t>容</w:t>
      </w:r>
      <w:r>
        <w:rPr>
          <w:rFonts w:hint="eastAsia"/>
          <w:color w:val="000000" w:themeColor="text1"/>
          <w:u w:val="none"/>
          <w:lang w:eastAsia="zh-CN"/>
        </w:rPr>
        <w:t>河。项目不进行地下水的灌注和回灌。</w:t>
      </w:r>
    </w:p>
    <w:p>
      <w:pPr>
        <w:adjustRightInd w:val="0"/>
        <w:snapToGrid w:val="0"/>
        <w:spacing w:line="360" w:lineRule="auto"/>
        <w:ind w:firstLine="480" w:firstLineChars="200"/>
        <w:rPr>
          <w:rFonts w:hint="eastAsia"/>
          <w:color w:val="000000" w:themeColor="text1"/>
          <w:u w:val="none"/>
          <w:lang w:eastAsia="zh-CN"/>
        </w:rPr>
      </w:pPr>
      <w:r>
        <w:rPr>
          <w:rFonts w:hint="eastAsia"/>
          <w:color w:val="000000" w:themeColor="text1"/>
          <w:u w:val="none"/>
          <w:lang w:eastAsia="zh-CN"/>
        </w:rPr>
        <w:t>由于项目所在地地面均进行了硬化，区域没有集中式地下水饮用水源。根据现状监测结果可知，下游地下水体并未出现本项目污染因子质量浓度超标的现象。本项目主要简要分析其污染后果、提出环保生产管理要求为主要内容，不进行模型预测。</w:t>
      </w:r>
    </w:p>
    <w:p>
      <w:pPr>
        <w:spacing w:line="360" w:lineRule="auto"/>
        <w:ind w:firstLine="420"/>
        <w:rPr>
          <w:rFonts w:hint="eastAsia" w:ascii="Times New Roman" w:hAnsi="Times New Roman"/>
          <w:b/>
        </w:rPr>
      </w:pPr>
      <w:r>
        <w:rPr>
          <w:rFonts w:hint="eastAsia" w:ascii="Times New Roman" w:hAnsi="Times New Roman"/>
          <w:b/>
        </w:rPr>
        <w:t>（1）地质勘察资料：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themeColor="text1"/>
          <w:u w:val="none"/>
        </w:rPr>
      </w:pPr>
      <w:r>
        <w:rPr>
          <w:rFonts w:hint="eastAsia" w:ascii="Times New Roman" w:hAnsi="Times New Roman"/>
          <w:color w:val="000000" w:themeColor="text1"/>
          <w:u w:val="none"/>
        </w:rPr>
        <w:t>①区域地质构造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olor w:val="000000" w:themeColor="text1"/>
          <w:u w:val="none"/>
        </w:rPr>
      </w:pPr>
      <w:r>
        <w:rPr>
          <w:rFonts w:hint="eastAsia" w:ascii="Times New Roman" w:hAnsi="Times New Roman"/>
          <w:color w:val="000000" w:themeColor="text1"/>
          <w:u w:val="none"/>
        </w:rPr>
        <w:t>本项目所在地位于</w:t>
      </w:r>
      <w:r>
        <w:rPr>
          <w:rFonts w:hint="eastAsia" w:ascii="宋体" w:eastAsia="宋体" w:cs="宋体"/>
          <w:color w:val="000000" w:themeColor="text1"/>
          <w:kern w:val="0"/>
          <w:szCs w:val="24"/>
          <w:u w:val="none"/>
          <w:lang w:eastAsia="zh-CN"/>
        </w:rPr>
        <w:t>岳阳市华容县石伏工业园</w:t>
      </w:r>
      <w:r>
        <w:rPr>
          <w:rFonts w:hint="eastAsia" w:ascii="Times New Roman" w:hAnsi="Times New Roman"/>
          <w:color w:val="000000" w:themeColor="text1"/>
          <w:u w:val="none"/>
        </w:rPr>
        <w:t>，属于洞庭湖盆地，地层为元古界冷家溪群崔家坳组板岩和第四系覆盖层。冷家溪群崔家坳组为本区基底岩系，由板岩、砂质板岩、粉砂质板岩、凝灰质板岩及变质砂岩等组成。第四系覆盖层厚度大，分布于整个盆地，由冲、淤积物组成，主要为粉质粘土、淤泥质粘土、砂、砾石。</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olor w:val="000000" w:themeColor="text1"/>
          <w:u w:val="none"/>
        </w:rPr>
      </w:pPr>
      <w:r>
        <w:rPr>
          <w:rFonts w:hint="eastAsia" w:ascii="Times New Roman" w:hAnsi="Times New Roman"/>
          <w:color w:val="000000" w:themeColor="text1"/>
          <w:u w:val="none"/>
        </w:rPr>
        <w:t>区内未发现大的区域性断层通过，历史上也无破坏性地震记载，在路线勘察中，未揭露出明显的的破碎带，勘查区内及附近无不良地质构造，也没发现新的构造运动迹象。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themeColor="text1"/>
          <w:u w:val="none"/>
        </w:rPr>
      </w:pPr>
      <w:r>
        <w:rPr>
          <w:rFonts w:hint="eastAsia" w:ascii="Times New Roman" w:hAnsi="Times New Roman"/>
          <w:color w:val="000000" w:themeColor="text1"/>
          <w:u w:val="none"/>
        </w:rPr>
        <w:t>②地形地貌及周边环境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olor w:val="000000" w:themeColor="text1"/>
          <w:u w:val="none"/>
        </w:rPr>
      </w:pPr>
      <w:r>
        <w:rPr>
          <w:rFonts w:hint="eastAsia" w:ascii="Times New Roman" w:hAnsi="Times New Roman"/>
          <w:color w:val="000000" w:themeColor="text1"/>
          <w:u w:val="none"/>
        </w:rPr>
        <w:t>项目场地较为平整，地形简单，为一耕地，地面标高为黄海高程26.04-26.31 m。经地质调查和钻探揭示：原始地貌为洞庭湖平原地区。</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u w:val="none"/>
        </w:rPr>
      </w:pPr>
      <w:r>
        <w:rPr>
          <w:color w:val="000000" w:themeColor="text1"/>
          <w:u w:val="none"/>
        </w:rPr>
        <w:t>区域水文地质基本情况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color w:val="000000" w:themeColor="text1"/>
          <w:u w:val="none"/>
        </w:rPr>
      </w:pPr>
      <w:r>
        <w:rPr>
          <w:rFonts w:hint="eastAsia" w:ascii="Times New Roman" w:hAnsi="Times New Roman"/>
          <w:color w:val="000000" w:themeColor="text1"/>
          <w:u w:val="none"/>
        </w:rPr>
        <w:t>①</w:t>
      </w:r>
      <w:r>
        <w:rPr>
          <w:color w:val="000000" w:themeColor="text1"/>
          <w:u w:val="none"/>
        </w:rPr>
        <w:t>地下水类型、分布及赋存条件</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color w:val="000000" w:themeColor="text1"/>
          <w:u w:val="none"/>
        </w:rPr>
        <w:t>调查区地貌轮廓明显，地表分水岭清楚，水文地质条件较复杂，岩溶裂隙发育，且不均匀。根据调查区含水层的特点和地下水的类型，划分为松散岩类孔隙水、基岩裂隙水</w:t>
      </w:r>
      <w:r>
        <w:rPr>
          <w:rFonts w:hint="eastAsia"/>
          <w:color w:val="000000" w:themeColor="text1"/>
          <w:u w:val="none"/>
          <w:lang w:eastAsia="zh-CN"/>
        </w:rPr>
        <w:t>两</w:t>
      </w:r>
      <w:r>
        <w:rPr>
          <w:color w:val="000000" w:themeColor="text1"/>
          <w:u w:val="none"/>
        </w:rPr>
        <w:t>种类型。</w:t>
      </w:r>
    </w:p>
    <w:p>
      <w:pPr>
        <w:adjustRightInd w:val="0"/>
        <w:snapToGrid w:val="0"/>
        <w:spacing w:line="360" w:lineRule="auto"/>
        <w:ind w:firstLine="480" w:firstLineChars="200"/>
        <w:rPr>
          <w:rFonts w:hint="eastAsia"/>
          <w:color w:val="000000" w:themeColor="text1"/>
          <w:u w:val="none"/>
          <w:lang w:eastAsia="zh-CN"/>
        </w:rPr>
      </w:pPr>
      <w:r>
        <w:rPr>
          <w:color w:val="000000" w:themeColor="text1"/>
          <w:u w:val="none"/>
        </w:rPr>
        <w:t>厂区各地下水类型的富水性及含水岩性的渗透性</w:t>
      </w:r>
      <w:r>
        <w:rPr>
          <w:rFonts w:hint="eastAsia"/>
          <w:color w:val="000000" w:themeColor="text1"/>
          <w:u w:val="none"/>
          <w:lang w:eastAsia="zh-CN"/>
        </w:rPr>
        <w:t>见下表所示。</w:t>
      </w:r>
    </w:p>
    <w:p>
      <w:pPr>
        <w:pStyle w:val="127"/>
        <w:rPr>
          <w:b/>
          <w:bCs w:val="0"/>
          <w:color w:val="000000" w:themeColor="text1"/>
          <w:u w:val="none"/>
        </w:rPr>
      </w:pPr>
      <w:r>
        <w:rPr>
          <w:b/>
          <w:bCs w:val="0"/>
          <w:color w:val="000000" w:themeColor="text1"/>
          <w:u w:val="none"/>
        </w:rPr>
        <w:t xml:space="preserve">表 </w:t>
      </w:r>
      <w:r>
        <w:rPr>
          <w:b/>
          <w:bCs w:val="0"/>
          <w:color w:val="000000" w:themeColor="text1"/>
          <w:u w:val="none"/>
        </w:rPr>
        <w:fldChar w:fldCharType="begin"/>
      </w:r>
      <w:r>
        <w:rPr>
          <w:b/>
          <w:bCs w:val="0"/>
          <w:color w:val="000000" w:themeColor="text1"/>
          <w:u w:val="none"/>
        </w:rPr>
        <w:instrText xml:space="preserve"> STYLEREF 2 \s </w:instrText>
      </w:r>
      <w:r>
        <w:rPr>
          <w:b/>
          <w:bCs w:val="0"/>
          <w:color w:val="000000" w:themeColor="text1"/>
          <w:u w:val="none"/>
        </w:rPr>
        <w:fldChar w:fldCharType="separate"/>
      </w:r>
      <w:r>
        <w:rPr>
          <w:b/>
          <w:bCs w:val="0"/>
          <w:color w:val="000000" w:themeColor="text1"/>
          <w:u w:val="none"/>
        </w:rPr>
        <w:t>4</w:t>
      </w:r>
      <w:r>
        <w:rPr>
          <w:rFonts w:hint="eastAsia"/>
          <w:b/>
          <w:bCs w:val="0"/>
          <w:color w:val="000000" w:themeColor="text1"/>
          <w:u w:val="none"/>
          <w:lang w:val="en-US" w:eastAsia="zh-CN"/>
        </w:rPr>
        <w:t>.</w:t>
      </w:r>
      <w:r>
        <w:rPr>
          <w:b/>
          <w:bCs w:val="0"/>
          <w:color w:val="000000" w:themeColor="text1"/>
          <w:u w:val="none"/>
        </w:rPr>
        <w:t>1</w:t>
      </w:r>
      <w:r>
        <w:rPr>
          <w:b/>
          <w:bCs w:val="0"/>
          <w:color w:val="000000" w:themeColor="text1"/>
          <w:u w:val="none"/>
        </w:rPr>
        <w:fldChar w:fldCharType="end"/>
      </w:r>
      <w:r>
        <w:rPr>
          <w:rFonts w:hint="eastAsia"/>
          <w:b/>
          <w:bCs w:val="0"/>
          <w:color w:val="000000" w:themeColor="text1"/>
          <w:u w:val="none"/>
          <w:lang w:eastAsia="zh-CN"/>
        </w:rPr>
        <w:t>-</w:t>
      </w:r>
      <w:r>
        <w:rPr>
          <w:b/>
          <w:bCs w:val="0"/>
          <w:color w:val="000000" w:themeColor="text1"/>
          <w:u w:val="none"/>
        </w:rPr>
        <w:fldChar w:fldCharType="begin"/>
      </w:r>
      <w:r>
        <w:rPr>
          <w:b/>
          <w:bCs w:val="0"/>
          <w:color w:val="000000" w:themeColor="text1"/>
          <w:u w:val="none"/>
        </w:rPr>
        <w:instrText xml:space="preserve"> SEQ 表 \* ARABIC \s 2 </w:instrText>
      </w:r>
      <w:r>
        <w:rPr>
          <w:b/>
          <w:bCs w:val="0"/>
          <w:color w:val="000000" w:themeColor="text1"/>
          <w:u w:val="none"/>
        </w:rPr>
        <w:fldChar w:fldCharType="separate"/>
      </w:r>
      <w:r>
        <w:rPr>
          <w:b/>
          <w:bCs w:val="0"/>
          <w:color w:val="000000" w:themeColor="text1"/>
          <w:u w:val="none"/>
        </w:rPr>
        <w:t>22</w:t>
      </w:r>
      <w:r>
        <w:rPr>
          <w:b/>
          <w:bCs w:val="0"/>
          <w:color w:val="000000" w:themeColor="text1"/>
          <w:u w:val="none"/>
        </w:rPr>
        <w:fldChar w:fldCharType="end"/>
      </w:r>
      <w:r>
        <w:rPr>
          <w:rFonts w:hint="eastAsia"/>
          <w:b/>
          <w:bCs w:val="0"/>
          <w:color w:val="000000" w:themeColor="text1"/>
          <w:u w:val="none"/>
          <w:lang w:val="en-US" w:eastAsia="zh-CN"/>
        </w:rPr>
        <w:t xml:space="preserve">  </w:t>
      </w:r>
      <w:r>
        <w:rPr>
          <w:b/>
          <w:bCs w:val="0"/>
          <w:color w:val="000000" w:themeColor="text1"/>
          <w:u w:val="none"/>
        </w:rPr>
        <w:t>厂区地下水类型、富水性及含水岩组渗透性特征一览表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24"/>
        <w:gridCol w:w="898"/>
        <w:gridCol w:w="996"/>
        <w:gridCol w:w="1759"/>
        <w:gridCol w:w="1128"/>
        <w:gridCol w:w="1508"/>
        <w:gridCol w:w="1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24" w:type="dxa"/>
            <w:tcBorders>
              <w:left w:val="nil"/>
            </w:tcBorders>
            <w:noWrap w:val="0"/>
            <w:vAlign w:val="center"/>
          </w:tcPr>
          <w:p>
            <w:pPr>
              <w:pStyle w:val="122"/>
              <w:rPr>
                <w:color w:val="000000" w:themeColor="text1"/>
                <w:u w:val="none"/>
                <w:lang w:val="en-US" w:eastAsia="zh-CN"/>
              </w:rPr>
            </w:pPr>
            <w:r>
              <w:rPr>
                <w:color w:val="000000" w:themeColor="text1"/>
                <w:u w:val="none"/>
                <w:lang w:val="en-US" w:eastAsia="zh-CN"/>
              </w:rPr>
              <w:t>地下水</w:t>
            </w:r>
          </w:p>
          <w:p>
            <w:pPr>
              <w:pStyle w:val="122"/>
              <w:rPr>
                <w:color w:val="000000" w:themeColor="text1"/>
                <w:u w:val="none"/>
                <w:lang w:val="en-US" w:eastAsia="zh-CN"/>
              </w:rPr>
            </w:pPr>
            <w:r>
              <w:rPr>
                <w:color w:val="000000" w:themeColor="text1"/>
                <w:u w:val="none"/>
                <w:lang w:val="en-US" w:eastAsia="zh-CN"/>
              </w:rPr>
              <w:t>类型</w:t>
            </w:r>
          </w:p>
        </w:tc>
        <w:tc>
          <w:tcPr>
            <w:tcW w:w="898" w:type="dxa"/>
            <w:noWrap w:val="0"/>
            <w:vAlign w:val="center"/>
          </w:tcPr>
          <w:p>
            <w:pPr>
              <w:pStyle w:val="122"/>
              <w:rPr>
                <w:color w:val="000000" w:themeColor="text1"/>
                <w:u w:val="none"/>
                <w:lang w:val="en-US" w:eastAsia="zh-CN"/>
              </w:rPr>
            </w:pPr>
            <w:r>
              <w:rPr>
                <w:color w:val="000000" w:themeColor="text1"/>
                <w:u w:val="none"/>
                <w:lang w:val="en-US" w:eastAsia="zh-CN"/>
              </w:rPr>
              <w:t>富水性</w:t>
            </w:r>
          </w:p>
          <w:p>
            <w:pPr>
              <w:pStyle w:val="122"/>
              <w:rPr>
                <w:color w:val="000000" w:themeColor="text1"/>
                <w:u w:val="none"/>
                <w:lang w:val="en-US" w:eastAsia="zh-CN"/>
              </w:rPr>
            </w:pPr>
            <w:r>
              <w:rPr>
                <w:color w:val="000000" w:themeColor="text1"/>
                <w:u w:val="none"/>
                <w:lang w:val="en-US" w:eastAsia="zh-CN"/>
              </w:rPr>
              <w:t>等级</w:t>
            </w:r>
          </w:p>
        </w:tc>
        <w:tc>
          <w:tcPr>
            <w:tcW w:w="996" w:type="dxa"/>
            <w:noWrap w:val="0"/>
            <w:vAlign w:val="center"/>
          </w:tcPr>
          <w:p>
            <w:pPr>
              <w:pStyle w:val="122"/>
              <w:rPr>
                <w:color w:val="000000" w:themeColor="text1"/>
                <w:u w:val="none"/>
                <w:lang w:val="en-US" w:eastAsia="zh-CN"/>
              </w:rPr>
            </w:pPr>
            <w:r>
              <w:rPr>
                <w:color w:val="000000" w:themeColor="text1"/>
                <w:u w:val="none"/>
                <w:lang w:val="en-US" w:eastAsia="zh-CN"/>
              </w:rPr>
              <w:t>单孔涌水量等级(m</w:t>
            </w:r>
            <w:r>
              <w:rPr>
                <w:color w:val="000000" w:themeColor="text1"/>
                <w:u w:val="none"/>
                <w:vertAlign w:val="superscript"/>
                <w:lang w:val="en-US" w:eastAsia="zh-CN"/>
              </w:rPr>
              <w:t>3</w:t>
            </w:r>
            <w:r>
              <w:rPr>
                <w:color w:val="000000" w:themeColor="text1"/>
                <w:u w:val="none"/>
                <w:lang w:val="en-US" w:eastAsia="zh-CN"/>
              </w:rPr>
              <w:t>/d)</w:t>
            </w:r>
          </w:p>
        </w:tc>
        <w:tc>
          <w:tcPr>
            <w:tcW w:w="1759" w:type="dxa"/>
            <w:noWrap w:val="0"/>
            <w:vAlign w:val="center"/>
          </w:tcPr>
          <w:p>
            <w:pPr>
              <w:pStyle w:val="122"/>
              <w:rPr>
                <w:color w:val="000000" w:themeColor="text1"/>
                <w:u w:val="none"/>
                <w:lang w:val="en-US" w:eastAsia="zh-CN"/>
              </w:rPr>
            </w:pPr>
            <w:r>
              <w:rPr>
                <w:color w:val="000000" w:themeColor="text1"/>
                <w:u w:val="none"/>
                <w:lang w:val="en-US" w:eastAsia="zh-CN"/>
              </w:rPr>
              <w:t>含水岩组</w:t>
            </w:r>
          </w:p>
        </w:tc>
        <w:tc>
          <w:tcPr>
            <w:tcW w:w="1128" w:type="dxa"/>
            <w:noWrap w:val="0"/>
            <w:vAlign w:val="center"/>
          </w:tcPr>
          <w:p>
            <w:pPr>
              <w:pStyle w:val="122"/>
              <w:rPr>
                <w:color w:val="000000" w:themeColor="text1"/>
                <w:u w:val="none"/>
                <w:lang w:val="en-US" w:eastAsia="zh-CN"/>
              </w:rPr>
            </w:pPr>
            <w:r>
              <w:rPr>
                <w:color w:val="000000" w:themeColor="text1"/>
                <w:u w:val="none"/>
                <w:lang w:val="en-US" w:eastAsia="zh-CN"/>
              </w:rPr>
              <w:t>含水层厚（m）</w:t>
            </w:r>
          </w:p>
        </w:tc>
        <w:tc>
          <w:tcPr>
            <w:tcW w:w="1508" w:type="dxa"/>
            <w:noWrap w:val="0"/>
            <w:vAlign w:val="center"/>
          </w:tcPr>
          <w:p>
            <w:pPr>
              <w:pStyle w:val="122"/>
              <w:rPr>
                <w:color w:val="000000" w:themeColor="text1"/>
                <w:u w:val="none"/>
                <w:lang w:val="en-US" w:eastAsia="zh-CN"/>
              </w:rPr>
            </w:pPr>
            <w:r>
              <w:rPr>
                <w:color w:val="000000" w:themeColor="text1"/>
                <w:u w:val="none"/>
                <w:lang w:val="en-US" w:eastAsia="zh-CN"/>
              </w:rPr>
              <w:t>分布位置</w:t>
            </w:r>
          </w:p>
        </w:tc>
        <w:tc>
          <w:tcPr>
            <w:tcW w:w="1557" w:type="dxa"/>
            <w:tcBorders>
              <w:right w:val="nil"/>
            </w:tcBorders>
            <w:noWrap w:val="0"/>
            <w:vAlign w:val="center"/>
          </w:tcPr>
          <w:p>
            <w:pPr>
              <w:pStyle w:val="122"/>
              <w:rPr>
                <w:color w:val="000000" w:themeColor="text1"/>
                <w:u w:val="none"/>
                <w:lang w:val="en-US" w:eastAsia="zh-CN"/>
              </w:rPr>
            </w:pPr>
            <w:r>
              <w:rPr>
                <w:color w:val="000000" w:themeColor="text1"/>
                <w:u w:val="none"/>
                <w:lang w:val="en-US" w:eastAsia="zh-CN"/>
              </w:rPr>
              <w:t>含水岩组渗透性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24" w:type="dxa"/>
            <w:tcBorders>
              <w:left w:val="nil"/>
            </w:tcBorders>
            <w:noWrap w:val="0"/>
            <w:vAlign w:val="center"/>
          </w:tcPr>
          <w:p>
            <w:pPr>
              <w:pStyle w:val="122"/>
              <w:rPr>
                <w:color w:val="000000" w:themeColor="text1"/>
                <w:u w:val="none"/>
                <w:lang w:val="en-US" w:eastAsia="zh-CN"/>
              </w:rPr>
            </w:pPr>
            <w:r>
              <w:rPr>
                <w:color w:val="000000" w:themeColor="text1"/>
                <w:u w:val="none"/>
                <w:lang w:val="en-US" w:eastAsia="zh-CN"/>
              </w:rPr>
              <w:t>松散岩类孔隙水</w:t>
            </w:r>
          </w:p>
        </w:tc>
        <w:tc>
          <w:tcPr>
            <w:tcW w:w="898" w:type="dxa"/>
            <w:noWrap w:val="0"/>
            <w:vAlign w:val="center"/>
          </w:tcPr>
          <w:p>
            <w:pPr>
              <w:pStyle w:val="122"/>
              <w:rPr>
                <w:color w:val="000000" w:themeColor="text1"/>
                <w:u w:val="none"/>
                <w:lang w:val="en-US" w:eastAsia="zh-CN"/>
              </w:rPr>
            </w:pPr>
            <w:r>
              <w:rPr>
                <w:color w:val="000000" w:themeColor="text1"/>
                <w:u w:val="none"/>
                <w:lang w:val="en-US" w:eastAsia="zh-CN"/>
              </w:rPr>
              <w:t>水量贫乏</w:t>
            </w:r>
          </w:p>
        </w:tc>
        <w:tc>
          <w:tcPr>
            <w:tcW w:w="996" w:type="dxa"/>
            <w:noWrap w:val="0"/>
            <w:vAlign w:val="center"/>
          </w:tcPr>
          <w:p>
            <w:pPr>
              <w:pStyle w:val="122"/>
              <w:rPr>
                <w:color w:val="000000" w:themeColor="text1"/>
                <w:u w:val="none"/>
                <w:lang w:val="en-US" w:eastAsia="zh-CN"/>
              </w:rPr>
            </w:pPr>
            <w:r>
              <w:rPr>
                <w:color w:val="000000" w:themeColor="text1"/>
                <w:u w:val="none"/>
                <w:lang w:val="en-US" w:eastAsia="zh-CN"/>
              </w:rPr>
              <w:t>&lt;10</w:t>
            </w:r>
          </w:p>
        </w:tc>
        <w:tc>
          <w:tcPr>
            <w:tcW w:w="1759" w:type="dxa"/>
            <w:noWrap w:val="0"/>
            <w:vAlign w:val="center"/>
          </w:tcPr>
          <w:p>
            <w:pPr>
              <w:pStyle w:val="122"/>
              <w:rPr>
                <w:color w:val="000000" w:themeColor="text1"/>
                <w:u w:val="none"/>
                <w:lang w:val="en-US" w:eastAsia="zh-CN"/>
              </w:rPr>
            </w:pPr>
            <w:r>
              <w:rPr>
                <w:color w:val="000000" w:themeColor="text1"/>
                <w:u w:val="none"/>
                <w:lang w:val="en-US" w:eastAsia="zh-CN"/>
              </w:rPr>
              <w:t>全更新统（包括坡、残积层）粉砂砾石等</w:t>
            </w:r>
          </w:p>
        </w:tc>
        <w:tc>
          <w:tcPr>
            <w:tcW w:w="1128" w:type="dxa"/>
            <w:noWrap w:val="0"/>
            <w:vAlign w:val="center"/>
          </w:tcPr>
          <w:p>
            <w:pPr>
              <w:pStyle w:val="122"/>
              <w:rPr>
                <w:rFonts w:hint="eastAsia"/>
                <w:color w:val="000000" w:themeColor="text1"/>
                <w:u w:val="none"/>
                <w:lang w:val="en-US" w:eastAsia="zh-CN"/>
              </w:rPr>
            </w:pPr>
            <w:r>
              <w:rPr>
                <w:color w:val="000000" w:themeColor="text1"/>
                <w:u w:val="none"/>
                <w:lang w:val="en-US" w:eastAsia="zh-CN"/>
              </w:rPr>
              <w:t>厚3-5m</w:t>
            </w:r>
          </w:p>
        </w:tc>
        <w:tc>
          <w:tcPr>
            <w:tcW w:w="1508" w:type="dxa"/>
            <w:noWrap w:val="0"/>
            <w:vAlign w:val="center"/>
          </w:tcPr>
          <w:p>
            <w:pPr>
              <w:pStyle w:val="122"/>
              <w:rPr>
                <w:color w:val="000000" w:themeColor="text1"/>
                <w:u w:val="none"/>
                <w:lang w:val="en-US" w:eastAsia="zh-CN"/>
              </w:rPr>
            </w:pPr>
            <w:r>
              <w:rPr>
                <w:color w:val="000000" w:themeColor="text1"/>
                <w:u w:val="none"/>
                <w:lang w:val="en-US" w:eastAsia="zh-CN"/>
              </w:rPr>
              <w:t>场地的东侧</w:t>
            </w:r>
          </w:p>
        </w:tc>
        <w:tc>
          <w:tcPr>
            <w:tcW w:w="1557" w:type="dxa"/>
            <w:tcBorders>
              <w:right w:val="nil"/>
            </w:tcBorders>
            <w:noWrap w:val="0"/>
            <w:vAlign w:val="center"/>
          </w:tcPr>
          <w:p>
            <w:pPr>
              <w:pStyle w:val="122"/>
              <w:rPr>
                <w:color w:val="000000" w:themeColor="text1"/>
                <w:u w:val="none"/>
                <w:lang w:val="en-US" w:eastAsia="zh-CN"/>
              </w:rPr>
            </w:pPr>
            <w:r>
              <w:rPr>
                <w:color w:val="000000" w:themeColor="text1"/>
                <w:u w:val="none"/>
                <w:lang w:val="en-US" w:eastAsia="zh-CN"/>
              </w:rPr>
              <w:t>渗透系数一般在2~9m/d，属强透水层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824" w:type="dxa"/>
            <w:vMerge w:val="restart"/>
            <w:tcBorders>
              <w:left w:val="nil"/>
            </w:tcBorders>
            <w:noWrap w:val="0"/>
            <w:vAlign w:val="center"/>
          </w:tcPr>
          <w:p>
            <w:pPr>
              <w:pStyle w:val="122"/>
              <w:rPr>
                <w:color w:val="000000" w:themeColor="text1"/>
                <w:u w:val="none"/>
                <w:lang w:val="en-US" w:eastAsia="zh-CN"/>
              </w:rPr>
            </w:pPr>
            <w:r>
              <w:rPr>
                <w:color w:val="000000" w:themeColor="text1"/>
                <w:u w:val="none"/>
                <w:lang w:val="en-US" w:eastAsia="zh-CN"/>
              </w:rPr>
              <w:t>基岩裂隙水</w:t>
            </w:r>
          </w:p>
        </w:tc>
        <w:tc>
          <w:tcPr>
            <w:tcW w:w="898" w:type="dxa"/>
            <w:noWrap w:val="0"/>
            <w:vAlign w:val="center"/>
          </w:tcPr>
          <w:p>
            <w:pPr>
              <w:pStyle w:val="122"/>
              <w:rPr>
                <w:color w:val="000000" w:themeColor="text1"/>
                <w:u w:val="none"/>
                <w:lang w:val="en-US" w:eastAsia="zh-CN"/>
              </w:rPr>
            </w:pPr>
            <w:r>
              <w:rPr>
                <w:color w:val="000000" w:themeColor="text1"/>
                <w:u w:val="none"/>
                <w:lang w:val="en-US" w:eastAsia="zh-CN"/>
              </w:rPr>
              <w:t>水量贫乏裂隙潜水</w:t>
            </w:r>
          </w:p>
        </w:tc>
        <w:tc>
          <w:tcPr>
            <w:tcW w:w="996" w:type="dxa"/>
            <w:noWrap w:val="0"/>
            <w:vAlign w:val="center"/>
          </w:tcPr>
          <w:p>
            <w:pPr>
              <w:pStyle w:val="122"/>
              <w:rPr>
                <w:color w:val="000000" w:themeColor="text1"/>
                <w:u w:val="none"/>
                <w:lang w:val="en-US" w:eastAsia="zh-CN"/>
              </w:rPr>
            </w:pPr>
            <w:r>
              <w:rPr>
                <w:color w:val="000000" w:themeColor="text1"/>
                <w:u w:val="none"/>
                <w:lang w:val="en-US" w:eastAsia="zh-CN"/>
              </w:rPr>
              <w:t>&lt;10</w:t>
            </w:r>
          </w:p>
        </w:tc>
        <w:tc>
          <w:tcPr>
            <w:tcW w:w="1759" w:type="dxa"/>
            <w:noWrap w:val="0"/>
            <w:vAlign w:val="center"/>
          </w:tcPr>
          <w:p>
            <w:pPr>
              <w:pStyle w:val="122"/>
              <w:rPr>
                <w:color w:val="000000" w:themeColor="text1"/>
                <w:u w:val="none"/>
                <w:lang w:val="en-US" w:eastAsia="zh-CN"/>
              </w:rPr>
            </w:pPr>
            <w:r>
              <w:rPr>
                <w:color w:val="000000" w:themeColor="text1"/>
                <w:u w:val="none"/>
                <w:lang w:val="en-US" w:eastAsia="zh-CN"/>
              </w:rPr>
              <w:t>冷家溪群板岩、震旦系下统莲沱组页岩、寒武系下统羊楼阁洞组灰质页岩</w:t>
            </w:r>
          </w:p>
        </w:tc>
        <w:tc>
          <w:tcPr>
            <w:tcW w:w="1128" w:type="dxa"/>
            <w:noWrap w:val="0"/>
            <w:vAlign w:val="center"/>
          </w:tcPr>
          <w:p>
            <w:pPr>
              <w:pStyle w:val="122"/>
              <w:rPr>
                <w:color w:val="000000" w:themeColor="text1"/>
                <w:u w:val="none"/>
                <w:lang w:val="en-US" w:eastAsia="zh-CN"/>
              </w:rPr>
            </w:pPr>
            <w:r>
              <w:rPr>
                <w:color w:val="000000" w:themeColor="text1"/>
                <w:u w:val="none"/>
                <w:lang w:val="en-US" w:eastAsia="zh-CN"/>
              </w:rPr>
              <w:t>厚10-30m</w:t>
            </w:r>
          </w:p>
        </w:tc>
        <w:tc>
          <w:tcPr>
            <w:tcW w:w="1508" w:type="dxa"/>
            <w:noWrap w:val="0"/>
            <w:vAlign w:val="center"/>
          </w:tcPr>
          <w:p>
            <w:pPr>
              <w:pStyle w:val="122"/>
              <w:rPr>
                <w:color w:val="000000" w:themeColor="text1"/>
                <w:u w:val="none"/>
                <w:lang w:val="en-US" w:eastAsia="zh-CN"/>
              </w:rPr>
            </w:pPr>
            <w:r>
              <w:rPr>
                <w:color w:val="000000" w:themeColor="text1"/>
                <w:u w:val="none"/>
                <w:lang w:val="en-US" w:eastAsia="zh-CN"/>
              </w:rPr>
              <w:t>厂区东部大部分地区，呈带状分布</w:t>
            </w:r>
          </w:p>
        </w:tc>
        <w:tc>
          <w:tcPr>
            <w:tcW w:w="1557" w:type="dxa"/>
            <w:tcBorders>
              <w:right w:val="nil"/>
            </w:tcBorders>
            <w:noWrap w:val="0"/>
            <w:vAlign w:val="center"/>
          </w:tcPr>
          <w:p>
            <w:pPr>
              <w:pStyle w:val="122"/>
              <w:rPr>
                <w:color w:val="000000" w:themeColor="text1"/>
                <w:u w:val="none"/>
                <w:lang w:val="en-US" w:eastAsia="zh-CN"/>
              </w:rPr>
            </w:pPr>
            <w:r>
              <w:rPr>
                <w:color w:val="000000" w:themeColor="text1"/>
                <w:u w:val="none"/>
                <w:lang w:val="en-US" w:eastAsia="zh-CN"/>
              </w:rPr>
              <w:t>渗透系数2~5m/d，属强透水层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824" w:type="dxa"/>
            <w:vMerge w:val="continue"/>
            <w:tcBorders>
              <w:left w:val="nil"/>
            </w:tcBorders>
            <w:noWrap w:val="0"/>
            <w:vAlign w:val="center"/>
          </w:tcPr>
          <w:p>
            <w:pPr>
              <w:pStyle w:val="122"/>
              <w:rPr>
                <w:color w:val="000000" w:themeColor="text1"/>
                <w:u w:val="none"/>
                <w:lang w:val="en-US" w:eastAsia="zh-CN"/>
              </w:rPr>
            </w:pPr>
          </w:p>
        </w:tc>
        <w:tc>
          <w:tcPr>
            <w:tcW w:w="898" w:type="dxa"/>
            <w:noWrap w:val="0"/>
            <w:vAlign w:val="center"/>
          </w:tcPr>
          <w:p>
            <w:pPr>
              <w:pStyle w:val="122"/>
              <w:rPr>
                <w:color w:val="000000" w:themeColor="text1"/>
                <w:u w:val="none"/>
                <w:lang w:val="en-US" w:eastAsia="zh-CN"/>
              </w:rPr>
            </w:pPr>
            <w:r>
              <w:rPr>
                <w:color w:val="000000" w:themeColor="text1"/>
                <w:u w:val="none"/>
                <w:lang w:val="en-US" w:eastAsia="zh-CN"/>
              </w:rPr>
              <w:t>水量中等构造裂隙承压水</w:t>
            </w:r>
          </w:p>
        </w:tc>
        <w:tc>
          <w:tcPr>
            <w:tcW w:w="996" w:type="dxa"/>
            <w:noWrap w:val="0"/>
            <w:vAlign w:val="center"/>
          </w:tcPr>
          <w:p>
            <w:pPr>
              <w:pStyle w:val="122"/>
              <w:rPr>
                <w:color w:val="000000" w:themeColor="text1"/>
                <w:u w:val="none"/>
                <w:lang w:val="en-US" w:eastAsia="zh-CN"/>
              </w:rPr>
            </w:pPr>
            <w:r>
              <w:rPr>
                <w:color w:val="000000" w:themeColor="text1"/>
                <w:u w:val="none"/>
                <w:lang w:val="en-US" w:eastAsia="zh-CN"/>
              </w:rPr>
              <w:t>&lt;100</w:t>
            </w:r>
          </w:p>
        </w:tc>
        <w:tc>
          <w:tcPr>
            <w:tcW w:w="1759" w:type="dxa"/>
            <w:noWrap w:val="0"/>
            <w:vAlign w:val="center"/>
          </w:tcPr>
          <w:p>
            <w:pPr>
              <w:pStyle w:val="122"/>
              <w:rPr>
                <w:color w:val="000000" w:themeColor="text1"/>
                <w:u w:val="none"/>
                <w:lang w:val="en-US" w:eastAsia="zh-CN"/>
              </w:rPr>
            </w:pPr>
            <w:r>
              <w:rPr>
                <w:color w:val="000000" w:themeColor="text1"/>
                <w:u w:val="none"/>
                <w:lang w:val="en-US" w:eastAsia="zh-CN"/>
              </w:rPr>
              <w:t>震旦系灯影组硅质岩</w:t>
            </w:r>
          </w:p>
        </w:tc>
        <w:tc>
          <w:tcPr>
            <w:tcW w:w="1128" w:type="dxa"/>
            <w:noWrap w:val="0"/>
            <w:vAlign w:val="center"/>
          </w:tcPr>
          <w:p>
            <w:pPr>
              <w:pStyle w:val="122"/>
              <w:rPr>
                <w:color w:val="000000" w:themeColor="text1"/>
                <w:u w:val="none"/>
                <w:lang w:val="en-US" w:eastAsia="zh-CN"/>
              </w:rPr>
            </w:pPr>
            <w:r>
              <w:rPr>
                <w:color w:val="000000" w:themeColor="text1"/>
                <w:u w:val="none"/>
                <w:lang w:val="en-US" w:eastAsia="zh-CN"/>
              </w:rPr>
              <w:t>厚约47-70m</w:t>
            </w:r>
          </w:p>
        </w:tc>
        <w:tc>
          <w:tcPr>
            <w:tcW w:w="1508" w:type="dxa"/>
            <w:noWrap w:val="0"/>
            <w:vAlign w:val="center"/>
          </w:tcPr>
          <w:p>
            <w:pPr>
              <w:pStyle w:val="122"/>
              <w:rPr>
                <w:color w:val="000000" w:themeColor="text1"/>
                <w:u w:val="none"/>
                <w:lang w:val="en-US" w:eastAsia="zh-CN"/>
              </w:rPr>
            </w:pPr>
            <w:r>
              <w:rPr>
                <w:color w:val="000000" w:themeColor="text1"/>
                <w:u w:val="none"/>
                <w:lang w:val="en-US" w:eastAsia="zh-CN"/>
              </w:rPr>
              <w:t>厂址的表部大都有分布</w:t>
            </w:r>
          </w:p>
        </w:tc>
        <w:tc>
          <w:tcPr>
            <w:tcW w:w="1557" w:type="dxa"/>
            <w:tcBorders>
              <w:right w:val="nil"/>
            </w:tcBorders>
            <w:noWrap w:val="0"/>
            <w:vAlign w:val="center"/>
          </w:tcPr>
          <w:p>
            <w:pPr>
              <w:pStyle w:val="122"/>
              <w:rPr>
                <w:color w:val="000000" w:themeColor="text1"/>
                <w:u w:val="none"/>
                <w:lang w:val="en-US" w:eastAsia="zh-CN"/>
              </w:rPr>
            </w:pPr>
            <w:r>
              <w:rPr>
                <w:color w:val="000000" w:themeColor="text1"/>
                <w:u w:val="none"/>
                <w:lang w:val="en-US" w:eastAsia="zh-CN"/>
              </w:rPr>
              <w:t>岩石坚硬破碎、节理裂隙发育、透水性好</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b w:val="0"/>
          <w:bCs w:val="0"/>
          <w:color w:val="000000" w:themeColor="text1"/>
          <w:u w:val="none"/>
        </w:rPr>
      </w:pPr>
      <w:r>
        <w:rPr>
          <w:rFonts w:hint="eastAsia" w:ascii="Times New Roman" w:hAnsi="Times New Roman"/>
          <w:b w:val="0"/>
          <w:bCs w:val="0"/>
          <w:color w:val="000000" w:themeColor="text1"/>
          <w:u w:val="none"/>
        </w:rPr>
        <w:t>②</w:t>
      </w:r>
      <w:r>
        <w:rPr>
          <w:b w:val="0"/>
          <w:bCs w:val="0"/>
          <w:color w:val="000000" w:themeColor="text1"/>
          <w:u w:val="none"/>
        </w:rPr>
        <w:t>地下水补给、径流、排泄条件</w:t>
      </w:r>
    </w:p>
    <w:p>
      <w:pPr>
        <w:pStyle w:val="100"/>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b w:val="0"/>
          <w:bCs w:val="0"/>
          <w:color w:val="000000" w:themeColor="text1"/>
          <w:u w:val="none"/>
        </w:rPr>
      </w:pPr>
      <w:r>
        <w:rPr>
          <w:b w:val="0"/>
          <w:bCs w:val="0"/>
          <w:color w:val="000000" w:themeColor="text1"/>
          <w:u w:val="none"/>
        </w:rPr>
        <w:t>调查区内保存有一个完整的水文地质单元，其地下水的补给、径流、排泄条件及运动规律严格受地形、地貌、地质构造及水文地质条件的控制。</w:t>
      </w:r>
    </w:p>
    <w:p>
      <w:pPr>
        <w:pStyle w:val="100"/>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b w:val="0"/>
          <w:bCs w:val="0"/>
          <w:color w:val="000000" w:themeColor="text1"/>
          <w:u w:val="none"/>
        </w:rPr>
      </w:pPr>
      <w:r>
        <w:rPr>
          <w:b w:val="0"/>
          <w:bCs w:val="0"/>
          <w:color w:val="000000" w:themeColor="text1"/>
          <w:u w:val="none"/>
        </w:rPr>
        <w:t>松散岩类孔隙水主要靠接受降水补给，水位变化具明显的季节性差异，动态变化大，水位变幅3-5m。地下水总体流向是由高向低处径流，在地势低洼之沟谷以面流方式排泄；基岩裂隙水也是以降水补给为主要补给来源，水位变化具有季节性，这与松散岩类孔隙水相似。根据本次调查，调查区内地下水总体流向为：以</w:t>
      </w:r>
      <w:r>
        <w:rPr>
          <w:rFonts w:hint="eastAsia"/>
          <w:b w:val="0"/>
          <w:bCs w:val="0"/>
          <w:color w:val="000000" w:themeColor="text1"/>
          <w:u w:val="none"/>
          <w:lang w:eastAsia="zh-CN"/>
        </w:rPr>
        <w:t>南</w:t>
      </w:r>
      <w:r>
        <w:rPr>
          <w:b w:val="0"/>
          <w:bCs w:val="0"/>
          <w:color w:val="000000" w:themeColor="text1"/>
          <w:u w:val="none"/>
        </w:rPr>
        <w:t>侧一带为分水岭，地下水主要靠大气降水补给、径流方式由两侧运移，最终排入</w:t>
      </w:r>
      <w:r>
        <w:rPr>
          <w:rFonts w:hint="eastAsia"/>
          <w:b w:val="0"/>
          <w:bCs w:val="0"/>
          <w:color w:val="000000" w:themeColor="text1"/>
          <w:u w:val="none"/>
          <w:lang w:eastAsia="zh-CN"/>
        </w:rPr>
        <w:t>华</w:t>
      </w:r>
      <w:r>
        <w:rPr>
          <w:rFonts w:hint="eastAsia"/>
          <w:u w:val="none"/>
        </w:rPr>
        <w:t>容</w:t>
      </w:r>
      <w:r>
        <w:rPr>
          <w:rFonts w:hint="eastAsia"/>
          <w:b w:val="0"/>
          <w:bCs w:val="0"/>
          <w:color w:val="000000" w:themeColor="text1"/>
          <w:u w:val="none"/>
          <w:lang w:eastAsia="zh-CN"/>
        </w:rPr>
        <w:t>河</w:t>
      </w:r>
      <w:r>
        <w:rPr>
          <w:b w:val="0"/>
          <w:bCs w:val="0"/>
          <w:color w:val="000000" w:themeColor="text1"/>
          <w:u w:val="none"/>
        </w:rPr>
        <w:t>。其动态变化与大气降水密切相关。</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u w:val="none"/>
        </w:rPr>
      </w:pPr>
      <w:r>
        <w:rPr>
          <w:rFonts w:hint="eastAsia"/>
          <w:color w:val="000000" w:themeColor="text1"/>
          <w:u w:val="none"/>
          <w:lang w:eastAsia="zh-CN"/>
        </w:rPr>
        <w:t>工程地质特点</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color w:val="000000" w:themeColor="text1"/>
          <w:u w:val="none"/>
        </w:rPr>
        <w:t>项目区地岩土层工程地质特征如下：</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rFonts w:hint="eastAsia" w:ascii="宋体" w:hAnsi="宋体" w:eastAsia="宋体" w:cs="宋体"/>
          <w:color w:val="000000" w:themeColor="text1"/>
          <w:u w:val="none"/>
        </w:rPr>
        <w:t>①</w:t>
      </w:r>
      <w:r>
        <w:rPr>
          <w:color w:val="000000" w:themeColor="text1"/>
          <w:u w:val="none"/>
        </w:rPr>
        <w:t>人工填土、碎石土、粉质粘土松散土体：由人工填土之杂填土、素填土、第四系含碎石粉质粘土、粉质粘土等组成，广泛分布于现建设场地及外围周边地区。土体结构松散，分选性差，土的天然状态为硬塑—可塑，松散—中密，压缩系数0.005~0.021cm</w:t>
      </w:r>
      <w:r>
        <w:rPr>
          <w:color w:val="000000" w:themeColor="text1"/>
          <w:u w:val="none"/>
          <w:vertAlign w:val="superscript"/>
        </w:rPr>
        <w:t>2</w:t>
      </w:r>
      <w:r>
        <w:rPr>
          <w:color w:val="000000" w:themeColor="text1"/>
          <w:u w:val="none"/>
        </w:rPr>
        <w:t>/kg，内聚力6~8Mpa，内摩擦角15°~27°。</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rFonts w:hint="eastAsia" w:ascii="宋体" w:hAnsi="宋体" w:eastAsia="宋体" w:cs="宋体"/>
          <w:color w:val="000000" w:themeColor="text1"/>
          <w:u w:val="none"/>
        </w:rPr>
        <w:t>②</w:t>
      </w:r>
      <w:r>
        <w:rPr>
          <w:color w:val="000000" w:themeColor="text1"/>
          <w:u w:val="none"/>
        </w:rPr>
        <w:t>软弱—半坚硬风化板岩、砂岩、页岩岩性混合体：分布在基岩表层浅部残坡积层之下，埋深一般3~10m，岩石呈强—中等风化。强风化岩石岩体破碎，力学强度低，稳固性差，中风化岩石整体完整性较好，岩石饱和抗压强度一般大于30Mpa，整体稳固性较好。</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rFonts w:hint="eastAsia" w:ascii="宋体" w:hAnsi="宋体" w:eastAsia="宋体" w:cs="宋体"/>
          <w:color w:val="000000" w:themeColor="text1"/>
          <w:u w:val="none"/>
        </w:rPr>
        <w:t>③</w:t>
      </w:r>
      <w:r>
        <w:rPr>
          <w:color w:val="000000" w:themeColor="text1"/>
          <w:u w:val="none"/>
        </w:rPr>
        <w:t>半坚硬—坚硬板岩、砂岩、硅质岩岩性混合体：主要包括冷家溪群板岩，震旦系砂岩、砾岩、硅质页岩、硅质岩，寒武系页岩等。由于岩石多为层状或薄层状且节理裂隙发育，且岩石遇水易软化，力学强度偏低。但完整岩石特别是原层状板岩，透水含水性差，岩石致密坚硬，整体稳固性好。岩石饱和抗压强度大于100Mpa。</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bookmarkStart w:id="172" w:name="_Toc458169658"/>
      <w:bookmarkStart w:id="173" w:name="_Toc31791"/>
      <w:bookmarkStart w:id="174" w:name="_Toc459188179"/>
      <w:bookmarkStart w:id="175" w:name="_Toc18898"/>
      <w:bookmarkStart w:id="176" w:name="_Toc3616"/>
      <w:bookmarkStart w:id="177" w:name="_Toc20134"/>
      <w:r>
        <w:rPr>
          <w:rFonts w:hint="eastAsia" w:ascii="宋体" w:hAnsi="宋体" w:eastAsia="宋体" w:cs="宋体"/>
          <w:color w:val="000000" w:themeColor="text1"/>
          <w:u w:val="none"/>
        </w:rPr>
        <w:t>④</w:t>
      </w:r>
      <w:r>
        <w:rPr>
          <w:color w:val="000000" w:themeColor="text1"/>
          <w:u w:val="none"/>
        </w:rPr>
        <w:t>区域稳定性</w:t>
      </w:r>
      <w:bookmarkEnd w:id="172"/>
      <w:bookmarkEnd w:id="173"/>
      <w:bookmarkEnd w:id="174"/>
      <w:bookmarkEnd w:id="175"/>
      <w:bookmarkEnd w:id="176"/>
      <w:bookmarkEnd w:id="177"/>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color w:val="000000" w:themeColor="text1"/>
          <w:u w:val="none"/>
        </w:rPr>
        <w:t>调查区为长江中游重要的地震带之一。据《中国地震动参数区划图》(GB18306-2001)，本区地震基本烈度为Ⅵ度，地震加速度值为0.05g，地震特征周期值为0.35s。据历史记载近百年来，区内发生的地震均为3级以下的弱震。因此可认为本区为区域稳定区。</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bookmarkStart w:id="178" w:name="_Toc29550"/>
      <w:bookmarkStart w:id="179" w:name="_Toc459188180"/>
      <w:bookmarkStart w:id="180" w:name="_Toc25808"/>
      <w:bookmarkStart w:id="181" w:name="_Toc458169659"/>
      <w:bookmarkStart w:id="182" w:name="_Toc302936707"/>
      <w:bookmarkStart w:id="183" w:name="_Toc15438"/>
      <w:bookmarkStart w:id="184" w:name="_Toc31786"/>
      <w:r>
        <w:rPr>
          <w:rFonts w:hint="eastAsia" w:ascii="宋体" w:hAnsi="宋体" w:eastAsia="宋体" w:cs="宋体"/>
          <w:color w:val="000000" w:themeColor="text1"/>
          <w:u w:val="none"/>
        </w:rPr>
        <w:t>⑤</w:t>
      </w:r>
      <w:r>
        <w:rPr>
          <w:color w:val="000000" w:themeColor="text1"/>
          <w:u w:val="none"/>
        </w:rPr>
        <w:t>调查区水文地质评价</w:t>
      </w:r>
      <w:bookmarkEnd w:id="178"/>
      <w:bookmarkEnd w:id="179"/>
      <w:bookmarkEnd w:id="180"/>
      <w:bookmarkEnd w:id="181"/>
      <w:bookmarkEnd w:id="182"/>
      <w:bookmarkEnd w:id="183"/>
      <w:bookmarkEnd w:id="184"/>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color w:val="000000" w:themeColor="text1"/>
          <w:u w:val="none"/>
        </w:rPr>
        <w:t>总体看，建设场地区水文地质条件简单。但由于场地已进行挖填整平，改变了原来的地形地貌和水文地质条件，使开挖区、回填区水文地质条件有了较大改变。现根据调查结果，结合以往的成果资料综合分析，对现状场地的水文地质条件评价如下：</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color w:val="000000" w:themeColor="text1"/>
          <w:u w:val="none"/>
        </w:rPr>
        <w:t>开挖区地段，原始地貌为山丘，地势相对较高，经开挖削平后，地面标高一般为90m以下，岩石裸露，岩性为板岩，中—微风化，未见大的断层通过，仅见有小型褶皱和破碎带，岩层节理裂隙大都闭合或被泥质、石英脉充填。岩层含水透水性弱，富水性极贫乏。该区地下水以接受降水补给为主，沿浅部裂隙由高处向低处运移，径流较短，排泄于沟谷坡脚或补给相邻含水层，其水文地质条件简单。</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000000" w:themeColor="text1"/>
          <w:u w:val="none"/>
        </w:rPr>
      </w:pPr>
      <w:r>
        <w:rPr>
          <w:color w:val="000000" w:themeColor="text1"/>
          <w:u w:val="none"/>
        </w:rPr>
        <w:t>回填区地段，占大部分场地。原地貌为地势较低的丘包和沟谷，原地面表层多分布有厚度不等的残坡积碎石土或冲洪积粉质粘土、耕植土等，含贫乏孔隙水。土层以下为强—中风化基岩，含贫乏—极贫乏基岩裂隙水，二者互补，往往融为一体，成为混合含水体。随着大面积填土堆积其上，且填土层存在诸如堆填厚度、填料成分、压实程度等不确定性，使该地段填土层的地下水来源主要靠降水补给，因没有较好的储水构造，随补随排或继续下渗补给下层孔隙水或裂隙水，而造成其透水不含水的状态，在局部地段有可能形成上层滞水。在原始地貌为沟谷、地势低洼地段的地下水集中排泄区，则地下水可能相对富集。因该区段填土层存在上述较多的不确定性，故场地水文地质条件相对复杂，属水文地质条件中等复杂区段。</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color w:val="000000" w:themeColor="text1"/>
          <w:u w:val="none"/>
          <w:lang w:eastAsia="zh-CN"/>
        </w:rPr>
      </w:pPr>
      <w:r>
        <w:rPr>
          <w:color w:val="000000" w:themeColor="text1"/>
          <w:u w:val="none"/>
        </w:rPr>
        <w:t>综上，场地内地下水总体贫乏，岩层透水性弱，</w:t>
      </w:r>
      <w:r>
        <w:rPr>
          <w:b w:val="0"/>
          <w:bCs w:val="0"/>
          <w:color w:val="000000" w:themeColor="text1"/>
          <w:u w:val="none"/>
        </w:rPr>
        <w:t>地下水主要靠大气降水补给、径流方式由两侧运移，最终排入</w:t>
      </w:r>
      <w:r>
        <w:rPr>
          <w:rFonts w:hint="eastAsia"/>
          <w:b w:val="0"/>
          <w:bCs w:val="0"/>
          <w:color w:val="000000" w:themeColor="text1"/>
          <w:u w:val="none"/>
          <w:lang w:eastAsia="zh-CN"/>
        </w:rPr>
        <w:t>华</w:t>
      </w:r>
      <w:r>
        <w:rPr>
          <w:rFonts w:hint="eastAsia"/>
          <w:u w:val="none"/>
        </w:rPr>
        <w:t>容</w:t>
      </w:r>
      <w:r>
        <w:rPr>
          <w:rFonts w:hint="eastAsia"/>
          <w:b w:val="0"/>
          <w:bCs w:val="0"/>
          <w:color w:val="000000" w:themeColor="text1"/>
          <w:u w:val="none"/>
          <w:lang w:eastAsia="zh-CN"/>
        </w:rPr>
        <w:t>河</w:t>
      </w:r>
      <w:r>
        <w:rPr>
          <w:b w:val="0"/>
          <w:bCs w:val="0"/>
          <w:color w:val="000000" w:themeColor="text1"/>
          <w:u w:val="none"/>
        </w:rPr>
        <w:t>。其动态变化与大气降水密切相关</w:t>
      </w:r>
      <w:r>
        <w:rPr>
          <w:rFonts w:hint="eastAsia"/>
          <w:b w:val="0"/>
          <w:bCs w:val="0"/>
          <w:color w:val="000000" w:themeColor="text1"/>
          <w:u w:val="none"/>
          <w:lang w:eastAsia="zh-CN"/>
        </w:rPr>
        <w:t>。</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u w:val="none"/>
        </w:rPr>
      </w:pPr>
      <w:r>
        <w:rPr>
          <w:rFonts w:hint="eastAsia"/>
          <w:color w:val="000000" w:themeColor="text1"/>
          <w:u w:val="none"/>
          <w:lang w:eastAsia="zh-CN"/>
        </w:rPr>
        <w:t>地下水扩散速度及敏感性分析</w:t>
      </w:r>
    </w:p>
    <w:p>
      <w:pPr>
        <w:pStyle w:val="100"/>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color w:val="000000" w:themeColor="text1"/>
          <w:u w:val="none"/>
        </w:rPr>
      </w:pPr>
      <w:r>
        <w:rPr>
          <w:color w:val="000000" w:themeColor="text1"/>
          <w:u w:val="none"/>
        </w:rPr>
        <w:t>从项目附近的地下水</w:t>
      </w:r>
      <w:r>
        <w:rPr>
          <w:rFonts w:hint="eastAsia"/>
          <w:color w:val="000000" w:themeColor="text1"/>
          <w:u w:val="none"/>
          <w:lang w:eastAsia="zh-CN"/>
        </w:rPr>
        <w:t>现状</w:t>
      </w:r>
      <w:r>
        <w:rPr>
          <w:color w:val="000000" w:themeColor="text1"/>
          <w:u w:val="none"/>
        </w:rPr>
        <w:t>监测结果来看，其监测因子均满足《地下水质量标准》（GB/T14748-2017）Ⅲ类标准要求。经调查，本项目区内地质构造简单，且区内地下水含水层富水性较为贫乏；同时区域地表水资源丰富，评价区域内无集中式地下水用户，因此本项目无地下水环境敏感点。</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u w:val="none"/>
        </w:rPr>
      </w:pPr>
      <w:r>
        <w:rPr>
          <w:rFonts w:hint="eastAsia"/>
          <w:color w:val="000000" w:themeColor="text1"/>
          <w:u w:val="none"/>
          <w:lang w:eastAsia="zh-CN"/>
        </w:rPr>
        <w:t>工程涉及地下水污染源分析</w:t>
      </w:r>
    </w:p>
    <w:p>
      <w:pPr>
        <w:pStyle w:val="43"/>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eastAsia="宋体" w:cs="Times New Roman"/>
          <w:color w:val="000000" w:themeColor="text1"/>
          <w:kern w:val="2"/>
          <w:sz w:val="24"/>
          <w:szCs w:val="20"/>
          <w:u w:val="none"/>
          <w:lang w:val="en-US" w:eastAsia="zh-CN" w:bidi="ar-SA"/>
        </w:rPr>
      </w:pPr>
      <w:r>
        <w:rPr>
          <w:rFonts w:hint="eastAsia" w:ascii="Times New Roman" w:hAnsi="Times New Roman" w:eastAsia="宋体" w:cs="Times New Roman"/>
          <w:color w:val="000000" w:themeColor="text1"/>
          <w:kern w:val="2"/>
          <w:sz w:val="24"/>
          <w:szCs w:val="20"/>
          <w:u w:val="none"/>
          <w:lang w:val="en-US" w:eastAsia="zh-CN" w:bidi="ar-SA"/>
        </w:rPr>
        <w:t>本项目</w:t>
      </w:r>
      <w:r>
        <w:rPr>
          <w:rFonts w:hint="eastAsia" w:ascii="Times New Roman" w:eastAsia="宋体" w:cs="Times New Roman"/>
          <w:color w:val="000000" w:themeColor="text1"/>
          <w:kern w:val="2"/>
          <w:sz w:val="24"/>
          <w:szCs w:val="20"/>
          <w:u w:val="none"/>
          <w:lang w:val="en-US" w:eastAsia="zh-CN" w:bidi="ar-SA"/>
        </w:rPr>
        <w:t>涉及地下水的污染源主要为项目处理污水，可能造成地下水污染的主要区域为处理区域，主要污染为COD、氨氮。</w:t>
      </w:r>
    </w:p>
    <w:p>
      <w:pPr>
        <w:pStyle w:val="43"/>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2"/>
          <w:sz w:val="24"/>
          <w:szCs w:val="20"/>
          <w:u w:val="none"/>
          <w:lang w:val="en-US" w:eastAsia="zh-CN" w:bidi="ar-SA"/>
        </w:rPr>
      </w:pPr>
      <w:r>
        <w:rPr>
          <w:rFonts w:hint="eastAsia" w:ascii="Times New Roman" w:hAnsi="Times New Roman" w:eastAsia="宋体" w:cs="Times New Roman"/>
          <w:color w:val="000000" w:themeColor="text1"/>
          <w:kern w:val="2"/>
          <w:sz w:val="24"/>
          <w:szCs w:val="20"/>
          <w:u w:val="none"/>
          <w:lang w:val="en-US" w:eastAsia="zh-CN" w:bidi="ar-SA"/>
        </w:rPr>
        <w:t>厂区总体均采用了硬化地面，各区域均配套了防渗措施，正常工况下不会对厂区地下水造成污染。</w:t>
      </w:r>
    </w:p>
    <w:p>
      <w:pPr>
        <w:pStyle w:val="43"/>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2"/>
          <w:sz w:val="24"/>
          <w:szCs w:val="20"/>
          <w:u w:val="none"/>
          <w:lang w:val="en-US" w:eastAsia="zh-CN" w:bidi="ar-SA"/>
        </w:rPr>
      </w:pPr>
      <w:r>
        <w:rPr>
          <w:rFonts w:hint="eastAsia" w:ascii="Times New Roman" w:hAnsi="Times New Roman" w:eastAsia="宋体" w:cs="Times New Roman"/>
          <w:color w:val="000000" w:themeColor="text1"/>
          <w:kern w:val="2"/>
          <w:sz w:val="24"/>
          <w:szCs w:val="20"/>
          <w:u w:val="none"/>
          <w:lang w:val="en-US" w:eastAsia="zh-CN" w:bidi="ar-SA"/>
        </w:rPr>
        <w:t>在事故情况下，可能厂区防渗层因外界应力遭受破坏，物料发生泄漏出现地面溢流等进入厂区地下包气带迁移，才可能造成地下水体污染。</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u w:val="none"/>
        </w:rPr>
      </w:pPr>
      <w:r>
        <w:rPr>
          <w:rFonts w:hint="eastAsia"/>
          <w:color w:val="000000" w:themeColor="text1"/>
          <w:u w:val="none"/>
          <w:lang w:eastAsia="zh-CN"/>
        </w:rPr>
        <w:t>地下水影响分析机防治措施</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color w:val="000000" w:themeColor="text1"/>
          <w:sz w:val="24"/>
          <w:szCs w:val="24"/>
          <w:u w:val="none"/>
        </w:rPr>
      </w:pPr>
      <w:r>
        <w:rPr>
          <w:rFonts w:hint="eastAsia" w:ascii="宋体" w:hAnsi="宋体" w:eastAsia="宋体" w:cs="宋体"/>
          <w:color w:val="000000" w:themeColor="text1"/>
          <w:sz w:val="24"/>
          <w:szCs w:val="24"/>
          <w:u w:val="none"/>
        </w:rPr>
        <w:t>①</w:t>
      </w:r>
      <w:r>
        <w:rPr>
          <w:color w:val="000000" w:themeColor="text1"/>
          <w:sz w:val="24"/>
          <w:szCs w:val="24"/>
          <w:u w:val="none"/>
        </w:rPr>
        <w:t>正常工况地下水环境影响分析</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color w:val="000000" w:themeColor="text1"/>
          <w:sz w:val="24"/>
          <w:szCs w:val="24"/>
          <w:u w:val="none"/>
        </w:rPr>
      </w:pPr>
      <w:r>
        <w:rPr>
          <w:color w:val="000000" w:themeColor="text1"/>
          <w:sz w:val="24"/>
          <w:szCs w:val="24"/>
          <w:u w:val="none"/>
        </w:rPr>
        <w:t>正常工况下，本项目不会对地下水环境造成污染。</w:t>
      </w:r>
      <w:r>
        <w:rPr>
          <w:rFonts w:hint="eastAsia"/>
          <w:color w:val="000000" w:themeColor="text1"/>
          <w:sz w:val="24"/>
          <w:szCs w:val="24"/>
          <w:u w:val="none"/>
        </w:rPr>
        <w:t>处理</w:t>
      </w:r>
      <w:r>
        <w:rPr>
          <w:color w:val="000000" w:themeColor="text1"/>
          <w:sz w:val="24"/>
          <w:szCs w:val="24"/>
          <w:u w:val="none"/>
        </w:rPr>
        <w:t>区域经过防渗处理，正常情况下也不会对地下水产生不利影响。</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如果处理区域等可视场所发生泄漏，且硬化地面破损，即使有污水等少量泄漏，按目前的管理规范，必须及时采取措施，不能任由污水漫流渗漏，而对于泄漏初期短时间物料暴露而污染的少量土壤，则会尽快通过挖出进行处置，并将硬化防渗面进行修补，不能任其渗入地下水。因此，本项目在正常工况下对地下水环境影响较小，可通过加强管理措施来减少污染物逐步渗入包气带并可能污染潜水的影响。</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②事故状态下地下水环境影响分析</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本项目各区域均经过水泥硬化，采取分区防渗措施，突出保障重点防治区地下水不受污染。</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本项目主要考虑事故主要是：处理区域污染物（如物料等）因事故（断裂等）而发生泄漏，破坏厂区重点防渗区防渗层后，污染物将透过被破坏的防渗层“天窗”进入天然地层的包气带，污染地下水。</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采取地下水防渗分区措施后，可以进一步降低重点污染区基础下的土层防渗系数。在采取及时回收等措施的前提下，事故状态下（不破坏防渗层的情况下）污染物泄漏不会对重点污染源区和非污染区地下水产生不利影响。</w:t>
      </w:r>
    </w:p>
    <w:p>
      <w:pPr>
        <w:pStyle w:val="61"/>
        <w:rPr>
          <w:kern w:val="0"/>
        </w:rPr>
      </w:pPr>
      <w:r>
        <w:rPr>
          <w:rFonts w:hint="eastAsia"/>
          <w:kern w:val="0"/>
        </w:rPr>
        <w:t>小结</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本项目已从工艺装置的设计、管道设计、地面硬化等各方面对本项目所在装置区域进行了较为全面的防渗措施，本项目各区域的地面均采用防渗漏水泥地坪，不会发生外排废水对地下水渗漏，厂区实施了清污分流，雨水随雨水管网外排，不会造成雨水直接冲刷及渗漏影响地下水。</w:t>
      </w:r>
    </w:p>
    <w:p>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u w:val="none"/>
        </w:rPr>
      </w:pPr>
      <w:r>
        <w:rPr>
          <w:rFonts w:hint="eastAsia" w:ascii="宋体" w:hAnsi="宋体" w:eastAsia="宋体" w:cs="宋体"/>
          <w:color w:val="000000" w:themeColor="text1"/>
          <w:sz w:val="24"/>
          <w:szCs w:val="24"/>
          <w:u w:val="none"/>
        </w:rPr>
        <w:t>后期生产应加强管理，规范排污，避免设备的跑冒滴漏等影响，对地面、污水管网等定期检查，防止由于设备破损泄露等产生污染，禁止将废渣堆存于未设防渗措施的地坪。严格按照环评的要求对项目区周边的地下水实施定期监测，一旦发现污染，应启动应急措施，排查污染，并采取有效的处理措施防止污染水体扩散。</w:t>
      </w:r>
    </w:p>
    <w:p>
      <w:pPr>
        <w:spacing w:line="360" w:lineRule="auto"/>
        <w:ind w:firstLine="480" w:firstLineChars="200"/>
        <w:rPr>
          <w:color w:val="000000" w:themeColor="text1"/>
          <w:szCs w:val="24"/>
          <w:u w:val="none"/>
        </w:rPr>
      </w:pPr>
      <w:r>
        <w:rPr>
          <w:rFonts w:hint="eastAsia" w:ascii="宋体" w:hAnsi="宋体" w:eastAsia="宋体" w:cs="宋体"/>
          <w:color w:val="000000" w:themeColor="text1"/>
          <w:sz w:val="24"/>
          <w:szCs w:val="24"/>
          <w:u w:val="none"/>
        </w:rPr>
        <w:t>在规范生产、排污及加强监管等前提下，本项目对项目区地下水影响不大</w:t>
      </w:r>
      <w:r>
        <w:rPr>
          <w:rFonts w:hint="eastAsia" w:ascii="宋体" w:eastAsia="宋体" w:cs="宋体" w:hAnsiTheme="minorHAnsi"/>
          <w:color w:val="000000" w:themeColor="text1"/>
          <w:kern w:val="0"/>
          <w:szCs w:val="24"/>
          <w:u w:val="none"/>
        </w:rPr>
        <w:t>。</w:t>
      </w:r>
    </w:p>
    <w:p>
      <w:pPr>
        <w:pStyle w:val="5"/>
        <w:rPr>
          <w:color w:val="000000" w:themeColor="text1"/>
        </w:rPr>
      </w:pPr>
      <w:bookmarkStart w:id="185" w:name="_Toc532497666"/>
      <w:r>
        <w:rPr>
          <w:rFonts w:hint="eastAsia"/>
          <w:color w:val="000000" w:themeColor="text1"/>
        </w:rPr>
        <w:t>声环境影响分析</w:t>
      </w:r>
      <w:bookmarkEnd w:id="185"/>
    </w:p>
    <w:p>
      <w:pPr>
        <w:spacing w:line="360" w:lineRule="auto"/>
        <w:ind w:firstLine="480" w:firstLineChars="200"/>
        <w:rPr>
          <w:rFonts w:hint="eastAsia" w:hAnsi="宋体" w:cs="Times New Roman"/>
          <w:szCs w:val="24"/>
        </w:rPr>
      </w:pPr>
      <w:r>
        <w:rPr>
          <w:rFonts w:hint="eastAsia"/>
        </w:rPr>
        <w:t>本工程主要噪声源为各类泵类设备、搅拌机组、空压机、风机以及污泥脱水机等机械动力噪声，声压级一般为</w:t>
      </w:r>
      <w:r>
        <w:rPr>
          <w:rFonts w:hint="eastAsia" w:hAnsi="宋体" w:cs="Times New Roman"/>
          <w:szCs w:val="24"/>
          <w:lang w:val="en-US" w:eastAsia="zh-CN"/>
        </w:rPr>
        <w:t>60</w:t>
      </w:r>
      <w:r>
        <w:rPr>
          <w:rFonts w:hint="eastAsia" w:hAnsi="宋体" w:cs="Times New Roman"/>
          <w:szCs w:val="24"/>
        </w:rPr>
        <w:t>~</w:t>
      </w:r>
      <w:r>
        <w:rPr>
          <w:rFonts w:hint="eastAsia" w:hAnsi="宋体" w:cs="Times New Roman"/>
          <w:szCs w:val="24"/>
          <w:lang w:val="en-US" w:eastAsia="zh-CN"/>
        </w:rPr>
        <w:t>85</w:t>
      </w:r>
      <w:r>
        <w:rPr>
          <w:rFonts w:hint="eastAsia" w:hAnsi="宋体" w:cs="Times New Roman"/>
          <w:szCs w:val="24"/>
        </w:rPr>
        <w:t>dB，主要噪声设备噪声值见下表所示。</w:t>
      </w:r>
    </w:p>
    <w:p>
      <w:pPr>
        <w:pStyle w:val="43"/>
      </w:pPr>
    </w:p>
    <w:p>
      <w:pPr>
        <w:pStyle w:val="14"/>
        <w:spacing w:line="240" w:lineRule="auto"/>
      </w:pPr>
      <w:r>
        <w:rPr>
          <w:rFonts w:hint="eastAsia"/>
        </w:rPr>
        <w:t>表</w:t>
      </w:r>
      <w:r>
        <w:fldChar w:fldCharType="begin"/>
      </w:r>
      <w:r>
        <w:instrText xml:space="preserve"> STYLEREF 2 \s </w:instrText>
      </w:r>
      <w:r>
        <w:fldChar w:fldCharType="separate"/>
      </w:r>
      <w:r>
        <w:t>4</w:t>
      </w:r>
      <w:r>
        <w:rPr>
          <w:rFonts w:hint="eastAsia"/>
          <w:lang w:val="en-US" w:eastAsia="zh-CN"/>
        </w:rPr>
        <w:t>.</w:t>
      </w:r>
      <w:r>
        <w:t>1</w:t>
      </w:r>
      <w:r>
        <w:fldChar w:fldCharType="end"/>
      </w:r>
      <w:r>
        <w:noBreakHyphen/>
      </w:r>
      <w:r>
        <w:fldChar w:fldCharType="begin"/>
      </w:r>
      <w:r>
        <w:rPr>
          <w:rFonts w:hint="eastAsia"/>
        </w:rPr>
        <w:instrText xml:space="preserve">SEQ 表 \* ARABIC \s 2</w:instrText>
      </w:r>
      <w:r>
        <w:fldChar w:fldCharType="separate"/>
      </w:r>
      <w:r>
        <w:rPr>
          <w:rFonts w:hint="eastAsia"/>
        </w:rPr>
        <w:t>23</w:t>
      </w:r>
      <w:r>
        <w:fldChar w:fldCharType="end"/>
      </w:r>
      <w:r>
        <w:rPr>
          <w:rFonts w:hint="eastAsia"/>
          <w:lang w:val="en-US" w:eastAsia="zh-CN"/>
        </w:rPr>
        <w:t xml:space="preserve"> </w:t>
      </w:r>
      <w:r>
        <w:rPr>
          <w:rFonts w:hint="eastAsia" w:hAnsi="宋体" w:cs="Times New Roman"/>
          <w:szCs w:val="24"/>
        </w:rPr>
        <w:t>项目主要噪声源强标准  单位：dB（A）</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15"/>
        <w:gridCol w:w="884"/>
        <w:gridCol w:w="908"/>
        <w:gridCol w:w="1660"/>
        <w:gridCol w:w="2065"/>
        <w:gridCol w:w="1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序号</w:t>
            </w:r>
          </w:p>
        </w:tc>
        <w:tc>
          <w:tcPr>
            <w:tcW w:w="1515"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设备名称</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噪声源强</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数量</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地点</w:t>
            </w:r>
          </w:p>
        </w:tc>
        <w:tc>
          <w:tcPr>
            <w:tcW w:w="2065"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降噪措施</w:t>
            </w:r>
          </w:p>
        </w:tc>
        <w:tc>
          <w:tcPr>
            <w:tcW w:w="149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降噪后噪声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1</w:t>
            </w:r>
          </w:p>
        </w:tc>
        <w:tc>
          <w:tcPr>
            <w:tcW w:w="1515" w:type="dxa"/>
            <w:tcBorders>
              <w:tl2br w:val="nil"/>
              <w:tr2bl w:val="nil"/>
            </w:tcBorders>
            <w:vAlign w:val="center"/>
          </w:tcPr>
          <w:p>
            <w:pPr>
              <w:pStyle w:val="122"/>
              <w:adjustRightInd w:val="0"/>
              <w:snapToGrid w:val="0"/>
              <w:rPr>
                <w:rFonts w:cs="Times New Roman"/>
                <w:color w:val="FF0000"/>
              </w:rPr>
            </w:pPr>
            <w:r>
              <w:rPr>
                <w:rFonts w:hAnsi="宋体" w:cs="Times New Roman"/>
                <w:color w:val="000000" w:themeColor="text1"/>
              </w:rPr>
              <w:t>皮带输送机</w:t>
            </w:r>
          </w:p>
        </w:tc>
        <w:tc>
          <w:tcPr>
            <w:tcW w:w="884" w:type="dxa"/>
            <w:tcBorders>
              <w:tl2br w:val="nil"/>
              <w:tr2bl w:val="nil"/>
            </w:tcBorders>
            <w:vAlign w:val="center"/>
          </w:tcPr>
          <w:p>
            <w:pPr>
              <w:pStyle w:val="122"/>
              <w:adjustRightInd w:val="0"/>
              <w:snapToGrid w:val="0"/>
              <w:rPr>
                <w:rFonts w:cs="Times New Roman"/>
                <w:color w:val="FF0000"/>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FF0000"/>
              </w:rPr>
            </w:pPr>
            <w:r>
              <w:rPr>
                <w:rFonts w:hint="eastAsia" w:cs="Times New Roman"/>
                <w:color w:val="000000" w:themeColor="text1"/>
              </w:rPr>
              <w:t>1台</w:t>
            </w:r>
          </w:p>
        </w:tc>
        <w:tc>
          <w:tcPr>
            <w:tcW w:w="1660" w:type="dxa"/>
            <w:tcBorders>
              <w:tl2br w:val="nil"/>
              <w:tr2bl w:val="nil"/>
            </w:tcBorders>
            <w:vAlign w:val="center"/>
          </w:tcPr>
          <w:p>
            <w:pPr>
              <w:pStyle w:val="122"/>
              <w:adjustRightInd w:val="0"/>
              <w:snapToGrid w:val="0"/>
              <w:rPr>
                <w:rFonts w:cs="Times New Roman"/>
                <w:color w:val="FF0000"/>
              </w:rPr>
            </w:pPr>
            <w:r>
              <w:rPr>
                <w:rFonts w:hAnsi="宋体" w:cs="Times New Roman"/>
                <w:bCs/>
                <w:color w:val="000000" w:themeColor="text1"/>
              </w:rPr>
              <w:t>粗格栅及提升泵站</w:t>
            </w:r>
          </w:p>
        </w:tc>
        <w:tc>
          <w:tcPr>
            <w:tcW w:w="2065" w:type="dxa"/>
            <w:vMerge w:val="restart"/>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机房隔音、配消音器，基础减震、</w:t>
            </w:r>
            <w:r>
              <w:rPr>
                <w:rFonts w:cs="Times New Roman"/>
                <w:color w:val="000000" w:themeColor="text1"/>
              </w:rPr>
              <w:t>加强</w:t>
            </w:r>
            <w:r>
              <w:rPr>
                <w:rFonts w:hAnsi="宋体" w:cs="Times New Roman"/>
                <w:color w:val="000000" w:themeColor="text1"/>
              </w:rPr>
              <w:t>厂区</w:t>
            </w:r>
            <w:r>
              <w:rPr>
                <w:rFonts w:cs="Times New Roman"/>
                <w:color w:val="000000" w:themeColor="text1"/>
              </w:rPr>
              <w:t>绿化等</w:t>
            </w: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2</w:t>
            </w:r>
          </w:p>
        </w:tc>
        <w:tc>
          <w:tcPr>
            <w:tcW w:w="1515" w:type="dxa"/>
            <w:tcBorders>
              <w:tl2br w:val="nil"/>
              <w:tr2bl w:val="nil"/>
            </w:tcBorders>
            <w:vAlign w:val="center"/>
          </w:tcPr>
          <w:p>
            <w:pPr>
              <w:pStyle w:val="122"/>
              <w:adjustRightInd w:val="0"/>
              <w:snapToGrid w:val="0"/>
              <w:rPr>
                <w:rFonts w:cs="Times New Roman"/>
                <w:color w:val="FF0000"/>
              </w:rPr>
            </w:pPr>
            <w:r>
              <w:rPr>
                <w:rFonts w:hAnsi="宋体" w:cs="Times New Roman"/>
                <w:color w:val="000000" w:themeColor="text1"/>
              </w:rPr>
              <w:t>轴流风机</w:t>
            </w:r>
          </w:p>
        </w:tc>
        <w:tc>
          <w:tcPr>
            <w:tcW w:w="884" w:type="dxa"/>
            <w:tcBorders>
              <w:tl2br w:val="nil"/>
              <w:tr2bl w:val="nil"/>
            </w:tcBorders>
            <w:vAlign w:val="center"/>
          </w:tcPr>
          <w:p>
            <w:pPr>
              <w:pStyle w:val="122"/>
              <w:adjustRightInd w:val="0"/>
              <w:snapToGrid w:val="0"/>
              <w:rPr>
                <w:rFonts w:cs="Times New Roman"/>
                <w:color w:val="FF0000"/>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FF0000"/>
              </w:rPr>
            </w:pPr>
            <w:r>
              <w:rPr>
                <w:rFonts w:hint="eastAsia" w:cs="Times New Roman"/>
                <w:color w:val="000000" w:themeColor="text1"/>
              </w:rPr>
              <w:t>8</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FF0000"/>
              </w:rPr>
            </w:pPr>
            <w:r>
              <w:rPr>
                <w:rFonts w:hAnsi="宋体" w:cs="Times New Roman"/>
                <w:color w:val="000000" w:themeColor="text1"/>
              </w:rPr>
              <w:t>鼓风机房</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w:t>
            </w:r>
            <w:r>
              <w:rPr>
                <w:rFonts w:hint="eastAsia" w:cs="Times New Roman"/>
                <w:color w:val="000000" w:themeColor="text1"/>
                <w:lang w:val="en-US" w:eastAsia="zh-CN"/>
              </w:rPr>
              <w:t>5</w:t>
            </w:r>
            <w:r>
              <w:rPr>
                <w:rFonts w:cs="Times New Roman"/>
                <w:color w:val="000000" w:themeColor="text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3</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rFonts w:cs="Times New Roman"/>
                <w:color w:val="000000" w:themeColor="text1"/>
              </w:rPr>
              <w:t>空气悬浮鼓风机</w:t>
            </w:r>
          </w:p>
        </w:tc>
        <w:tc>
          <w:tcPr>
            <w:tcW w:w="884"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lang w:val="en-US" w:eastAsia="zh-CN"/>
              </w:rPr>
              <w:t>60</w:t>
            </w:r>
            <w:r>
              <w:rPr>
                <w:rFonts w:cs="Times New Roman"/>
                <w:color w:val="000000" w:themeColor="text1"/>
              </w:rPr>
              <w:t>~</w:t>
            </w:r>
            <w:r>
              <w:rPr>
                <w:rFonts w:hint="eastAsia" w:cs="Times New Roman"/>
                <w:color w:val="000000" w:themeColor="text1"/>
                <w:lang w:val="en-US" w:eastAsia="zh-CN"/>
              </w:rPr>
              <w:t>8</w:t>
            </w:r>
            <w:r>
              <w:rPr>
                <w:rFonts w:cs="Times New Roman"/>
                <w:color w:val="000000" w:themeColor="text1"/>
              </w:rPr>
              <w:t>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鼓风机房</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16" w:type="dxa"/>
            <w:vMerge w:val="restart"/>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4</w:t>
            </w:r>
          </w:p>
        </w:tc>
        <w:tc>
          <w:tcPr>
            <w:tcW w:w="1515" w:type="dxa"/>
            <w:vMerge w:val="restart"/>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潜水泵</w:t>
            </w:r>
          </w:p>
        </w:tc>
        <w:tc>
          <w:tcPr>
            <w:tcW w:w="884" w:type="dxa"/>
            <w:vMerge w:val="restart"/>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粗格栅及提升泵站</w:t>
            </w:r>
          </w:p>
        </w:tc>
        <w:tc>
          <w:tcPr>
            <w:tcW w:w="2065" w:type="dxa"/>
            <w:vMerge w:val="restart"/>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水下布置、</w:t>
            </w:r>
            <w:r>
              <w:rPr>
                <w:rFonts w:cs="Times New Roman"/>
                <w:color w:val="000000" w:themeColor="text1"/>
              </w:rPr>
              <w:t>选用低噪声设备、</w:t>
            </w:r>
            <w:r>
              <w:rPr>
                <w:rFonts w:hAnsi="宋体" w:cs="Times New Roman"/>
                <w:color w:val="000000" w:themeColor="text1"/>
              </w:rPr>
              <w:t>基础减震、</w:t>
            </w:r>
            <w:r>
              <w:rPr>
                <w:rFonts w:cs="Times New Roman"/>
                <w:color w:val="000000" w:themeColor="text1"/>
              </w:rPr>
              <w:t>加强</w:t>
            </w:r>
            <w:r>
              <w:rPr>
                <w:rFonts w:hAnsi="宋体" w:cs="Times New Roman"/>
                <w:color w:val="000000" w:themeColor="text1"/>
              </w:rPr>
              <w:t>厂区</w:t>
            </w:r>
            <w:r>
              <w:rPr>
                <w:rFonts w:cs="Times New Roman"/>
                <w:color w:val="000000" w:themeColor="text1"/>
              </w:rPr>
              <w:t>绿化等</w:t>
            </w:r>
          </w:p>
        </w:tc>
        <w:tc>
          <w:tcPr>
            <w:tcW w:w="1494" w:type="dxa"/>
            <w:vMerge w:val="restart"/>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tcBorders>
              <w:tl2br w:val="nil"/>
              <w:tr2bl w:val="nil"/>
            </w:tcBorders>
            <w:vAlign w:val="center"/>
          </w:tcPr>
          <w:p>
            <w:pPr>
              <w:pStyle w:val="122"/>
              <w:adjustRightInd w:val="0"/>
              <w:snapToGrid w:val="0"/>
              <w:rPr>
                <w:rFonts w:cs="Times New Roman"/>
                <w:color w:val="000000" w:themeColor="text1"/>
              </w:rPr>
            </w:pPr>
          </w:p>
        </w:tc>
        <w:tc>
          <w:tcPr>
            <w:tcW w:w="1515" w:type="dxa"/>
            <w:vMerge w:val="continue"/>
            <w:tcBorders>
              <w:tl2br w:val="nil"/>
              <w:tr2bl w:val="nil"/>
            </w:tcBorders>
            <w:vAlign w:val="center"/>
          </w:tcPr>
          <w:p>
            <w:pPr>
              <w:pStyle w:val="122"/>
              <w:adjustRightInd w:val="0"/>
              <w:snapToGrid w:val="0"/>
              <w:rPr>
                <w:rFonts w:hAnsi="宋体" w:cs="Times New Roman"/>
                <w:color w:val="000000" w:themeColor="text1"/>
              </w:rPr>
            </w:pPr>
          </w:p>
        </w:tc>
        <w:tc>
          <w:tcPr>
            <w:tcW w:w="884" w:type="dxa"/>
            <w:vMerge w:val="continue"/>
            <w:tcBorders>
              <w:tl2br w:val="nil"/>
              <w:tr2bl w:val="nil"/>
            </w:tcBorders>
            <w:vAlign w:val="center"/>
          </w:tcPr>
          <w:p>
            <w:pPr>
              <w:pStyle w:val="122"/>
              <w:adjustRightInd w:val="0"/>
              <w:snapToGrid w:val="0"/>
              <w:rPr>
                <w:rFonts w:cs="Times New Roman"/>
                <w:color w:val="000000" w:themeColor="text1"/>
              </w:rPr>
            </w:pP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2台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接触消毒池</w:t>
            </w:r>
          </w:p>
        </w:tc>
        <w:tc>
          <w:tcPr>
            <w:tcW w:w="2065" w:type="dxa"/>
            <w:vMerge w:val="continue"/>
            <w:tcBorders>
              <w:tl2br w:val="nil"/>
              <w:tr2bl w:val="nil"/>
            </w:tcBorders>
            <w:vAlign w:val="center"/>
          </w:tcPr>
          <w:p>
            <w:pPr>
              <w:pStyle w:val="122"/>
              <w:adjustRightInd w:val="0"/>
              <w:snapToGrid w:val="0"/>
              <w:rPr>
                <w:rFonts w:hAnsi="宋体" w:cs="Times New Roman"/>
                <w:color w:val="000000" w:themeColor="text1"/>
              </w:rPr>
            </w:pPr>
          </w:p>
        </w:tc>
        <w:tc>
          <w:tcPr>
            <w:tcW w:w="1494" w:type="dxa"/>
            <w:vMerge w:val="continue"/>
            <w:tcBorders>
              <w:tl2br w:val="nil"/>
              <w:tr2bl w:val="nil"/>
            </w:tcBorders>
            <w:vAlign w:val="center"/>
          </w:tcPr>
          <w:p>
            <w:pPr>
              <w:pStyle w:val="122"/>
              <w:adjustRightInd w:val="0"/>
              <w:snapToGrid w:val="0"/>
              <w:rPr>
                <w:rFonts w:cs="Times New Roman"/>
                <w:color w:val="000000" w:themeColor="text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5</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内回流</w:t>
            </w:r>
            <w:r>
              <w:rPr>
                <w:rFonts w:cs="Times New Roman"/>
                <w:color w:val="000000" w:themeColor="text1"/>
              </w:rPr>
              <w:t>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2</w:t>
            </w:r>
            <w:r>
              <w:rPr>
                <w:rFonts w:hAnsi="宋体"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组合池</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6</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反洗水泵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4</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int="eastAsia" w:hAnsi="宋体" w:cs="Times New Roman"/>
                <w:color w:val="000000" w:themeColor="text1"/>
              </w:rPr>
              <w:t>滤布</w:t>
            </w:r>
            <w:r>
              <w:rPr>
                <w:rFonts w:hAnsi="宋体" w:cs="Times New Roman"/>
                <w:color w:val="000000" w:themeColor="text1"/>
              </w:rPr>
              <w:t>滤池</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7</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rFonts w:hint="eastAsia" w:hAnsi="宋体" w:cs="Times New Roman"/>
                <w:color w:val="000000" w:themeColor="text1"/>
              </w:rPr>
              <w:t>潜水轴流泵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接触消毒池</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cs="Times New Roman"/>
                <w:color w:val="000000" w:themeColor="text1"/>
              </w:rPr>
              <w:t>≤6</w:t>
            </w:r>
            <w:r>
              <w:rPr>
                <w:rFonts w:hint="eastAsia" w:cs="Times New Roman"/>
                <w:color w:val="000000" w:themeColor="text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8</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循环水泵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2台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除臭系统</w:t>
            </w:r>
          </w:p>
        </w:tc>
        <w:tc>
          <w:tcPr>
            <w:tcW w:w="2065" w:type="dxa"/>
            <w:vMerge w:val="continue"/>
            <w:tcBorders>
              <w:tl2br w:val="nil"/>
              <w:tr2bl w:val="nil"/>
            </w:tcBorders>
            <w:vAlign w:val="center"/>
          </w:tcPr>
          <w:p>
            <w:pPr>
              <w:widowControl/>
              <w:adjustRightInd w:val="0"/>
              <w:snapToGrid w:val="0"/>
              <w:jc w:val="left"/>
              <w:rPr>
                <w:rFonts w:eastAsia="宋体" w:cs="Times New Roman"/>
                <w:color w:val="000000" w:themeColor="text1"/>
                <w:kern w:val="0"/>
                <w:sz w:val="2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eastAsia" w:eastAsia="宋体" w:cs="Times New Roman"/>
                <w:color w:val="000000" w:themeColor="text1"/>
                <w:lang w:eastAsia="zh-CN"/>
              </w:rPr>
            </w:pPr>
            <w:r>
              <w:rPr>
                <w:rFonts w:hint="eastAsia" w:cs="Times New Roman"/>
                <w:color w:val="000000" w:themeColor="text1"/>
                <w:lang w:val="en-US" w:eastAsia="zh-CN"/>
              </w:rPr>
              <w:t>9</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int="eastAsia" w:hAnsi="宋体" w:cs="Times New Roman"/>
                <w:color w:val="000000" w:themeColor="text1"/>
              </w:rPr>
              <w:t>泥饼</w:t>
            </w:r>
            <w:r>
              <w:rPr>
                <w:rFonts w:hAnsi="宋体" w:cs="Times New Roman"/>
                <w:color w:val="000000" w:themeColor="text1"/>
              </w:rPr>
              <w:t>输送系统</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70-75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4套</w:t>
            </w:r>
          </w:p>
        </w:tc>
        <w:tc>
          <w:tcPr>
            <w:tcW w:w="1660"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污泥浓缩池</w:t>
            </w:r>
          </w:p>
        </w:tc>
        <w:tc>
          <w:tcPr>
            <w:tcW w:w="2065" w:type="dxa"/>
            <w:vMerge w:val="restart"/>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选用低噪声设备、机房隔音、基础减振、合理布局、加强绿化等</w:t>
            </w: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hint="eastAsia" w:cs="Times New Roman"/>
                <w:color w:val="000000" w:themeColor="text1"/>
                <w:lang w:val="en-US" w:eastAsia="zh-CN"/>
              </w:rPr>
              <w:t>10</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color w:val="000000" w:themeColor="text1"/>
              </w:rPr>
              <w:t>压滤机进料泵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hint="eastAsia" w:cs="Times New Roman"/>
                <w:color w:val="000000" w:themeColor="text1"/>
              </w:rPr>
              <w:t>3</w:t>
            </w:r>
            <w:r>
              <w:rPr>
                <w:rFonts w:cs="Times New Roman"/>
                <w:color w:val="000000" w:themeColor="text1"/>
              </w:rPr>
              <w:t>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污泥浓缩池</w:t>
            </w:r>
          </w:p>
        </w:tc>
        <w:tc>
          <w:tcPr>
            <w:tcW w:w="2065" w:type="dxa"/>
            <w:vMerge w:val="continue"/>
            <w:tcBorders>
              <w:tl2br w:val="nil"/>
              <w:tr2bl w:val="nil"/>
            </w:tcBorders>
            <w:vAlign w:val="center"/>
          </w:tcPr>
          <w:p>
            <w:pPr>
              <w:pStyle w:val="122"/>
              <w:adjustRightInd w:val="0"/>
              <w:snapToGrid w:val="0"/>
              <w:rPr>
                <w:rFonts w:cs="Times New Roman"/>
                <w:color w:val="000000" w:themeColor="text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hint="eastAsia" w:cs="Times New Roman"/>
                <w:color w:val="000000" w:themeColor="text1"/>
                <w:lang w:val="en-US" w:eastAsia="zh-CN"/>
              </w:rPr>
              <w:t>11</w:t>
            </w:r>
          </w:p>
        </w:tc>
        <w:tc>
          <w:tcPr>
            <w:tcW w:w="1515" w:type="dxa"/>
            <w:tcBorders>
              <w:tl2br w:val="nil"/>
              <w:tr2bl w:val="nil"/>
            </w:tcBorders>
            <w:vAlign w:val="center"/>
          </w:tcPr>
          <w:p>
            <w:pPr>
              <w:pStyle w:val="122"/>
              <w:adjustRightInd w:val="0"/>
              <w:snapToGrid w:val="0"/>
              <w:rPr>
                <w:rFonts w:hAnsi="宋体" w:cs="Times New Roman"/>
                <w:color w:val="000000" w:themeColor="text1"/>
              </w:rPr>
            </w:pPr>
            <w:r>
              <w:rPr>
                <w:color w:val="000000" w:themeColor="text1"/>
              </w:rPr>
              <w:t>改性罐进料泵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2台</w:t>
            </w:r>
          </w:p>
        </w:tc>
        <w:tc>
          <w:tcPr>
            <w:tcW w:w="1660" w:type="dxa"/>
            <w:tcBorders>
              <w:tl2br w:val="nil"/>
              <w:tr2bl w:val="nil"/>
            </w:tcBorders>
            <w:vAlign w:val="center"/>
          </w:tcPr>
          <w:p>
            <w:pPr>
              <w:pStyle w:val="122"/>
              <w:adjustRightInd w:val="0"/>
              <w:snapToGrid w:val="0"/>
              <w:rPr>
                <w:rFonts w:hAnsi="宋体" w:cs="Times New Roman"/>
                <w:color w:val="000000" w:themeColor="text1"/>
              </w:rPr>
            </w:pPr>
            <w:r>
              <w:rPr>
                <w:rFonts w:hAnsi="宋体" w:cs="Times New Roman"/>
                <w:color w:val="000000" w:themeColor="text1"/>
              </w:rPr>
              <w:t>污泥浓缩池</w:t>
            </w:r>
          </w:p>
        </w:tc>
        <w:tc>
          <w:tcPr>
            <w:tcW w:w="2065" w:type="dxa"/>
            <w:vMerge w:val="continue"/>
            <w:tcBorders>
              <w:tl2br w:val="nil"/>
              <w:tr2bl w:val="nil"/>
            </w:tcBorders>
            <w:vAlign w:val="center"/>
          </w:tcPr>
          <w:p>
            <w:pPr>
              <w:pStyle w:val="122"/>
              <w:adjustRightInd w:val="0"/>
              <w:snapToGrid w:val="0"/>
              <w:rPr>
                <w:rFonts w:cs="Times New Roman"/>
                <w:color w:val="000000" w:themeColor="text1"/>
              </w:rPr>
            </w:pP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hint="eastAsia" w:cs="Times New Roman"/>
                <w:color w:val="000000" w:themeColor="text1"/>
                <w:lang w:val="en-US" w:eastAsia="zh-CN"/>
              </w:rPr>
              <w:t>12</w:t>
            </w:r>
          </w:p>
        </w:tc>
        <w:tc>
          <w:tcPr>
            <w:tcW w:w="151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潜污泵</w:t>
            </w:r>
          </w:p>
        </w:tc>
        <w:tc>
          <w:tcPr>
            <w:tcW w:w="884"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75-85</w:t>
            </w:r>
          </w:p>
        </w:tc>
        <w:tc>
          <w:tcPr>
            <w:tcW w:w="908"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2台</w:t>
            </w:r>
          </w:p>
        </w:tc>
        <w:tc>
          <w:tcPr>
            <w:tcW w:w="1660" w:type="dxa"/>
            <w:tcBorders>
              <w:tl2br w:val="nil"/>
              <w:tr2bl w:val="nil"/>
            </w:tcBorders>
            <w:vAlign w:val="center"/>
          </w:tcPr>
          <w:p>
            <w:pPr>
              <w:pStyle w:val="122"/>
              <w:adjustRightInd w:val="0"/>
              <w:snapToGrid w:val="0"/>
              <w:rPr>
                <w:rFonts w:cs="Times New Roman"/>
                <w:color w:val="000000" w:themeColor="text1"/>
              </w:rPr>
            </w:pPr>
            <w:r>
              <w:rPr>
                <w:rFonts w:cs="Times New Roman"/>
                <w:color w:val="000000" w:themeColor="text1"/>
              </w:rPr>
              <w:t>滤布滤池</w:t>
            </w:r>
          </w:p>
        </w:tc>
        <w:tc>
          <w:tcPr>
            <w:tcW w:w="2065" w:type="dxa"/>
            <w:tcBorders>
              <w:tl2br w:val="nil"/>
              <w:tr2bl w:val="nil"/>
            </w:tcBorders>
            <w:vAlign w:val="center"/>
          </w:tcPr>
          <w:p>
            <w:pPr>
              <w:pStyle w:val="122"/>
              <w:adjustRightInd w:val="0"/>
              <w:snapToGrid w:val="0"/>
              <w:rPr>
                <w:rFonts w:cs="Times New Roman"/>
                <w:color w:val="000000" w:themeColor="text1"/>
              </w:rPr>
            </w:pPr>
            <w:r>
              <w:rPr>
                <w:rFonts w:hAnsi="宋体" w:cs="Times New Roman"/>
                <w:color w:val="000000" w:themeColor="text1"/>
              </w:rPr>
              <w:t>设于提升泵站内、</w:t>
            </w:r>
            <w:r>
              <w:rPr>
                <w:rFonts w:cs="Times New Roman"/>
                <w:color w:val="000000" w:themeColor="text1"/>
              </w:rPr>
              <w:t>选用低噪声设备、</w:t>
            </w:r>
            <w:r>
              <w:rPr>
                <w:rFonts w:hAnsi="宋体" w:cs="Times New Roman"/>
                <w:color w:val="000000" w:themeColor="text1"/>
              </w:rPr>
              <w:t>基础减震等</w:t>
            </w:r>
          </w:p>
        </w:tc>
        <w:tc>
          <w:tcPr>
            <w:tcW w:w="1494" w:type="dxa"/>
            <w:tcBorders>
              <w:tl2br w:val="nil"/>
              <w:tr2bl w:val="nil"/>
            </w:tcBorders>
            <w:vAlign w:val="center"/>
          </w:tcPr>
          <w:p>
            <w:pPr>
              <w:pStyle w:val="122"/>
              <w:adjustRightInd w:val="0"/>
              <w:snapToGrid w:val="0"/>
              <w:rPr>
                <w:rFonts w:hint="default" w:eastAsia="宋体" w:cs="Times New Roman"/>
                <w:color w:val="000000" w:themeColor="text1"/>
                <w:lang w:val="en-US" w:eastAsia="zh-CN"/>
              </w:rPr>
            </w:pPr>
            <w:r>
              <w:rPr>
                <w:rFonts w:cs="Times New Roman"/>
                <w:color w:val="000000" w:themeColor="text1"/>
              </w:rPr>
              <w:t>≤</w:t>
            </w:r>
            <w:r>
              <w:rPr>
                <w:rFonts w:hint="eastAsia" w:cs="Times New Roman"/>
                <w:color w:val="000000" w:themeColor="text1"/>
                <w:lang w:val="en-US" w:eastAsia="zh-CN"/>
              </w:rPr>
              <w:t>45</w:t>
            </w:r>
          </w:p>
        </w:tc>
      </w:tr>
    </w:tbl>
    <w:p>
      <w:pPr>
        <w:pStyle w:val="155"/>
        <w:ind w:firstLine="480"/>
        <w:rPr>
          <w:rFonts w:ascii="宋体" w:hAnsi="宋体"/>
        </w:rPr>
      </w:pPr>
      <w:r>
        <w:rPr>
          <w:rFonts w:hint="eastAsia" w:ascii="宋体" w:hAnsi="宋体"/>
        </w:rPr>
        <w:t>本项目为补办环评项目，在项目运营期间，本次环评委托专业监测单位在本项目厂界四周进行了现场噪声监测，监测值见下表所示。</w:t>
      </w:r>
    </w:p>
    <w:p>
      <w:pPr>
        <w:pStyle w:val="14"/>
        <w:spacing w:line="240" w:lineRule="auto"/>
      </w:pPr>
      <w:r>
        <w:rPr>
          <w:rFonts w:hint="eastAsia"/>
        </w:rPr>
        <w:t xml:space="preserve">表 </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24</w:t>
      </w:r>
      <w:r>
        <w:fldChar w:fldCharType="end"/>
      </w:r>
      <w:r>
        <w:rPr>
          <w:rFonts w:hint="eastAsia"/>
        </w:rPr>
        <w:t xml:space="preserve">  厂界噪声监测结果一览表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320"/>
        <w:gridCol w:w="795"/>
        <w:gridCol w:w="2506"/>
        <w:gridCol w:w="1320"/>
        <w:gridCol w:w="1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3"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监测点</w:t>
            </w:r>
          </w:p>
        </w:tc>
        <w:tc>
          <w:tcPr>
            <w:tcW w:w="2115" w:type="dxa"/>
            <w:gridSpan w:val="2"/>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监测时间</w:t>
            </w:r>
          </w:p>
        </w:tc>
        <w:tc>
          <w:tcPr>
            <w:tcW w:w="2506"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监测结果</w:t>
            </w:r>
            <w:r>
              <w:rPr>
                <w:rFonts w:eastAsia="宋体" w:cs="Times New Roman"/>
                <w:color w:val="000000" w:themeColor="text1"/>
                <w:kern w:val="0"/>
                <w:sz w:val="21"/>
              </w:rPr>
              <w:t>Leq</w:t>
            </w:r>
            <w:r>
              <w:rPr>
                <w:rFonts w:hAnsi="宋体" w:eastAsia="宋体" w:cs="Times New Roman"/>
                <w:color w:val="000000" w:themeColor="text1"/>
                <w:kern w:val="0"/>
                <w:sz w:val="21"/>
              </w:rPr>
              <w:t>（</w:t>
            </w:r>
            <w:r>
              <w:rPr>
                <w:rFonts w:eastAsia="宋体" w:cs="Times New Roman"/>
                <w:color w:val="000000" w:themeColor="text1"/>
                <w:kern w:val="0"/>
                <w:sz w:val="21"/>
              </w:rPr>
              <w:t>A</w:t>
            </w:r>
            <w:r>
              <w:rPr>
                <w:rFonts w:hAnsi="宋体" w:eastAsia="宋体" w:cs="Times New Roman"/>
                <w:color w:val="000000" w:themeColor="text1"/>
                <w:kern w:val="0"/>
                <w:sz w:val="21"/>
              </w:rPr>
              <w:t>）</w:t>
            </w:r>
          </w:p>
        </w:tc>
        <w:tc>
          <w:tcPr>
            <w:tcW w:w="1320"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标准限值</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sz w:val="21"/>
              </w:rPr>
              <w:t>项目东厂界</w:t>
            </w:r>
            <w:r>
              <w:rPr>
                <w:rFonts w:eastAsia="宋体" w:cs="Times New Roman"/>
                <w:color w:val="000000"/>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widowControl/>
              <w:snapToGrid w:val="0"/>
              <w:spacing w:beforeLines="5" w:afterLines="5"/>
              <w:jc w:val="center"/>
              <w:rPr>
                <w:rFonts w:eastAsia="宋体" w:cs="Times New Roman"/>
                <w:color w:val="000000" w:themeColor="text1"/>
                <w:kern w:val="0"/>
                <w:sz w:val="21"/>
              </w:rPr>
            </w:pPr>
            <w:r>
              <w:rPr>
                <w:rFonts w:eastAsia="宋体" w:cs="Times New Roman"/>
                <w:color w:val="000000" w:themeColor="text1"/>
                <w:kern w:val="0"/>
                <w:sz w:val="21"/>
              </w:rPr>
              <w:t>54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widowControl/>
              <w:snapToGrid w:val="0"/>
              <w:spacing w:beforeLines="5" w:afterLines="5"/>
              <w:jc w:val="center"/>
              <w:rPr>
                <w:rFonts w:eastAsia="宋体" w:cs="Times New Roman"/>
                <w:color w:val="000000" w:themeColor="text1"/>
                <w:kern w:val="0"/>
                <w:sz w:val="21"/>
              </w:rPr>
            </w:pPr>
            <w:r>
              <w:rPr>
                <w:rFonts w:eastAsia="宋体" w:cs="Times New Roman"/>
                <w:color w:val="000000" w:themeColor="text1"/>
                <w:kern w:val="0"/>
                <w:sz w:val="21"/>
              </w:rPr>
              <w:t>45</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55</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45</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themeColor="text1"/>
                <w:sz w:val="21"/>
              </w:rPr>
              <w:t>项目南厂界</w:t>
            </w:r>
            <w:r>
              <w:rPr>
                <w:rFonts w:eastAsia="宋体" w:cs="Times New Roman"/>
                <w:color w:val="000000" w:themeColor="text1"/>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56</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42</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42</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themeColor="text1"/>
                <w:sz w:val="21"/>
              </w:rPr>
              <w:t>项目西厂界</w:t>
            </w:r>
            <w:r>
              <w:rPr>
                <w:rFonts w:eastAsia="宋体" w:cs="Times New Roman"/>
                <w:color w:val="000000" w:themeColor="text1"/>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54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widowControl/>
              <w:adjustRightInd w:val="0"/>
              <w:snapToGrid w:val="0"/>
              <w:jc w:val="center"/>
              <w:rPr>
                <w:rFonts w:eastAsia="宋体" w:cs="Times New Roman"/>
                <w:color w:val="000000" w:themeColor="text1"/>
                <w:kern w:val="0"/>
                <w:sz w:val="21"/>
              </w:rPr>
            </w:pPr>
            <w:r>
              <w:rPr>
                <w:rFonts w:eastAsia="宋体" w:cs="Times New Roman"/>
                <w:color w:val="000000" w:themeColor="text1"/>
                <w:kern w:val="0"/>
                <w:sz w:val="21"/>
              </w:rPr>
              <w:t>44</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56</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983" w:type="dxa"/>
            <w:vMerge w:val="continue"/>
            <w:vAlign w:val="center"/>
          </w:tcPr>
          <w:p>
            <w:pPr>
              <w:jc w:val="center"/>
              <w:rPr>
                <w:rFonts w:eastAsia="宋体" w:cs="Times New Roman"/>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43</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restart"/>
            <w:vAlign w:val="center"/>
          </w:tcPr>
          <w:p>
            <w:pPr>
              <w:jc w:val="center"/>
              <w:rPr>
                <w:rFonts w:eastAsia="宋体" w:cs="Times New Roman"/>
                <w:sz w:val="21"/>
              </w:rPr>
            </w:pPr>
            <w:r>
              <w:rPr>
                <w:rFonts w:hAnsi="宋体" w:eastAsia="宋体" w:cs="Times New Roman"/>
                <w:color w:val="000000"/>
                <w:sz w:val="21"/>
              </w:rPr>
              <w:t>项目东厂界</w:t>
            </w:r>
            <w:r>
              <w:rPr>
                <w:rFonts w:eastAsia="宋体" w:cs="Times New Roman"/>
                <w:color w:val="000000"/>
                <w:sz w:val="21"/>
              </w:rPr>
              <w:t>1m</w:t>
            </w: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2019.5.20</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52</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40</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restart"/>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2019.5.21</w:t>
            </w: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昼间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51</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6</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983" w:type="dxa"/>
            <w:vMerge w:val="continue"/>
            <w:vAlign w:val="center"/>
          </w:tcPr>
          <w:p>
            <w:pPr>
              <w:jc w:val="center"/>
              <w:rPr>
                <w:rFonts w:eastAsia="宋体" w:cs="Times New Roman"/>
                <w:bCs/>
                <w:color w:val="000000" w:themeColor="text1"/>
                <w:kern w:val="0"/>
                <w:sz w:val="21"/>
              </w:rPr>
            </w:pPr>
          </w:p>
        </w:tc>
        <w:tc>
          <w:tcPr>
            <w:tcW w:w="1320" w:type="dxa"/>
            <w:vMerge w:val="continue"/>
            <w:vAlign w:val="center"/>
          </w:tcPr>
          <w:p>
            <w:pPr>
              <w:jc w:val="center"/>
              <w:rPr>
                <w:rFonts w:eastAsia="宋体" w:cs="Times New Roman"/>
                <w:color w:val="000000" w:themeColor="text1"/>
                <w:kern w:val="0"/>
                <w:sz w:val="21"/>
              </w:rPr>
            </w:pPr>
          </w:p>
        </w:tc>
        <w:tc>
          <w:tcPr>
            <w:tcW w:w="795"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夜间</w:t>
            </w:r>
          </w:p>
        </w:tc>
        <w:tc>
          <w:tcPr>
            <w:tcW w:w="2506"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40</w:t>
            </w:r>
          </w:p>
        </w:tc>
        <w:tc>
          <w:tcPr>
            <w:tcW w:w="1320"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szCs w:val="20"/>
              </w:rPr>
              <w:t>5</w:t>
            </w:r>
            <w:r>
              <w:rPr>
                <w:rFonts w:hint="eastAsia" w:eastAsia="宋体" w:cs="Times New Roman"/>
                <w:color w:val="000000" w:themeColor="text1"/>
                <w:kern w:val="0"/>
                <w:sz w:val="21"/>
                <w:szCs w:val="20"/>
              </w:rPr>
              <w:t>5</w:t>
            </w:r>
          </w:p>
        </w:tc>
        <w:tc>
          <w:tcPr>
            <w:tcW w:w="1318" w:type="dxa"/>
            <w:vAlign w:val="center"/>
          </w:tcPr>
          <w:p>
            <w:pPr>
              <w:jc w:val="center"/>
              <w:rPr>
                <w:rFonts w:eastAsia="宋体" w:cs="Times New Roman"/>
                <w:color w:val="000000" w:themeColor="text1"/>
                <w:kern w:val="0"/>
                <w:sz w:val="21"/>
              </w:rPr>
            </w:pPr>
            <w:r>
              <w:rPr>
                <w:rFonts w:hAnsi="宋体" w:eastAsia="宋体" w:cs="Times New Roman"/>
                <w:color w:val="000000" w:themeColor="text1"/>
                <w:kern w:val="0"/>
                <w:sz w:val="21"/>
              </w:rPr>
              <w:t>达标</w:t>
            </w:r>
          </w:p>
        </w:tc>
      </w:tr>
    </w:tbl>
    <w:p>
      <w:pPr>
        <w:spacing w:line="360" w:lineRule="auto"/>
        <w:ind w:firstLine="480" w:firstLineChars="200"/>
      </w:pPr>
      <w:r>
        <w:rPr>
          <w:rFonts w:hint="eastAsia"/>
        </w:rPr>
        <w:t>由现状监测值可知本项目运营期间，北部、东部、西部厂界噪声能达《工业企业厂界环境噪声排放标准》（GB12348-2008）3类排放标准限值。根据现状监测值本项目产生的噪声对周边环境影响较小。</w:t>
      </w:r>
    </w:p>
    <w:p>
      <w:pPr>
        <w:pStyle w:val="155"/>
        <w:ind w:firstLine="480"/>
        <w:rPr>
          <w:rFonts w:ascii="宋体" w:hAnsi="宋体"/>
        </w:rPr>
      </w:pPr>
      <w:r>
        <w:rPr>
          <w:rFonts w:hint="eastAsia" w:ascii="宋体" w:hAnsi="宋体"/>
        </w:rPr>
        <w:t>综上，本项目产生的噪声对周边环境影响较小。</w:t>
      </w:r>
    </w:p>
    <w:p>
      <w:pPr>
        <w:pStyle w:val="5"/>
        <w:rPr>
          <w:color w:val="000000" w:themeColor="text1"/>
        </w:rPr>
      </w:pPr>
      <w:bookmarkStart w:id="186" w:name="_Toc532497667"/>
      <w:r>
        <w:rPr>
          <w:rFonts w:hint="eastAsia"/>
          <w:color w:val="000000" w:themeColor="text1"/>
        </w:rPr>
        <w:t>固废环境影响分析</w:t>
      </w:r>
      <w:bookmarkEnd w:id="186"/>
    </w:p>
    <w:p>
      <w:pPr>
        <w:spacing w:line="360" w:lineRule="auto"/>
        <w:ind w:firstLine="480" w:firstLineChars="200"/>
      </w:pPr>
      <w:r>
        <w:rPr>
          <w:rFonts w:hint="eastAsia"/>
        </w:rPr>
        <w:t>本项目产生的固体废物包括栅渣、沉砂、</w:t>
      </w:r>
      <w:r>
        <w:t>脱水污泥等一般工业固体废物。</w:t>
      </w:r>
    </w:p>
    <w:p>
      <w:pPr>
        <w:pStyle w:val="100"/>
        <w:spacing w:line="360" w:lineRule="auto"/>
        <w:ind w:firstLine="480"/>
      </w:pPr>
      <w:r>
        <w:rPr>
          <w:rFonts w:hint="eastAsia"/>
        </w:rPr>
        <w:t>（1）</w:t>
      </w:r>
      <w:r>
        <w:rPr>
          <w:rFonts w:ascii="宋体" w:hAnsi="宋体"/>
        </w:rPr>
        <w:t>固体废物主要污染途径</w:t>
      </w:r>
    </w:p>
    <w:p>
      <w:pPr>
        <w:pStyle w:val="100"/>
        <w:spacing w:line="360" w:lineRule="auto"/>
        <w:ind w:firstLine="480"/>
      </w:pPr>
      <w:r>
        <w:rPr>
          <w:rFonts w:ascii="宋体" w:hAnsi="宋体"/>
        </w:rPr>
        <w:t>以上各类固废由于收集、贮放、运输、处置等环节的不严格或不妥善，会造成土壤、地下水污染，其主要可能途径有：</w:t>
      </w:r>
    </w:p>
    <w:p>
      <w:pPr>
        <w:pStyle w:val="100"/>
        <w:spacing w:line="360" w:lineRule="auto"/>
        <w:ind w:firstLine="480"/>
      </w:pPr>
      <w:r>
        <w:rPr>
          <w:rFonts w:ascii="宋体" w:hAnsi="宋体"/>
        </w:rPr>
        <w:t>①废物产生后，不能完全收集而流失于环境中；</w:t>
      </w:r>
    </w:p>
    <w:p>
      <w:pPr>
        <w:pStyle w:val="100"/>
        <w:spacing w:line="360" w:lineRule="auto"/>
        <w:ind w:firstLine="480"/>
      </w:pPr>
      <w:r>
        <w:rPr>
          <w:rFonts w:ascii="宋体" w:hAnsi="宋体"/>
        </w:rPr>
        <w:t>②废物临时堆放地无防雨、防风、防渗设施，雨水洗淋后污染物随渗滤液进入土壤和地表、地下水环境，大风时也可造成风蚀流失；</w:t>
      </w:r>
    </w:p>
    <w:p>
      <w:pPr>
        <w:pStyle w:val="100"/>
        <w:spacing w:line="360" w:lineRule="auto"/>
        <w:ind w:firstLine="480"/>
      </w:pPr>
      <w:r>
        <w:rPr>
          <w:rFonts w:ascii="宋体" w:hAnsi="宋体"/>
        </w:rPr>
        <w:t>③因管理不善而造成人为流失继而污染环境；</w:t>
      </w:r>
    </w:p>
    <w:p>
      <w:pPr>
        <w:pStyle w:val="100"/>
        <w:spacing w:line="360" w:lineRule="auto"/>
        <w:ind w:firstLine="480"/>
      </w:pPr>
      <w:r>
        <w:rPr>
          <w:rFonts w:ascii="宋体" w:hAnsi="宋体"/>
        </w:rPr>
        <w:t>④废物得不到及时处置，在处置场所因各种因素造成流失；</w:t>
      </w:r>
    </w:p>
    <w:p>
      <w:pPr>
        <w:pStyle w:val="100"/>
        <w:spacing w:line="360" w:lineRule="auto"/>
        <w:ind w:firstLine="480"/>
      </w:pPr>
      <w:r>
        <w:rPr>
          <w:rFonts w:ascii="宋体" w:hAnsi="宋体"/>
        </w:rPr>
        <w:t>⑤废物处置工艺不合理，有毒有害物质被转移而造成二次污染问题；</w:t>
      </w:r>
    </w:p>
    <w:p>
      <w:pPr>
        <w:pStyle w:val="100"/>
        <w:spacing w:line="360" w:lineRule="auto"/>
        <w:ind w:firstLine="480"/>
      </w:pPr>
      <w:r>
        <w:rPr>
          <w:rFonts w:hint="eastAsia"/>
        </w:rPr>
        <w:t>（2）</w:t>
      </w:r>
      <w:r>
        <w:rPr>
          <w:rFonts w:ascii="宋体" w:hAnsi="宋体"/>
        </w:rPr>
        <w:t>固体废物对环境的污染危害影响</w:t>
      </w:r>
    </w:p>
    <w:p>
      <w:pPr>
        <w:pStyle w:val="100"/>
        <w:spacing w:line="360" w:lineRule="auto"/>
        <w:ind w:firstLine="480"/>
      </w:pPr>
      <w:r>
        <w:rPr>
          <w:rFonts w:ascii="宋体" w:hAnsi="宋体"/>
        </w:rPr>
        <w:t>本项目污染物排放如不受控制，在上述所列污染途径情况下，可能对环境的污染危害影响主要有</w:t>
      </w:r>
      <w:r>
        <w:rPr>
          <w:rFonts w:hint="eastAsia" w:ascii="宋体" w:hAnsi="宋体"/>
        </w:rPr>
        <w:t>：</w:t>
      </w:r>
      <w:r>
        <w:rPr>
          <w:rFonts w:ascii="宋体" w:hAnsi="宋体"/>
        </w:rPr>
        <w:t>生活垃圾的杂乱堆积影响人们居住环境的卫生状况，对人们的健康构成威胁。</w:t>
      </w:r>
    </w:p>
    <w:p>
      <w:pPr>
        <w:pStyle w:val="100"/>
        <w:spacing w:line="360" w:lineRule="auto"/>
        <w:ind w:firstLine="480"/>
      </w:pPr>
      <w:r>
        <w:rPr>
          <w:rFonts w:hint="eastAsia"/>
        </w:rPr>
        <w:t>（3）</w:t>
      </w:r>
      <w:r>
        <w:rPr>
          <w:rFonts w:ascii="宋体" w:hAnsi="宋体"/>
        </w:rPr>
        <w:t>项目对固体废物采取的措施及影响分析</w:t>
      </w:r>
    </w:p>
    <w:p>
      <w:pPr>
        <w:pStyle w:val="100"/>
        <w:spacing w:line="360" w:lineRule="auto"/>
        <w:ind w:firstLine="480"/>
        <w:rPr>
          <w:rFonts w:ascii="宋体" w:hAnsi="宋体"/>
        </w:rPr>
      </w:pPr>
      <w:r>
        <w:rPr>
          <w:rFonts w:ascii="宋体" w:hAnsi="宋体"/>
        </w:rPr>
        <w:t>本项目设置一般固体废物，一般固体废物需作好防风、防雨措施，地面进行硬化处理。项目一般固体废物的种类较多，收集的固废可分类暂存于暂存区。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70C0"/>
          <w:u w:val="single"/>
          <w:lang w:val="en-US" w:eastAsia="zh-CN"/>
        </w:rPr>
      </w:pPr>
      <w:r>
        <w:rPr>
          <w:rFonts w:hint="eastAsia" w:cs="Times New Roman"/>
          <w:color w:val="0070C0"/>
          <w:u w:val="single"/>
          <w:lang w:val="en-US" w:eastAsia="zh-CN"/>
        </w:rPr>
        <w:t>根据上述固废污染源章节分析可知，</w:t>
      </w:r>
      <w:r>
        <w:rPr>
          <w:rFonts w:hint="default" w:ascii="Times New Roman" w:hAnsi="Times New Roman" w:cs="Times New Roman"/>
          <w:color w:val="0070C0"/>
          <w:u w:val="single"/>
          <w:lang w:val="en-US" w:eastAsia="zh-CN"/>
        </w:rPr>
        <w:t>本项目符合环保部《关于污（废）水处理设施产生污泥危险特性鉴别有关意见的函》（环函【2010】129号）的第三条规范要求。则桥东污水处理厂产生的污泥和栅渣可不需要进行污泥浸出毒性实验，对其污泥可作为一般固体废物管理。如桥东污水处理厂以后有接收工业企业排放的废水有涉及有毒有害成分的，则需对其污泥按照《国家危险废物名录》、国家环境保护标准《危险废物鉴别技术规范》（HJ/T298-2007）和危险废物鉴别标准的规定，建设单位需请具有危险废物鉴别资质的单位对污泥、格栅进行鉴别，根据鉴别结果：</w:t>
      </w:r>
      <w:r>
        <w:rPr>
          <w:rFonts w:hint="default" w:ascii="Times New Roman" w:hAnsi="Times New Roman" w:eastAsia="宋体" w:cs="Times New Roman"/>
          <w:color w:val="0070C0"/>
          <w:u w:val="single"/>
          <w:lang w:val="en-US" w:eastAsia="zh-CN"/>
        </w:rPr>
        <w:t>①</w:t>
      </w:r>
      <w:r>
        <w:rPr>
          <w:rFonts w:hint="default" w:ascii="Times New Roman" w:hAnsi="Times New Roman" w:cs="Times New Roman"/>
          <w:color w:val="0070C0"/>
          <w:u w:val="single"/>
          <w:lang w:val="en-US" w:eastAsia="zh-CN"/>
        </w:rPr>
        <w:t>如不属于危险废物，可按照一般固废处置方式对污泥进行处理处置，可交由当地环卫部门在满足填埋条件后安全填埋。</w:t>
      </w:r>
      <w:r>
        <w:rPr>
          <w:rFonts w:hint="default" w:ascii="Times New Roman" w:hAnsi="Times New Roman" w:eastAsia="宋体" w:cs="Times New Roman"/>
          <w:color w:val="0070C0"/>
          <w:u w:val="single"/>
          <w:lang w:val="en-US" w:eastAsia="zh-CN"/>
        </w:rPr>
        <w:t>②如经检测属于危险废物，则需将污泥交由相应处理处置危险废物资质的单位处理处置。根据《关于加强城镇污水处理厂污泥污染防治工作的通知》（环办【2010】157号）中相关规定：污水处理厂以贮存（即不处理处置）为目的将污泥运出厂界的，必须将污泥脱水至含水率50%以下。</w:t>
      </w:r>
    </w:p>
    <w:p>
      <w:pPr>
        <w:pStyle w:val="100"/>
        <w:spacing w:line="360" w:lineRule="auto"/>
        <w:ind w:firstLine="480"/>
      </w:pPr>
      <w:r>
        <w:rPr>
          <w:rFonts w:hint="eastAsia" w:ascii="宋体" w:hAnsi="宋体"/>
          <w:lang w:val="en-US" w:eastAsia="zh-CN"/>
        </w:rPr>
        <w:t>则本</w:t>
      </w:r>
      <w:r>
        <w:rPr>
          <w:rFonts w:ascii="宋体" w:hAnsi="宋体"/>
        </w:rPr>
        <w:t>项目生产过程中收集到的栅渣、沉砂、脱水污泥等均为一般固体废物，在一般固体废物暂存区分类收集暂存后，</w:t>
      </w:r>
      <w:r>
        <w:rPr>
          <w:rFonts w:hint="eastAsia" w:ascii="宋体" w:hAnsi="宋体"/>
        </w:rPr>
        <w:t>回用于生产或</w:t>
      </w:r>
      <w:r>
        <w:rPr>
          <w:rFonts w:ascii="宋体" w:hAnsi="宋体"/>
        </w:rPr>
        <w:t>定期外售综合利用。项目一般固体废物的暂存需按照《一般工业固体废物贮存、处置场污染控制标准（</w:t>
      </w:r>
      <w:r>
        <w:t>GB18599-2001</w:t>
      </w:r>
      <w:r>
        <w:rPr>
          <w:rFonts w:ascii="宋体" w:hAnsi="宋体"/>
        </w:rPr>
        <w:t>）》及其修改单的相关要求建设、管理规范暂存库，通过加强管理，不与危险废物和生活垃圾相混。</w:t>
      </w:r>
    </w:p>
    <w:p>
      <w:pPr>
        <w:pStyle w:val="100"/>
        <w:spacing w:line="360" w:lineRule="auto"/>
        <w:ind w:firstLine="480"/>
        <w:rPr>
          <w:rFonts w:ascii="宋体" w:hAnsi="宋体"/>
        </w:rPr>
      </w:pPr>
      <w:r>
        <w:rPr>
          <w:rFonts w:ascii="宋体" w:hAnsi="宋体"/>
        </w:rPr>
        <w:t>项目固体废物按上述措施实施后，可满足环保要求，各类固体废物可得到有效处置。生活垃圾：本项目职工办公、生活产生的垃圾属于生活垃圾，建设单位在厂内设立垃圾收集箱，由环卫部门集中收集处理，对环境的影响很小。项目生产过程产生的固体废物经上述措施处理后，不会造成环境污染。</w:t>
      </w:r>
    </w:p>
    <w:p>
      <w:pPr>
        <w:pStyle w:val="5"/>
      </w:pPr>
      <w:r>
        <w:rPr>
          <w:rFonts w:hint="eastAsia"/>
        </w:rPr>
        <w:t>土壤环境影响分析</w:t>
      </w:r>
    </w:p>
    <w:p>
      <w:pPr>
        <w:spacing w:line="360" w:lineRule="auto"/>
        <w:ind w:firstLine="480" w:firstLineChars="200"/>
        <w:rPr>
          <w:rFonts w:cs="Times New Roman"/>
        </w:rPr>
      </w:pPr>
      <w:r>
        <w:rPr>
          <w:rFonts w:cs="Times New Roman"/>
        </w:rPr>
        <w:t>本项目施工活动已经结束，工程建设期的大部分分开挖面已由建筑（构）物所取代，工程施工对土壤和生态环境的影响降到最低程度。项目地面构筑物分布较多，主要管道位于地下水，随着施工期结束以及植被恢复措施的落实施工期影响消失。</w:t>
      </w:r>
    </w:p>
    <w:p>
      <w:pPr>
        <w:spacing w:line="360" w:lineRule="auto"/>
        <w:ind w:firstLine="480" w:firstLineChars="200"/>
        <w:rPr>
          <w:rFonts w:cs="Times New Roman"/>
          <w:szCs w:val="24"/>
        </w:rPr>
      </w:pPr>
      <w:r>
        <w:rPr>
          <w:rFonts w:cs="Times New Roman"/>
          <w:szCs w:val="24"/>
        </w:rPr>
        <w:t>项目运行后，对土壤环境的影响主要集中在土壤污染方面。废水、固废的随意排放、累积影响以及事故情况下污水泄漏，均可能会对土壤造成污染。</w:t>
      </w:r>
    </w:p>
    <w:p>
      <w:pPr>
        <w:spacing w:line="360" w:lineRule="auto"/>
        <w:ind w:firstLine="480" w:firstLineChars="200"/>
        <w:rPr>
          <w:rFonts w:cs="Times New Roman"/>
          <w:szCs w:val="24"/>
        </w:rPr>
      </w:pPr>
      <w:r>
        <w:rPr>
          <w:rFonts w:cs="Times New Roman"/>
          <w:szCs w:val="24"/>
        </w:rPr>
        <w:t>项目废气主要污染因子为H</w:t>
      </w:r>
      <w:r>
        <w:rPr>
          <w:rFonts w:cs="Times New Roman"/>
          <w:szCs w:val="24"/>
          <w:vertAlign w:val="subscript"/>
        </w:rPr>
        <w:t>2</w:t>
      </w:r>
      <w:r>
        <w:rPr>
          <w:rFonts w:cs="Times New Roman"/>
          <w:szCs w:val="24"/>
        </w:rPr>
        <w:t>S和NH</w:t>
      </w:r>
      <w:r>
        <w:rPr>
          <w:rFonts w:cs="Times New Roman"/>
          <w:szCs w:val="24"/>
          <w:vertAlign w:val="subscript"/>
        </w:rPr>
        <w:t>3</w:t>
      </w:r>
      <w:r>
        <w:rPr>
          <w:rFonts w:cs="Times New Roman"/>
          <w:szCs w:val="24"/>
        </w:rPr>
        <w:t>，排放量较少。该类废气污染因子大部分在空气中会与尘埃等颗粒物结合或被其他物质分解，极少量会降落至地面，随着时间的推移被土壤自行分解，不会发生富集现象，因此，废气对土壤环境影很小。</w:t>
      </w:r>
    </w:p>
    <w:p>
      <w:pPr>
        <w:spacing w:line="360" w:lineRule="auto"/>
        <w:ind w:firstLine="480" w:firstLineChars="200"/>
        <w:rPr>
          <w:rFonts w:cs="Times New Roman"/>
          <w:szCs w:val="24"/>
        </w:rPr>
      </w:pPr>
      <w:r>
        <w:rPr>
          <w:rFonts w:cs="Times New Roman"/>
          <w:szCs w:val="24"/>
        </w:rPr>
        <w:t>项目废水主要污染因子为pH</w:t>
      </w:r>
      <w:r>
        <w:rPr>
          <w:rFonts w:hAnsi="宋体" w:cs="Times New Roman"/>
          <w:szCs w:val="24"/>
        </w:rPr>
        <w:t>、</w:t>
      </w:r>
      <w:r>
        <w:rPr>
          <w:rFonts w:cs="Times New Roman"/>
          <w:szCs w:val="24"/>
        </w:rPr>
        <w:t>COD</w:t>
      </w:r>
      <w:r>
        <w:rPr>
          <w:rFonts w:hAnsi="宋体" w:cs="Times New Roman"/>
          <w:szCs w:val="24"/>
        </w:rPr>
        <w:t>、</w:t>
      </w:r>
      <w:r>
        <w:rPr>
          <w:rFonts w:cs="Times New Roman"/>
          <w:szCs w:val="24"/>
        </w:rPr>
        <w:t>BOD</w:t>
      </w:r>
      <w:r>
        <w:rPr>
          <w:rFonts w:cs="Times New Roman"/>
          <w:szCs w:val="24"/>
          <w:vertAlign w:val="subscript"/>
        </w:rPr>
        <w:t>5</w:t>
      </w:r>
      <w:r>
        <w:rPr>
          <w:rFonts w:hAnsi="宋体" w:cs="Times New Roman"/>
          <w:szCs w:val="24"/>
        </w:rPr>
        <w:t>、氨氮、</w:t>
      </w:r>
      <w:r>
        <w:rPr>
          <w:rFonts w:cs="Times New Roman"/>
          <w:szCs w:val="24"/>
        </w:rPr>
        <w:t>SS</w:t>
      </w:r>
      <w:r>
        <w:rPr>
          <w:rFonts w:hAnsi="宋体" w:cs="Times New Roman"/>
          <w:szCs w:val="24"/>
        </w:rPr>
        <w:t>、总氮、总磷等，</w:t>
      </w:r>
      <w:r>
        <w:rPr>
          <w:rFonts w:cs="Times New Roman"/>
          <w:szCs w:val="24"/>
        </w:rPr>
        <w:t>厂内布设有水解酸化池、AAO池等。全厂已严格按照设计规范要求采取防渗措施和事故应急措施，将少量跑冒滴漏的废水污染物截留，正常情况下不会污染土壤；如若发生防渗膜失效等非正常情况，污染物可能会透过防渗膜从而污染土壤。因此建设单位应该采取严格有效的防渗措施，一旦发生非正常情况，立即采取相应的应急处理措施，切断污染源，可将事故影响减小至最低。</w:t>
      </w:r>
    </w:p>
    <w:p>
      <w:pPr>
        <w:spacing w:line="360" w:lineRule="auto"/>
        <w:ind w:firstLine="480" w:firstLineChars="200"/>
        <w:rPr>
          <w:rFonts w:cs="Times New Roman"/>
          <w:szCs w:val="24"/>
        </w:rPr>
      </w:pPr>
      <w:r>
        <w:rPr>
          <w:rFonts w:cs="Times New Roman"/>
          <w:szCs w:val="24"/>
        </w:rPr>
        <w:t>固体废物有污泥、格栅、生活垃圾等，均不在场内长期存放。各种物料和脱水污泥贮存在可以防风、防雨、防渗的厂房内，避免雨水直接接触物料。污泥临时堆放均应符合《一般工业废弃物贮存、处置场污染控制标准》（GB18599-2001</w:t>
      </w:r>
      <w:r>
        <w:rPr>
          <w:rFonts w:hAnsi="宋体" w:cs="Times New Roman"/>
          <w:szCs w:val="24"/>
        </w:rPr>
        <w:t>）要求。</w:t>
      </w:r>
      <w:r>
        <w:rPr>
          <w:rFonts w:cs="Times New Roman"/>
          <w:szCs w:val="24"/>
        </w:rPr>
        <w:t>采取防雨、防渗的措施，避免其中的有毒有害物质渗入土壤。</w:t>
      </w:r>
    </w:p>
    <w:p>
      <w:pPr>
        <w:spacing w:line="360" w:lineRule="auto"/>
        <w:ind w:firstLine="480" w:firstLineChars="200"/>
        <w:rPr>
          <w:rFonts w:hint="eastAsia" w:cs="Times New Roman" w:eastAsiaTheme="minorEastAsia"/>
          <w:szCs w:val="24"/>
          <w:lang w:val="en-US" w:eastAsia="zh-CN"/>
        </w:rPr>
      </w:pPr>
      <w:r>
        <w:rPr>
          <w:rFonts w:hint="eastAsia" w:cs="Times New Roman"/>
          <w:szCs w:val="24"/>
          <w:lang w:eastAsia="zh-CN"/>
        </w:rPr>
        <w:t>本项目营运，本项目</w:t>
      </w:r>
      <w:r>
        <w:rPr>
          <w:rFonts w:hint="eastAsia"/>
          <w:b w:val="0"/>
        </w:rPr>
        <w:t>委托湖南精准检查有限公司</w:t>
      </w:r>
      <w:r>
        <w:rPr>
          <w:rFonts w:hint="eastAsia"/>
          <w:b w:val="0"/>
          <w:lang w:eastAsia="zh-CN"/>
        </w:rPr>
        <w:t>于</w:t>
      </w:r>
      <w:r>
        <w:rPr>
          <w:rFonts w:hint="eastAsia"/>
          <w:b w:val="0"/>
        </w:rPr>
        <w:t>2019年8月24日对本项目土壤进行监测</w:t>
      </w:r>
      <w:r>
        <w:rPr>
          <w:rFonts w:hint="eastAsia" w:cs="Times New Roman"/>
          <w:szCs w:val="24"/>
          <w:lang w:eastAsia="zh-CN"/>
        </w:rPr>
        <w:t>，具体监测数据见表</w:t>
      </w:r>
      <w:r>
        <w:rPr>
          <w:rFonts w:hint="eastAsia" w:cs="Times New Roman"/>
          <w:szCs w:val="24"/>
          <w:lang w:val="en-US" w:eastAsia="zh-CN"/>
        </w:rPr>
        <w:t>3.3-13，从监测数据可知，</w:t>
      </w:r>
      <w:r>
        <w:rPr>
          <w:rFonts w:hint="eastAsia"/>
          <w:b w:val="0"/>
          <w:color w:val="000000"/>
        </w:rPr>
        <w:t>本</w:t>
      </w:r>
      <w:r>
        <w:rPr>
          <w:b w:val="0"/>
          <w:color w:val="000000"/>
        </w:rPr>
        <w:t>项目地</w:t>
      </w:r>
      <w:r>
        <w:rPr>
          <w:rFonts w:cs="Times New Roman"/>
          <w:b w:val="0"/>
          <w:color w:val="000000"/>
        </w:rPr>
        <w:t>土壤</w:t>
      </w:r>
      <w:r>
        <w:rPr>
          <w:b w:val="0"/>
          <w:color w:val="000000"/>
        </w:rPr>
        <w:t>的</w:t>
      </w:r>
      <w:r>
        <w:rPr>
          <w:rFonts w:cs="Times New Roman"/>
          <w:b w:val="0"/>
          <w:color w:val="000000"/>
        </w:rPr>
        <w:t>环境质量监测数据</w:t>
      </w:r>
      <w:r>
        <w:rPr>
          <w:b w:val="0"/>
          <w:color w:val="000000"/>
        </w:rPr>
        <w:t>可</w:t>
      </w:r>
      <w:r>
        <w:rPr>
          <w:rFonts w:hint="eastAsia" w:cs="Times New Roman"/>
          <w:b w:val="0"/>
          <w:color w:val="000000"/>
        </w:rPr>
        <w:t>满足</w:t>
      </w:r>
      <w:r>
        <w:rPr>
          <w:rFonts w:cs="Times New Roman"/>
          <w:b w:val="0"/>
          <w:color w:val="000000"/>
        </w:rPr>
        <w:t>《土壤环境质量建设用地土壤污染风险管控标准（试行）》（GB36600-2018）中第二类用地筛选值标准要求</w:t>
      </w:r>
      <w:r>
        <w:rPr>
          <w:rFonts w:hint="eastAsia" w:cs="Times New Roman"/>
          <w:b w:val="0"/>
          <w:color w:val="000000"/>
          <w:lang w:eastAsia="zh-CN"/>
        </w:rPr>
        <w:t>。</w:t>
      </w:r>
    </w:p>
    <w:p>
      <w:pPr>
        <w:spacing w:line="360" w:lineRule="auto"/>
        <w:ind w:firstLine="480" w:firstLineChars="200"/>
        <w:rPr>
          <w:rFonts w:cs="Times New Roman"/>
        </w:rPr>
      </w:pPr>
      <w:r>
        <w:rPr>
          <w:rFonts w:cs="Times New Roman"/>
        </w:rPr>
        <w:t>本项目对废水、固废严格控制，按照监测计划定期监测土壤，同时对厂区可能产生污染的区域均按要求进行相应等级的防渗，事故情况下立即采取相应的应急处理措施。切断污染源，采取措施后，项目运营期对土壤环境的影响较小。</w:t>
      </w:r>
    </w:p>
    <w:p>
      <w:pPr>
        <w:pStyle w:val="5"/>
      </w:pPr>
      <w:r>
        <w:t>生态环境影响分析</w:t>
      </w:r>
    </w:p>
    <w:p>
      <w:pPr>
        <w:spacing w:line="360" w:lineRule="auto"/>
        <w:ind w:firstLine="480" w:firstLineChars="200"/>
      </w:pPr>
      <w:r>
        <w:rPr>
          <w:rFonts w:hint="eastAsia"/>
        </w:rPr>
        <w:t>本项目建设不涉及洞庭湖国家级自然保护区和核心区、缓冲区和试验区，本项目位于华容县石伏工业园。</w:t>
      </w:r>
    </w:p>
    <w:p>
      <w:pPr>
        <w:spacing w:line="360" w:lineRule="auto"/>
        <w:ind w:firstLine="480" w:firstLineChars="200"/>
      </w:pPr>
      <w:r>
        <w:rPr>
          <w:rFonts w:hint="eastAsia"/>
        </w:rPr>
        <w:t>（1）植被及植物多样性影响分析</w:t>
      </w:r>
    </w:p>
    <w:p>
      <w:pPr>
        <w:spacing w:line="360" w:lineRule="auto"/>
        <w:ind w:firstLine="480" w:firstLineChars="200"/>
      </w:pPr>
      <w:r>
        <w:rPr>
          <w:rFonts w:hint="eastAsia"/>
        </w:rPr>
        <w:t>项目的运营对村落农业生态系统、河流和湖泊生态系统植被及植物多样性无明显的影响。一方面运营期生态影响是施工期影响的一种延续，主要表现为植被恢复的影响。由于工程在原有厂区上，对占地不存在生态逐步恢复的过程。营运期正常情况下对东洞庭湖国家自然保护区无直接影响。</w:t>
      </w:r>
    </w:p>
    <w:p>
      <w:pPr>
        <w:spacing w:line="360" w:lineRule="auto"/>
        <w:ind w:firstLine="480" w:firstLineChars="200"/>
      </w:pPr>
      <w:r>
        <w:rPr>
          <w:rFonts w:hint="eastAsia"/>
        </w:rPr>
        <w:t>（2）动物多样性影响分析</w:t>
      </w:r>
    </w:p>
    <w:p>
      <w:pPr>
        <w:spacing w:line="360" w:lineRule="auto"/>
        <w:ind w:firstLine="480" w:firstLineChars="200"/>
        <w:rPr>
          <w:szCs w:val="24"/>
        </w:rPr>
      </w:pPr>
      <w:r>
        <w:rPr>
          <w:rFonts w:hint="eastAsia" w:asciiTheme="minorEastAsia" w:hAnsiTheme="minorEastAsia"/>
          <w:szCs w:val="24"/>
        </w:rPr>
        <w:t>①对陆生脊椎动物资源的影响</w:t>
      </w:r>
    </w:p>
    <w:p>
      <w:pPr>
        <w:spacing w:line="360" w:lineRule="auto"/>
        <w:ind w:firstLine="480" w:firstLineChars="200"/>
        <w:rPr>
          <w:szCs w:val="24"/>
        </w:rPr>
      </w:pPr>
      <w:r>
        <w:rPr>
          <w:rFonts w:hint="eastAsia"/>
          <w:szCs w:val="24"/>
        </w:rPr>
        <w:t>本项目在原有占地进行技术改建。没有改变原有土地利用格局，未新增占地，项目的营运不会造成对保护区内脊椎动物的不利影响。</w:t>
      </w:r>
    </w:p>
    <w:p>
      <w:pPr>
        <w:spacing w:line="360" w:lineRule="auto"/>
        <w:ind w:firstLine="480" w:firstLineChars="200"/>
        <w:rPr>
          <w:rFonts w:asciiTheme="minorEastAsia" w:hAnsiTheme="minorEastAsia"/>
          <w:szCs w:val="24"/>
        </w:rPr>
      </w:pPr>
      <w:r>
        <w:rPr>
          <w:rFonts w:hint="eastAsia" w:asciiTheme="minorEastAsia" w:hAnsiTheme="minorEastAsia"/>
          <w:szCs w:val="24"/>
        </w:rPr>
        <w:t>②对水生生物资源的影响</w:t>
      </w:r>
    </w:p>
    <w:p>
      <w:pPr>
        <w:spacing w:line="360" w:lineRule="auto"/>
        <w:ind w:firstLine="480" w:firstLineChars="200"/>
        <w:rPr>
          <w:szCs w:val="24"/>
        </w:rPr>
      </w:pPr>
      <w:r>
        <w:rPr>
          <w:szCs w:val="24"/>
        </w:rPr>
        <w:t>浮游植物种群数量变化和演替，受到光（透明度）、营养、温度和摄食压力等因素的影响，浮游动物以细菌、有机碎屑和藻类等为食，因此，从总体上来讲，这些营养对象的数量高低，决定着浮游动物数量的多少。底栖动物对不同的底质适应不同，但水体中总磷含量的高低与底栖动物的密度和生物量出现指数式的关联，对底栖动物是最重要的限制因素。本项目营运后出水水质为《城镇污水处理厂污染物排放标准》（GB18918-2002）一级A标准，项目的营运不会造成对保护区内浮游生物和底栖动物的不利影响。</w:t>
      </w:r>
    </w:p>
    <w:p>
      <w:pPr>
        <w:pStyle w:val="78"/>
        <w:snapToGrid w:val="0"/>
        <w:spacing w:line="360" w:lineRule="auto"/>
        <w:ind w:firstLine="480" w:firstLineChars="200"/>
        <w:rPr>
          <w:rFonts w:ascii="宋体" w:eastAsia="宋体" w:cs="宋体" w:hAnsiTheme="minorHAnsi"/>
        </w:rPr>
      </w:pPr>
      <w:r>
        <w:rPr>
          <w:rFonts w:hint="eastAsia"/>
        </w:rPr>
        <w:t>根据</w:t>
      </w:r>
      <w:r>
        <w:t>“</w:t>
      </w:r>
      <w:r>
        <w:rPr>
          <w:rFonts w:hint="eastAsia"/>
        </w:rPr>
        <w:t>地表水环境影响预测与评价</w:t>
      </w:r>
      <w:r>
        <w:t>”</w:t>
      </w:r>
      <w:r>
        <w:rPr>
          <w:rFonts w:hint="eastAsia"/>
        </w:rPr>
        <w:t>可知，项目正常运行、出水达标排放状况下，叠加华容河本底值，</w:t>
      </w:r>
      <w:r>
        <w:t>COD</w:t>
      </w:r>
      <w:r>
        <w:rPr>
          <w:vertAlign w:val="subscript"/>
        </w:rPr>
        <w:t>Cr</w:t>
      </w:r>
      <w:r>
        <w:rPr>
          <w:rFonts w:hint="eastAsia"/>
        </w:rPr>
        <w:t>、</w:t>
      </w:r>
      <w:r>
        <w:t>NH</w:t>
      </w:r>
      <w:r>
        <w:rPr>
          <w:vertAlign w:val="subscript"/>
        </w:rPr>
        <w:t>3</w:t>
      </w:r>
      <w:r>
        <w:t>-N</w:t>
      </w:r>
      <w:r>
        <w:rPr>
          <w:rFonts w:hint="eastAsia"/>
        </w:rPr>
        <w:t>浓度均未超过《地表水环境质量标准》（</w:t>
      </w:r>
      <w:r>
        <w:t>GB3038-2002</w:t>
      </w:r>
      <w:r>
        <w:rPr>
          <w:rFonts w:hint="eastAsia"/>
        </w:rPr>
        <w:t>）Ⅲ类水标准，且</w:t>
      </w:r>
      <w:r>
        <w:t>COD</w:t>
      </w:r>
      <w:r>
        <w:rPr>
          <w:vertAlign w:val="subscript"/>
        </w:rPr>
        <w:t>Cr</w:t>
      </w:r>
      <w:r>
        <w:rPr>
          <w:rFonts w:hint="eastAsia"/>
        </w:rPr>
        <w:t>、</w:t>
      </w:r>
      <w:r>
        <w:t>NH</w:t>
      </w:r>
      <w:r>
        <w:rPr>
          <w:vertAlign w:val="subscript"/>
        </w:rPr>
        <w:t>3</w:t>
      </w:r>
      <w:r>
        <w:t>-N</w:t>
      </w:r>
      <w:r>
        <w:rPr>
          <w:rFonts w:hint="eastAsia"/>
        </w:rPr>
        <w:t>预测值浓度较本底值增幅较低，因此，本项目尾水排放不会造成水体溶解氧持续偏低及水体富营养化，且影响范围内的水体环境功能没有降级，对水生生态环境</w:t>
      </w:r>
      <w:r>
        <w:rPr>
          <w:rFonts w:hint="eastAsia" w:ascii="宋体" w:eastAsia="宋体" w:cs="宋体" w:hAnsiTheme="minorHAnsi"/>
        </w:rPr>
        <w:t>系统影响较小，不会造成影响范围内的水生生物群落结构较大改变，又评价区域内尚没有发现国家重点保护鱼类和水生植物以及重点鱼类产卵场，水生生态环境系统较小的影响可接受。</w:t>
      </w:r>
    </w:p>
    <w:p>
      <w:pPr>
        <w:autoSpaceDE w:val="0"/>
        <w:autoSpaceDN w:val="0"/>
        <w:adjustRightInd w:val="0"/>
        <w:snapToGrid w:val="0"/>
        <w:spacing w:line="360" w:lineRule="auto"/>
        <w:ind w:firstLine="480" w:firstLineChars="200"/>
        <w:jc w:val="left"/>
        <w:rPr>
          <w:rFonts w:ascii="宋体" w:eastAsia="宋体" w:cs="宋体" w:hAnsiTheme="minorHAnsi"/>
          <w:color w:val="000000"/>
          <w:kern w:val="0"/>
          <w:szCs w:val="24"/>
        </w:rPr>
      </w:pPr>
      <w:r>
        <w:rPr>
          <w:rFonts w:hint="eastAsia" w:ascii="宋体" w:eastAsia="宋体" w:cs="宋体" w:hAnsiTheme="minorHAnsi"/>
          <w:color w:val="000000"/>
          <w:kern w:val="0"/>
          <w:szCs w:val="24"/>
        </w:rPr>
        <w:t>另外，在排污口附近河段，尾水排放时将会有少量有机物被底泥吸附而沉积在河底，会影响浮游目、毛翅目等底栖生物的种群密度和种数。项目废水量较小，达标排放后，废水中有机物含量低，且为非持久性污染物，对底栖生物的影响较小。</w:t>
      </w:r>
    </w:p>
    <w:p>
      <w:pPr>
        <w:autoSpaceDE w:val="0"/>
        <w:autoSpaceDN w:val="0"/>
        <w:adjustRightInd w:val="0"/>
        <w:snapToGrid w:val="0"/>
        <w:spacing w:line="360" w:lineRule="auto"/>
        <w:ind w:firstLine="480" w:firstLineChars="200"/>
        <w:jc w:val="left"/>
        <w:rPr>
          <w:rFonts w:ascii="宋体" w:eastAsia="宋体" w:cs="宋体" w:hAnsiTheme="minorHAnsi"/>
          <w:color w:val="000000"/>
          <w:kern w:val="0"/>
          <w:szCs w:val="24"/>
        </w:rPr>
      </w:pPr>
      <w:r>
        <w:rPr>
          <w:rFonts w:hint="eastAsia" w:ascii="宋体" w:eastAsia="宋体" w:cs="宋体" w:hAnsiTheme="minorHAnsi"/>
          <w:color w:val="000000"/>
          <w:kern w:val="0"/>
          <w:szCs w:val="24"/>
        </w:rPr>
        <w:t>综上所述，本项目尾水排放对水生生态环境影响较小。</w:t>
      </w:r>
    </w:p>
    <w:p>
      <w:pPr>
        <w:adjustRightInd w:val="0"/>
        <w:snapToGrid w:val="0"/>
        <w:spacing w:line="360" w:lineRule="auto"/>
        <w:ind w:firstLine="480" w:firstLineChars="200"/>
        <w:rPr>
          <w:szCs w:val="24"/>
        </w:rPr>
      </w:pPr>
      <w:r>
        <w:rPr>
          <w:rFonts w:hint="eastAsia" w:ascii="宋体" w:eastAsia="宋体" w:cs="宋体" w:hAnsiTheme="minorHAnsi"/>
          <w:color w:val="000000"/>
          <w:kern w:val="0"/>
          <w:szCs w:val="24"/>
        </w:rPr>
        <w:t>本项目的建设本身是一个环保公益工程，对工业集中区的可持续发展将起重要的作用。本项目的建设将减少工业集中区服务范围内的企业外排废水进入华容河的浓度，对预防华容河水质恶化及水生生态环境起到正面影响，且正面影响低于负面影响。</w:t>
      </w:r>
    </w:p>
    <w:p>
      <w:pPr>
        <w:spacing w:line="360" w:lineRule="auto"/>
        <w:ind w:firstLine="480" w:firstLineChars="200"/>
        <w:rPr>
          <w:szCs w:val="24"/>
        </w:rPr>
      </w:pPr>
      <w:r>
        <w:rPr>
          <w:rFonts w:hint="eastAsia"/>
          <w:szCs w:val="24"/>
        </w:rPr>
        <w:t>（3）对华容河和功能影响</w:t>
      </w:r>
    </w:p>
    <w:p>
      <w:pPr>
        <w:spacing w:line="360" w:lineRule="auto"/>
        <w:ind w:firstLine="480" w:firstLineChars="200"/>
        <w:rPr>
          <w:szCs w:val="24"/>
        </w:rPr>
      </w:pPr>
      <w:r>
        <w:rPr>
          <w:rFonts w:hint="eastAsia"/>
          <w:szCs w:val="24"/>
        </w:rPr>
        <w:t>本项目属于污水治理工程，本项目运营后的水质达到</w:t>
      </w:r>
      <w:r>
        <w:rPr>
          <w:szCs w:val="24"/>
        </w:rPr>
        <w:t>《城镇污水处理厂污染物排放标准》（GB18918-2002）一级A标准</w:t>
      </w:r>
      <w:r>
        <w:rPr>
          <w:rFonts w:hint="eastAsia"/>
          <w:szCs w:val="24"/>
        </w:rPr>
        <w:t>，</w:t>
      </w:r>
      <w:r>
        <w:rPr>
          <w:szCs w:val="24"/>
        </w:rPr>
        <w:t>在一定程度上减少了生活污水直排对华容河的不利影响</w:t>
      </w:r>
      <w:r>
        <w:rPr>
          <w:rFonts w:hint="eastAsia"/>
          <w:szCs w:val="24"/>
        </w:rPr>
        <w:t>，</w:t>
      </w:r>
      <w:r>
        <w:rPr>
          <w:szCs w:val="24"/>
        </w:rPr>
        <w:t>对改善华容河有一定的积极影响</w:t>
      </w:r>
      <w:r>
        <w:rPr>
          <w:rFonts w:hint="eastAsia"/>
          <w:szCs w:val="24"/>
        </w:rPr>
        <w:t>。</w:t>
      </w:r>
      <w:r>
        <w:rPr>
          <w:szCs w:val="24"/>
        </w:rPr>
        <w:t>因此</w:t>
      </w:r>
      <w:r>
        <w:rPr>
          <w:rFonts w:hint="eastAsia"/>
          <w:szCs w:val="24"/>
        </w:rPr>
        <w:t>，</w:t>
      </w:r>
      <w:r>
        <w:rPr>
          <w:szCs w:val="24"/>
        </w:rPr>
        <w:t>项目运营的对华容河的结构和功能完整性无不利影响</w:t>
      </w:r>
      <w:r>
        <w:rPr>
          <w:rFonts w:hint="eastAsia"/>
          <w:szCs w:val="24"/>
        </w:rPr>
        <w:t>。</w:t>
      </w:r>
    </w:p>
    <w:p>
      <w:pPr>
        <w:spacing w:line="360" w:lineRule="auto"/>
        <w:ind w:firstLine="480" w:firstLineChars="200"/>
        <w:rPr>
          <w:szCs w:val="24"/>
        </w:rPr>
      </w:pPr>
      <w:r>
        <w:rPr>
          <w:rFonts w:hint="eastAsia"/>
          <w:szCs w:val="24"/>
        </w:rPr>
        <w:t>（4）景观生态完整影响分析</w:t>
      </w:r>
    </w:p>
    <w:p>
      <w:pPr>
        <w:spacing w:line="360" w:lineRule="auto"/>
        <w:ind w:firstLine="480" w:firstLineChars="200"/>
        <w:rPr>
          <w:szCs w:val="24"/>
        </w:rPr>
      </w:pPr>
      <w:r>
        <w:rPr>
          <w:rFonts w:hint="eastAsia"/>
          <w:szCs w:val="24"/>
        </w:rPr>
        <w:t>对区域自然体系生态完整性的影响由项目占地引起，由于本项目为技术改建项目，不新增加占地，对周边景观生态完整性无其他影响。</w:t>
      </w:r>
    </w:p>
    <w:p>
      <w:pPr>
        <w:spacing w:line="360" w:lineRule="auto"/>
        <w:ind w:firstLine="480" w:firstLineChars="200"/>
        <w:rPr>
          <w:szCs w:val="24"/>
        </w:rPr>
      </w:pPr>
      <w:r>
        <w:rPr>
          <w:rFonts w:hint="eastAsia"/>
          <w:szCs w:val="24"/>
        </w:rPr>
        <w:t>项目植被类型涉及的物种均为常见种，易于栽植和恢复；周边无珍惜濒危的野生植物种类；周边没有国家珍惜野生动植物分布，其影响数量有限，项目运营不会对周边生态系统结构和功能</w:t>
      </w:r>
      <w:r>
        <w:rPr>
          <w:szCs w:val="24"/>
        </w:rPr>
        <w:t>产生较大影响</w:t>
      </w:r>
      <w:r>
        <w:rPr>
          <w:rFonts w:hint="eastAsia"/>
          <w:szCs w:val="24"/>
        </w:rPr>
        <w:t>。</w:t>
      </w:r>
      <w:r>
        <w:rPr>
          <w:szCs w:val="24"/>
        </w:rPr>
        <w:t>本项目无新增占地</w:t>
      </w:r>
      <w:r>
        <w:rPr>
          <w:rFonts w:hint="eastAsia"/>
          <w:szCs w:val="24"/>
        </w:rPr>
        <w:t>，</w:t>
      </w:r>
      <w:r>
        <w:rPr>
          <w:szCs w:val="24"/>
        </w:rPr>
        <w:t>不改变土地利用类型</w:t>
      </w:r>
      <w:r>
        <w:rPr>
          <w:rFonts w:hint="eastAsia"/>
          <w:szCs w:val="24"/>
        </w:rPr>
        <w:t>，</w:t>
      </w:r>
      <w:r>
        <w:rPr>
          <w:szCs w:val="24"/>
        </w:rPr>
        <w:t>工程本身对华容河水生生物多样性的影响较小</w:t>
      </w:r>
      <w:r>
        <w:rPr>
          <w:rFonts w:hint="eastAsia"/>
          <w:szCs w:val="24"/>
        </w:rPr>
        <w:t>，</w:t>
      </w:r>
      <w:r>
        <w:rPr>
          <w:szCs w:val="24"/>
        </w:rPr>
        <w:t>对水利动力扰动较小</w:t>
      </w:r>
      <w:r>
        <w:rPr>
          <w:rFonts w:hint="eastAsia"/>
          <w:szCs w:val="24"/>
        </w:rPr>
        <w:t>，</w:t>
      </w:r>
      <w:r>
        <w:rPr>
          <w:szCs w:val="24"/>
        </w:rPr>
        <w:t>本项目木技术改造后出水水质为《城镇污水处理厂污染物排放标准》（GB18918-2002）一级A标准</w:t>
      </w:r>
      <w:r>
        <w:rPr>
          <w:rFonts w:hint="eastAsia"/>
          <w:szCs w:val="24"/>
        </w:rPr>
        <w:t>。</w:t>
      </w:r>
      <w:r>
        <w:rPr>
          <w:szCs w:val="24"/>
        </w:rPr>
        <w:t>本项目运营后废水底栖动物影响较小</w:t>
      </w:r>
      <w:r>
        <w:rPr>
          <w:rFonts w:hint="eastAsia"/>
          <w:szCs w:val="24"/>
        </w:rPr>
        <w:t>，</w:t>
      </w:r>
      <w:r>
        <w:rPr>
          <w:szCs w:val="24"/>
        </w:rPr>
        <w:t>故运营期对项目周边生态环境无不利影响</w:t>
      </w:r>
      <w:r>
        <w:rPr>
          <w:rFonts w:hint="eastAsia"/>
          <w:szCs w:val="24"/>
        </w:rPr>
        <w:t>。</w:t>
      </w:r>
    </w:p>
    <w:p>
      <w:pPr>
        <w:spacing w:line="360" w:lineRule="auto"/>
        <w:ind w:firstLine="480" w:firstLineChars="200"/>
        <w:rPr>
          <w:szCs w:val="24"/>
        </w:rPr>
      </w:pPr>
      <w:r>
        <w:rPr>
          <w:rFonts w:hint="eastAsia"/>
          <w:szCs w:val="24"/>
        </w:rPr>
        <w:t>（5）</w:t>
      </w:r>
      <w:r>
        <w:rPr>
          <w:szCs w:val="24"/>
        </w:rPr>
        <w:t xml:space="preserve"> 饮用水地影响分析</w:t>
      </w:r>
    </w:p>
    <w:p>
      <w:pPr>
        <w:spacing w:line="360" w:lineRule="auto"/>
        <w:ind w:firstLine="480" w:firstLineChars="200"/>
      </w:pPr>
      <w:r>
        <w:rPr>
          <w:color w:val="000000" w:themeColor="text1"/>
          <w:szCs w:val="24"/>
        </w:rPr>
        <w:t>根据《</w:t>
      </w:r>
      <w:r>
        <w:rPr>
          <w:rFonts w:hint="eastAsia"/>
          <w:color w:val="000000" w:themeColor="text1"/>
          <w:szCs w:val="24"/>
        </w:rPr>
        <w:t>湖南省主要地表水系水环境功能区划</w:t>
      </w:r>
      <w:r>
        <w:rPr>
          <w:color w:val="000000" w:themeColor="text1"/>
          <w:szCs w:val="24"/>
        </w:rPr>
        <w:t>》（</w:t>
      </w:r>
      <w:r>
        <w:rPr>
          <w:rFonts w:hint="eastAsia"/>
          <w:color w:val="000000" w:themeColor="text1"/>
          <w:szCs w:val="24"/>
        </w:rPr>
        <w:t>DB43023-2005</w:t>
      </w:r>
      <w:r>
        <w:rPr>
          <w:color w:val="000000" w:themeColor="text1"/>
          <w:szCs w:val="24"/>
        </w:rPr>
        <w:t>）</w:t>
      </w:r>
      <w:r>
        <w:rPr>
          <w:rFonts w:hint="eastAsia"/>
          <w:color w:val="000000" w:themeColor="text1"/>
          <w:szCs w:val="24"/>
        </w:rPr>
        <w:t>，项目排污河段为华容河华容大桥至六门闸（北支）</w:t>
      </w:r>
      <w:r>
        <w:rPr>
          <w:color w:val="000000" w:themeColor="text1"/>
          <w:szCs w:val="24"/>
        </w:rPr>
        <w:t>水质达到国家Ⅲ类水质标准，</w:t>
      </w:r>
      <w:r>
        <w:rPr>
          <w:rFonts w:hint="eastAsia"/>
          <w:color w:val="000000" w:themeColor="text1"/>
          <w:szCs w:val="24"/>
        </w:rPr>
        <w:t>属渔业用水区</w:t>
      </w:r>
      <w:r>
        <w:rPr>
          <w:color w:val="000000" w:themeColor="text1"/>
          <w:szCs w:val="24"/>
        </w:rPr>
        <w:t>；</w:t>
      </w:r>
      <w:r>
        <w:rPr>
          <w:rFonts w:hint="eastAsia"/>
          <w:color w:val="000000" w:themeColor="text1"/>
          <w:szCs w:val="24"/>
        </w:rPr>
        <w:t>华容河水源地起于华容河右岸丁家潭取水口上游3公里，止于华容河丁家潭右岸取水口下游200米，全长3.2公里，位于排污口上游。目前华容县城已新建长江取水口，丁家潭取水口仅作为备用水源，项目排水不会影响县城饮用水取水水质。</w:t>
      </w:r>
    </w:p>
    <w:p>
      <w:pPr>
        <w:pStyle w:val="5"/>
      </w:pPr>
      <w:r>
        <w:t>排污口设置环境合理性分析</w:t>
      </w:r>
    </w:p>
    <w:p>
      <w:pPr>
        <w:spacing w:line="360" w:lineRule="auto"/>
        <w:ind w:firstLine="480" w:firstLineChars="200"/>
        <w:rPr>
          <w:color w:val="000000" w:themeColor="text1"/>
          <w:szCs w:val="24"/>
        </w:rPr>
      </w:pPr>
      <w:r>
        <w:rPr>
          <w:rFonts w:hint="eastAsia"/>
          <w:color w:val="000000" w:themeColor="text1"/>
          <w:szCs w:val="24"/>
        </w:rPr>
        <w:t>本项目排污口设置在项目的南侧，排入华容河。根据“地表水环境影响预测与评价”及“生态环境影响分析”可知，本项目尾水对受纳水体的水环境及水生生态环境影响较小，不会造成水环境功能降级及水生生态环境恶化。</w:t>
      </w:r>
    </w:p>
    <w:p>
      <w:pPr>
        <w:spacing w:line="360" w:lineRule="auto"/>
        <w:ind w:firstLine="480" w:firstLineChars="200"/>
        <w:rPr>
          <w:color w:val="000000" w:themeColor="text1"/>
          <w:szCs w:val="24"/>
        </w:rPr>
      </w:pPr>
      <w:r>
        <w:rPr>
          <w:rFonts w:hint="eastAsia"/>
          <w:color w:val="000000" w:themeColor="text1"/>
          <w:szCs w:val="24"/>
        </w:rPr>
        <w:t>按照《中华人民共和国水污染防治法》规定，</w:t>
      </w:r>
      <w:r>
        <w:rPr>
          <w:color w:val="000000" w:themeColor="text1"/>
          <w:szCs w:val="24"/>
        </w:rPr>
        <w:t>“</w:t>
      </w:r>
      <w:r>
        <w:rPr>
          <w:rFonts w:hint="eastAsia"/>
          <w:color w:val="000000" w:themeColor="text1"/>
          <w:szCs w:val="24"/>
        </w:rPr>
        <w:t>在生活饮用水源地、风景名胜区水体、重要渔业水体和其他有特殊经济文化价值的水体的保护区内，不得新建排污口</w:t>
      </w:r>
      <w:r>
        <w:rPr>
          <w:color w:val="000000" w:themeColor="text1"/>
          <w:szCs w:val="24"/>
        </w:rPr>
        <w:t>”</w:t>
      </w:r>
      <w:r>
        <w:rPr>
          <w:rFonts w:hint="eastAsia"/>
          <w:color w:val="000000" w:themeColor="text1"/>
          <w:szCs w:val="24"/>
        </w:rPr>
        <w:t>，拟建排污口不在上述保护区内，符合《中华人民共和国水污染防治法》的有关规定。</w:t>
      </w:r>
      <w:r>
        <w:rPr>
          <w:color w:val="000000" w:themeColor="text1"/>
          <w:szCs w:val="24"/>
        </w:rPr>
        <w:t>根据《</w:t>
      </w:r>
      <w:r>
        <w:rPr>
          <w:rFonts w:hint="eastAsia"/>
          <w:color w:val="000000" w:themeColor="text1"/>
          <w:szCs w:val="24"/>
        </w:rPr>
        <w:t>湖南省主要地表水系水环境功能区划</w:t>
      </w:r>
      <w:r>
        <w:rPr>
          <w:color w:val="000000" w:themeColor="text1"/>
          <w:szCs w:val="24"/>
        </w:rPr>
        <w:t>》（</w:t>
      </w:r>
      <w:r>
        <w:rPr>
          <w:rFonts w:hint="eastAsia"/>
          <w:color w:val="000000" w:themeColor="text1"/>
          <w:szCs w:val="24"/>
        </w:rPr>
        <w:t>DB43023-2005</w:t>
      </w:r>
      <w:r>
        <w:rPr>
          <w:color w:val="000000" w:themeColor="text1"/>
          <w:szCs w:val="24"/>
        </w:rPr>
        <w:t>）</w:t>
      </w:r>
      <w:r>
        <w:rPr>
          <w:rFonts w:hint="eastAsia"/>
          <w:color w:val="000000" w:themeColor="text1"/>
          <w:szCs w:val="24"/>
        </w:rPr>
        <w:t>，项目排污河段为华容河华容大桥至六门闸（北支）</w:t>
      </w:r>
      <w:r>
        <w:rPr>
          <w:color w:val="000000" w:themeColor="text1"/>
          <w:szCs w:val="24"/>
        </w:rPr>
        <w:t>水质达到国家Ⅲ类水质标准，</w:t>
      </w:r>
      <w:r>
        <w:rPr>
          <w:rFonts w:hint="eastAsia"/>
          <w:color w:val="000000" w:themeColor="text1"/>
          <w:szCs w:val="24"/>
        </w:rPr>
        <w:t>属渔业用水区</w:t>
      </w:r>
      <w:r>
        <w:rPr>
          <w:color w:val="000000" w:themeColor="text1"/>
          <w:szCs w:val="24"/>
        </w:rPr>
        <w:t>；</w:t>
      </w:r>
      <w:r>
        <w:rPr>
          <w:rFonts w:hint="eastAsia"/>
          <w:color w:val="000000" w:themeColor="text1"/>
          <w:szCs w:val="24"/>
        </w:rPr>
        <w:t>华容河水源地起于华容河右岸丁家潭取水口上游3公里，止于华容河丁家潭右岸取水口下游200米，全长3.2公里，位于排污口上游。目前华容县城已新建长江取水口，丁家潭取水口仅作为备用水源，项目排水不会影响县城饮用水取水水质。</w:t>
      </w:r>
    </w:p>
    <w:p>
      <w:pPr>
        <w:spacing w:line="360" w:lineRule="auto"/>
        <w:ind w:firstLine="480" w:firstLineChars="200"/>
        <w:rPr>
          <w:color w:val="000000" w:themeColor="text1"/>
          <w:szCs w:val="24"/>
        </w:rPr>
      </w:pPr>
      <w:r>
        <w:rPr>
          <w:rFonts w:hint="eastAsia"/>
          <w:color w:val="000000" w:themeColor="text1"/>
          <w:szCs w:val="24"/>
        </w:rPr>
        <w:t>综上所述，本项目排污口设置不存在明显环境制约因素，排污口设置环境合理。</w:t>
      </w:r>
    </w:p>
    <w:p>
      <w:pPr>
        <w:spacing w:line="360" w:lineRule="auto"/>
        <w:ind w:firstLine="480" w:firstLineChars="200"/>
        <w:rPr>
          <w:rFonts w:hint="eastAsia"/>
          <w:color w:val="000000" w:themeColor="text1"/>
          <w:szCs w:val="24"/>
        </w:rPr>
      </w:pPr>
      <w:r>
        <w:rPr>
          <w:rFonts w:hint="eastAsia"/>
          <w:color w:val="000000" w:themeColor="text1"/>
          <w:szCs w:val="24"/>
        </w:rPr>
        <w:t>废水排放口基本情况见下表：</w:t>
      </w:r>
    </w:p>
    <w:p>
      <w:pPr>
        <w:pStyle w:val="5"/>
        <w:rPr>
          <w:u w:val="single"/>
        </w:rPr>
      </w:pPr>
      <w:bookmarkStart w:id="187" w:name="_Toc532498753"/>
      <w:bookmarkStart w:id="188" w:name="_Toc532376160"/>
      <w:bookmarkStart w:id="189" w:name="_Toc532763217"/>
      <w:bookmarkStart w:id="190" w:name="_Toc532497668"/>
      <w:r>
        <w:rPr>
          <w:rFonts w:hint="eastAsia"/>
          <w:u w:val="single"/>
          <w:lang w:eastAsia="zh-CN"/>
        </w:rPr>
        <w:t>对工程对堤防、护岸及其他水利工程设施的影响分析</w:t>
      </w:r>
    </w:p>
    <w:p>
      <w:pPr>
        <w:widowControl/>
        <w:spacing w:line="360" w:lineRule="auto"/>
        <w:ind w:firstLine="480" w:firstLineChars="200"/>
        <w:rPr>
          <w:rFonts w:eastAsia="宋体" w:cs="Times New Roman"/>
          <w:u w:val="single"/>
        </w:rPr>
      </w:pPr>
      <w:r>
        <w:rPr>
          <w:rFonts w:eastAsia="宋体" w:cs="Times New Roman"/>
          <w:u w:val="single"/>
        </w:rPr>
        <w:t>根据《华容县桥东污水处理厂尾水排放口洪水影响分析报告》结论可知。</w:t>
      </w:r>
    </w:p>
    <w:p>
      <w:pPr>
        <w:widowControl/>
        <w:spacing w:line="360" w:lineRule="auto"/>
        <w:ind w:firstLine="480" w:firstLineChars="200"/>
        <w:rPr>
          <w:rFonts w:eastAsia="宋体" w:cs="Times New Roman"/>
          <w:u w:val="single"/>
        </w:rPr>
      </w:pPr>
      <w:r>
        <w:rPr>
          <w:rFonts w:eastAsia="宋体" w:cs="Times New Roman"/>
          <w:u w:val="single"/>
        </w:rPr>
        <w:t>（1）设计洪水位现状堤防堤脚最大渗透比降为0.14，穿堤后为0.16，较穿堤前有所增加，堤身最大渗透比降增幅为14.3%，但仍小于允许值0.5，满足规范和设计要求，工程实施不会对堤防渗流产生不利影响</w:t>
      </w:r>
      <w:r>
        <w:rPr>
          <w:rFonts w:hint="eastAsia" w:eastAsia="宋体" w:cs="Times New Roman"/>
          <w:u w:val="single"/>
        </w:rPr>
        <w:t>。</w:t>
      </w:r>
    </w:p>
    <w:p>
      <w:pPr>
        <w:widowControl/>
        <w:spacing w:line="360" w:lineRule="auto"/>
        <w:ind w:firstLine="480" w:firstLineChars="200"/>
        <w:rPr>
          <w:rFonts w:hint="eastAsia" w:eastAsia="宋体" w:cs="Times New Roman"/>
          <w:u w:val="single"/>
        </w:rPr>
      </w:pPr>
      <w:r>
        <w:rPr>
          <w:rFonts w:hint="eastAsia" w:eastAsia="宋体" w:cs="Times New Roman"/>
          <w:u w:val="single"/>
        </w:rPr>
        <w:t>（2）根据堤防抗滑稳定计算结果，设计洪水位下，堤防迎水坡和背水坡都满足规范和设计要求，相比现状堤防，管道穿堤后，迎水坡滑动安全系数增大了</w:t>
      </w:r>
      <w:r>
        <w:rPr>
          <w:rFonts w:eastAsia="宋体" w:cs="Times New Roman"/>
          <w:u w:val="single"/>
        </w:rPr>
        <w:t>1.7%</w:t>
      </w:r>
      <w:r>
        <w:rPr>
          <w:rFonts w:hint="eastAsia" w:eastAsia="宋体" w:cs="Times New Roman"/>
          <w:u w:val="single"/>
        </w:rPr>
        <w:t>，而背水坡相差不大，主要是因为工程对迎水面坡面进行了清理还坡至标准坡比</w:t>
      </w:r>
      <w:r>
        <w:rPr>
          <w:rFonts w:eastAsia="宋体" w:cs="Times New Roman"/>
          <w:u w:val="single"/>
        </w:rPr>
        <w:t>1</w:t>
      </w:r>
      <w:r>
        <w:rPr>
          <w:rFonts w:hint="eastAsia" w:eastAsia="宋体" w:cs="Times New Roman"/>
          <w:u w:val="single"/>
        </w:rPr>
        <w:t>：</w:t>
      </w:r>
      <w:r>
        <w:rPr>
          <w:rFonts w:eastAsia="宋体" w:cs="Times New Roman"/>
          <w:u w:val="single"/>
        </w:rPr>
        <w:t>2.5</w:t>
      </w:r>
      <w:r>
        <w:rPr>
          <w:rFonts w:hint="eastAsia" w:eastAsia="宋体" w:cs="Times New Roman"/>
          <w:u w:val="single"/>
        </w:rPr>
        <w:t>。因此工程实施不会对堤防稳定产生不利影响。</w:t>
      </w:r>
    </w:p>
    <w:p>
      <w:pPr>
        <w:widowControl w:val="0"/>
        <w:adjustRightInd w:val="0"/>
        <w:snapToGrid w:val="0"/>
        <w:spacing w:line="360" w:lineRule="auto"/>
        <w:ind w:firstLine="480" w:firstLineChars="200"/>
        <w:jc w:val="both"/>
        <w:rPr>
          <w:rFonts w:hint="eastAsia" w:ascii="Times New Roman" w:hAnsi="Times New Roman" w:cs="Times New Roman"/>
          <w:szCs w:val="20"/>
          <w:u w:val="single"/>
        </w:rPr>
      </w:pPr>
      <w:r>
        <w:rPr>
          <w:rFonts w:hint="eastAsia"/>
          <w:u w:val="single"/>
          <w:lang w:val="en-US" w:eastAsia="zh-CN"/>
        </w:rPr>
        <w:t>（3）</w:t>
      </w:r>
      <w:r>
        <w:rPr>
          <w:rFonts w:hint="eastAsia" w:ascii="Times New Roman" w:hAnsi="Times New Roman" w:cs="Times New Roman"/>
          <w:szCs w:val="20"/>
          <w:u w:val="single"/>
        </w:rPr>
        <w:t>进入汛期后，管委会收集、整理降雨、水位等信息，按照不同等级洪水和不同强度降雨及其对社会生活、生产的影响程度作出相应的预警行动。洪涝灾害发生后，由管委会和</w:t>
      </w:r>
      <w:r>
        <w:rPr>
          <w:rFonts w:hint="eastAsia" w:ascii="Times New Roman" w:hAnsi="Times New Roman" w:cs="Times New Roman"/>
          <w:szCs w:val="20"/>
          <w:u w:val="single"/>
          <w:lang w:eastAsia="zh-CN"/>
        </w:rPr>
        <w:t>华容县</w:t>
      </w:r>
      <w:r>
        <w:rPr>
          <w:rFonts w:hint="eastAsia" w:ascii="Times New Roman" w:hAnsi="Times New Roman" w:cs="Times New Roman"/>
          <w:szCs w:val="20"/>
          <w:u w:val="single"/>
        </w:rPr>
        <w:t>人民政府负责组织实施抗洪抢险、排涝、救灾等方面的工作。因洪涝灾害而衍生的疾病流行、水陆交通事故等次生灾害，由管委会和</w:t>
      </w:r>
      <w:r>
        <w:rPr>
          <w:rFonts w:hint="eastAsia" w:ascii="Times New Roman" w:hAnsi="Times New Roman" w:cs="Times New Roman"/>
          <w:szCs w:val="20"/>
          <w:u w:val="single"/>
          <w:lang w:eastAsia="zh-CN"/>
        </w:rPr>
        <w:t>华容县</w:t>
      </w:r>
      <w:r>
        <w:rPr>
          <w:rFonts w:hint="eastAsia" w:ascii="Times New Roman" w:hAnsi="Times New Roman" w:cs="Times New Roman"/>
          <w:szCs w:val="20"/>
          <w:u w:val="single"/>
        </w:rPr>
        <w:t>人民政府组织有关部门全力救护、处置，采取有效措施切断灾害扩大的传播链，防止次生或衍生灾害的蔓延，并及时向岳阳市政府和岳阳市防汛抗旱指挥部报告。</w:t>
      </w:r>
    </w:p>
    <w:p>
      <w:pPr>
        <w:pStyle w:val="5"/>
      </w:pPr>
      <w:r>
        <w:rPr>
          <w:rFonts w:hint="eastAsia"/>
        </w:rPr>
        <w:t>环境风险分析</w:t>
      </w:r>
      <w:bookmarkEnd w:id="187"/>
      <w:bookmarkEnd w:id="188"/>
      <w:bookmarkEnd w:id="189"/>
      <w:bookmarkEnd w:id="190"/>
    </w:p>
    <w:p>
      <w:pPr>
        <w:spacing w:line="360" w:lineRule="auto"/>
        <w:ind w:firstLine="480" w:firstLineChars="200"/>
        <w:rPr>
          <w:szCs w:val="24"/>
        </w:rPr>
      </w:pPr>
      <w:r>
        <w:rPr>
          <w:rFonts w:hint="eastAsia"/>
          <w:szCs w:val="24"/>
        </w:rPr>
        <w:t>根据《建设项目环境风险评价技术导则》（</w:t>
      </w:r>
      <w:r>
        <w:rPr>
          <w:rFonts w:cs="Times New Roman"/>
          <w:szCs w:val="24"/>
        </w:rPr>
        <w:t>HJ 169-2018</w:t>
      </w:r>
      <w:r>
        <w:rPr>
          <w:rFonts w:hint="eastAsia"/>
          <w:szCs w:val="24"/>
        </w:rPr>
        <w:t>）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61"/>
      </w:pPr>
      <w:bookmarkStart w:id="191" w:name="_Toc532497669"/>
      <w:r>
        <w:t>环境风险评价的目的</w:t>
      </w:r>
    </w:p>
    <w:p>
      <w:pPr>
        <w:pStyle w:val="100"/>
        <w:spacing w:line="360" w:lineRule="auto"/>
        <w:ind w:firstLine="480"/>
      </w:pPr>
      <w:r>
        <w:t>项目在外界因素的破坏下，具有发生火灾、爆炸、有毒有害物料泄漏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pPr>
        <w:pStyle w:val="100"/>
        <w:spacing w:line="360" w:lineRule="auto"/>
        <w:ind w:firstLine="480"/>
      </w:pPr>
      <w:r>
        <w:t>（1）根据项目特点，对项目装置和储运设施在生产过程中存在的各种事故风险因素及隐患进行识别，提出技术防范措施；</w:t>
      </w:r>
    </w:p>
    <w:p>
      <w:pPr>
        <w:pStyle w:val="100"/>
        <w:spacing w:line="360" w:lineRule="auto"/>
        <w:ind w:firstLine="480"/>
      </w:pPr>
      <w:r>
        <w:t>（2）分析和预测建设项目可能发生的突发性事件或事故，引起有毒、有害、易燃和易爆等物质泄漏到环境中所导致的后果（包括自然环境和社会环境），预测其对人身安全与环境的影响和损害程度；</w:t>
      </w:r>
    </w:p>
    <w:p>
      <w:pPr>
        <w:adjustRightInd w:val="0"/>
        <w:snapToGrid w:val="0"/>
        <w:spacing w:line="360" w:lineRule="auto"/>
        <w:ind w:firstLine="480" w:firstLineChars="200"/>
      </w:pPr>
      <w:r>
        <w:t>（3）根据风险事件的预测结果，有针对性地提出合理、切实可行的防范减缓措施、应急处理计划和应急预案，以及现场监控报警系统，使得建设项目事故率、损失情况和环境影响达到可接受水平。</w:t>
      </w:r>
    </w:p>
    <w:p>
      <w:pPr>
        <w:pStyle w:val="61"/>
      </w:pPr>
      <w:r>
        <w:t>环境风险识别</w:t>
      </w:r>
    </w:p>
    <w:p>
      <w:pPr>
        <w:pStyle w:val="100"/>
        <w:spacing w:line="360" w:lineRule="auto"/>
        <w:ind w:firstLine="480"/>
      </w:pPr>
      <w:r>
        <w:rPr>
          <w:rFonts w:hint="eastAsia"/>
        </w:rPr>
        <w:t>通过对本工程污水处理所选的工艺及整个污水处理系统中所建设施的分析，项目环境风险主要体现在非正常工况风险污染事故，主要有以下几个方面：</w:t>
      </w:r>
    </w:p>
    <w:p>
      <w:pPr>
        <w:pStyle w:val="100"/>
        <w:spacing w:line="360" w:lineRule="auto"/>
        <w:ind w:firstLine="480"/>
      </w:pPr>
      <w:r>
        <w:rPr>
          <w:rFonts w:hint="eastAsia"/>
        </w:rPr>
        <w:t>1、由于排水的不均匀性，导致进厂污水水量超过设计能力，污水停留时间减少，污染负荷去除率低于设计去除率；另外，进场污水水质负荷变化，有毒物质浓度升高，也会导致污水处理厂去除率下降，尾水超标排放；</w:t>
      </w:r>
    </w:p>
    <w:p>
      <w:pPr>
        <w:pStyle w:val="100"/>
        <w:spacing w:line="360" w:lineRule="auto"/>
        <w:ind w:firstLine="480"/>
      </w:pPr>
      <w:r>
        <w:rPr>
          <w:rFonts w:hint="eastAsia"/>
        </w:rPr>
        <w:t>2、污水处理系统由于停电、设备损坏，污水处理设施运行不正常，停车检修等造成大量污水未经处理直接排放；</w:t>
      </w:r>
    </w:p>
    <w:p>
      <w:pPr>
        <w:adjustRightInd w:val="0"/>
        <w:snapToGrid w:val="0"/>
        <w:spacing w:line="360" w:lineRule="auto"/>
        <w:ind w:firstLine="480" w:firstLineChars="200"/>
      </w:pPr>
      <w:r>
        <w:rPr>
          <w:rFonts w:hint="eastAsia"/>
        </w:rPr>
        <w:t>3、活性污泥变质，发生污泥膨胀等异常情况，使污水处理设施是处理效果降低。</w:t>
      </w:r>
    </w:p>
    <w:bookmarkEnd w:id="191"/>
    <w:p>
      <w:pPr>
        <w:pStyle w:val="61"/>
      </w:pPr>
      <w:r>
        <w:t>评价依据</w:t>
      </w:r>
    </w:p>
    <w:p>
      <w:pPr>
        <w:pStyle w:val="61"/>
        <w:numPr>
          <w:ilvl w:val="0"/>
          <w:numId w:val="0"/>
        </w:numPr>
        <w:ind w:left="142"/>
      </w:pPr>
      <w:r>
        <w:rPr>
          <w:rFonts w:hint="eastAsia"/>
        </w:rPr>
        <w:t>（1）</w:t>
      </w:r>
      <w:r>
        <w:t>风险调查</w:t>
      </w:r>
    </w:p>
    <w:p>
      <w:pPr>
        <w:pStyle w:val="100"/>
        <w:spacing w:line="360" w:lineRule="auto"/>
        <w:ind w:firstLine="480"/>
        <w:rPr>
          <w:szCs w:val="24"/>
        </w:rPr>
      </w:pPr>
      <w:r>
        <w:rPr>
          <w:szCs w:val="24"/>
        </w:rPr>
        <w:t>根据建设项目工程概况</w:t>
      </w:r>
      <w:r>
        <w:rPr>
          <w:rFonts w:hint="eastAsia"/>
          <w:szCs w:val="24"/>
        </w:rPr>
        <w:t>，</w:t>
      </w:r>
      <w:r>
        <w:rPr>
          <w:szCs w:val="24"/>
        </w:rPr>
        <w:t>本项目运行过程中涉及的化学物质主要包括</w:t>
      </w:r>
      <w:r>
        <w:rPr>
          <w:rFonts w:hint="eastAsia"/>
          <w:szCs w:val="24"/>
        </w:rPr>
        <w:t>：PAM、</w:t>
      </w:r>
      <w:r>
        <w:rPr>
          <w:szCs w:val="24"/>
        </w:rPr>
        <w:t>PA</w:t>
      </w:r>
      <w:r>
        <w:rPr>
          <w:rFonts w:hint="eastAsia"/>
          <w:szCs w:val="24"/>
        </w:rPr>
        <w:t>C、氯酸钠、三氯化铁、石灰、盐酸。根据《危险化学品名录》（</w:t>
      </w:r>
      <w:r>
        <w:rPr>
          <w:szCs w:val="24"/>
        </w:rPr>
        <w:t>2015</w:t>
      </w:r>
      <w:r>
        <w:rPr>
          <w:rFonts w:hint="eastAsia"/>
          <w:szCs w:val="24"/>
        </w:rPr>
        <w:t>版），氯酸钠、盐酸、三氯化铁属于危险化学品，其他物质不属于危险化学品。上述物质主要分布综合加药间和原辅材料储放间。</w:t>
      </w:r>
    </w:p>
    <w:p>
      <w:pPr>
        <w:pStyle w:val="100"/>
        <w:spacing w:line="360" w:lineRule="auto"/>
        <w:ind w:firstLine="480"/>
        <w:rPr>
          <w:szCs w:val="24"/>
        </w:rPr>
      </w:pPr>
      <w:r>
        <w:rPr>
          <w:rFonts w:hint="eastAsia"/>
          <w:szCs w:val="24"/>
        </w:rPr>
        <w:t>根据工程分析，本项目废气污染物主要包括NH</w:t>
      </w:r>
      <w:r>
        <w:rPr>
          <w:rFonts w:hint="eastAsia"/>
          <w:szCs w:val="24"/>
          <w:vertAlign w:val="subscript"/>
        </w:rPr>
        <w:t>3</w:t>
      </w:r>
      <w:r>
        <w:rPr>
          <w:rFonts w:hint="eastAsia"/>
          <w:szCs w:val="24"/>
        </w:rPr>
        <w:t>、H</w:t>
      </w:r>
      <w:r>
        <w:rPr>
          <w:rFonts w:hint="eastAsia"/>
          <w:szCs w:val="24"/>
          <w:vertAlign w:val="subscript"/>
        </w:rPr>
        <w:t>2</w:t>
      </w:r>
      <w:r>
        <w:rPr>
          <w:rFonts w:hint="eastAsia"/>
          <w:szCs w:val="24"/>
        </w:rPr>
        <w:t>S等；废水污染物主要为COD、BOD5、氨氮、SS、总氮、总磷等。</w:t>
      </w:r>
    </w:p>
    <w:p>
      <w:pPr>
        <w:pStyle w:val="100"/>
        <w:spacing w:line="360" w:lineRule="auto"/>
        <w:ind w:firstLine="480"/>
        <w:rPr>
          <w:szCs w:val="24"/>
        </w:rPr>
      </w:pPr>
      <w:r>
        <w:rPr>
          <w:rFonts w:hint="eastAsia"/>
          <w:szCs w:val="24"/>
        </w:rPr>
        <w:t>根据《建设项目环境风险评价技术导则》（</w:t>
      </w:r>
      <w:r>
        <w:rPr>
          <w:szCs w:val="24"/>
        </w:rPr>
        <w:t>HJ169-2018</w:t>
      </w:r>
      <w:r>
        <w:rPr>
          <w:rFonts w:hint="eastAsia"/>
          <w:szCs w:val="24"/>
        </w:rPr>
        <w:t>）附录</w:t>
      </w:r>
      <w:r>
        <w:rPr>
          <w:szCs w:val="24"/>
        </w:rPr>
        <w:t>B</w:t>
      </w:r>
      <w:r>
        <w:rPr>
          <w:rFonts w:hint="eastAsia"/>
          <w:szCs w:val="24"/>
        </w:rPr>
        <w:t>、</w:t>
      </w:r>
      <w:r>
        <w:rPr>
          <w:szCs w:val="24"/>
        </w:rPr>
        <w:t>GB3000.18</w:t>
      </w:r>
      <w:r>
        <w:rPr>
          <w:rFonts w:hint="eastAsia"/>
          <w:szCs w:val="24"/>
        </w:rPr>
        <w:t>、</w:t>
      </w:r>
      <w:r>
        <w:rPr>
          <w:szCs w:val="24"/>
        </w:rPr>
        <w:t>GB30000.28</w:t>
      </w:r>
      <w:r>
        <w:rPr>
          <w:rFonts w:hint="eastAsia"/>
          <w:szCs w:val="24"/>
        </w:rPr>
        <w:t>，拟建项目涉及的危险物质主要包括氯酸钠、盐酸、三氯化铁、</w:t>
      </w:r>
      <w:r>
        <w:rPr>
          <w:szCs w:val="24"/>
        </w:rPr>
        <w:t>NH</w:t>
      </w:r>
      <w:r>
        <w:rPr>
          <w:szCs w:val="24"/>
          <w:vertAlign w:val="subscript"/>
        </w:rPr>
        <w:t>3</w:t>
      </w:r>
      <w:r>
        <w:rPr>
          <w:rFonts w:hint="eastAsia"/>
          <w:szCs w:val="24"/>
        </w:rPr>
        <w:t>、</w:t>
      </w:r>
      <w:r>
        <w:rPr>
          <w:szCs w:val="24"/>
        </w:rPr>
        <w:t>H</w:t>
      </w:r>
      <w:r>
        <w:rPr>
          <w:szCs w:val="24"/>
          <w:vertAlign w:val="subscript"/>
        </w:rPr>
        <w:t>2</w:t>
      </w:r>
      <w:r>
        <w:rPr>
          <w:szCs w:val="24"/>
        </w:rPr>
        <w:t>S</w:t>
      </w:r>
      <w:r>
        <w:rPr>
          <w:rFonts w:hint="eastAsia"/>
          <w:szCs w:val="24"/>
        </w:rPr>
        <w:t>。</w:t>
      </w:r>
    </w:p>
    <w:p>
      <w:pPr>
        <w:pStyle w:val="100"/>
        <w:spacing w:line="360" w:lineRule="auto"/>
        <w:ind w:firstLine="480"/>
        <w:rPr>
          <w:szCs w:val="24"/>
        </w:rPr>
      </w:pPr>
      <w:r>
        <w:rPr>
          <w:rFonts w:hint="eastAsia"/>
          <w:szCs w:val="24"/>
        </w:rPr>
        <w:t>按照项目可研提供的危险物质储罐尺寸及数量、固体原料储存量等参数，估算本项目各危险物质的存在量见</w:t>
      </w:r>
      <w:r>
        <w:rPr>
          <w:szCs w:val="24"/>
        </w:rPr>
        <w:fldChar w:fldCharType="begin"/>
      </w:r>
      <w:r>
        <w:rPr>
          <w:rFonts w:hint="eastAsia"/>
          <w:szCs w:val="24"/>
        </w:rPr>
        <w:instrText xml:space="preserve">REF _Ref16520403 \h</w:instrText>
      </w:r>
      <w:r>
        <w:rPr>
          <w:szCs w:val="24"/>
        </w:rPr>
        <w:fldChar w:fldCharType="separate"/>
      </w:r>
      <w:r>
        <w:rPr>
          <w:rFonts w:hint="eastAsia"/>
          <w:szCs w:val="24"/>
        </w:rPr>
        <w:t>表</w:t>
      </w:r>
      <w:r>
        <w:rPr>
          <w:szCs w:val="24"/>
        </w:rPr>
        <w:fldChar w:fldCharType="begin"/>
      </w:r>
      <w:r>
        <w:rPr>
          <w:rFonts w:hint="eastAsia"/>
          <w:szCs w:val="24"/>
        </w:rPr>
        <w:instrText xml:space="preserve">STYLEREF 2 \s</w:instrText>
      </w:r>
      <w:r>
        <w:rPr>
          <w:szCs w:val="24"/>
        </w:rPr>
        <w:fldChar w:fldCharType="separate"/>
      </w:r>
      <w:r>
        <w:rPr>
          <w:szCs w:val="24"/>
        </w:rPr>
        <w:t>4.1</w:t>
      </w:r>
      <w:r>
        <w:rPr>
          <w:szCs w:val="24"/>
        </w:rPr>
        <w:fldChar w:fldCharType="end"/>
      </w:r>
      <w:r>
        <w:rPr>
          <w:szCs w:val="24"/>
        </w:rPr>
        <w:noBreakHyphen/>
      </w:r>
      <w:r>
        <w:rPr>
          <w:rFonts w:hint="eastAsia"/>
          <w:szCs w:val="24"/>
        </w:rPr>
        <w:t>26</w:t>
      </w:r>
      <w:r>
        <w:rPr>
          <w:szCs w:val="24"/>
        </w:rPr>
        <w:fldChar w:fldCharType="end"/>
      </w:r>
      <w:r>
        <w:rPr>
          <w:rFonts w:hint="eastAsia"/>
          <w:szCs w:val="24"/>
        </w:rPr>
        <w:t>。</w:t>
      </w:r>
    </w:p>
    <w:p>
      <w:pPr>
        <w:pStyle w:val="14"/>
        <w:spacing w:line="240" w:lineRule="auto"/>
        <w:rPr>
          <w:szCs w:val="24"/>
        </w:rPr>
      </w:pPr>
      <w:bookmarkStart w:id="192" w:name="_Ref16520403"/>
      <w:r>
        <w:rPr>
          <w:rFonts w:hint="eastAsia"/>
          <w:szCs w:val="24"/>
        </w:rPr>
        <w:t>表</w:t>
      </w:r>
      <w:r>
        <w:rPr>
          <w:szCs w:val="24"/>
        </w:rPr>
        <w:fldChar w:fldCharType="begin"/>
      </w:r>
      <w:r>
        <w:rPr>
          <w:rFonts w:hint="eastAsia"/>
          <w:szCs w:val="24"/>
        </w:rPr>
        <w:instrText xml:space="preserve">STYLEREF 2 \s</w:instrText>
      </w:r>
      <w:r>
        <w:rPr>
          <w:szCs w:val="24"/>
        </w:rPr>
        <w:fldChar w:fldCharType="separate"/>
      </w:r>
      <w:r>
        <w:rPr>
          <w:szCs w:val="24"/>
        </w:rPr>
        <w:t>4.1</w:t>
      </w:r>
      <w:r>
        <w:rPr>
          <w:szCs w:val="24"/>
        </w:rPr>
        <w:fldChar w:fldCharType="end"/>
      </w:r>
      <w:r>
        <w:rPr>
          <w:szCs w:val="24"/>
        </w:rPr>
        <w:noBreakHyphen/>
      </w:r>
      <w:r>
        <w:rPr>
          <w:szCs w:val="24"/>
        </w:rPr>
        <w:fldChar w:fldCharType="begin"/>
      </w:r>
      <w:r>
        <w:rPr>
          <w:rFonts w:hint="eastAsia"/>
          <w:szCs w:val="24"/>
        </w:rPr>
        <w:instrText xml:space="preserve">SEQ 表 \* ARABIC \s 2</w:instrText>
      </w:r>
      <w:r>
        <w:rPr>
          <w:szCs w:val="24"/>
        </w:rPr>
        <w:fldChar w:fldCharType="separate"/>
      </w:r>
      <w:r>
        <w:rPr>
          <w:rFonts w:hint="eastAsia"/>
          <w:szCs w:val="24"/>
        </w:rPr>
        <w:t>25</w:t>
      </w:r>
      <w:r>
        <w:rPr>
          <w:szCs w:val="24"/>
        </w:rPr>
        <w:fldChar w:fldCharType="end"/>
      </w:r>
      <w:bookmarkEnd w:id="192"/>
      <w:r>
        <w:rPr>
          <w:rFonts w:hint="eastAsia"/>
          <w:szCs w:val="24"/>
        </w:rPr>
        <w:t xml:space="preserve">  本项目危险物质数量及分布一览表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760"/>
        <w:gridCol w:w="2138"/>
        <w:gridCol w:w="1003"/>
        <w:gridCol w:w="822"/>
        <w:gridCol w:w="25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0" w:type="dxa"/>
            <w:gridSpan w:val="3"/>
            <w:vAlign w:val="center"/>
          </w:tcPr>
          <w:p>
            <w:pPr>
              <w:pStyle w:val="14"/>
              <w:adjustRightInd w:val="0"/>
              <w:snapToGrid w:val="0"/>
              <w:spacing w:line="240" w:lineRule="auto"/>
              <w:rPr>
                <w:b w:val="0"/>
                <w:sz w:val="21"/>
                <w:szCs w:val="21"/>
              </w:rPr>
            </w:pPr>
            <w:r>
              <w:rPr>
                <w:b w:val="0"/>
                <w:sz w:val="21"/>
                <w:szCs w:val="21"/>
              </w:rPr>
              <w:t>生产系统</w:t>
            </w:r>
            <w:r>
              <w:rPr>
                <w:rFonts w:hint="eastAsia"/>
                <w:b w:val="0"/>
                <w:sz w:val="21"/>
                <w:szCs w:val="21"/>
              </w:rPr>
              <w:t>/装置</w:t>
            </w:r>
          </w:p>
        </w:tc>
        <w:tc>
          <w:tcPr>
            <w:tcW w:w="1003" w:type="dxa"/>
            <w:vAlign w:val="center"/>
          </w:tcPr>
          <w:p>
            <w:pPr>
              <w:pStyle w:val="14"/>
              <w:adjustRightInd w:val="0"/>
              <w:snapToGrid w:val="0"/>
              <w:spacing w:line="240" w:lineRule="auto"/>
              <w:rPr>
                <w:b w:val="0"/>
                <w:sz w:val="21"/>
                <w:szCs w:val="21"/>
              </w:rPr>
            </w:pPr>
            <w:r>
              <w:rPr>
                <w:b w:val="0"/>
                <w:sz w:val="21"/>
                <w:szCs w:val="21"/>
              </w:rPr>
              <w:t>危险物质</w:t>
            </w:r>
          </w:p>
        </w:tc>
        <w:tc>
          <w:tcPr>
            <w:tcW w:w="822" w:type="dxa"/>
            <w:vAlign w:val="center"/>
          </w:tcPr>
          <w:p>
            <w:pPr>
              <w:pStyle w:val="14"/>
              <w:adjustRightInd w:val="0"/>
              <w:snapToGrid w:val="0"/>
              <w:spacing w:line="240" w:lineRule="auto"/>
              <w:rPr>
                <w:b w:val="0"/>
                <w:sz w:val="21"/>
                <w:szCs w:val="21"/>
              </w:rPr>
            </w:pPr>
            <w:r>
              <w:rPr>
                <w:b w:val="0"/>
                <w:sz w:val="21"/>
                <w:szCs w:val="21"/>
              </w:rPr>
              <w:t>存在量t</w:t>
            </w:r>
          </w:p>
        </w:tc>
        <w:tc>
          <w:tcPr>
            <w:tcW w:w="2557" w:type="dxa"/>
            <w:vAlign w:val="center"/>
          </w:tcPr>
          <w:p>
            <w:pPr>
              <w:pStyle w:val="14"/>
              <w:adjustRightInd w:val="0"/>
              <w:snapToGrid w:val="0"/>
              <w:spacing w:line="240" w:lineRule="auto"/>
              <w:rPr>
                <w:b w:val="0"/>
                <w:sz w:val="21"/>
                <w:szCs w:val="21"/>
              </w:rPr>
            </w:pPr>
            <w:r>
              <w:rPr>
                <w:b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pPr>
              <w:pStyle w:val="14"/>
              <w:adjustRightInd w:val="0"/>
              <w:snapToGrid w:val="0"/>
              <w:spacing w:line="240" w:lineRule="auto"/>
              <w:rPr>
                <w:b w:val="0"/>
                <w:sz w:val="21"/>
                <w:szCs w:val="21"/>
              </w:rPr>
            </w:pPr>
            <w:r>
              <w:rPr>
                <w:b w:val="0"/>
                <w:sz w:val="21"/>
                <w:szCs w:val="21"/>
              </w:rPr>
              <w:t>废水处理区</w:t>
            </w:r>
          </w:p>
        </w:tc>
        <w:tc>
          <w:tcPr>
            <w:tcW w:w="3898" w:type="dxa"/>
            <w:gridSpan w:val="2"/>
            <w:vMerge w:val="restart"/>
            <w:vAlign w:val="center"/>
          </w:tcPr>
          <w:p>
            <w:pPr>
              <w:pStyle w:val="14"/>
              <w:adjustRightInd w:val="0"/>
              <w:snapToGrid w:val="0"/>
              <w:spacing w:line="240" w:lineRule="auto"/>
              <w:rPr>
                <w:b w:val="0"/>
                <w:sz w:val="21"/>
                <w:szCs w:val="21"/>
              </w:rPr>
            </w:pPr>
            <w:r>
              <w:rPr>
                <w:b w:val="0"/>
                <w:sz w:val="21"/>
                <w:szCs w:val="21"/>
              </w:rPr>
              <w:t>污水处理区</w:t>
            </w:r>
            <w:r>
              <w:rPr>
                <w:rFonts w:hint="eastAsia"/>
                <w:b w:val="0"/>
                <w:sz w:val="21"/>
                <w:szCs w:val="21"/>
              </w:rPr>
              <w:t>、</w:t>
            </w:r>
            <w:r>
              <w:rPr>
                <w:b w:val="0"/>
                <w:sz w:val="21"/>
                <w:szCs w:val="21"/>
              </w:rPr>
              <w:t>污泥处理区</w:t>
            </w:r>
            <w:r>
              <w:rPr>
                <w:rFonts w:hint="eastAsia"/>
                <w:b w:val="0"/>
                <w:sz w:val="21"/>
                <w:szCs w:val="21"/>
              </w:rPr>
              <w:t>（污泥浓缩间和污泥脱水间）等</w:t>
            </w:r>
          </w:p>
        </w:tc>
        <w:tc>
          <w:tcPr>
            <w:tcW w:w="1003" w:type="dxa"/>
            <w:vAlign w:val="center"/>
          </w:tcPr>
          <w:p>
            <w:pPr>
              <w:pStyle w:val="14"/>
              <w:adjustRightInd w:val="0"/>
              <w:snapToGrid w:val="0"/>
              <w:spacing w:line="240" w:lineRule="auto"/>
              <w:rPr>
                <w:b w:val="0"/>
                <w:sz w:val="21"/>
                <w:szCs w:val="21"/>
              </w:rPr>
            </w:pPr>
            <w:r>
              <w:rPr>
                <w:b w:val="0"/>
                <w:sz w:val="21"/>
                <w:szCs w:val="21"/>
              </w:rPr>
              <w:t>NH</w:t>
            </w:r>
            <w:r>
              <w:rPr>
                <w:b w:val="0"/>
                <w:sz w:val="21"/>
                <w:szCs w:val="21"/>
                <w:vertAlign w:val="subscript"/>
              </w:rPr>
              <w:t>3</w:t>
            </w:r>
          </w:p>
        </w:tc>
        <w:tc>
          <w:tcPr>
            <w:tcW w:w="822" w:type="dxa"/>
            <w:vAlign w:val="center"/>
          </w:tcPr>
          <w:p>
            <w:pPr>
              <w:pStyle w:val="14"/>
              <w:adjustRightInd w:val="0"/>
              <w:snapToGrid w:val="0"/>
              <w:spacing w:line="240" w:lineRule="auto"/>
              <w:rPr>
                <w:b w:val="0"/>
                <w:sz w:val="21"/>
                <w:szCs w:val="21"/>
              </w:rPr>
            </w:pPr>
            <w:r>
              <w:rPr>
                <w:b w:val="0"/>
                <w:sz w:val="21"/>
                <w:szCs w:val="21"/>
              </w:rPr>
              <w:t>少量</w:t>
            </w:r>
          </w:p>
        </w:tc>
        <w:tc>
          <w:tcPr>
            <w:tcW w:w="2557" w:type="dxa"/>
            <w:vAlign w:val="center"/>
          </w:tcPr>
          <w:p>
            <w:pPr>
              <w:pStyle w:val="14"/>
              <w:adjustRightInd w:val="0"/>
              <w:snapToGrid w:val="0"/>
              <w:spacing w:line="240" w:lineRule="auto"/>
              <w:rPr>
                <w:b w:val="0"/>
                <w:sz w:val="21"/>
                <w:szCs w:val="21"/>
              </w:rPr>
            </w:pPr>
            <w:r>
              <w:rPr>
                <w:rFonts w:hint="eastAsia"/>
                <w:b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pPr>
              <w:pStyle w:val="14"/>
              <w:adjustRightInd w:val="0"/>
              <w:snapToGrid w:val="0"/>
              <w:spacing w:line="240" w:lineRule="auto"/>
              <w:rPr>
                <w:b w:val="0"/>
                <w:sz w:val="21"/>
                <w:szCs w:val="21"/>
              </w:rPr>
            </w:pPr>
          </w:p>
        </w:tc>
        <w:tc>
          <w:tcPr>
            <w:tcW w:w="3898" w:type="dxa"/>
            <w:gridSpan w:val="2"/>
            <w:vMerge w:val="continue"/>
            <w:vAlign w:val="center"/>
          </w:tcPr>
          <w:p>
            <w:pPr>
              <w:pStyle w:val="14"/>
              <w:adjustRightInd w:val="0"/>
              <w:snapToGrid w:val="0"/>
              <w:spacing w:line="240" w:lineRule="auto"/>
              <w:rPr>
                <w:b w:val="0"/>
                <w:sz w:val="21"/>
                <w:szCs w:val="21"/>
              </w:rPr>
            </w:pPr>
          </w:p>
        </w:tc>
        <w:tc>
          <w:tcPr>
            <w:tcW w:w="1003" w:type="dxa"/>
            <w:vAlign w:val="center"/>
          </w:tcPr>
          <w:p>
            <w:pPr>
              <w:pStyle w:val="14"/>
              <w:adjustRightInd w:val="0"/>
              <w:snapToGrid w:val="0"/>
              <w:spacing w:line="240" w:lineRule="auto"/>
              <w:rPr>
                <w:b w:val="0"/>
                <w:sz w:val="21"/>
                <w:szCs w:val="21"/>
              </w:rPr>
            </w:pPr>
            <w:r>
              <w:rPr>
                <w:b w:val="0"/>
                <w:sz w:val="21"/>
                <w:szCs w:val="21"/>
              </w:rPr>
              <w:t>H</w:t>
            </w:r>
            <w:r>
              <w:rPr>
                <w:b w:val="0"/>
                <w:sz w:val="21"/>
                <w:szCs w:val="21"/>
                <w:vertAlign w:val="subscript"/>
              </w:rPr>
              <w:t>2</w:t>
            </w:r>
            <w:r>
              <w:rPr>
                <w:b w:val="0"/>
                <w:sz w:val="21"/>
                <w:szCs w:val="21"/>
              </w:rPr>
              <w:t>S</w:t>
            </w:r>
          </w:p>
        </w:tc>
        <w:tc>
          <w:tcPr>
            <w:tcW w:w="822" w:type="dxa"/>
            <w:vAlign w:val="center"/>
          </w:tcPr>
          <w:p>
            <w:pPr>
              <w:pStyle w:val="14"/>
              <w:adjustRightInd w:val="0"/>
              <w:snapToGrid w:val="0"/>
              <w:spacing w:line="240" w:lineRule="auto"/>
              <w:rPr>
                <w:b w:val="0"/>
                <w:sz w:val="21"/>
                <w:szCs w:val="21"/>
              </w:rPr>
            </w:pPr>
            <w:r>
              <w:rPr>
                <w:b w:val="0"/>
                <w:sz w:val="21"/>
                <w:szCs w:val="21"/>
              </w:rPr>
              <w:t>少量</w:t>
            </w:r>
          </w:p>
        </w:tc>
        <w:tc>
          <w:tcPr>
            <w:tcW w:w="2557" w:type="dxa"/>
            <w:vAlign w:val="center"/>
          </w:tcPr>
          <w:p>
            <w:pPr>
              <w:pStyle w:val="14"/>
              <w:adjustRightInd w:val="0"/>
              <w:snapToGrid w:val="0"/>
              <w:spacing w:line="240" w:lineRule="auto"/>
              <w:rPr>
                <w:b w:val="0"/>
                <w:sz w:val="21"/>
                <w:szCs w:val="21"/>
              </w:rPr>
            </w:pPr>
            <w:r>
              <w:rPr>
                <w:rFonts w:hint="eastAsia"/>
                <w:b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pPr>
              <w:pStyle w:val="14"/>
              <w:adjustRightInd w:val="0"/>
              <w:snapToGrid w:val="0"/>
              <w:spacing w:line="240" w:lineRule="auto"/>
              <w:rPr>
                <w:b w:val="0"/>
                <w:sz w:val="21"/>
                <w:szCs w:val="21"/>
              </w:rPr>
            </w:pPr>
          </w:p>
        </w:tc>
        <w:tc>
          <w:tcPr>
            <w:tcW w:w="1760" w:type="dxa"/>
            <w:vMerge w:val="restart"/>
            <w:vAlign w:val="center"/>
          </w:tcPr>
          <w:p>
            <w:pPr>
              <w:pStyle w:val="14"/>
              <w:adjustRightInd w:val="0"/>
              <w:snapToGrid w:val="0"/>
              <w:spacing w:line="240" w:lineRule="auto"/>
              <w:rPr>
                <w:b w:val="0"/>
                <w:sz w:val="21"/>
                <w:szCs w:val="21"/>
              </w:rPr>
            </w:pPr>
            <w:r>
              <w:rPr>
                <w:b w:val="0"/>
                <w:sz w:val="21"/>
                <w:szCs w:val="21"/>
              </w:rPr>
              <w:t>综合加药间</w:t>
            </w:r>
          </w:p>
        </w:tc>
        <w:tc>
          <w:tcPr>
            <w:tcW w:w="2138" w:type="dxa"/>
            <w:vAlign w:val="center"/>
          </w:tcPr>
          <w:p>
            <w:pPr>
              <w:pStyle w:val="14"/>
              <w:adjustRightInd w:val="0"/>
              <w:snapToGrid w:val="0"/>
              <w:spacing w:line="240" w:lineRule="auto"/>
              <w:rPr>
                <w:b w:val="0"/>
                <w:sz w:val="21"/>
                <w:szCs w:val="21"/>
              </w:rPr>
            </w:pPr>
            <w:r>
              <w:rPr>
                <w:rFonts w:hint="eastAsia"/>
                <w:b w:val="0"/>
                <w:sz w:val="21"/>
                <w:szCs w:val="21"/>
              </w:rPr>
              <w:t>1×10m</w:t>
            </w:r>
            <w:r>
              <w:rPr>
                <w:rFonts w:hint="eastAsia"/>
                <w:b w:val="0"/>
                <w:sz w:val="21"/>
                <w:szCs w:val="21"/>
                <w:vertAlign w:val="superscript"/>
              </w:rPr>
              <w:t>3</w:t>
            </w:r>
            <w:r>
              <w:rPr>
                <w:rFonts w:hint="eastAsia"/>
                <w:b w:val="0"/>
                <w:sz w:val="21"/>
                <w:szCs w:val="21"/>
              </w:rPr>
              <w:t>储罐</w:t>
            </w:r>
          </w:p>
        </w:tc>
        <w:tc>
          <w:tcPr>
            <w:tcW w:w="1003" w:type="dxa"/>
            <w:vAlign w:val="center"/>
          </w:tcPr>
          <w:p>
            <w:pPr>
              <w:pStyle w:val="14"/>
              <w:adjustRightInd w:val="0"/>
              <w:snapToGrid w:val="0"/>
              <w:spacing w:line="240" w:lineRule="auto"/>
              <w:rPr>
                <w:b w:val="0"/>
                <w:sz w:val="21"/>
                <w:szCs w:val="21"/>
              </w:rPr>
            </w:pPr>
            <w:r>
              <w:rPr>
                <w:rFonts w:hint="eastAsia"/>
                <w:b w:val="0"/>
                <w:sz w:val="21"/>
                <w:szCs w:val="21"/>
              </w:rPr>
              <w:t>30%盐酸</w:t>
            </w:r>
          </w:p>
        </w:tc>
        <w:tc>
          <w:tcPr>
            <w:tcW w:w="822" w:type="dxa"/>
            <w:vAlign w:val="center"/>
          </w:tcPr>
          <w:p>
            <w:pPr>
              <w:pStyle w:val="14"/>
              <w:adjustRightInd w:val="0"/>
              <w:snapToGrid w:val="0"/>
              <w:spacing w:line="240" w:lineRule="auto"/>
              <w:rPr>
                <w:b w:val="0"/>
                <w:sz w:val="21"/>
                <w:szCs w:val="21"/>
              </w:rPr>
            </w:pPr>
            <w:r>
              <w:rPr>
                <w:rFonts w:hint="eastAsia"/>
                <w:b w:val="0"/>
                <w:sz w:val="21"/>
                <w:szCs w:val="21"/>
              </w:rPr>
              <w:t>6.2</w:t>
            </w:r>
          </w:p>
        </w:tc>
        <w:tc>
          <w:tcPr>
            <w:tcW w:w="2557" w:type="dxa"/>
            <w:vAlign w:val="center"/>
          </w:tcPr>
          <w:p>
            <w:pPr>
              <w:pStyle w:val="14"/>
              <w:adjustRightInd w:val="0"/>
              <w:snapToGrid w:val="0"/>
              <w:spacing w:line="240" w:lineRule="auto"/>
              <w:rPr>
                <w:rFonts w:hint="default" w:eastAsia="宋体"/>
                <w:b w:val="0"/>
                <w:sz w:val="21"/>
                <w:szCs w:val="21"/>
                <w:lang w:val="en-US" w:eastAsia="zh-CN"/>
              </w:rPr>
            </w:pPr>
            <w:r>
              <w:rPr>
                <w:rFonts w:hint="eastAsia"/>
                <w:b w:val="0"/>
                <w:sz w:val="21"/>
                <w:szCs w:val="21"/>
                <w:lang w:eastAsia="zh-CN"/>
              </w:rPr>
              <w:t>装填率</w:t>
            </w:r>
            <w:r>
              <w:rPr>
                <w:rFonts w:hint="eastAsia"/>
                <w:b w:val="0"/>
                <w:sz w:val="21"/>
                <w:szCs w:val="21"/>
                <w:lang w:val="en-US" w:eastAsia="zh-CN"/>
              </w:rPr>
              <w:t>80%，密度按1.35t/m</w:t>
            </w:r>
            <w:r>
              <w:rPr>
                <w:rFonts w:hint="eastAsia"/>
                <w:b w:val="0"/>
                <w:sz w:val="21"/>
                <w:szCs w:val="21"/>
                <w:vertAlign w:val="superscript"/>
                <w:lang w:val="en-US" w:eastAsia="zh-CN"/>
              </w:rPr>
              <w:t>3</w:t>
            </w:r>
            <w:r>
              <w:rPr>
                <w:rFonts w:hint="eastAsia"/>
                <w:b w:val="0"/>
                <w:sz w:val="21"/>
                <w:szCs w:val="21"/>
                <w:vertAlign w:val="baseline"/>
                <w:lang w:val="en-US" w:eastAsia="zh-CN"/>
              </w:rPr>
              <w:t>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pPr>
              <w:pStyle w:val="14"/>
              <w:adjustRightInd w:val="0"/>
              <w:snapToGrid w:val="0"/>
              <w:spacing w:line="240" w:lineRule="auto"/>
              <w:rPr>
                <w:b w:val="0"/>
                <w:sz w:val="21"/>
                <w:szCs w:val="21"/>
              </w:rPr>
            </w:pPr>
          </w:p>
        </w:tc>
        <w:tc>
          <w:tcPr>
            <w:tcW w:w="1760" w:type="dxa"/>
            <w:vMerge w:val="continue"/>
            <w:vAlign w:val="center"/>
          </w:tcPr>
          <w:p>
            <w:pPr>
              <w:pStyle w:val="14"/>
              <w:adjustRightInd w:val="0"/>
              <w:snapToGrid w:val="0"/>
              <w:spacing w:line="240" w:lineRule="auto"/>
              <w:rPr>
                <w:b w:val="0"/>
                <w:sz w:val="21"/>
                <w:szCs w:val="21"/>
              </w:rPr>
            </w:pPr>
          </w:p>
        </w:tc>
        <w:tc>
          <w:tcPr>
            <w:tcW w:w="2138" w:type="dxa"/>
            <w:vAlign w:val="center"/>
          </w:tcPr>
          <w:p>
            <w:pPr>
              <w:pStyle w:val="14"/>
              <w:adjustRightInd w:val="0"/>
              <w:snapToGrid w:val="0"/>
              <w:spacing w:line="240" w:lineRule="auto"/>
              <w:rPr>
                <w:b w:val="0"/>
                <w:sz w:val="21"/>
                <w:szCs w:val="21"/>
              </w:rPr>
            </w:pPr>
            <w:r>
              <w:rPr>
                <w:rFonts w:hint="eastAsia"/>
                <w:b w:val="0"/>
                <w:sz w:val="21"/>
                <w:szCs w:val="21"/>
              </w:rPr>
              <w:t>1×2.5m</w:t>
            </w:r>
            <w:r>
              <w:rPr>
                <w:rFonts w:hint="eastAsia"/>
                <w:b w:val="0"/>
                <w:sz w:val="21"/>
                <w:szCs w:val="21"/>
                <w:vertAlign w:val="superscript"/>
              </w:rPr>
              <w:t>3</w:t>
            </w:r>
            <w:r>
              <w:rPr>
                <w:rFonts w:hint="eastAsia"/>
                <w:b w:val="0"/>
                <w:sz w:val="21"/>
                <w:szCs w:val="21"/>
              </w:rPr>
              <w:t>储罐</w:t>
            </w:r>
          </w:p>
        </w:tc>
        <w:tc>
          <w:tcPr>
            <w:tcW w:w="1003" w:type="dxa"/>
            <w:vAlign w:val="center"/>
          </w:tcPr>
          <w:p>
            <w:pPr>
              <w:pStyle w:val="14"/>
              <w:adjustRightInd w:val="0"/>
              <w:snapToGrid w:val="0"/>
              <w:spacing w:line="240" w:lineRule="auto"/>
              <w:rPr>
                <w:b w:val="0"/>
                <w:color w:val="000000" w:themeColor="text1"/>
                <w:sz w:val="21"/>
                <w:szCs w:val="21"/>
              </w:rPr>
            </w:pPr>
            <w:r>
              <w:rPr>
                <w:b w:val="0"/>
                <w:color w:val="000000" w:themeColor="text1"/>
                <w:sz w:val="21"/>
                <w:szCs w:val="21"/>
              </w:rPr>
              <w:t>30%</w:t>
            </w:r>
            <w:r>
              <w:rPr>
                <w:rFonts w:cs="Times New Roman"/>
                <w:b w:val="0"/>
                <w:color w:val="000000" w:themeColor="text1"/>
                <w:kern w:val="0"/>
                <w:sz w:val="21"/>
                <w:szCs w:val="21"/>
              </w:rPr>
              <w:t>氯酸钠</w:t>
            </w:r>
          </w:p>
        </w:tc>
        <w:tc>
          <w:tcPr>
            <w:tcW w:w="822" w:type="dxa"/>
            <w:vAlign w:val="center"/>
          </w:tcPr>
          <w:p>
            <w:pPr>
              <w:pStyle w:val="14"/>
              <w:adjustRightInd w:val="0"/>
              <w:snapToGrid w:val="0"/>
              <w:spacing w:line="240" w:lineRule="auto"/>
              <w:rPr>
                <w:b w:val="0"/>
                <w:sz w:val="21"/>
                <w:szCs w:val="21"/>
              </w:rPr>
            </w:pPr>
            <w:r>
              <w:rPr>
                <w:rFonts w:hint="eastAsia"/>
                <w:b w:val="0"/>
                <w:sz w:val="21"/>
                <w:szCs w:val="21"/>
              </w:rPr>
              <w:t>2</w:t>
            </w:r>
          </w:p>
        </w:tc>
        <w:tc>
          <w:tcPr>
            <w:tcW w:w="2557" w:type="dxa"/>
            <w:vAlign w:val="center"/>
          </w:tcPr>
          <w:p>
            <w:pPr>
              <w:pStyle w:val="14"/>
              <w:adjustRightInd w:val="0"/>
              <w:snapToGrid w:val="0"/>
              <w:spacing w:line="240" w:lineRule="auto"/>
              <w:rPr>
                <w:b w:val="0"/>
                <w:sz w:val="21"/>
                <w:szCs w:val="21"/>
              </w:rPr>
            </w:pPr>
            <w:r>
              <w:rPr>
                <w:rFonts w:hint="eastAsia"/>
                <w:b w:val="0"/>
                <w:sz w:val="21"/>
                <w:szCs w:val="21"/>
              </w:rPr>
              <w:t>装填率</w:t>
            </w:r>
            <w:r>
              <w:rPr>
                <w:b w:val="0"/>
                <w:sz w:val="21"/>
                <w:szCs w:val="21"/>
              </w:rPr>
              <w:t>80%</w:t>
            </w:r>
            <w:r>
              <w:rPr>
                <w:rFonts w:hint="eastAsia"/>
                <w:b w:val="0"/>
                <w:sz w:val="21"/>
                <w:szCs w:val="21"/>
              </w:rPr>
              <w:t>，密度按</w:t>
            </w:r>
            <w:r>
              <w:rPr>
                <w:b w:val="0"/>
                <w:sz w:val="21"/>
                <w:szCs w:val="21"/>
              </w:rPr>
              <w:t>1.35t/m</w:t>
            </w:r>
            <w:r>
              <w:rPr>
                <w:b w:val="0"/>
                <w:sz w:val="21"/>
                <w:szCs w:val="21"/>
                <w:vertAlign w:val="superscript"/>
              </w:rPr>
              <w:t>3</w:t>
            </w:r>
            <w:r>
              <w:rPr>
                <w:rFonts w:hint="eastAsia"/>
                <w:b w:val="0"/>
                <w:sz w:val="21"/>
                <w:szCs w:val="21"/>
              </w:rPr>
              <w:t>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2" w:type="dxa"/>
            <w:gridSpan w:val="2"/>
            <w:vAlign w:val="center"/>
          </w:tcPr>
          <w:p>
            <w:pPr>
              <w:pStyle w:val="14"/>
              <w:adjustRightInd w:val="0"/>
              <w:snapToGrid w:val="0"/>
              <w:spacing w:line="240" w:lineRule="auto"/>
              <w:rPr>
                <w:b w:val="0"/>
                <w:sz w:val="21"/>
                <w:szCs w:val="21"/>
              </w:rPr>
            </w:pPr>
            <w:r>
              <w:rPr>
                <w:b w:val="0"/>
                <w:sz w:val="21"/>
                <w:szCs w:val="21"/>
              </w:rPr>
              <w:t>原辅材料存放间</w:t>
            </w:r>
          </w:p>
        </w:tc>
        <w:tc>
          <w:tcPr>
            <w:tcW w:w="2138" w:type="dxa"/>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rPr>
              <w:t>袋装贮存</w:t>
            </w:r>
          </w:p>
        </w:tc>
        <w:tc>
          <w:tcPr>
            <w:tcW w:w="1003" w:type="dxa"/>
            <w:vAlign w:val="center"/>
          </w:tcPr>
          <w:p>
            <w:pPr>
              <w:pStyle w:val="14"/>
              <w:adjustRightInd w:val="0"/>
              <w:snapToGrid w:val="0"/>
              <w:spacing w:line="240" w:lineRule="auto"/>
              <w:rPr>
                <w:b w:val="0"/>
                <w:sz w:val="21"/>
                <w:szCs w:val="21"/>
              </w:rPr>
            </w:pPr>
            <w:r>
              <w:rPr>
                <w:rFonts w:hint="eastAsia"/>
                <w:b w:val="0"/>
                <w:color w:val="000000" w:themeColor="text1"/>
                <w:sz w:val="21"/>
                <w:szCs w:val="21"/>
              </w:rPr>
              <w:t>三氯化铁</w:t>
            </w:r>
          </w:p>
        </w:tc>
        <w:tc>
          <w:tcPr>
            <w:tcW w:w="822" w:type="dxa"/>
            <w:vAlign w:val="center"/>
          </w:tcPr>
          <w:p>
            <w:pPr>
              <w:pStyle w:val="14"/>
              <w:adjustRightInd w:val="0"/>
              <w:snapToGrid w:val="0"/>
              <w:spacing w:line="240" w:lineRule="auto"/>
              <w:rPr>
                <w:b w:val="0"/>
                <w:sz w:val="21"/>
                <w:szCs w:val="21"/>
              </w:rPr>
            </w:pPr>
            <w:r>
              <w:rPr>
                <w:rFonts w:hint="eastAsia"/>
                <w:b w:val="0"/>
                <w:sz w:val="21"/>
                <w:szCs w:val="21"/>
              </w:rPr>
              <w:t>0.08</w:t>
            </w:r>
          </w:p>
        </w:tc>
        <w:tc>
          <w:tcPr>
            <w:tcW w:w="2557" w:type="dxa"/>
            <w:vAlign w:val="center"/>
          </w:tcPr>
          <w:p>
            <w:pPr>
              <w:pStyle w:val="78"/>
              <w:snapToGrid w:val="0"/>
              <w:jc w:val="center"/>
              <w:rPr>
                <w:rFonts w:ascii="宋体" w:eastAsia="宋体" w:cs="宋体"/>
                <w:kern w:val="2"/>
                <w:sz w:val="21"/>
                <w:szCs w:val="21"/>
              </w:rPr>
            </w:pPr>
            <w:r>
              <w:rPr>
                <w:rFonts w:eastAsia="宋体"/>
                <w:kern w:val="2"/>
                <w:sz w:val="21"/>
                <w:szCs w:val="21"/>
              </w:rPr>
              <w:t>15</w:t>
            </w:r>
            <w:r>
              <w:rPr>
                <w:rFonts w:hint="eastAsia" w:ascii="宋体" w:eastAsia="宋体" w:cs="宋体"/>
                <w:kern w:val="2"/>
                <w:sz w:val="21"/>
                <w:szCs w:val="21"/>
              </w:rPr>
              <w:t>天消耗量计</w:t>
            </w:r>
          </w:p>
        </w:tc>
      </w:tr>
    </w:tbl>
    <w:p>
      <w:pPr>
        <w:pStyle w:val="61"/>
        <w:numPr>
          <w:ilvl w:val="0"/>
          <w:numId w:val="0"/>
        </w:numPr>
        <w:ind w:left="1006" w:hanging="864"/>
      </w:pPr>
      <w:r>
        <w:rPr>
          <w:rFonts w:hint="eastAsia"/>
        </w:rPr>
        <w:t>（2）危险</w:t>
      </w:r>
      <w:r>
        <w:t>物质及工艺系统危险性</w:t>
      </w:r>
      <w:r>
        <w:rPr>
          <w:rFonts w:hint="eastAsia"/>
        </w:rPr>
        <w:t>（P）</w:t>
      </w:r>
    </w:p>
    <w:p>
      <w:pPr>
        <w:pStyle w:val="100"/>
        <w:spacing w:line="360" w:lineRule="auto"/>
        <w:ind w:firstLine="480"/>
        <w:rPr>
          <w:szCs w:val="24"/>
        </w:rPr>
      </w:pPr>
      <w:r>
        <w:rPr>
          <w:rFonts w:hint="eastAsia"/>
          <w:szCs w:val="24"/>
        </w:rPr>
        <w:t>①危险物质数量与临界量比值（Q）的确定</w:t>
      </w:r>
    </w:p>
    <w:p>
      <w:pPr>
        <w:pStyle w:val="100"/>
        <w:spacing w:line="360" w:lineRule="auto"/>
        <w:ind w:firstLine="480"/>
        <w:rPr>
          <w:szCs w:val="24"/>
        </w:rPr>
      </w:pPr>
      <w:r>
        <w:rPr>
          <w:szCs w:val="24"/>
        </w:rPr>
        <w:t>根据《建设项目环境风险评价技术导则》（HJ169-2018）附录C，当存在多种危险物质时，按下式计算物质总量与其临界量的比值（Q）：</w:t>
      </w:r>
    </w:p>
    <w:p>
      <w:pPr>
        <w:pStyle w:val="100"/>
        <w:spacing w:line="360" w:lineRule="auto"/>
        <w:ind w:firstLine="0" w:firstLineChars="0"/>
        <w:jc w:val="center"/>
        <w:rPr>
          <w:szCs w:val="24"/>
        </w:rPr>
      </w:pPr>
      <w:r>
        <w:rPr>
          <w:rFonts w:ascii="Cambria Math" w:hAnsi="Cambria Math"/>
          <w:szCs w:val="24"/>
        </w:rPr>
        <w:t>𝑄</w:t>
      </w:r>
      <w:r>
        <w:rPr>
          <w:szCs w:val="24"/>
        </w:rPr>
        <w:t>=</w:t>
      </w:r>
      <w:r>
        <w:rPr>
          <w:rFonts w:ascii="Cambria Math" w:hAnsi="Cambria Math"/>
          <w:szCs w:val="24"/>
        </w:rPr>
        <w:t>𝑞</w:t>
      </w:r>
      <w:r>
        <w:rPr>
          <w:szCs w:val="24"/>
        </w:rPr>
        <w:t>1/</w:t>
      </w:r>
      <w:r>
        <w:rPr>
          <w:rFonts w:ascii="Cambria Math" w:hAnsi="Cambria Math"/>
          <w:szCs w:val="24"/>
        </w:rPr>
        <w:t>𝑄</w:t>
      </w:r>
      <w:r>
        <w:rPr>
          <w:szCs w:val="24"/>
        </w:rPr>
        <w:t>1+</w:t>
      </w:r>
      <w:r>
        <w:rPr>
          <w:rFonts w:ascii="Cambria Math" w:hAnsi="Cambria Math"/>
          <w:szCs w:val="24"/>
        </w:rPr>
        <w:t>𝑞</w:t>
      </w:r>
      <w:r>
        <w:rPr>
          <w:szCs w:val="24"/>
        </w:rPr>
        <w:t>2/</w:t>
      </w:r>
      <w:r>
        <w:rPr>
          <w:rFonts w:ascii="Cambria Math" w:hAnsi="Cambria Math"/>
          <w:szCs w:val="24"/>
        </w:rPr>
        <w:t>𝑄</w:t>
      </w:r>
      <w:r>
        <w:rPr>
          <w:szCs w:val="24"/>
        </w:rPr>
        <w:t>2+</w:t>
      </w:r>
      <w:r>
        <w:rPr>
          <w:rFonts w:hAnsi="Cambria Math"/>
          <w:szCs w:val="24"/>
        </w:rPr>
        <w:t>⋯</w:t>
      </w:r>
      <w:r>
        <w:rPr>
          <w:rFonts w:ascii="Cambria Math" w:hAnsi="Cambria Math"/>
          <w:szCs w:val="24"/>
        </w:rPr>
        <w:t>𝑞𝑛</w:t>
      </w:r>
      <w:r>
        <w:rPr>
          <w:szCs w:val="24"/>
        </w:rPr>
        <w:t>/</w:t>
      </w:r>
      <w:r>
        <w:rPr>
          <w:rFonts w:ascii="Cambria Math" w:hAnsi="Cambria Math"/>
          <w:szCs w:val="24"/>
        </w:rPr>
        <w:t>𝑄𝑛</w:t>
      </w:r>
    </w:p>
    <w:p>
      <w:pPr>
        <w:autoSpaceDE w:val="0"/>
        <w:autoSpaceDN w:val="0"/>
        <w:adjustRightInd w:val="0"/>
        <w:spacing w:line="360" w:lineRule="auto"/>
        <w:ind w:firstLine="480" w:firstLineChars="200"/>
        <w:jc w:val="left"/>
        <w:rPr>
          <w:rFonts w:cs="Times New Roman"/>
          <w:color w:val="000000"/>
          <w:kern w:val="0"/>
          <w:szCs w:val="24"/>
        </w:rPr>
      </w:pPr>
      <w:r>
        <w:rPr>
          <w:rFonts w:cs="Times New Roman"/>
          <w:color w:val="000000"/>
          <w:kern w:val="0"/>
          <w:szCs w:val="24"/>
        </w:rPr>
        <w:t>式中：</w:t>
      </w:r>
      <w:r>
        <w:rPr>
          <w:rFonts w:cs="Times New Roman"/>
          <w:i/>
          <w:iCs/>
          <w:color w:val="000000"/>
          <w:kern w:val="0"/>
          <w:szCs w:val="24"/>
        </w:rPr>
        <w:t>q1,q2,…qn</w:t>
      </w:r>
      <w:r>
        <w:rPr>
          <w:rFonts w:cs="Times New Roman"/>
          <w:color w:val="000000"/>
          <w:kern w:val="0"/>
          <w:szCs w:val="24"/>
        </w:rPr>
        <w:t>—每种危险物质的最大存在量，t；</w:t>
      </w:r>
    </w:p>
    <w:p>
      <w:pPr>
        <w:autoSpaceDE w:val="0"/>
        <w:autoSpaceDN w:val="0"/>
        <w:adjustRightInd w:val="0"/>
        <w:spacing w:line="360" w:lineRule="auto"/>
        <w:ind w:firstLine="1080" w:firstLineChars="450"/>
        <w:jc w:val="left"/>
        <w:rPr>
          <w:rFonts w:cs="Times New Roman"/>
          <w:color w:val="000000"/>
          <w:kern w:val="0"/>
          <w:szCs w:val="24"/>
        </w:rPr>
      </w:pPr>
      <w:r>
        <w:rPr>
          <w:rFonts w:cs="Times New Roman"/>
          <w:i/>
          <w:iCs/>
          <w:color w:val="000000"/>
          <w:kern w:val="0"/>
          <w:szCs w:val="24"/>
        </w:rPr>
        <w:t>Q1,Q2,…Qn</w:t>
      </w:r>
      <w:r>
        <w:rPr>
          <w:rFonts w:cs="Times New Roman"/>
          <w:color w:val="000000"/>
          <w:kern w:val="0"/>
          <w:szCs w:val="24"/>
        </w:rPr>
        <w:t>—每种危险物质的临界量，t。</w:t>
      </w:r>
    </w:p>
    <w:p>
      <w:pPr>
        <w:autoSpaceDE w:val="0"/>
        <w:autoSpaceDN w:val="0"/>
        <w:adjustRightInd w:val="0"/>
        <w:spacing w:line="360" w:lineRule="auto"/>
        <w:ind w:firstLine="1080" w:firstLineChars="450"/>
        <w:jc w:val="left"/>
        <w:rPr>
          <w:rFonts w:cs="Times New Roman"/>
          <w:color w:val="000000"/>
          <w:kern w:val="0"/>
          <w:szCs w:val="24"/>
        </w:rPr>
      </w:pPr>
      <w:r>
        <w:rPr>
          <w:rFonts w:cs="Times New Roman"/>
          <w:color w:val="000000"/>
          <w:kern w:val="0"/>
          <w:szCs w:val="24"/>
        </w:rPr>
        <w:t>当Q＜1时，该项目环境风险潜势为</w:t>
      </w:r>
      <w:r>
        <w:rPr>
          <w:rFonts w:eastAsia="宋体" w:cs="Times New Roman"/>
          <w:color w:val="000000"/>
          <w:kern w:val="0"/>
          <w:szCs w:val="24"/>
        </w:rPr>
        <w:t>Ⅰ</w:t>
      </w:r>
      <w:r>
        <w:rPr>
          <w:rFonts w:cs="Times New Roman"/>
          <w:color w:val="000000"/>
          <w:kern w:val="0"/>
          <w:szCs w:val="24"/>
        </w:rPr>
        <w:t>。</w:t>
      </w:r>
    </w:p>
    <w:p>
      <w:pPr>
        <w:pStyle w:val="100"/>
        <w:spacing w:line="360" w:lineRule="auto"/>
        <w:ind w:firstLine="480"/>
        <w:jc w:val="center"/>
        <w:rPr>
          <w:rFonts w:eastAsiaTheme="minorEastAsia"/>
          <w:color w:val="000000"/>
          <w:kern w:val="0"/>
          <w:szCs w:val="24"/>
        </w:rPr>
      </w:pPr>
      <w:r>
        <w:rPr>
          <w:rFonts w:eastAsiaTheme="minorEastAsia"/>
          <w:color w:val="000000"/>
          <w:kern w:val="0"/>
          <w:szCs w:val="24"/>
        </w:rPr>
        <w:t>当Q≥1时，将Q值划分为：（1）1≤Q＜10；（2）10≤Q＜100；（3）Q≥100。</w:t>
      </w:r>
    </w:p>
    <w:p>
      <w:pPr>
        <w:pStyle w:val="100"/>
        <w:spacing w:line="360" w:lineRule="auto"/>
        <w:ind w:firstLine="480"/>
        <w:rPr>
          <w:rFonts w:eastAsiaTheme="minorEastAsia"/>
          <w:color w:val="000000"/>
          <w:kern w:val="0"/>
          <w:szCs w:val="24"/>
        </w:rPr>
      </w:pPr>
      <w:r>
        <w:rPr>
          <w:rFonts w:hint="eastAsia" w:eastAsiaTheme="minorEastAsia"/>
          <w:color w:val="000000"/>
          <w:kern w:val="0"/>
          <w:szCs w:val="24"/>
        </w:rPr>
        <w:t>本项目危险物质数量与临界量比值（Q）计算结果见下表所示。</w:t>
      </w:r>
    </w:p>
    <w:p>
      <w:pPr>
        <w:pStyle w:val="14"/>
        <w:spacing w:line="240" w:lineRule="auto"/>
        <w:rPr>
          <w:szCs w:val="24"/>
        </w:rPr>
      </w:pPr>
      <w:bookmarkStart w:id="193" w:name="_Ref16521002"/>
      <w:r>
        <w:rPr>
          <w:rFonts w:hint="eastAsia" w:eastAsiaTheme="minorEastAsia"/>
          <w:color w:val="000000"/>
          <w:kern w:val="0"/>
          <w:szCs w:val="24"/>
        </w:rPr>
        <w:t>表</w:t>
      </w:r>
      <w:r>
        <w:rPr>
          <w:rFonts w:eastAsiaTheme="minorEastAsia"/>
          <w:color w:val="000000"/>
          <w:kern w:val="0"/>
          <w:szCs w:val="24"/>
        </w:rPr>
        <w:fldChar w:fldCharType="begin"/>
      </w:r>
      <w:r>
        <w:rPr>
          <w:rFonts w:hint="eastAsia" w:eastAsiaTheme="minorEastAsia"/>
          <w:color w:val="000000"/>
          <w:kern w:val="0"/>
          <w:szCs w:val="24"/>
        </w:rPr>
        <w:instrText xml:space="preserve">STYLEREF 2 \s</w:instrText>
      </w:r>
      <w:r>
        <w:rPr>
          <w:rFonts w:eastAsiaTheme="minorEastAsia"/>
          <w:color w:val="000000"/>
          <w:kern w:val="0"/>
          <w:szCs w:val="24"/>
        </w:rPr>
        <w:fldChar w:fldCharType="separate"/>
      </w:r>
      <w:r>
        <w:rPr>
          <w:rFonts w:eastAsiaTheme="minorEastAsia"/>
          <w:color w:val="000000"/>
          <w:kern w:val="0"/>
          <w:szCs w:val="24"/>
        </w:rPr>
        <w:t>4.1</w:t>
      </w:r>
      <w:r>
        <w:rPr>
          <w:rFonts w:eastAsiaTheme="minorEastAsia"/>
          <w:color w:val="000000"/>
          <w:kern w:val="0"/>
          <w:szCs w:val="24"/>
        </w:rPr>
        <w:fldChar w:fldCharType="end"/>
      </w:r>
      <w:r>
        <w:rPr>
          <w:rFonts w:eastAsiaTheme="minorEastAsia"/>
          <w:color w:val="000000"/>
          <w:kern w:val="0"/>
          <w:szCs w:val="24"/>
        </w:rPr>
        <w:noBreakHyphen/>
      </w:r>
      <w:r>
        <w:rPr>
          <w:rFonts w:eastAsiaTheme="minorEastAsia"/>
          <w:color w:val="000000"/>
          <w:kern w:val="0"/>
          <w:szCs w:val="24"/>
        </w:rPr>
        <w:fldChar w:fldCharType="begin"/>
      </w:r>
      <w:r>
        <w:rPr>
          <w:rFonts w:hint="eastAsia" w:eastAsiaTheme="minorEastAsia"/>
          <w:color w:val="000000"/>
          <w:kern w:val="0"/>
          <w:szCs w:val="24"/>
        </w:rPr>
        <w:instrText xml:space="preserve">SEQ 表 \* ARABIC \s 2</w:instrText>
      </w:r>
      <w:r>
        <w:rPr>
          <w:rFonts w:eastAsiaTheme="minorEastAsia"/>
          <w:color w:val="000000"/>
          <w:kern w:val="0"/>
          <w:szCs w:val="24"/>
        </w:rPr>
        <w:fldChar w:fldCharType="separate"/>
      </w:r>
      <w:r>
        <w:rPr>
          <w:rFonts w:hint="eastAsia" w:eastAsiaTheme="minorEastAsia"/>
          <w:color w:val="000000"/>
          <w:kern w:val="0"/>
          <w:szCs w:val="24"/>
        </w:rPr>
        <w:t>26</w:t>
      </w:r>
      <w:r>
        <w:rPr>
          <w:rFonts w:eastAsiaTheme="minorEastAsia"/>
          <w:color w:val="000000"/>
          <w:kern w:val="0"/>
          <w:szCs w:val="24"/>
        </w:rPr>
        <w:fldChar w:fldCharType="end"/>
      </w:r>
      <w:bookmarkEnd w:id="193"/>
      <w:r>
        <w:rPr>
          <w:rFonts w:hint="eastAsia"/>
          <w:szCs w:val="24"/>
        </w:rPr>
        <w:t xml:space="preserve">  本项目Q值确定表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0"/>
        <w:gridCol w:w="1540"/>
        <w:gridCol w:w="1540"/>
        <w:gridCol w:w="1541"/>
        <w:gridCol w:w="1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spacing w:line="240" w:lineRule="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序号</w:t>
            </w:r>
          </w:p>
        </w:tc>
        <w:tc>
          <w:tcPr>
            <w:tcW w:w="1540" w:type="dxa"/>
          </w:tcPr>
          <w:p>
            <w:pPr>
              <w:pStyle w:val="14"/>
              <w:spacing w:line="240" w:lineRule="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危险物质名称</w:t>
            </w:r>
          </w:p>
        </w:tc>
        <w:tc>
          <w:tcPr>
            <w:tcW w:w="1540" w:type="dxa"/>
          </w:tcPr>
          <w:p>
            <w:pPr>
              <w:pStyle w:val="14"/>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CAS</w:t>
            </w:r>
            <w:r>
              <w:rPr>
                <w:rFonts w:cs="Times New Roman" w:hAnsiTheme="minorEastAsia" w:eastAsiaTheme="minorEastAsia"/>
                <w:b w:val="0"/>
                <w:color w:val="000000" w:themeColor="text1"/>
                <w:kern w:val="0"/>
                <w:sz w:val="21"/>
                <w:szCs w:val="21"/>
              </w:rPr>
              <w:t>号</w:t>
            </w:r>
          </w:p>
        </w:tc>
        <w:tc>
          <w:tcPr>
            <w:tcW w:w="1540" w:type="dxa"/>
          </w:tcPr>
          <w:p>
            <w:pPr>
              <w:pStyle w:val="14"/>
              <w:spacing w:line="240" w:lineRule="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最大存在总量（</w:t>
            </w:r>
            <w:r>
              <w:rPr>
                <w:rFonts w:cs="Times New Roman" w:eastAsiaTheme="minorEastAsia"/>
                <w:b w:val="0"/>
                <w:color w:val="000000" w:themeColor="text1"/>
                <w:kern w:val="0"/>
                <w:sz w:val="21"/>
                <w:szCs w:val="21"/>
              </w:rPr>
              <w:t>t</w:t>
            </w:r>
            <w:r>
              <w:rPr>
                <w:rFonts w:cs="Times New Roman" w:hAnsiTheme="minorEastAsia" w:eastAsiaTheme="minorEastAsia"/>
                <w:b w:val="0"/>
                <w:color w:val="000000" w:themeColor="text1"/>
                <w:kern w:val="0"/>
                <w:sz w:val="21"/>
                <w:szCs w:val="21"/>
              </w:rPr>
              <w:t>）</w:t>
            </w:r>
          </w:p>
        </w:tc>
        <w:tc>
          <w:tcPr>
            <w:tcW w:w="1541" w:type="dxa"/>
          </w:tcPr>
          <w:p>
            <w:pPr>
              <w:pStyle w:val="14"/>
              <w:spacing w:line="240" w:lineRule="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临界量（</w:t>
            </w:r>
            <w:r>
              <w:rPr>
                <w:rFonts w:cs="Times New Roman" w:eastAsiaTheme="minorEastAsia"/>
                <w:b w:val="0"/>
                <w:color w:val="000000" w:themeColor="text1"/>
                <w:kern w:val="0"/>
                <w:sz w:val="21"/>
                <w:szCs w:val="21"/>
              </w:rPr>
              <w:t>t</w:t>
            </w:r>
            <w:r>
              <w:rPr>
                <w:rFonts w:cs="Times New Roman" w:hAnsiTheme="minorEastAsia" w:eastAsiaTheme="minorEastAsia"/>
                <w:b w:val="0"/>
                <w:color w:val="000000" w:themeColor="text1"/>
                <w:kern w:val="0"/>
                <w:sz w:val="21"/>
                <w:szCs w:val="21"/>
              </w:rPr>
              <w:t>）</w:t>
            </w:r>
          </w:p>
        </w:tc>
        <w:tc>
          <w:tcPr>
            <w:tcW w:w="1541" w:type="dxa"/>
          </w:tcPr>
          <w:p>
            <w:pPr>
              <w:pStyle w:val="14"/>
              <w:spacing w:line="240" w:lineRule="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该种危险物质</w:t>
            </w:r>
            <w:r>
              <w:rPr>
                <w:rFonts w:cs="Times New Roman" w:eastAsiaTheme="minorEastAsia"/>
                <w:b w:val="0"/>
                <w:color w:val="000000" w:themeColor="text1"/>
                <w:kern w:val="0"/>
                <w:sz w:val="21"/>
                <w:szCs w:val="21"/>
              </w:rPr>
              <w:t>Q</w:t>
            </w:r>
            <w:r>
              <w:rPr>
                <w:rFonts w:cs="Times New Roman" w:hAnsiTheme="minorEastAsia" w:eastAsiaTheme="minorEastAsia"/>
                <w:b w:val="0"/>
                <w:color w:val="000000" w:themeColor="text1"/>
                <w:kern w:val="0"/>
                <w:sz w:val="21"/>
                <w:szCs w:val="21"/>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spacing w:line="240" w:lineRule="auto"/>
              <w:rPr>
                <w:rFonts w:cs="Times New Roman" w:eastAsiaTheme="minorEastAsia"/>
                <w:b w:val="0"/>
                <w:color w:val="000000" w:themeColor="text1"/>
                <w:kern w:val="0"/>
                <w:sz w:val="21"/>
                <w:szCs w:val="21"/>
              </w:rPr>
            </w:pPr>
            <w:r>
              <w:rPr>
                <w:rFonts w:hint="eastAsia" w:cs="Times New Roman" w:eastAsiaTheme="minorEastAsia"/>
                <w:b w:val="0"/>
                <w:color w:val="000000" w:themeColor="text1"/>
                <w:kern w:val="0"/>
                <w:sz w:val="21"/>
                <w:szCs w:val="21"/>
              </w:rPr>
              <w:t>1</w:t>
            </w:r>
          </w:p>
        </w:tc>
        <w:tc>
          <w:tcPr>
            <w:tcW w:w="1540" w:type="dxa"/>
          </w:tcPr>
          <w:p>
            <w:pPr>
              <w:pStyle w:val="14"/>
              <w:spacing w:line="240" w:lineRule="auto"/>
              <w:rPr>
                <w:rFonts w:cs="Times New Roman" w:eastAsiaTheme="minorEastAsia"/>
                <w:b w:val="0"/>
                <w:color w:val="000000" w:themeColor="text1"/>
                <w:kern w:val="0"/>
                <w:sz w:val="21"/>
                <w:szCs w:val="21"/>
              </w:rPr>
            </w:pPr>
            <w:r>
              <w:rPr>
                <w:rFonts w:ascii="宋体" w:hAnsi="宋体" w:cs="宋体"/>
                <w:b w:val="0"/>
                <w:color w:val="000000" w:themeColor="text1"/>
                <w:sz w:val="21"/>
                <w:szCs w:val="21"/>
              </w:rPr>
              <w:t>盐酸</w:t>
            </w:r>
            <w:r>
              <w:rPr>
                <w:rFonts w:hint="eastAsia"/>
                <w:b w:val="0"/>
                <w:color w:val="000000" w:themeColor="text1"/>
                <w:sz w:val="21"/>
                <w:szCs w:val="21"/>
                <w:vertAlign w:val="superscript"/>
              </w:rPr>
              <w:t>②</w:t>
            </w:r>
          </w:p>
        </w:tc>
        <w:tc>
          <w:tcPr>
            <w:tcW w:w="1540"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7647-01-0</w:t>
            </w:r>
          </w:p>
        </w:tc>
        <w:tc>
          <w:tcPr>
            <w:tcW w:w="1540"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6.2</w:t>
            </w:r>
          </w:p>
        </w:tc>
        <w:tc>
          <w:tcPr>
            <w:tcW w:w="1541" w:type="dxa"/>
          </w:tcPr>
          <w:p>
            <w:pPr>
              <w:pStyle w:val="78"/>
              <w:jc w:val="center"/>
              <w:rPr>
                <w:rFonts w:eastAsia="宋体"/>
                <w:color w:val="000000" w:themeColor="text1"/>
                <w:kern w:val="2"/>
                <w:sz w:val="21"/>
                <w:szCs w:val="21"/>
              </w:rPr>
            </w:pPr>
            <w:r>
              <w:rPr>
                <w:rFonts w:eastAsia="宋体"/>
                <w:color w:val="000000" w:themeColor="text1"/>
                <w:kern w:val="2"/>
                <w:sz w:val="21"/>
                <w:szCs w:val="21"/>
              </w:rPr>
              <w:t xml:space="preserve">7.5 </w:t>
            </w:r>
          </w:p>
        </w:tc>
        <w:tc>
          <w:tcPr>
            <w:tcW w:w="1541"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spacing w:line="240" w:lineRule="auto"/>
              <w:rPr>
                <w:rFonts w:cs="Times New Roman" w:eastAsiaTheme="minorEastAsia"/>
                <w:b w:val="0"/>
                <w:color w:val="000000" w:themeColor="text1"/>
                <w:kern w:val="0"/>
                <w:sz w:val="21"/>
                <w:szCs w:val="21"/>
              </w:rPr>
            </w:pPr>
            <w:r>
              <w:rPr>
                <w:rFonts w:hint="eastAsia" w:cs="Times New Roman" w:eastAsiaTheme="minorEastAsia"/>
                <w:b w:val="0"/>
                <w:color w:val="000000" w:themeColor="text1"/>
                <w:kern w:val="0"/>
                <w:sz w:val="21"/>
                <w:szCs w:val="21"/>
              </w:rPr>
              <w:t>2</w:t>
            </w:r>
          </w:p>
        </w:tc>
        <w:tc>
          <w:tcPr>
            <w:tcW w:w="1540" w:type="dxa"/>
          </w:tcPr>
          <w:p>
            <w:pPr>
              <w:pStyle w:val="14"/>
              <w:spacing w:line="240" w:lineRule="auto"/>
              <w:rPr>
                <w:rFonts w:cs="Times New Roman" w:eastAsiaTheme="minorEastAsia"/>
                <w:b w:val="0"/>
                <w:color w:val="000000" w:themeColor="text1"/>
                <w:kern w:val="0"/>
                <w:sz w:val="21"/>
                <w:szCs w:val="21"/>
              </w:rPr>
            </w:pPr>
            <w:r>
              <w:rPr>
                <w:rFonts w:ascii="宋体" w:hAnsi="宋体" w:cs="宋体"/>
                <w:b w:val="0"/>
                <w:color w:val="000000" w:themeColor="text1"/>
                <w:sz w:val="21"/>
                <w:szCs w:val="21"/>
              </w:rPr>
              <w:t>三氯化铁</w:t>
            </w:r>
            <w:r>
              <w:rPr>
                <w:rFonts w:hint="eastAsia"/>
                <w:b w:val="0"/>
                <w:color w:val="000000" w:themeColor="text1"/>
                <w:sz w:val="21"/>
                <w:szCs w:val="21"/>
                <w:vertAlign w:val="superscript"/>
              </w:rPr>
              <w:t>①</w:t>
            </w:r>
          </w:p>
        </w:tc>
        <w:tc>
          <w:tcPr>
            <w:tcW w:w="1540" w:type="dxa"/>
          </w:tcPr>
          <w:p>
            <w:pPr>
              <w:pStyle w:val="78"/>
              <w:jc w:val="center"/>
              <w:rPr>
                <w:rFonts w:eastAsia="宋体"/>
                <w:color w:val="000000" w:themeColor="text1"/>
                <w:kern w:val="2"/>
                <w:sz w:val="21"/>
                <w:szCs w:val="21"/>
              </w:rPr>
            </w:pPr>
            <w:r>
              <w:rPr>
                <w:rFonts w:eastAsia="宋体"/>
                <w:color w:val="000000" w:themeColor="text1"/>
                <w:kern w:val="2"/>
                <w:sz w:val="21"/>
                <w:szCs w:val="21"/>
              </w:rPr>
              <w:t>7705-08-0</w:t>
            </w:r>
          </w:p>
        </w:tc>
        <w:tc>
          <w:tcPr>
            <w:tcW w:w="1540"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0.08</w:t>
            </w:r>
          </w:p>
        </w:tc>
        <w:tc>
          <w:tcPr>
            <w:tcW w:w="1541" w:type="dxa"/>
          </w:tcPr>
          <w:p>
            <w:pPr>
              <w:pStyle w:val="78"/>
              <w:jc w:val="center"/>
              <w:rPr>
                <w:rFonts w:eastAsia="宋体"/>
                <w:color w:val="000000" w:themeColor="text1"/>
                <w:kern w:val="2"/>
                <w:sz w:val="21"/>
                <w:szCs w:val="21"/>
              </w:rPr>
            </w:pPr>
            <w:r>
              <w:rPr>
                <w:rFonts w:eastAsia="宋体"/>
                <w:color w:val="000000" w:themeColor="text1"/>
                <w:kern w:val="2"/>
                <w:sz w:val="21"/>
                <w:szCs w:val="21"/>
              </w:rPr>
              <w:t xml:space="preserve">/ </w:t>
            </w:r>
          </w:p>
        </w:tc>
        <w:tc>
          <w:tcPr>
            <w:tcW w:w="1541" w:type="dxa"/>
          </w:tcPr>
          <w:p>
            <w:pPr>
              <w:pStyle w:val="78"/>
              <w:jc w:val="center"/>
              <w:rPr>
                <w:rFonts w:eastAsia="宋体"/>
                <w:color w:val="000000" w:themeColor="text1"/>
                <w:kern w:val="2"/>
                <w:sz w:val="21"/>
                <w:szCs w:val="21"/>
              </w:rPr>
            </w:pPr>
            <w:r>
              <w:rPr>
                <w:rFonts w:eastAsia="宋体"/>
                <w:color w:val="000000" w:themeColor="text1"/>
                <w:kern w:val="2"/>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spacing w:line="240" w:lineRule="auto"/>
              <w:rPr>
                <w:rFonts w:cs="Times New Roman" w:eastAsiaTheme="minorEastAsia"/>
                <w:b w:val="0"/>
                <w:color w:val="000000" w:themeColor="text1"/>
                <w:kern w:val="0"/>
                <w:sz w:val="21"/>
                <w:szCs w:val="21"/>
              </w:rPr>
            </w:pPr>
            <w:r>
              <w:rPr>
                <w:rFonts w:hint="eastAsia" w:cs="Times New Roman" w:eastAsiaTheme="minorEastAsia"/>
                <w:b w:val="0"/>
                <w:color w:val="000000" w:themeColor="text1"/>
                <w:kern w:val="0"/>
                <w:sz w:val="21"/>
                <w:szCs w:val="21"/>
              </w:rPr>
              <w:t>3</w:t>
            </w:r>
          </w:p>
        </w:tc>
        <w:tc>
          <w:tcPr>
            <w:tcW w:w="1540" w:type="dxa"/>
          </w:tcPr>
          <w:p>
            <w:pPr>
              <w:pStyle w:val="14"/>
              <w:spacing w:line="240" w:lineRule="auto"/>
              <w:rPr>
                <w:rFonts w:cs="Times New Roman" w:eastAsiaTheme="minorEastAsia"/>
                <w:b w:val="0"/>
                <w:color w:val="000000" w:themeColor="text1"/>
                <w:kern w:val="0"/>
                <w:sz w:val="21"/>
                <w:szCs w:val="21"/>
              </w:rPr>
            </w:pPr>
            <w:r>
              <w:rPr>
                <w:rFonts w:cs="Times New Roman" w:hAnsiTheme="minorEastAsia" w:eastAsiaTheme="minorEastAsia"/>
                <w:b w:val="0"/>
                <w:color w:val="000000" w:themeColor="text1"/>
                <w:kern w:val="0"/>
                <w:sz w:val="21"/>
                <w:szCs w:val="21"/>
              </w:rPr>
              <w:t>氯酸钠</w:t>
            </w:r>
          </w:p>
        </w:tc>
        <w:tc>
          <w:tcPr>
            <w:tcW w:w="1540"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7775-09-9</w:t>
            </w:r>
          </w:p>
        </w:tc>
        <w:tc>
          <w:tcPr>
            <w:tcW w:w="1540"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2</w:t>
            </w:r>
          </w:p>
        </w:tc>
        <w:tc>
          <w:tcPr>
            <w:tcW w:w="1541"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100</w:t>
            </w:r>
          </w:p>
        </w:tc>
        <w:tc>
          <w:tcPr>
            <w:tcW w:w="1541"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1" w:type="dxa"/>
            <w:gridSpan w:val="5"/>
          </w:tcPr>
          <w:p>
            <w:pPr>
              <w:pStyle w:val="78"/>
              <w:jc w:val="center"/>
              <w:rPr>
                <w:rFonts w:eastAsia="宋体"/>
                <w:color w:val="000000" w:themeColor="text1"/>
                <w:kern w:val="2"/>
                <w:sz w:val="21"/>
                <w:szCs w:val="21"/>
              </w:rPr>
            </w:pPr>
            <w:r>
              <w:rPr>
                <w:rFonts w:eastAsia="宋体" w:hAnsiTheme="minorEastAsia"/>
                <w:color w:val="000000" w:themeColor="text1"/>
                <w:kern w:val="2"/>
                <w:sz w:val="21"/>
                <w:szCs w:val="21"/>
              </w:rPr>
              <w:t>项目</w:t>
            </w:r>
            <w:r>
              <w:rPr>
                <w:rFonts w:eastAsia="宋体"/>
                <w:bCs/>
                <w:color w:val="000000" w:themeColor="text1"/>
                <w:kern w:val="2"/>
                <w:sz w:val="21"/>
                <w:szCs w:val="21"/>
              </w:rPr>
              <w:t>Q</w:t>
            </w:r>
            <w:r>
              <w:rPr>
                <w:rFonts w:eastAsia="宋体" w:hAnsiTheme="minorEastAsia"/>
                <w:color w:val="000000" w:themeColor="text1"/>
                <w:kern w:val="2"/>
                <w:sz w:val="21"/>
                <w:szCs w:val="21"/>
              </w:rPr>
              <w:t>值</w:t>
            </w:r>
            <w:r>
              <w:rPr>
                <w:rFonts w:eastAsia="宋体"/>
                <w:bCs/>
                <w:color w:val="000000" w:themeColor="text1"/>
                <w:kern w:val="2"/>
                <w:sz w:val="21"/>
                <w:szCs w:val="21"/>
              </w:rPr>
              <w:t>Σ</w:t>
            </w:r>
          </w:p>
        </w:tc>
        <w:tc>
          <w:tcPr>
            <w:tcW w:w="1541" w:type="dxa"/>
          </w:tcPr>
          <w:p>
            <w:pPr>
              <w:pStyle w:val="78"/>
              <w:jc w:val="center"/>
              <w:rPr>
                <w:rFonts w:eastAsia="宋体"/>
                <w:color w:val="000000" w:themeColor="text1"/>
                <w:kern w:val="2"/>
                <w:sz w:val="21"/>
                <w:szCs w:val="21"/>
              </w:rPr>
            </w:pPr>
            <w:r>
              <w:rPr>
                <w:rFonts w:hint="eastAsia" w:eastAsia="宋体"/>
                <w:color w:val="000000" w:themeColor="text1"/>
                <w:kern w:val="2"/>
                <w:sz w:val="21"/>
                <w:szCs w:val="21"/>
              </w:rPr>
              <w:t>0.85</w:t>
            </w:r>
          </w:p>
        </w:tc>
      </w:tr>
    </w:tbl>
    <w:p>
      <w:pPr>
        <w:pStyle w:val="14"/>
        <w:jc w:val="both"/>
        <w:rPr>
          <w:sz w:val="21"/>
          <w:szCs w:val="21"/>
        </w:rPr>
      </w:pPr>
      <w:r>
        <w:rPr>
          <w:rFonts w:hint="eastAsia"/>
          <w:sz w:val="21"/>
          <w:szCs w:val="21"/>
        </w:rPr>
        <w:t>注：①参考</w:t>
      </w:r>
      <w:r>
        <w:rPr>
          <w:sz w:val="21"/>
          <w:szCs w:val="21"/>
        </w:rPr>
        <w:t>HJ 169-2018</w:t>
      </w:r>
      <w:r>
        <w:rPr>
          <w:rFonts w:hint="eastAsia"/>
          <w:sz w:val="21"/>
          <w:szCs w:val="21"/>
        </w:rPr>
        <w:t>附录</w:t>
      </w:r>
      <w:r>
        <w:rPr>
          <w:sz w:val="21"/>
          <w:szCs w:val="21"/>
        </w:rPr>
        <w:t>B</w:t>
      </w:r>
      <w:r>
        <w:rPr>
          <w:rFonts w:hint="eastAsia"/>
          <w:sz w:val="21"/>
          <w:szCs w:val="21"/>
        </w:rPr>
        <w:t>，三氯化铁；②</w:t>
      </w:r>
      <w:r>
        <w:rPr>
          <w:sz w:val="21"/>
          <w:szCs w:val="21"/>
        </w:rPr>
        <w:t>30%</w:t>
      </w:r>
      <w:r>
        <w:rPr>
          <w:rFonts w:hint="eastAsia"/>
          <w:sz w:val="21"/>
          <w:szCs w:val="21"/>
        </w:rPr>
        <w:t>盐酸临界量参考</w:t>
      </w:r>
      <w:r>
        <w:rPr>
          <w:sz w:val="21"/>
          <w:szCs w:val="21"/>
        </w:rPr>
        <w:t>HJ 169-2018</w:t>
      </w:r>
      <w:r>
        <w:rPr>
          <w:rFonts w:hint="eastAsia"/>
          <w:sz w:val="21"/>
          <w:szCs w:val="21"/>
        </w:rPr>
        <w:t>中</w:t>
      </w:r>
      <w:r>
        <w:rPr>
          <w:sz w:val="21"/>
          <w:szCs w:val="21"/>
        </w:rPr>
        <w:t>37%</w:t>
      </w:r>
      <w:r>
        <w:rPr>
          <w:rFonts w:hint="eastAsia"/>
          <w:sz w:val="21"/>
          <w:szCs w:val="21"/>
        </w:rPr>
        <w:t>盐酸确定。</w:t>
      </w:r>
    </w:p>
    <w:p>
      <w:pPr>
        <w:spacing w:line="360" w:lineRule="auto"/>
        <w:ind w:firstLine="480" w:firstLineChars="200"/>
        <w:rPr>
          <w:rFonts w:hAnsi="宋体" w:cs="Times New Roman"/>
          <w:szCs w:val="24"/>
        </w:rPr>
      </w:pPr>
      <w:r>
        <w:rPr>
          <w:rFonts w:cs="Times New Roman"/>
          <w:szCs w:val="24"/>
        </w:rPr>
        <w:t>由</w:t>
      </w:r>
      <w:r>
        <w:fldChar w:fldCharType="begin"/>
      </w:r>
      <w:r>
        <w:instrText xml:space="preserve"> REF _Ref16521002 \h  \* MERGEFORMAT </w:instrText>
      </w:r>
      <w:r>
        <w:fldChar w:fldCharType="separate"/>
      </w:r>
      <w:r>
        <w:rPr>
          <w:rFonts w:hint="eastAsia" w:cs="Times New Roman"/>
          <w:color w:val="000000"/>
          <w:kern w:val="0"/>
          <w:szCs w:val="24"/>
        </w:rPr>
        <w:t>表</w:t>
      </w:r>
      <w:r>
        <w:rPr>
          <w:rFonts w:cs="Times New Roman"/>
          <w:color w:val="000000"/>
          <w:kern w:val="0"/>
          <w:szCs w:val="24"/>
        </w:rPr>
        <w:t>5.1</w:t>
      </w:r>
      <w:r>
        <w:rPr>
          <w:rFonts w:cs="Times New Roman"/>
          <w:color w:val="000000"/>
          <w:kern w:val="0"/>
          <w:szCs w:val="24"/>
        </w:rPr>
        <w:noBreakHyphen/>
      </w:r>
      <w:r>
        <w:rPr>
          <w:rFonts w:cs="Times New Roman"/>
          <w:color w:val="000000"/>
          <w:kern w:val="0"/>
          <w:szCs w:val="24"/>
        </w:rPr>
        <w:t>34</w:t>
      </w:r>
      <w:r>
        <w:rPr>
          <w:rFonts w:cs="Times New Roman"/>
          <w:color w:val="000000"/>
          <w:kern w:val="0"/>
          <w:szCs w:val="24"/>
        </w:rPr>
        <w:fldChar w:fldCharType="end"/>
      </w:r>
      <w:r>
        <w:rPr>
          <w:rFonts w:cs="Times New Roman"/>
          <w:szCs w:val="24"/>
        </w:rPr>
        <w:t>可知，Q</w:t>
      </w:r>
      <w:r>
        <w:rPr>
          <w:rFonts w:hAnsi="宋体" w:cs="Times New Roman"/>
          <w:szCs w:val="24"/>
        </w:rPr>
        <w:t>＜</w:t>
      </w:r>
      <w:r>
        <w:rPr>
          <w:rFonts w:cs="Times New Roman"/>
          <w:szCs w:val="24"/>
        </w:rPr>
        <w:t>1</w:t>
      </w:r>
      <w:r>
        <w:rPr>
          <w:rFonts w:hAnsi="宋体" w:cs="Times New Roman"/>
          <w:szCs w:val="24"/>
        </w:rPr>
        <w:t>，则该项目环境风险潜势为</w:t>
      </w:r>
      <w:r>
        <w:rPr>
          <w:rFonts w:eastAsia="宋体" w:cs="Times New Roman"/>
          <w:szCs w:val="24"/>
        </w:rPr>
        <w:t>Ⅰ</w:t>
      </w:r>
      <w:r>
        <w:rPr>
          <w:rFonts w:hAnsi="宋体" w:cs="Times New Roman"/>
          <w:szCs w:val="24"/>
        </w:rPr>
        <w:t>。</w:t>
      </w:r>
    </w:p>
    <w:p>
      <w:pPr>
        <w:pStyle w:val="61"/>
        <w:numPr>
          <w:ilvl w:val="0"/>
          <w:numId w:val="0"/>
        </w:numPr>
        <w:ind w:left="1006" w:hanging="864"/>
      </w:pPr>
      <w:r>
        <w:rPr>
          <w:rFonts w:hint="eastAsia"/>
        </w:rPr>
        <w:t>（3）</w:t>
      </w:r>
      <w:r>
        <w:t>评价等级</w:t>
      </w:r>
    </w:p>
    <w:p>
      <w:pPr>
        <w:spacing w:line="360" w:lineRule="auto"/>
        <w:ind w:firstLine="480" w:firstLineChars="200"/>
      </w:pPr>
      <w:r>
        <w:t>根据环境风险潜势划分结果</w:t>
      </w:r>
      <w:r>
        <w:rPr>
          <w:rFonts w:hint="eastAsia"/>
        </w:rPr>
        <w:t>，本项目环境风险评价工作等级判定见</w:t>
      </w:r>
      <w:r>
        <w:fldChar w:fldCharType="begin"/>
      </w:r>
      <w:r>
        <w:rPr>
          <w:rFonts w:hint="eastAsia"/>
        </w:rPr>
        <w:instrText xml:space="preserve">REF _Ref16521337 \h</w:instrText>
      </w:r>
      <w:r>
        <w:fldChar w:fldCharType="separate"/>
      </w:r>
      <w:r>
        <w:rPr>
          <w:rFonts w:hint="eastAsia"/>
        </w:rPr>
        <w:t>表</w:t>
      </w:r>
      <w:r>
        <w:t>5.1</w:t>
      </w:r>
      <w:r>
        <w:noBreakHyphen/>
      </w:r>
      <w:r>
        <w:t>35</w:t>
      </w:r>
      <w:r>
        <w:fldChar w:fldCharType="end"/>
      </w:r>
      <w:r>
        <w:rPr>
          <w:rFonts w:hint="eastAsia"/>
        </w:rPr>
        <w:t>。</w:t>
      </w:r>
    </w:p>
    <w:p>
      <w:pPr>
        <w:pStyle w:val="14"/>
        <w:spacing w:line="240" w:lineRule="auto"/>
      </w:pPr>
      <w:bookmarkStart w:id="194" w:name="_Ref16521337"/>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27</w:t>
      </w:r>
      <w:r>
        <w:fldChar w:fldCharType="end"/>
      </w:r>
      <w:bookmarkEnd w:id="194"/>
      <w:r>
        <w:rPr>
          <w:rFonts w:hint="eastAsia"/>
        </w:rPr>
        <w:t xml:space="preserve">  本项目环境风险评价等级划分一览表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2027"/>
        <w:gridCol w:w="950"/>
        <w:gridCol w:w="950"/>
        <w:gridCol w:w="2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8" w:type="dxa"/>
          </w:tcPr>
          <w:p>
            <w:pPr>
              <w:pStyle w:val="14"/>
              <w:spacing w:line="240" w:lineRule="auto"/>
              <w:rPr>
                <w:rFonts w:cs="Times New Roman"/>
                <w:b w:val="0"/>
                <w:sz w:val="21"/>
                <w:szCs w:val="21"/>
              </w:rPr>
            </w:pPr>
            <w:r>
              <w:rPr>
                <w:rFonts w:cs="Times New Roman"/>
                <w:b w:val="0"/>
                <w:sz w:val="21"/>
                <w:szCs w:val="21"/>
              </w:rPr>
              <w:t>环境风险潜势</w:t>
            </w:r>
          </w:p>
        </w:tc>
        <w:tc>
          <w:tcPr>
            <w:tcW w:w="2027" w:type="dxa"/>
          </w:tcPr>
          <w:p>
            <w:pPr>
              <w:pStyle w:val="14"/>
              <w:spacing w:line="240" w:lineRule="auto"/>
              <w:rPr>
                <w:rFonts w:cs="Times New Roman"/>
                <w:b w:val="0"/>
                <w:sz w:val="21"/>
                <w:szCs w:val="21"/>
              </w:rPr>
            </w:pPr>
            <w:r>
              <w:rPr>
                <w:rFonts w:cs="Times New Roman"/>
                <w:b w:val="0"/>
                <w:sz w:val="21"/>
                <w:szCs w:val="21"/>
              </w:rPr>
              <w:t>Ⅳ、Ⅳ</w:t>
            </w:r>
            <w:r>
              <w:rPr>
                <w:rFonts w:cs="Times New Roman"/>
                <w:b w:val="0"/>
                <w:sz w:val="21"/>
                <w:szCs w:val="21"/>
                <w:vertAlign w:val="superscript"/>
              </w:rPr>
              <w:t>＋</w:t>
            </w:r>
          </w:p>
        </w:tc>
        <w:tc>
          <w:tcPr>
            <w:tcW w:w="950" w:type="dxa"/>
          </w:tcPr>
          <w:p>
            <w:pPr>
              <w:pStyle w:val="14"/>
              <w:spacing w:line="240" w:lineRule="auto"/>
              <w:rPr>
                <w:rFonts w:cs="Times New Roman"/>
                <w:b w:val="0"/>
                <w:sz w:val="21"/>
                <w:szCs w:val="21"/>
              </w:rPr>
            </w:pPr>
            <w:r>
              <w:rPr>
                <w:rFonts w:cs="Times New Roman"/>
                <w:b w:val="0"/>
                <w:sz w:val="21"/>
                <w:szCs w:val="21"/>
              </w:rPr>
              <w:t>Ⅲ</w:t>
            </w:r>
          </w:p>
        </w:tc>
        <w:tc>
          <w:tcPr>
            <w:tcW w:w="950" w:type="dxa"/>
          </w:tcPr>
          <w:p>
            <w:pPr>
              <w:pStyle w:val="14"/>
              <w:spacing w:line="240" w:lineRule="auto"/>
              <w:rPr>
                <w:rFonts w:cs="Times New Roman"/>
                <w:b w:val="0"/>
                <w:sz w:val="21"/>
                <w:szCs w:val="21"/>
              </w:rPr>
            </w:pPr>
            <w:r>
              <w:rPr>
                <w:rFonts w:cs="Times New Roman"/>
                <w:b w:val="0"/>
                <w:sz w:val="21"/>
                <w:szCs w:val="21"/>
              </w:rPr>
              <w:t>Ⅱ</w:t>
            </w:r>
          </w:p>
        </w:tc>
        <w:tc>
          <w:tcPr>
            <w:tcW w:w="2367" w:type="dxa"/>
          </w:tcPr>
          <w:p>
            <w:pPr>
              <w:pStyle w:val="14"/>
              <w:spacing w:line="240" w:lineRule="auto"/>
              <w:rPr>
                <w:rFonts w:cs="Times New Roman"/>
                <w:b w:val="0"/>
                <w:sz w:val="21"/>
                <w:szCs w:val="21"/>
              </w:rPr>
            </w:pPr>
            <w:r>
              <w:rPr>
                <w:rFonts w:cs="Times New Roman"/>
                <w:b w:val="0"/>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8" w:type="dxa"/>
          </w:tcPr>
          <w:p>
            <w:pPr>
              <w:pStyle w:val="14"/>
              <w:spacing w:line="240" w:lineRule="auto"/>
              <w:rPr>
                <w:rFonts w:cs="Times New Roman"/>
                <w:b w:val="0"/>
                <w:sz w:val="21"/>
                <w:szCs w:val="21"/>
              </w:rPr>
            </w:pPr>
            <w:r>
              <w:rPr>
                <w:rFonts w:cs="Times New Roman"/>
                <w:b w:val="0"/>
                <w:sz w:val="21"/>
                <w:szCs w:val="21"/>
              </w:rPr>
              <w:t>评价工作等级</w:t>
            </w:r>
          </w:p>
        </w:tc>
        <w:tc>
          <w:tcPr>
            <w:tcW w:w="2027" w:type="dxa"/>
          </w:tcPr>
          <w:p>
            <w:pPr>
              <w:pStyle w:val="14"/>
              <w:spacing w:line="240" w:lineRule="auto"/>
              <w:rPr>
                <w:rFonts w:cs="Times New Roman"/>
                <w:b w:val="0"/>
                <w:sz w:val="21"/>
                <w:szCs w:val="21"/>
              </w:rPr>
            </w:pPr>
            <w:r>
              <w:rPr>
                <w:rFonts w:cs="Times New Roman"/>
                <w:b w:val="0"/>
                <w:sz w:val="21"/>
                <w:szCs w:val="21"/>
              </w:rPr>
              <w:t>一</w:t>
            </w:r>
          </w:p>
        </w:tc>
        <w:tc>
          <w:tcPr>
            <w:tcW w:w="950" w:type="dxa"/>
          </w:tcPr>
          <w:p>
            <w:pPr>
              <w:pStyle w:val="14"/>
              <w:spacing w:line="240" w:lineRule="auto"/>
              <w:rPr>
                <w:rFonts w:cs="Times New Roman"/>
                <w:b w:val="0"/>
                <w:sz w:val="21"/>
                <w:szCs w:val="21"/>
              </w:rPr>
            </w:pPr>
            <w:r>
              <w:rPr>
                <w:rFonts w:cs="Times New Roman"/>
                <w:b w:val="0"/>
                <w:sz w:val="21"/>
                <w:szCs w:val="21"/>
              </w:rPr>
              <w:t>二</w:t>
            </w:r>
          </w:p>
        </w:tc>
        <w:tc>
          <w:tcPr>
            <w:tcW w:w="950" w:type="dxa"/>
          </w:tcPr>
          <w:p>
            <w:pPr>
              <w:pStyle w:val="14"/>
              <w:spacing w:line="240" w:lineRule="auto"/>
              <w:rPr>
                <w:rFonts w:cs="Times New Roman"/>
                <w:b w:val="0"/>
                <w:sz w:val="21"/>
                <w:szCs w:val="21"/>
              </w:rPr>
            </w:pPr>
            <w:r>
              <w:rPr>
                <w:rFonts w:cs="Times New Roman"/>
                <w:b w:val="0"/>
                <w:sz w:val="21"/>
                <w:szCs w:val="21"/>
              </w:rPr>
              <w:t>三</w:t>
            </w:r>
          </w:p>
        </w:tc>
        <w:tc>
          <w:tcPr>
            <w:tcW w:w="2367" w:type="dxa"/>
          </w:tcPr>
          <w:p>
            <w:pPr>
              <w:pStyle w:val="14"/>
              <w:spacing w:line="240" w:lineRule="auto"/>
              <w:rPr>
                <w:rFonts w:cs="Times New Roman"/>
                <w:b w:val="0"/>
                <w:sz w:val="21"/>
                <w:szCs w:val="21"/>
              </w:rPr>
            </w:pPr>
            <w:r>
              <w:rPr>
                <w:rFonts w:cs="Times New Roman"/>
                <w:b w:val="0"/>
                <w:sz w:val="21"/>
                <w:szCs w:val="21"/>
              </w:rPr>
              <w:t>简单分析</w:t>
            </w:r>
            <w:r>
              <w:rPr>
                <w:rFonts w:cs="Times New Roman"/>
                <w:b w:val="0"/>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5"/>
          </w:tcPr>
          <w:p>
            <w:pPr>
              <w:pStyle w:val="14"/>
              <w:spacing w:line="240" w:lineRule="auto"/>
              <w:jc w:val="both"/>
              <w:rPr>
                <w:rFonts w:cs="Times New Roman"/>
                <w:b w:val="0"/>
                <w:sz w:val="21"/>
                <w:szCs w:val="21"/>
              </w:rPr>
            </w:pPr>
            <w:r>
              <w:rPr>
                <w:rFonts w:cs="Times New Roman"/>
                <w:b w:val="0"/>
                <w:sz w:val="21"/>
                <w:szCs w:val="21"/>
              </w:rPr>
              <w:t>是相对于详细评价工作内容而言，在描述危险物质、环境影响途径、环境危害后果、风险防范措施等方面给出定性的说明。见附录A。</w:t>
            </w:r>
          </w:p>
        </w:tc>
      </w:tr>
    </w:tbl>
    <w:p>
      <w:pPr>
        <w:pStyle w:val="61"/>
      </w:pPr>
      <w:r>
        <w:t>环境敏感目标调查</w:t>
      </w:r>
    </w:p>
    <w:p>
      <w:pPr>
        <w:adjustRightInd w:val="0"/>
        <w:snapToGrid w:val="0"/>
        <w:spacing w:line="360" w:lineRule="auto"/>
        <w:ind w:firstLine="480" w:firstLineChars="200"/>
      </w:pPr>
      <w:r>
        <w:rPr>
          <w:rFonts w:hint="eastAsia"/>
        </w:rPr>
        <w:t>本评价主要采用资料收集及现场调查的方法对评价区域内的环境状况进行调查，重点厂址周围3km范围内的主要环境敏感点进行了现场调查，该范围内的环境敏感点调查结果见下表所示。</w:t>
      </w:r>
    </w:p>
    <w:p>
      <w:pPr>
        <w:pStyle w:val="14"/>
        <w:spacing w:line="240" w:lineRule="auto"/>
      </w:pPr>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28</w:t>
      </w:r>
      <w:r>
        <w:fldChar w:fldCharType="end"/>
      </w:r>
      <w:r>
        <w:rPr>
          <w:rFonts w:hint="eastAsia"/>
        </w:rPr>
        <w:t xml:space="preserve">  厂址周围3km范围内的环境敏感点调查结果</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848"/>
        <w:gridCol w:w="1848"/>
        <w:gridCol w:w="1849"/>
        <w:gridCol w:w="1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pStyle w:val="14"/>
              <w:rPr>
                <w:b w:val="0"/>
                <w:sz w:val="21"/>
                <w:szCs w:val="21"/>
              </w:rPr>
            </w:pPr>
            <w:r>
              <w:rPr>
                <w:rFonts w:hint="eastAsia"/>
                <w:b w:val="0"/>
                <w:sz w:val="21"/>
                <w:szCs w:val="21"/>
              </w:rPr>
              <w:t>名称</w:t>
            </w:r>
          </w:p>
        </w:tc>
        <w:tc>
          <w:tcPr>
            <w:tcW w:w="1848" w:type="dxa"/>
            <w:vAlign w:val="center"/>
          </w:tcPr>
          <w:p>
            <w:pPr>
              <w:pStyle w:val="14"/>
              <w:rPr>
                <w:b w:val="0"/>
                <w:sz w:val="21"/>
                <w:szCs w:val="21"/>
              </w:rPr>
            </w:pPr>
            <w:r>
              <w:rPr>
                <w:b w:val="0"/>
                <w:sz w:val="21"/>
                <w:szCs w:val="21"/>
              </w:rPr>
              <w:t>与厂址相对位置</w:t>
            </w:r>
          </w:p>
        </w:tc>
        <w:tc>
          <w:tcPr>
            <w:tcW w:w="3697" w:type="dxa"/>
            <w:gridSpan w:val="2"/>
            <w:vAlign w:val="center"/>
          </w:tcPr>
          <w:p>
            <w:pPr>
              <w:pStyle w:val="14"/>
              <w:rPr>
                <w:b w:val="0"/>
                <w:sz w:val="21"/>
                <w:szCs w:val="21"/>
              </w:rPr>
            </w:pPr>
            <w:r>
              <w:rPr>
                <w:b w:val="0"/>
                <w:sz w:val="21"/>
                <w:szCs w:val="21"/>
              </w:rPr>
              <w:t>相对厂界及距离</w:t>
            </w:r>
          </w:p>
        </w:tc>
        <w:tc>
          <w:tcPr>
            <w:tcW w:w="1849" w:type="dxa"/>
            <w:vAlign w:val="center"/>
          </w:tcPr>
          <w:p>
            <w:pPr>
              <w:pStyle w:val="14"/>
              <w:rPr>
                <w:b w:val="0"/>
                <w:sz w:val="21"/>
                <w:szCs w:val="21"/>
              </w:rPr>
            </w:pPr>
            <w:r>
              <w:rPr>
                <w:b w:val="0"/>
                <w:sz w:val="21"/>
                <w:szCs w:val="21"/>
              </w:rPr>
              <w:t>户数</w:t>
            </w:r>
            <w:r>
              <w:rPr>
                <w:rFonts w:hint="eastAsia"/>
                <w:b w:val="0"/>
                <w:sz w:val="21"/>
                <w:szCs w:val="21"/>
              </w:rPr>
              <w:t>（户）/人数（人）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pStyle w:val="14"/>
              <w:rPr>
                <w:b w:val="0"/>
                <w:sz w:val="21"/>
                <w:szCs w:val="21"/>
              </w:rPr>
            </w:pPr>
            <w:r>
              <w:rPr>
                <w:rFonts w:hint="eastAsia" w:cs="Times New Roman"/>
                <w:b w:val="0"/>
                <w:color w:val="000000" w:themeColor="text1"/>
                <w:sz w:val="21"/>
              </w:rPr>
              <w:t>石伏村居住区</w:t>
            </w:r>
          </w:p>
        </w:tc>
        <w:tc>
          <w:tcPr>
            <w:tcW w:w="1848" w:type="dxa"/>
            <w:vAlign w:val="center"/>
          </w:tcPr>
          <w:p>
            <w:pPr>
              <w:pStyle w:val="14"/>
              <w:rPr>
                <w:b w:val="0"/>
                <w:sz w:val="21"/>
                <w:szCs w:val="21"/>
              </w:rPr>
            </w:pPr>
            <w:r>
              <w:rPr>
                <w:b w:val="0"/>
                <w:color w:val="000000" w:themeColor="text1"/>
                <w:sz w:val="21"/>
              </w:rPr>
              <w:t>东北</w:t>
            </w:r>
          </w:p>
        </w:tc>
        <w:tc>
          <w:tcPr>
            <w:tcW w:w="1848" w:type="dxa"/>
            <w:vAlign w:val="center"/>
          </w:tcPr>
          <w:p>
            <w:pPr>
              <w:pStyle w:val="14"/>
              <w:rPr>
                <w:b w:val="0"/>
                <w:sz w:val="21"/>
                <w:szCs w:val="21"/>
              </w:rPr>
            </w:pPr>
            <w:r>
              <w:rPr>
                <w:b w:val="0"/>
                <w:sz w:val="21"/>
                <w:szCs w:val="21"/>
              </w:rPr>
              <w:t>东北厂界</w:t>
            </w:r>
          </w:p>
        </w:tc>
        <w:tc>
          <w:tcPr>
            <w:tcW w:w="1849" w:type="dxa"/>
            <w:vAlign w:val="center"/>
          </w:tcPr>
          <w:p>
            <w:pPr>
              <w:pStyle w:val="14"/>
              <w:rPr>
                <w:b w:val="0"/>
                <w:sz w:val="21"/>
                <w:szCs w:val="21"/>
              </w:rPr>
            </w:pPr>
            <w:r>
              <w:rPr>
                <w:rFonts w:hint="eastAsia"/>
                <w:b w:val="0"/>
                <w:sz w:val="21"/>
                <w:szCs w:val="21"/>
              </w:rPr>
              <w:t>200</w:t>
            </w:r>
          </w:p>
        </w:tc>
        <w:tc>
          <w:tcPr>
            <w:tcW w:w="1849" w:type="dxa"/>
            <w:vAlign w:val="center"/>
          </w:tcPr>
          <w:p>
            <w:pPr>
              <w:pStyle w:val="14"/>
              <w:rPr>
                <w:b w:val="0"/>
                <w:sz w:val="21"/>
                <w:szCs w:val="21"/>
              </w:rPr>
            </w:pPr>
            <w:r>
              <w:rPr>
                <w:b w:val="0"/>
                <w:sz w:val="21"/>
                <w:szCs w:val="21"/>
              </w:rPr>
              <w:t>约</w:t>
            </w:r>
            <w:r>
              <w:rPr>
                <w:rFonts w:hint="eastAsia"/>
                <w:b w:val="0"/>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pStyle w:val="14"/>
              <w:rPr>
                <w:b w:val="0"/>
                <w:sz w:val="21"/>
                <w:szCs w:val="21"/>
              </w:rPr>
            </w:pPr>
            <w:r>
              <w:rPr>
                <w:rFonts w:hint="eastAsia" w:ascii="宋体" w:hAnsi="宋体"/>
                <w:b w:val="0"/>
                <w:color w:val="000000" w:themeColor="text1"/>
                <w:sz w:val="21"/>
              </w:rPr>
              <w:t>石伏村居住区</w:t>
            </w:r>
          </w:p>
        </w:tc>
        <w:tc>
          <w:tcPr>
            <w:tcW w:w="1848" w:type="dxa"/>
            <w:vAlign w:val="center"/>
          </w:tcPr>
          <w:p>
            <w:pPr>
              <w:pStyle w:val="14"/>
              <w:rPr>
                <w:b w:val="0"/>
                <w:sz w:val="21"/>
                <w:szCs w:val="21"/>
              </w:rPr>
            </w:pPr>
            <w:r>
              <w:rPr>
                <w:b w:val="0"/>
                <w:sz w:val="21"/>
                <w:szCs w:val="21"/>
              </w:rPr>
              <w:t>东</w:t>
            </w:r>
          </w:p>
        </w:tc>
        <w:tc>
          <w:tcPr>
            <w:tcW w:w="1848" w:type="dxa"/>
            <w:vAlign w:val="center"/>
          </w:tcPr>
          <w:p>
            <w:pPr>
              <w:pStyle w:val="14"/>
              <w:rPr>
                <w:b w:val="0"/>
                <w:sz w:val="21"/>
                <w:szCs w:val="21"/>
              </w:rPr>
            </w:pPr>
            <w:r>
              <w:rPr>
                <w:b w:val="0"/>
                <w:sz w:val="21"/>
                <w:szCs w:val="21"/>
              </w:rPr>
              <w:t>东厂界</w:t>
            </w:r>
          </w:p>
        </w:tc>
        <w:tc>
          <w:tcPr>
            <w:tcW w:w="1849" w:type="dxa"/>
            <w:vAlign w:val="center"/>
          </w:tcPr>
          <w:p>
            <w:pPr>
              <w:pStyle w:val="14"/>
              <w:rPr>
                <w:b w:val="0"/>
                <w:sz w:val="21"/>
                <w:szCs w:val="21"/>
              </w:rPr>
            </w:pPr>
            <w:r>
              <w:rPr>
                <w:rFonts w:hint="eastAsia"/>
                <w:b w:val="0"/>
                <w:sz w:val="21"/>
                <w:szCs w:val="21"/>
              </w:rPr>
              <w:t>370</w:t>
            </w:r>
          </w:p>
        </w:tc>
        <w:tc>
          <w:tcPr>
            <w:tcW w:w="1849" w:type="dxa"/>
            <w:vAlign w:val="center"/>
          </w:tcPr>
          <w:p>
            <w:pPr>
              <w:pStyle w:val="14"/>
              <w:rPr>
                <w:b w:val="0"/>
                <w:sz w:val="21"/>
                <w:szCs w:val="21"/>
              </w:rPr>
            </w:pPr>
            <w:r>
              <w:rPr>
                <w:b w:val="0"/>
                <w:sz w:val="21"/>
                <w:szCs w:val="21"/>
              </w:rPr>
              <w:t>约</w:t>
            </w:r>
            <w:r>
              <w:rPr>
                <w:rFonts w:hint="eastAsia"/>
                <w:b w:val="0"/>
                <w:sz w:val="21"/>
                <w:szCs w:val="21"/>
              </w:rPr>
              <w:t>120人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pStyle w:val="14"/>
              <w:rPr>
                <w:b w:val="0"/>
                <w:sz w:val="21"/>
                <w:szCs w:val="21"/>
              </w:rPr>
            </w:pPr>
            <w:r>
              <w:rPr>
                <w:rFonts w:ascii="宋体" w:hAnsi="宋体"/>
                <w:b w:val="0"/>
                <w:color w:val="000000" w:themeColor="text1"/>
                <w:sz w:val="21"/>
              </w:rPr>
              <w:t>荆湖堂居住区</w:t>
            </w:r>
          </w:p>
        </w:tc>
        <w:tc>
          <w:tcPr>
            <w:tcW w:w="1848" w:type="dxa"/>
            <w:vAlign w:val="center"/>
          </w:tcPr>
          <w:p>
            <w:pPr>
              <w:pStyle w:val="14"/>
              <w:rPr>
                <w:b w:val="0"/>
                <w:sz w:val="21"/>
                <w:szCs w:val="21"/>
              </w:rPr>
            </w:pPr>
            <w:r>
              <w:rPr>
                <w:b w:val="0"/>
                <w:sz w:val="21"/>
                <w:szCs w:val="21"/>
              </w:rPr>
              <w:t>东南</w:t>
            </w:r>
          </w:p>
        </w:tc>
        <w:tc>
          <w:tcPr>
            <w:tcW w:w="1848" w:type="dxa"/>
            <w:vAlign w:val="center"/>
          </w:tcPr>
          <w:p>
            <w:pPr>
              <w:pStyle w:val="14"/>
              <w:rPr>
                <w:b w:val="0"/>
                <w:sz w:val="21"/>
                <w:szCs w:val="21"/>
              </w:rPr>
            </w:pPr>
            <w:r>
              <w:rPr>
                <w:b w:val="0"/>
                <w:sz w:val="21"/>
                <w:szCs w:val="21"/>
              </w:rPr>
              <w:t>东南厂界</w:t>
            </w:r>
          </w:p>
        </w:tc>
        <w:tc>
          <w:tcPr>
            <w:tcW w:w="1849" w:type="dxa"/>
            <w:vAlign w:val="center"/>
          </w:tcPr>
          <w:p>
            <w:pPr>
              <w:pStyle w:val="14"/>
              <w:rPr>
                <w:b w:val="0"/>
                <w:sz w:val="21"/>
                <w:szCs w:val="21"/>
              </w:rPr>
            </w:pPr>
            <w:r>
              <w:rPr>
                <w:rFonts w:hint="eastAsia"/>
                <w:b w:val="0"/>
                <w:sz w:val="21"/>
                <w:szCs w:val="21"/>
              </w:rPr>
              <w:t>380</w:t>
            </w:r>
          </w:p>
        </w:tc>
        <w:tc>
          <w:tcPr>
            <w:tcW w:w="1849" w:type="dxa"/>
            <w:vAlign w:val="center"/>
          </w:tcPr>
          <w:p>
            <w:pPr>
              <w:pStyle w:val="14"/>
              <w:rPr>
                <w:b w:val="0"/>
                <w:sz w:val="21"/>
                <w:szCs w:val="21"/>
              </w:rPr>
            </w:pPr>
            <w:r>
              <w:rPr>
                <w:b w:val="0"/>
                <w:sz w:val="21"/>
                <w:szCs w:val="21"/>
              </w:rPr>
              <w:t>约</w:t>
            </w:r>
            <w:r>
              <w:rPr>
                <w:rFonts w:hint="eastAsia"/>
                <w:b w:val="0"/>
                <w:sz w:val="21"/>
                <w:szCs w:val="21"/>
              </w:rPr>
              <w:t>150人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pStyle w:val="14"/>
              <w:rPr>
                <w:b w:val="0"/>
                <w:sz w:val="21"/>
                <w:szCs w:val="21"/>
              </w:rPr>
            </w:pPr>
            <w:r>
              <w:rPr>
                <w:rFonts w:ascii="宋体" w:hAnsi="宋体"/>
                <w:b w:val="0"/>
                <w:color w:val="000000" w:themeColor="text1"/>
                <w:sz w:val="21"/>
              </w:rPr>
              <w:t>治河村二组居住区</w:t>
            </w:r>
          </w:p>
        </w:tc>
        <w:tc>
          <w:tcPr>
            <w:tcW w:w="1848" w:type="dxa"/>
            <w:vAlign w:val="center"/>
          </w:tcPr>
          <w:p>
            <w:pPr>
              <w:pStyle w:val="14"/>
              <w:rPr>
                <w:b w:val="0"/>
                <w:sz w:val="21"/>
                <w:szCs w:val="21"/>
              </w:rPr>
            </w:pPr>
            <w:r>
              <w:rPr>
                <w:b w:val="0"/>
                <w:sz w:val="21"/>
                <w:szCs w:val="21"/>
              </w:rPr>
              <w:t>西南</w:t>
            </w:r>
          </w:p>
        </w:tc>
        <w:tc>
          <w:tcPr>
            <w:tcW w:w="1848" w:type="dxa"/>
            <w:vAlign w:val="center"/>
          </w:tcPr>
          <w:p>
            <w:pPr>
              <w:pStyle w:val="14"/>
              <w:rPr>
                <w:b w:val="0"/>
                <w:sz w:val="21"/>
                <w:szCs w:val="21"/>
              </w:rPr>
            </w:pPr>
            <w:r>
              <w:rPr>
                <w:b w:val="0"/>
                <w:sz w:val="21"/>
                <w:szCs w:val="21"/>
              </w:rPr>
              <w:t>西南厂界</w:t>
            </w:r>
          </w:p>
        </w:tc>
        <w:tc>
          <w:tcPr>
            <w:tcW w:w="1849" w:type="dxa"/>
            <w:vAlign w:val="center"/>
          </w:tcPr>
          <w:p>
            <w:pPr>
              <w:pStyle w:val="14"/>
              <w:rPr>
                <w:b w:val="0"/>
                <w:sz w:val="21"/>
                <w:szCs w:val="21"/>
              </w:rPr>
            </w:pPr>
            <w:r>
              <w:rPr>
                <w:rFonts w:hint="eastAsia"/>
                <w:b w:val="0"/>
                <w:sz w:val="21"/>
                <w:szCs w:val="21"/>
              </w:rPr>
              <w:t>1000</w:t>
            </w:r>
          </w:p>
        </w:tc>
        <w:tc>
          <w:tcPr>
            <w:tcW w:w="1849" w:type="dxa"/>
            <w:vAlign w:val="center"/>
          </w:tcPr>
          <w:p>
            <w:pPr>
              <w:pStyle w:val="14"/>
              <w:rPr>
                <w:b w:val="0"/>
                <w:sz w:val="21"/>
                <w:szCs w:val="21"/>
              </w:rPr>
            </w:pPr>
            <w:r>
              <w:rPr>
                <w:b w:val="0"/>
                <w:sz w:val="21"/>
                <w:szCs w:val="21"/>
              </w:rPr>
              <w:t>约</w:t>
            </w:r>
            <w:r>
              <w:rPr>
                <w:rFonts w:hint="eastAsia"/>
                <w:b w:val="0"/>
                <w:sz w:val="21"/>
                <w:szCs w:val="21"/>
              </w:rPr>
              <w:t>130人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eastAsia="宋体" w:cs="Times New Roman"/>
                <w:color w:val="000000" w:themeColor="text1"/>
                <w:sz w:val="21"/>
              </w:rPr>
            </w:pPr>
            <w:r>
              <w:rPr>
                <w:rFonts w:ascii="宋体" w:hAnsi="宋体" w:eastAsia="宋体" w:cs="Times New Roman"/>
                <w:color w:val="000000" w:themeColor="text1"/>
                <w:sz w:val="21"/>
              </w:rPr>
              <w:t>治河村</w:t>
            </w:r>
            <w:r>
              <w:rPr>
                <w:rFonts w:hint="eastAsia" w:ascii="宋体" w:hAnsi="宋体" w:eastAsia="宋体" w:cs="Times New Roman"/>
                <w:color w:val="000000" w:themeColor="text1"/>
                <w:sz w:val="21"/>
              </w:rPr>
              <w:t>三</w:t>
            </w:r>
            <w:r>
              <w:rPr>
                <w:rFonts w:ascii="宋体" w:hAnsi="宋体" w:eastAsia="宋体" w:cs="Times New Roman"/>
                <w:color w:val="000000" w:themeColor="text1"/>
                <w:sz w:val="21"/>
              </w:rPr>
              <w:t>组居住区</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278</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荆湖堂村八组居住区</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1600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60人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荆湖堂村</w:t>
            </w:r>
            <w:r>
              <w:rPr>
                <w:rFonts w:hint="eastAsia" w:ascii="宋体" w:hAnsi="宋体" w:eastAsia="宋体" w:cs="Times New Roman"/>
                <w:color w:val="000000" w:themeColor="text1"/>
                <w:sz w:val="21"/>
              </w:rPr>
              <w:t>九</w:t>
            </w:r>
            <w:r>
              <w:rPr>
                <w:rFonts w:ascii="宋体" w:hAnsi="宋体" w:eastAsia="宋体" w:cs="Times New Roman"/>
                <w:color w:val="000000" w:themeColor="text1"/>
                <w:sz w:val="21"/>
              </w:rPr>
              <w:t>组居住区</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1500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180人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治河村居住区</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1200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350人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红星村</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1900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210人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陈家台</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2100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40人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上高村四组</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2700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110人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治渡河镇</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西南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西南厂界</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2100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200人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谢家湾</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东北</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1200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180人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蔡家院</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东北</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1900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130人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满家屋场</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北</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2000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90人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jc w:val="center"/>
              <w:rPr>
                <w:rFonts w:ascii="宋体" w:hAnsi="宋体" w:eastAsia="宋体" w:cs="Times New Roman"/>
                <w:color w:val="000000" w:themeColor="text1"/>
                <w:sz w:val="21"/>
              </w:rPr>
            </w:pPr>
            <w:r>
              <w:rPr>
                <w:rFonts w:ascii="宋体" w:hAnsi="宋体" w:eastAsia="宋体" w:cs="Times New Roman"/>
                <w:color w:val="000000" w:themeColor="text1"/>
                <w:sz w:val="21"/>
              </w:rPr>
              <w:t>罗家铺</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北</w:t>
            </w:r>
          </w:p>
        </w:tc>
        <w:tc>
          <w:tcPr>
            <w:tcW w:w="1848" w:type="dxa"/>
            <w:vAlign w:val="center"/>
          </w:tcPr>
          <w:p>
            <w:pPr>
              <w:wordWrap w:val="0"/>
              <w:jc w:val="center"/>
              <w:rPr>
                <w:rFonts w:eastAsia="宋体" w:cs="Times New Roman"/>
                <w:color w:val="000000" w:themeColor="text1"/>
                <w:sz w:val="21"/>
              </w:rPr>
            </w:pPr>
            <w:r>
              <w:rPr>
                <w:rFonts w:eastAsia="宋体" w:cs="Times New Roman"/>
                <w:color w:val="000000" w:themeColor="text1"/>
                <w:sz w:val="21"/>
              </w:rPr>
              <w:t>北</w:t>
            </w:r>
          </w:p>
        </w:tc>
        <w:tc>
          <w:tcPr>
            <w:tcW w:w="1849" w:type="dxa"/>
            <w:vAlign w:val="center"/>
          </w:tcPr>
          <w:p>
            <w:pPr>
              <w:pStyle w:val="22"/>
              <w:jc w:val="center"/>
              <w:rPr>
                <w:rFonts w:ascii="Times New Roman" w:hAnsi="Times New Roman"/>
                <w:color w:val="000000" w:themeColor="text1"/>
                <w:szCs w:val="21"/>
              </w:rPr>
            </w:pPr>
            <w:r>
              <w:rPr>
                <w:rFonts w:hint="eastAsia" w:ascii="Times New Roman" w:hAnsi="Times New Roman"/>
                <w:color w:val="000000" w:themeColor="text1"/>
                <w:szCs w:val="21"/>
              </w:rPr>
              <w:t>1900</w:t>
            </w:r>
          </w:p>
        </w:tc>
        <w:tc>
          <w:tcPr>
            <w:tcW w:w="1849" w:type="dxa"/>
            <w:vAlign w:val="center"/>
          </w:tcPr>
          <w:p>
            <w:pPr>
              <w:pStyle w:val="22"/>
              <w:jc w:val="center"/>
              <w:rPr>
                <w:rFonts w:ascii="Times New Roman" w:hAnsi="Times New Roman"/>
                <w:color w:val="000000" w:themeColor="text1"/>
                <w:szCs w:val="21"/>
              </w:rPr>
            </w:pPr>
            <w:r>
              <w:rPr>
                <w:rFonts w:ascii="Times New Roman" w:hAnsi="Times New Roman"/>
                <w:color w:val="000000" w:themeColor="text1"/>
                <w:szCs w:val="21"/>
              </w:rPr>
              <w:t>约</w:t>
            </w:r>
            <w:r>
              <w:rPr>
                <w:rFonts w:hint="eastAsia" w:ascii="Times New Roman" w:hAnsi="Times New Roman"/>
                <w:color w:val="000000" w:themeColor="text1"/>
                <w:szCs w:val="21"/>
              </w:rPr>
              <w:t>60人</w:t>
            </w:r>
          </w:p>
        </w:tc>
      </w:tr>
    </w:tbl>
    <w:p>
      <w:pPr>
        <w:pStyle w:val="61"/>
      </w:pPr>
      <w:r>
        <w:t>风险识别</w:t>
      </w:r>
    </w:p>
    <w:p>
      <w:pPr>
        <w:pStyle w:val="61"/>
        <w:numPr>
          <w:ilvl w:val="0"/>
          <w:numId w:val="0"/>
        </w:numPr>
        <w:ind w:left="142"/>
      </w:pPr>
      <w:r>
        <w:rPr>
          <w:rFonts w:hint="eastAsia"/>
        </w:rPr>
        <w:t>（1）</w:t>
      </w:r>
      <w:r>
        <w:t>物质危险性识别</w:t>
      </w:r>
    </w:p>
    <w:p>
      <w:pPr>
        <w:spacing w:line="360" w:lineRule="auto"/>
        <w:ind w:firstLine="480" w:firstLineChars="200"/>
        <w:rPr>
          <w:szCs w:val="24"/>
        </w:rPr>
      </w:pPr>
      <w:r>
        <w:rPr>
          <w:rFonts w:hint="eastAsia"/>
          <w:szCs w:val="24"/>
        </w:rPr>
        <w:t>根据《建设项目环境风险评价技术导则》（</w:t>
      </w:r>
      <w:r>
        <w:rPr>
          <w:rFonts w:cs="Times New Roman"/>
          <w:szCs w:val="24"/>
        </w:rPr>
        <w:t>HJ169-2018</w:t>
      </w:r>
      <w:r>
        <w:rPr>
          <w:rFonts w:hint="eastAsia"/>
          <w:szCs w:val="24"/>
        </w:rPr>
        <w:t>）附录</w:t>
      </w:r>
      <w:r>
        <w:rPr>
          <w:rFonts w:cs="Times New Roman"/>
          <w:szCs w:val="24"/>
        </w:rPr>
        <w:t>B</w:t>
      </w:r>
      <w:r>
        <w:rPr>
          <w:rFonts w:hint="eastAsia"/>
          <w:szCs w:val="24"/>
        </w:rPr>
        <w:t>、</w:t>
      </w:r>
      <w:r>
        <w:rPr>
          <w:rFonts w:cs="Times New Roman"/>
          <w:szCs w:val="24"/>
        </w:rPr>
        <w:t>GB3000.18</w:t>
      </w:r>
      <w:r>
        <w:rPr>
          <w:rFonts w:hint="eastAsia"/>
          <w:szCs w:val="24"/>
        </w:rPr>
        <w:t>、</w:t>
      </w:r>
      <w:r>
        <w:rPr>
          <w:rFonts w:cs="Times New Roman"/>
          <w:color w:val="000000" w:themeColor="text1"/>
          <w:szCs w:val="24"/>
        </w:rPr>
        <w:t>GB30000.28</w:t>
      </w:r>
      <w:r>
        <w:rPr>
          <w:rFonts w:hint="eastAsia"/>
          <w:color w:val="000000" w:themeColor="text1"/>
          <w:szCs w:val="24"/>
        </w:rPr>
        <w:t>，对照工艺流程及原料的分析结果，本项目涉及的主要危险物质是氯酸钠、</w:t>
      </w:r>
      <w:r>
        <w:rPr>
          <w:rFonts w:cs="Times New Roman"/>
          <w:color w:val="000000" w:themeColor="text1"/>
          <w:szCs w:val="24"/>
        </w:rPr>
        <w:t>盐酸和三氯化铁</w:t>
      </w:r>
      <w:r>
        <w:rPr>
          <w:rFonts w:hint="eastAsia"/>
          <w:color w:val="000000" w:themeColor="text1"/>
          <w:szCs w:val="24"/>
        </w:rPr>
        <w:t>等，主要分布于综合加药间和</w:t>
      </w:r>
      <w:r>
        <w:rPr>
          <w:color w:val="000000" w:themeColor="text1"/>
          <w:szCs w:val="24"/>
        </w:rPr>
        <w:t>原辅材料存放间</w:t>
      </w:r>
      <w:r>
        <w:rPr>
          <w:rFonts w:hint="eastAsia"/>
          <w:color w:val="000000" w:themeColor="text1"/>
          <w:szCs w:val="24"/>
        </w:rPr>
        <w:t>。</w:t>
      </w:r>
      <w:r>
        <w:rPr>
          <w:color w:val="000000" w:themeColor="text1"/>
          <w:szCs w:val="24"/>
        </w:rPr>
        <w:t>主要危险物质的理化性质见下表</w:t>
      </w:r>
      <w:r>
        <w:rPr>
          <w:rFonts w:hint="eastAsia"/>
          <w:color w:val="000000" w:themeColor="text1"/>
          <w:szCs w:val="24"/>
        </w:rPr>
        <w:t>，项目涉及物质有毒有害物质，可能通过扩散对空气、水体、土壤产生污染，并可能形成泄漏风险。</w:t>
      </w:r>
    </w:p>
    <w:p>
      <w:pPr>
        <w:pStyle w:val="14"/>
        <w:spacing w:line="240" w:lineRule="auto"/>
      </w:pPr>
      <w:r>
        <w:rPr>
          <w:rFonts w:hint="eastAsia"/>
          <w:sz w:val="23"/>
          <w:szCs w:val="23"/>
        </w:rPr>
        <w:t>表</w:t>
      </w:r>
      <w:r>
        <w:rPr>
          <w:sz w:val="23"/>
          <w:szCs w:val="23"/>
        </w:rPr>
        <w:fldChar w:fldCharType="begin"/>
      </w:r>
      <w:r>
        <w:rPr>
          <w:rFonts w:hint="eastAsia"/>
          <w:sz w:val="23"/>
          <w:szCs w:val="23"/>
        </w:rPr>
        <w:instrText xml:space="preserve">STYLEREF 2 \s</w:instrText>
      </w:r>
      <w:r>
        <w:rPr>
          <w:sz w:val="23"/>
          <w:szCs w:val="23"/>
        </w:rPr>
        <w:fldChar w:fldCharType="separate"/>
      </w:r>
      <w:r>
        <w:rPr>
          <w:sz w:val="23"/>
          <w:szCs w:val="23"/>
        </w:rPr>
        <w:t>4.1</w:t>
      </w:r>
      <w:r>
        <w:rPr>
          <w:sz w:val="23"/>
          <w:szCs w:val="23"/>
        </w:rPr>
        <w:fldChar w:fldCharType="end"/>
      </w:r>
      <w:r>
        <w:rPr>
          <w:sz w:val="23"/>
          <w:szCs w:val="23"/>
        </w:rPr>
        <w:noBreakHyphen/>
      </w:r>
      <w:r>
        <w:rPr>
          <w:sz w:val="23"/>
          <w:szCs w:val="23"/>
        </w:rPr>
        <w:fldChar w:fldCharType="begin"/>
      </w:r>
      <w:r>
        <w:rPr>
          <w:rFonts w:hint="eastAsia"/>
          <w:sz w:val="23"/>
          <w:szCs w:val="23"/>
        </w:rPr>
        <w:instrText xml:space="preserve">SEQ 表 \* ARABIC \s 2</w:instrText>
      </w:r>
      <w:r>
        <w:rPr>
          <w:sz w:val="23"/>
          <w:szCs w:val="23"/>
        </w:rPr>
        <w:fldChar w:fldCharType="separate"/>
      </w:r>
      <w:r>
        <w:rPr>
          <w:rFonts w:hint="eastAsia"/>
          <w:sz w:val="23"/>
          <w:szCs w:val="23"/>
        </w:rPr>
        <w:t>29</w:t>
      </w:r>
      <w:r>
        <w:rPr>
          <w:sz w:val="23"/>
          <w:szCs w:val="23"/>
        </w:rPr>
        <w:fldChar w:fldCharType="end"/>
      </w:r>
      <w:r>
        <w:rPr>
          <w:rFonts w:hint="eastAsia"/>
        </w:rPr>
        <w:t xml:space="preserve">  盐酸理化性质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994"/>
        <w:gridCol w:w="4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pStyle w:val="14"/>
              <w:rPr>
                <w:b w:val="0"/>
                <w:sz w:val="21"/>
                <w:szCs w:val="21"/>
              </w:rPr>
            </w:pPr>
            <w:r>
              <w:rPr>
                <w:b w:val="0"/>
                <w:sz w:val="21"/>
                <w:szCs w:val="21"/>
              </w:rPr>
              <w:t>标识</w:t>
            </w:r>
          </w:p>
        </w:tc>
        <w:tc>
          <w:tcPr>
            <w:tcW w:w="3994" w:type="dxa"/>
          </w:tcPr>
          <w:p>
            <w:pPr>
              <w:pStyle w:val="78"/>
              <w:jc w:val="both"/>
              <w:rPr>
                <w:rFonts w:eastAsia="宋体"/>
                <w:kern w:val="2"/>
                <w:sz w:val="21"/>
                <w:szCs w:val="21"/>
              </w:rPr>
            </w:pPr>
            <w:r>
              <w:rPr>
                <w:rFonts w:eastAsia="宋体"/>
                <w:kern w:val="2"/>
                <w:sz w:val="21"/>
                <w:szCs w:val="21"/>
              </w:rPr>
              <w:t>中文名：盐酸；氢氯酸</w:t>
            </w:r>
          </w:p>
        </w:tc>
        <w:tc>
          <w:tcPr>
            <w:tcW w:w="4583" w:type="dxa"/>
          </w:tcPr>
          <w:p>
            <w:pPr>
              <w:pStyle w:val="78"/>
              <w:jc w:val="both"/>
              <w:rPr>
                <w:rFonts w:eastAsia="宋体"/>
                <w:kern w:val="2"/>
                <w:sz w:val="21"/>
                <w:szCs w:val="21"/>
              </w:rPr>
            </w:pPr>
            <w:r>
              <w:rPr>
                <w:rFonts w:eastAsia="宋体"/>
                <w:kern w:val="2"/>
                <w:sz w:val="21"/>
                <w:szCs w:val="21"/>
              </w:rPr>
              <w:t xml:space="preserve">英文名：hrdrochloric acid；chlorohydric acid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eastAsia="宋体"/>
                <w:kern w:val="2"/>
                <w:sz w:val="21"/>
                <w:szCs w:val="21"/>
              </w:rPr>
              <w:t>分子式：HCI</w:t>
            </w:r>
          </w:p>
        </w:tc>
        <w:tc>
          <w:tcPr>
            <w:tcW w:w="4583" w:type="dxa"/>
          </w:tcPr>
          <w:p>
            <w:pPr>
              <w:pStyle w:val="78"/>
              <w:jc w:val="both"/>
              <w:rPr>
                <w:rFonts w:eastAsia="宋体"/>
                <w:kern w:val="2"/>
                <w:sz w:val="21"/>
                <w:szCs w:val="21"/>
              </w:rPr>
            </w:pPr>
            <w:r>
              <w:rPr>
                <w:rFonts w:hint="eastAsia" w:eastAsia="宋体"/>
                <w:kern w:val="2"/>
                <w:sz w:val="21"/>
                <w:szCs w:val="21"/>
              </w:rPr>
              <w:t>分子量：</w:t>
            </w:r>
            <w:r>
              <w:rPr>
                <w:rFonts w:eastAsia="宋体"/>
                <w:kern w:val="2"/>
                <w:sz w:val="21"/>
                <w:szCs w:val="21"/>
              </w:rPr>
              <w:t xml:space="preserve">36.46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危规号：</w:t>
            </w:r>
            <w:r>
              <w:rPr>
                <w:rFonts w:eastAsia="宋体"/>
                <w:kern w:val="2"/>
                <w:sz w:val="21"/>
                <w:szCs w:val="21"/>
              </w:rPr>
              <w:t xml:space="preserve">81013 </w:t>
            </w:r>
          </w:p>
        </w:tc>
        <w:tc>
          <w:tcPr>
            <w:tcW w:w="4583" w:type="dxa"/>
          </w:tcPr>
          <w:p>
            <w:pPr>
              <w:pStyle w:val="78"/>
              <w:jc w:val="both"/>
              <w:rPr>
                <w:rFonts w:eastAsia="宋体"/>
                <w:kern w:val="2"/>
                <w:sz w:val="21"/>
                <w:szCs w:val="21"/>
              </w:rPr>
            </w:pPr>
            <w:r>
              <w:rPr>
                <w:rFonts w:eastAsia="宋体"/>
                <w:kern w:val="2"/>
                <w:sz w:val="21"/>
                <w:szCs w:val="21"/>
              </w:rPr>
              <w:t>CAS</w:t>
            </w:r>
            <w:r>
              <w:rPr>
                <w:rFonts w:hint="eastAsia" w:ascii="宋体" w:eastAsia="宋体" w:cs="宋体"/>
                <w:kern w:val="2"/>
                <w:sz w:val="21"/>
                <w:szCs w:val="21"/>
              </w:rPr>
              <w:t>号：</w:t>
            </w:r>
            <w:r>
              <w:rPr>
                <w:rFonts w:eastAsia="宋体"/>
                <w:kern w:val="2"/>
                <w:sz w:val="21"/>
                <w:szCs w:val="21"/>
              </w:rPr>
              <w:t>7647</w:t>
            </w:r>
            <w:r>
              <w:rPr>
                <w:rFonts w:hint="eastAsia" w:ascii="宋体" w:eastAsia="宋体" w:cs="宋体"/>
                <w:kern w:val="2"/>
                <w:sz w:val="21"/>
                <w:szCs w:val="21"/>
              </w:rPr>
              <w:t>－</w:t>
            </w:r>
            <w:r>
              <w:rPr>
                <w:rFonts w:eastAsia="宋体"/>
                <w:kern w:val="2"/>
                <w:sz w:val="21"/>
                <w:szCs w:val="21"/>
              </w:rPr>
              <w:t>01</w:t>
            </w:r>
            <w:r>
              <w:rPr>
                <w:rFonts w:hint="eastAsia" w:ascii="宋体" w:eastAsia="宋体" w:cs="宋体"/>
                <w:kern w:val="2"/>
                <w:sz w:val="21"/>
                <w:szCs w:val="21"/>
              </w:rPr>
              <w:t>－</w:t>
            </w:r>
            <w:r>
              <w:rPr>
                <w:rFonts w:eastAsia="宋体"/>
                <w:kern w:val="2"/>
                <w:sz w:val="21"/>
                <w:szCs w:val="21"/>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pStyle w:val="14"/>
              <w:rPr>
                <w:b w:val="0"/>
                <w:sz w:val="21"/>
                <w:szCs w:val="21"/>
              </w:rPr>
            </w:pPr>
            <w:r>
              <w:rPr>
                <w:b w:val="0"/>
                <w:sz w:val="21"/>
                <w:szCs w:val="21"/>
              </w:rPr>
              <w:t>理化性质</w:t>
            </w:r>
          </w:p>
        </w:tc>
        <w:tc>
          <w:tcPr>
            <w:tcW w:w="8577" w:type="dxa"/>
            <w:gridSpan w:val="2"/>
          </w:tcPr>
          <w:p>
            <w:pPr>
              <w:pStyle w:val="78"/>
              <w:jc w:val="both"/>
              <w:rPr>
                <w:rFonts w:eastAsia="宋体"/>
                <w:kern w:val="2"/>
                <w:sz w:val="21"/>
                <w:szCs w:val="21"/>
              </w:rPr>
            </w:pPr>
            <w:r>
              <w:rPr>
                <w:rFonts w:eastAsia="宋体"/>
                <w:kern w:val="2"/>
                <w:sz w:val="21"/>
                <w:szCs w:val="21"/>
              </w:rPr>
              <w:t>外观与性状：无色或微黄色发烟液体、有刺鼻的酸味。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8577" w:type="dxa"/>
            <w:gridSpan w:val="2"/>
          </w:tcPr>
          <w:p>
            <w:pPr>
              <w:pStyle w:val="78"/>
              <w:jc w:val="both"/>
              <w:rPr>
                <w:rFonts w:eastAsia="宋体"/>
                <w:kern w:val="2"/>
                <w:sz w:val="21"/>
                <w:szCs w:val="21"/>
              </w:rPr>
            </w:pPr>
            <w:r>
              <w:rPr>
                <w:rFonts w:hint="eastAsia" w:eastAsia="宋体"/>
                <w:kern w:val="2"/>
                <w:sz w:val="21"/>
                <w:szCs w:val="21"/>
              </w:rPr>
              <w:t>溶解性：与水混溶，溶于碱液。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熔点（℃）：－</w:t>
            </w:r>
            <w:r>
              <w:rPr>
                <w:rFonts w:eastAsia="宋体"/>
                <w:kern w:val="2"/>
                <w:sz w:val="21"/>
                <w:szCs w:val="21"/>
              </w:rPr>
              <w:t>114.8</w:t>
            </w:r>
            <w:r>
              <w:rPr>
                <w:rFonts w:hint="eastAsia" w:eastAsia="宋体"/>
                <w:kern w:val="2"/>
                <w:sz w:val="21"/>
                <w:szCs w:val="21"/>
              </w:rPr>
              <w:t>（纯）</w:t>
            </w:r>
          </w:p>
        </w:tc>
        <w:tc>
          <w:tcPr>
            <w:tcW w:w="4583" w:type="dxa"/>
          </w:tcPr>
          <w:p>
            <w:pPr>
              <w:pStyle w:val="78"/>
              <w:jc w:val="both"/>
              <w:rPr>
                <w:rFonts w:eastAsia="宋体"/>
                <w:kern w:val="2"/>
                <w:sz w:val="21"/>
                <w:szCs w:val="21"/>
              </w:rPr>
            </w:pPr>
            <w:r>
              <w:rPr>
                <w:rFonts w:hint="eastAsia" w:eastAsia="宋体"/>
                <w:kern w:val="2"/>
                <w:sz w:val="21"/>
                <w:szCs w:val="21"/>
              </w:rPr>
              <w:t>沸点（℃）：</w:t>
            </w:r>
            <w:r>
              <w:rPr>
                <w:rFonts w:eastAsia="宋体"/>
                <w:kern w:val="2"/>
                <w:sz w:val="21"/>
                <w:szCs w:val="21"/>
              </w:rPr>
              <w:t>108.6</w:t>
            </w:r>
            <w:r>
              <w:rPr>
                <w:rFonts w:hint="eastAsia" w:eastAsia="宋体"/>
                <w:kern w:val="2"/>
                <w:sz w:val="21"/>
                <w:szCs w:val="21"/>
              </w:rPr>
              <w:t>（</w:t>
            </w:r>
            <w:r>
              <w:rPr>
                <w:rFonts w:eastAsia="宋体"/>
                <w:kern w:val="2"/>
                <w:sz w:val="21"/>
                <w:szCs w:val="21"/>
              </w:rPr>
              <w:t>20</w:t>
            </w:r>
            <w:r>
              <w:rPr>
                <w:rFonts w:hint="eastAsia" w:eastAsia="宋体"/>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相对密度（水＝</w:t>
            </w:r>
            <w:r>
              <w:rPr>
                <w:rFonts w:eastAsia="宋体"/>
                <w:kern w:val="2"/>
                <w:sz w:val="21"/>
                <w:szCs w:val="21"/>
              </w:rPr>
              <w:t>1</w:t>
            </w:r>
            <w:r>
              <w:rPr>
                <w:rFonts w:hint="eastAsia" w:eastAsia="宋体"/>
                <w:kern w:val="2"/>
                <w:sz w:val="21"/>
                <w:szCs w:val="21"/>
              </w:rPr>
              <w:t>）：</w:t>
            </w:r>
            <w:r>
              <w:rPr>
                <w:rFonts w:eastAsia="宋体"/>
                <w:kern w:val="2"/>
                <w:sz w:val="21"/>
                <w:szCs w:val="21"/>
              </w:rPr>
              <w:t xml:space="preserve">1.20 </w:t>
            </w:r>
          </w:p>
        </w:tc>
        <w:tc>
          <w:tcPr>
            <w:tcW w:w="4583" w:type="dxa"/>
          </w:tcPr>
          <w:p>
            <w:pPr>
              <w:pStyle w:val="78"/>
              <w:jc w:val="both"/>
              <w:rPr>
                <w:rFonts w:eastAsia="宋体"/>
                <w:kern w:val="2"/>
                <w:sz w:val="21"/>
                <w:szCs w:val="21"/>
              </w:rPr>
            </w:pPr>
            <w:r>
              <w:rPr>
                <w:rFonts w:hint="eastAsia" w:eastAsia="宋体"/>
                <w:kern w:val="2"/>
                <w:sz w:val="21"/>
                <w:szCs w:val="21"/>
              </w:rPr>
              <w:t>相对密度（空气＝</w:t>
            </w:r>
            <w:r>
              <w:rPr>
                <w:rFonts w:eastAsia="宋体"/>
                <w:kern w:val="2"/>
                <w:sz w:val="21"/>
                <w:szCs w:val="21"/>
              </w:rPr>
              <w:t>1</w:t>
            </w:r>
            <w:r>
              <w:rPr>
                <w:rFonts w:hint="eastAsia" w:eastAsia="宋体"/>
                <w:kern w:val="2"/>
                <w:sz w:val="21"/>
                <w:szCs w:val="21"/>
              </w:rPr>
              <w:t>）：</w:t>
            </w:r>
            <w:r>
              <w:rPr>
                <w:rFonts w:eastAsia="宋体"/>
                <w:kern w:val="2"/>
                <w:sz w:val="21"/>
                <w:szCs w:val="21"/>
              </w:rPr>
              <w:t xml:space="preserve">1.26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饱和蒸汽压（</w:t>
            </w:r>
            <w:r>
              <w:rPr>
                <w:rFonts w:eastAsia="宋体"/>
                <w:kern w:val="2"/>
                <w:sz w:val="21"/>
                <w:szCs w:val="21"/>
              </w:rPr>
              <w:t>KPa</w:t>
            </w:r>
            <w:r>
              <w:rPr>
                <w:rFonts w:hint="eastAsia" w:eastAsia="宋体"/>
                <w:kern w:val="2"/>
                <w:sz w:val="21"/>
                <w:szCs w:val="21"/>
              </w:rPr>
              <w:t>）：</w:t>
            </w:r>
            <w:r>
              <w:rPr>
                <w:rFonts w:eastAsia="宋体"/>
                <w:kern w:val="2"/>
                <w:sz w:val="21"/>
                <w:szCs w:val="21"/>
              </w:rPr>
              <w:t xml:space="preserve"> 30.66</w:t>
            </w:r>
            <w:r>
              <w:rPr>
                <w:rFonts w:hint="eastAsia" w:eastAsia="宋体"/>
                <w:kern w:val="2"/>
                <w:sz w:val="21"/>
                <w:szCs w:val="21"/>
              </w:rPr>
              <w:t>（</w:t>
            </w:r>
            <w:r>
              <w:rPr>
                <w:rFonts w:eastAsia="宋体"/>
                <w:kern w:val="2"/>
                <w:sz w:val="21"/>
                <w:szCs w:val="21"/>
              </w:rPr>
              <w:t>21</w:t>
            </w:r>
            <w:r>
              <w:rPr>
                <w:rFonts w:hint="eastAsia" w:eastAsia="宋体"/>
                <w:kern w:val="2"/>
                <w:sz w:val="21"/>
                <w:szCs w:val="21"/>
              </w:rPr>
              <w:t>℃）</w:t>
            </w:r>
          </w:p>
        </w:tc>
        <w:tc>
          <w:tcPr>
            <w:tcW w:w="4583" w:type="dxa"/>
          </w:tcPr>
          <w:p>
            <w:pPr>
              <w:pStyle w:val="78"/>
              <w:jc w:val="both"/>
              <w:rPr>
                <w:rFonts w:eastAsia="宋体"/>
                <w:kern w:val="2"/>
                <w:sz w:val="21"/>
                <w:szCs w:val="21"/>
              </w:rPr>
            </w:pPr>
            <w:r>
              <w:rPr>
                <w:rFonts w:hint="eastAsia" w:eastAsia="宋体"/>
                <w:kern w:val="2"/>
                <w:sz w:val="21"/>
                <w:szCs w:val="21"/>
              </w:rPr>
              <w:t>禁忌物：碱类、胺类、碱金属、易燃或可燃物。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临界压力（</w:t>
            </w:r>
            <w:r>
              <w:rPr>
                <w:rFonts w:eastAsia="宋体"/>
                <w:kern w:val="2"/>
                <w:sz w:val="21"/>
                <w:szCs w:val="21"/>
              </w:rPr>
              <w:t>MPa</w:t>
            </w:r>
            <w:r>
              <w:rPr>
                <w:rFonts w:hint="eastAsia" w:eastAsia="宋体"/>
                <w:kern w:val="2"/>
                <w:sz w:val="21"/>
                <w:szCs w:val="21"/>
              </w:rPr>
              <w:t>）：</w:t>
            </w:r>
          </w:p>
        </w:tc>
        <w:tc>
          <w:tcPr>
            <w:tcW w:w="4583" w:type="dxa"/>
          </w:tcPr>
          <w:p>
            <w:pPr>
              <w:pStyle w:val="78"/>
              <w:jc w:val="both"/>
              <w:rPr>
                <w:rFonts w:eastAsia="宋体"/>
                <w:kern w:val="2"/>
                <w:sz w:val="21"/>
                <w:szCs w:val="21"/>
              </w:rPr>
            </w:pPr>
            <w:r>
              <w:rPr>
                <w:rFonts w:hint="eastAsia" w:eastAsia="宋体"/>
                <w:kern w:val="2"/>
                <w:sz w:val="21"/>
                <w:szCs w:val="21"/>
              </w:rPr>
              <w:t>临界温度（℃）：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稳定性：稳定</w:t>
            </w:r>
          </w:p>
        </w:tc>
        <w:tc>
          <w:tcPr>
            <w:tcW w:w="4583" w:type="dxa"/>
          </w:tcPr>
          <w:p>
            <w:pPr>
              <w:pStyle w:val="78"/>
              <w:jc w:val="both"/>
              <w:rPr>
                <w:rFonts w:eastAsia="宋体"/>
                <w:kern w:val="2"/>
                <w:sz w:val="21"/>
                <w:szCs w:val="21"/>
              </w:rPr>
            </w:pPr>
            <w:r>
              <w:rPr>
                <w:rFonts w:eastAsia="宋体"/>
                <w:kern w:val="2"/>
                <w:sz w:val="21"/>
                <w:szCs w:val="21"/>
              </w:rPr>
              <w:t>聚合危害</w:t>
            </w:r>
            <w:r>
              <w:rPr>
                <w:rFonts w:hint="eastAsia" w:eastAsia="宋体"/>
                <w:kern w:val="2"/>
                <w:sz w:val="21"/>
                <w:szCs w:val="21"/>
              </w:rPr>
              <w:t>：</w:t>
            </w:r>
            <w:r>
              <w:rPr>
                <w:rFonts w:eastAsia="宋体"/>
                <w:kern w:val="2"/>
                <w:sz w:val="21"/>
                <w:szCs w:val="21"/>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eastAsia="宋体"/>
                <w:kern w:val="2"/>
                <w:sz w:val="21"/>
                <w:szCs w:val="21"/>
              </w:rPr>
              <w:t>危险性类别：第8.1项酸性腐蚀品</w:t>
            </w:r>
          </w:p>
        </w:tc>
        <w:tc>
          <w:tcPr>
            <w:tcW w:w="4583" w:type="dxa"/>
          </w:tcPr>
          <w:p>
            <w:pPr>
              <w:pStyle w:val="14"/>
              <w:jc w:val="both"/>
              <w:rPr>
                <w:b w:val="0"/>
                <w:sz w:val="21"/>
                <w:szCs w:val="21"/>
              </w:rPr>
            </w:pPr>
            <w:r>
              <w:rPr>
                <w:b w:val="0"/>
                <w:sz w:val="21"/>
                <w:szCs w:val="21"/>
              </w:rPr>
              <w:t>燃烧性</w:t>
            </w:r>
            <w:r>
              <w:rPr>
                <w:rFonts w:hint="eastAsia"/>
                <w:b w:val="0"/>
                <w:sz w:val="21"/>
                <w:szCs w:val="21"/>
              </w:rPr>
              <w:t>：</w:t>
            </w:r>
            <w:r>
              <w:rPr>
                <w:b w:val="0"/>
                <w:sz w:val="21"/>
                <w:szCs w:val="21"/>
              </w:rPr>
              <w:t>不然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14"/>
              <w:jc w:val="both"/>
              <w:rPr>
                <w:b w:val="0"/>
                <w:sz w:val="21"/>
                <w:szCs w:val="21"/>
              </w:rPr>
            </w:pPr>
            <w:r>
              <w:rPr>
                <w:rFonts w:hint="eastAsia"/>
                <w:b w:val="0"/>
                <w:sz w:val="21"/>
                <w:szCs w:val="21"/>
              </w:rPr>
              <w:t>引燃温度（℃）：无意义</w:t>
            </w:r>
          </w:p>
        </w:tc>
        <w:tc>
          <w:tcPr>
            <w:tcW w:w="4583" w:type="dxa"/>
          </w:tcPr>
          <w:p>
            <w:pPr>
              <w:pStyle w:val="78"/>
              <w:jc w:val="both"/>
              <w:rPr>
                <w:rFonts w:eastAsia="宋体"/>
                <w:kern w:val="2"/>
                <w:sz w:val="21"/>
                <w:szCs w:val="21"/>
              </w:rPr>
            </w:pPr>
            <w:r>
              <w:rPr>
                <w:rFonts w:hint="eastAsia" w:eastAsia="宋体"/>
                <w:kern w:val="2"/>
                <w:sz w:val="21"/>
                <w:szCs w:val="21"/>
              </w:rPr>
              <w:t>闪点（℃）：无意义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爆炸下限（</w:t>
            </w:r>
            <w:r>
              <w:rPr>
                <w:rFonts w:eastAsia="宋体"/>
                <w:kern w:val="2"/>
                <w:sz w:val="21"/>
                <w:szCs w:val="21"/>
              </w:rPr>
              <w:t>％</w:t>
            </w:r>
            <w:r>
              <w:rPr>
                <w:rFonts w:hint="eastAsia" w:eastAsia="宋体"/>
                <w:kern w:val="2"/>
                <w:sz w:val="21"/>
                <w:szCs w:val="21"/>
              </w:rPr>
              <w:t>）：无意义</w:t>
            </w:r>
          </w:p>
        </w:tc>
        <w:tc>
          <w:tcPr>
            <w:tcW w:w="4583" w:type="dxa"/>
          </w:tcPr>
          <w:p>
            <w:pPr>
              <w:pStyle w:val="78"/>
              <w:jc w:val="both"/>
              <w:rPr>
                <w:rFonts w:eastAsia="宋体"/>
                <w:kern w:val="2"/>
                <w:sz w:val="21"/>
                <w:szCs w:val="21"/>
              </w:rPr>
            </w:pPr>
            <w:r>
              <w:rPr>
                <w:rFonts w:hint="eastAsia" w:eastAsia="宋体"/>
                <w:kern w:val="2"/>
                <w:sz w:val="21"/>
                <w:szCs w:val="21"/>
              </w:rPr>
              <w:t>爆炸上限（％）：无意义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最小点火能（</w:t>
            </w:r>
            <w:r>
              <w:rPr>
                <w:rFonts w:eastAsia="宋体"/>
                <w:kern w:val="2"/>
                <w:sz w:val="21"/>
                <w:szCs w:val="21"/>
              </w:rPr>
              <w:t>mJ</w:t>
            </w:r>
            <w:r>
              <w:rPr>
                <w:rFonts w:hint="eastAsia" w:eastAsia="宋体"/>
                <w:kern w:val="2"/>
                <w:sz w:val="21"/>
                <w:szCs w:val="21"/>
              </w:rPr>
              <w:t>）：</w:t>
            </w:r>
          </w:p>
        </w:tc>
        <w:tc>
          <w:tcPr>
            <w:tcW w:w="4583" w:type="dxa"/>
          </w:tcPr>
          <w:p>
            <w:pPr>
              <w:pStyle w:val="78"/>
              <w:jc w:val="both"/>
              <w:rPr>
                <w:rFonts w:eastAsia="宋体"/>
                <w:kern w:val="2"/>
                <w:sz w:val="21"/>
                <w:szCs w:val="21"/>
              </w:rPr>
            </w:pPr>
            <w:r>
              <w:rPr>
                <w:rFonts w:hint="eastAsia" w:eastAsia="宋体"/>
                <w:kern w:val="2"/>
                <w:sz w:val="21"/>
                <w:szCs w:val="21"/>
              </w:rPr>
              <w:t>最大爆炸压力（</w:t>
            </w:r>
            <w:r>
              <w:rPr>
                <w:rFonts w:eastAsia="宋体"/>
                <w:kern w:val="2"/>
                <w:sz w:val="21"/>
                <w:szCs w:val="21"/>
              </w:rPr>
              <w:t>MPa</w:t>
            </w:r>
            <w:r>
              <w:rPr>
                <w:rFonts w:hint="eastAsia" w:eastAsia="宋体"/>
                <w:kern w:val="2"/>
                <w:sz w:val="21"/>
                <w:szCs w:val="21"/>
              </w:rPr>
              <w:t>）：无意义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tcPr>
          <w:p>
            <w:pPr>
              <w:pStyle w:val="14"/>
              <w:rPr>
                <w:b w:val="0"/>
                <w:sz w:val="21"/>
                <w:szCs w:val="21"/>
              </w:rPr>
            </w:pPr>
          </w:p>
        </w:tc>
        <w:tc>
          <w:tcPr>
            <w:tcW w:w="3994" w:type="dxa"/>
          </w:tcPr>
          <w:p>
            <w:pPr>
              <w:pStyle w:val="78"/>
              <w:jc w:val="both"/>
              <w:rPr>
                <w:rFonts w:eastAsia="宋体"/>
                <w:kern w:val="2"/>
                <w:sz w:val="21"/>
                <w:szCs w:val="21"/>
              </w:rPr>
            </w:pPr>
            <w:r>
              <w:rPr>
                <w:rFonts w:hint="eastAsia" w:eastAsia="宋体"/>
                <w:kern w:val="2"/>
                <w:sz w:val="21"/>
                <w:szCs w:val="21"/>
              </w:rPr>
              <w:t>燃烧热（</w:t>
            </w:r>
            <w:r>
              <w:rPr>
                <w:rFonts w:eastAsia="宋体"/>
                <w:kern w:val="2"/>
                <w:sz w:val="21"/>
                <w:szCs w:val="21"/>
              </w:rPr>
              <w:t>KJ/mol</w:t>
            </w:r>
            <w:r>
              <w:rPr>
                <w:rFonts w:hint="eastAsia" w:eastAsia="宋体"/>
                <w:kern w:val="2"/>
                <w:sz w:val="21"/>
                <w:szCs w:val="21"/>
              </w:rPr>
              <w:t>）：无意义</w:t>
            </w:r>
          </w:p>
        </w:tc>
        <w:tc>
          <w:tcPr>
            <w:tcW w:w="4583" w:type="dxa"/>
          </w:tcPr>
          <w:p>
            <w:pPr>
              <w:pStyle w:val="78"/>
              <w:jc w:val="both"/>
              <w:rPr>
                <w:rFonts w:eastAsia="宋体"/>
                <w:kern w:val="2"/>
                <w:sz w:val="21"/>
                <w:szCs w:val="21"/>
              </w:rPr>
            </w:pPr>
            <w:r>
              <w:rPr>
                <w:rFonts w:hint="eastAsia" w:eastAsia="宋体"/>
                <w:kern w:val="2"/>
                <w:sz w:val="21"/>
                <w:szCs w:val="21"/>
              </w:rPr>
              <w:t>燃烧分解产物：氯化氢。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3"/>
          </w:tcPr>
          <w:p>
            <w:pPr>
              <w:pStyle w:val="78"/>
              <w:jc w:val="both"/>
              <w:rPr>
                <w:rFonts w:eastAsia="宋体"/>
                <w:kern w:val="2"/>
                <w:sz w:val="21"/>
                <w:szCs w:val="21"/>
              </w:rPr>
            </w:pPr>
            <w:r>
              <w:rPr>
                <w:rFonts w:hint="eastAsia" w:eastAsia="宋体"/>
                <w:kern w:val="2"/>
                <w:sz w:val="21"/>
                <w:szCs w:val="21"/>
              </w:rPr>
              <w:t>危险特性：能与一些活性金属粉末发生反应，放出氢气。遇氰化物能产生剧毒的氰化氢气体。与碱发生中合反应，并放出大量的热。具有较强的腐蚀性。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3"/>
          </w:tcPr>
          <w:p>
            <w:pPr>
              <w:pStyle w:val="78"/>
              <w:jc w:val="both"/>
              <w:rPr>
                <w:rFonts w:eastAsia="宋体"/>
                <w:kern w:val="2"/>
                <w:sz w:val="21"/>
                <w:szCs w:val="21"/>
              </w:rPr>
            </w:pPr>
            <w:r>
              <w:rPr>
                <w:rFonts w:hint="eastAsia" w:eastAsia="宋体"/>
                <w:kern w:val="2"/>
                <w:sz w:val="21"/>
                <w:szCs w:val="21"/>
              </w:rPr>
              <w:t>灭火方法：消防人员必须佩戴氧气呼吸器、穿全身防护服。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3"/>
          </w:tcPr>
          <w:p>
            <w:pPr>
              <w:pStyle w:val="78"/>
              <w:jc w:val="both"/>
              <w:rPr>
                <w:rFonts w:eastAsia="宋体"/>
                <w:kern w:val="2"/>
                <w:sz w:val="21"/>
                <w:szCs w:val="21"/>
              </w:rPr>
            </w:pPr>
            <w:r>
              <w:rPr>
                <w:rFonts w:hint="eastAsia" w:eastAsia="宋体"/>
                <w:kern w:val="2"/>
                <w:sz w:val="21"/>
                <w:szCs w:val="21"/>
              </w:rPr>
              <w:t>灭火剂：用碱性物质如碳酸氢钠、碳酸钠、消石灰等中和。也可用大量水扑救。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pStyle w:val="14"/>
              <w:jc w:val="both"/>
              <w:rPr>
                <w:b w:val="0"/>
                <w:sz w:val="21"/>
                <w:szCs w:val="21"/>
              </w:rPr>
            </w:pPr>
            <w:r>
              <w:rPr>
                <w:b w:val="0"/>
                <w:sz w:val="21"/>
                <w:szCs w:val="21"/>
              </w:rPr>
              <w:t>毒性</w:t>
            </w:r>
          </w:p>
        </w:tc>
        <w:tc>
          <w:tcPr>
            <w:tcW w:w="8577" w:type="dxa"/>
            <w:gridSpan w:val="2"/>
            <w:vAlign w:val="center"/>
          </w:tcPr>
          <w:p>
            <w:pPr>
              <w:pStyle w:val="78"/>
              <w:jc w:val="both"/>
              <w:rPr>
                <w:rFonts w:eastAsia="宋体"/>
                <w:kern w:val="2"/>
                <w:sz w:val="21"/>
                <w:szCs w:val="21"/>
              </w:rPr>
            </w:pPr>
            <w:r>
              <w:rPr>
                <w:rFonts w:hint="eastAsia" w:eastAsia="宋体"/>
                <w:kern w:val="2"/>
                <w:sz w:val="21"/>
                <w:szCs w:val="21"/>
              </w:rPr>
              <w:t>接触限值：中国</w:t>
            </w:r>
            <w:r>
              <w:rPr>
                <w:rFonts w:eastAsia="宋体"/>
                <w:kern w:val="2"/>
                <w:sz w:val="21"/>
                <w:szCs w:val="21"/>
              </w:rPr>
              <w:t>MAC</w:t>
            </w:r>
            <w:r>
              <w:rPr>
                <w:rFonts w:hint="eastAsia" w:eastAsia="宋体"/>
                <w:kern w:val="2"/>
                <w:sz w:val="21"/>
                <w:szCs w:val="21"/>
              </w:rPr>
              <w:t>（</w:t>
            </w:r>
            <w:r>
              <w:rPr>
                <w:rFonts w:eastAsia="宋体"/>
                <w:kern w:val="2"/>
                <w:sz w:val="21"/>
                <w:szCs w:val="21"/>
              </w:rPr>
              <w:t>mg/m3</w:t>
            </w:r>
            <w:r>
              <w:rPr>
                <w:rFonts w:hint="eastAsia" w:eastAsia="宋体"/>
                <w:kern w:val="2"/>
                <w:sz w:val="21"/>
                <w:szCs w:val="21"/>
              </w:rPr>
              <w:t>）</w:t>
            </w:r>
            <w:r>
              <w:rPr>
                <w:rFonts w:eastAsia="宋体"/>
                <w:kern w:val="2"/>
                <w:sz w:val="21"/>
                <w:szCs w:val="21"/>
              </w:rPr>
              <w:t xml:space="preserve"> 15 </w:t>
            </w:r>
            <w:r>
              <w:rPr>
                <w:rFonts w:hint="eastAsia" w:eastAsia="宋体"/>
                <w:kern w:val="2"/>
                <w:sz w:val="21"/>
                <w:szCs w:val="21"/>
              </w:rPr>
              <w:t>前苏联</w:t>
            </w:r>
            <w:r>
              <w:rPr>
                <w:rFonts w:eastAsia="宋体"/>
                <w:kern w:val="2"/>
                <w:sz w:val="21"/>
                <w:szCs w:val="21"/>
              </w:rPr>
              <w:t xml:space="preserve"> MAC</w:t>
            </w:r>
            <w:r>
              <w:rPr>
                <w:rFonts w:hint="eastAsia" w:eastAsia="宋体"/>
                <w:kern w:val="2"/>
                <w:sz w:val="21"/>
                <w:szCs w:val="21"/>
              </w:rPr>
              <w:t>（</w:t>
            </w:r>
            <w:r>
              <w:rPr>
                <w:rFonts w:eastAsia="宋体"/>
                <w:kern w:val="2"/>
                <w:sz w:val="21"/>
                <w:szCs w:val="21"/>
              </w:rPr>
              <w:t>mg/m3</w:t>
            </w:r>
            <w:r>
              <w:rPr>
                <w:rFonts w:hint="eastAsia" w:eastAsia="宋体"/>
                <w:kern w:val="2"/>
                <w:sz w:val="21"/>
                <w:szCs w:val="21"/>
              </w:rPr>
              <w:t>）未制定标准</w:t>
            </w:r>
          </w:p>
          <w:p>
            <w:pPr>
              <w:pStyle w:val="14"/>
              <w:jc w:val="both"/>
              <w:rPr>
                <w:b w:val="0"/>
                <w:sz w:val="21"/>
                <w:szCs w:val="21"/>
              </w:rPr>
            </w:pPr>
            <w:r>
              <w:rPr>
                <w:rFonts w:hint="eastAsia"/>
                <w:b w:val="0"/>
                <w:sz w:val="21"/>
                <w:szCs w:val="21"/>
              </w:rPr>
              <w:t>美国</w:t>
            </w:r>
            <w:r>
              <w:rPr>
                <w:rFonts w:cs="Times New Roman"/>
                <w:b w:val="0"/>
                <w:sz w:val="21"/>
                <w:szCs w:val="21"/>
              </w:rPr>
              <w:t>TVL</w:t>
            </w:r>
            <w:r>
              <w:rPr>
                <w:rFonts w:hint="eastAsia"/>
                <w:b w:val="0"/>
                <w:sz w:val="21"/>
                <w:szCs w:val="21"/>
              </w:rPr>
              <w:t>－</w:t>
            </w:r>
            <w:r>
              <w:rPr>
                <w:rFonts w:cs="Times New Roman"/>
                <w:b w:val="0"/>
                <w:sz w:val="21"/>
                <w:szCs w:val="21"/>
              </w:rPr>
              <w:t>TWA OSHA 5ppm</w:t>
            </w:r>
            <w:r>
              <w:rPr>
                <w:rFonts w:hint="eastAsia"/>
                <w:b w:val="0"/>
                <w:sz w:val="21"/>
                <w:szCs w:val="21"/>
              </w:rPr>
              <w:t>，</w:t>
            </w:r>
            <w:r>
              <w:rPr>
                <w:rFonts w:cs="Times New Roman"/>
                <w:b w:val="0"/>
                <w:sz w:val="21"/>
                <w:szCs w:val="21"/>
              </w:rPr>
              <w:t>7.5</w:t>
            </w:r>
            <w:r>
              <w:rPr>
                <w:rFonts w:hint="eastAsia"/>
                <w:b w:val="0"/>
                <w:sz w:val="21"/>
                <w:szCs w:val="21"/>
              </w:rPr>
              <w:t>〔上限值〕美国</w:t>
            </w:r>
            <w:r>
              <w:rPr>
                <w:rFonts w:cs="Times New Roman"/>
                <w:b w:val="0"/>
                <w:sz w:val="21"/>
                <w:szCs w:val="21"/>
              </w:rPr>
              <w:t>TLV</w:t>
            </w:r>
            <w:r>
              <w:rPr>
                <w:rFonts w:hint="eastAsia"/>
                <w:b w:val="0"/>
                <w:sz w:val="21"/>
                <w:szCs w:val="21"/>
              </w:rPr>
              <w:t>－</w:t>
            </w:r>
            <w:r>
              <w:rPr>
                <w:rFonts w:cs="Times New Roman"/>
                <w:b w:val="0"/>
                <w:sz w:val="21"/>
                <w:szCs w:val="21"/>
              </w:rPr>
              <w:t>STEL ACGIH 5ppm</w:t>
            </w:r>
            <w:r>
              <w:rPr>
                <w:rFonts w:hint="eastAsia"/>
                <w:b w:val="0"/>
                <w:sz w:val="21"/>
                <w:szCs w:val="21"/>
              </w:rPr>
              <w:t>，</w:t>
            </w:r>
            <w:r>
              <w:rPr>
                <w:rFonts w:cs="Times New Roman"/>
                <w:b w:val="0"/>
                <w:sz w:val="21"/>
                <w:szCs w:val="21"/>
              </w:rPr>
              <w:t xml:space="preserve">7.5 mg/m3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pStyle w:val="14"/>
              <w:jc w:val="both"/>
              <w:rPr>
                <w:b w:val="0"/>
                <w:sz w:val="21"/>
                <w:szCs w:val="21"/>
              </w:rPr>
            </w:pPr>
            <w:r>
              <w:rPr>
                <w:b w:val="0"/>
                <w:sz w:val="21"/>
                <w:szCs w:val="21"/>
              </w:rPr>
              <w:t>危害</w:t>
            </w:r>
          </w:p>
        </w:tc>
        <w:tc>
          <w:tcPr>
            <w:tcW w:w="8577" w:type="dxa"/>
            <w:gridSpan w:val="2"/>
            <w:vAlign w:val="center"/>
          </w:tcPr>
          <w:p>
            <w:pPr>
              <w:pStyle w:val="78"/>
              <w:jc w:val="both"/>
              <w:rPr>
                <w:rFonts w:eastAsia="宋体"/>
                <w:kern w:val="2"/>
                <w:sz w:val="21"/>
                <w:szCs w:val="21"/>
              </w:rPr>
            </w:pPr>
            <w:r>
              <w:rPr>
                <w:rFonts w:eastAsia="宋体"/>
                <w:kern w:val="2"/>
                <w:sz w:val="21"/>
                <w:szCs w:val="21"/>
              </w:rPr>
              <w:t>侵入途径：吸入、食入。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pStyle w:val="14"/>
              <w:jc w:val="both"/>
              <w:rPr>
                <w:b w:val="0"/>
                <w:sz w:val="21"/>
                <w:szCs w:val="21"/>
              </w:rPr>
            </w:pPr>
          </w:p>
        </w:tc>
        <w:tc>
          <w:tcPr>
            <w:tcW w:w="8577" w:type="dxa"/>
            <w:gridSpan w:val="2"/>
            <w:vAlign w:val="center"/>
          </w:tcPr>
          <w:p>
            <w:pPr>
              <w:pStyle w:val="78"/>
              <w:jc w:val="both"/>
              <w:rPr>
                <w:rFonts w:eastAsia="宋体"/>
                <w:kern w:val="2"/>
                <w:sz w:val="21"/>
                <w:szCs w:val="21"/>
              </w:rPr>
            </w:pPr>
            <w:r>
              <w:rPr>
                <w:rFonts w:eastAsia="宋体"/>
                <w:kern w:val="2"/>
                <w:sz w:val="21"/>
                <w:szCs w:val="21"/>
              </w:rPr>
              <w:t>健康危害：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pStyle w:val="78"/>
              <w:jc w:val="both"/>
              <w:rPr>
                <w:rFonts w:eastAsia="宋体"/>
                <w:kern w:val="2"/>
                <w:sz w:val="21"/>
                <w:szCs w:val="21"/>
              </w:rPr>
            </w:pPr>
            <w:r>
              <w:rPr>
                <w:rFonts w:eastAsia="宋体"/>
                <w:kern w:val="2"/>
                <w:sz w:val="21"/>
                <w:szCs w:val="21"/>
              </w:rPr>
              <w:t>急救</w:t>
            </w:r>
          </w:p>
        </w:tc>
        <w:tc>
          <w:tcPr>
            <w:tcW w:w="8577" w:type="dxa"/>
            <w:gridSpan w:val="2"/>
            <w:vAlign w:val="center"/>
          </w:tcPr>
          <w:p>
            <w:pPr>
              <w:pStyle w:val="78"/>
              <w:jc w:val="both"/>
              <w:rPr>
                <w:rFonts w:eastAsia="宋体"/>
                <w:kern w:val="2"/>
                <w:sz w:val="21"/>
                <w:szCs w:val="21"/>
              </w:rPr>
            </w:pPr>
            <w:r>
              <w:rPr>
                <w:rFonts w:hint="eastAsia" w:eastAsia="宋体"/>
                <w:kern w:val="2"/>
                <w:sz w:val="21"/>
                <w:szCs w:val="21"/>
              </w:rPr>
              <w:t>皮肤接触：立即脱出被污染的衣着。用大量流动清水冲洗，至少</w:t>
            </w:r>
            <w:r>
              <w:rPr>
                <w:rFonts w:eastAsia="宋体"/>
                <w:kern w:val="2"/>
                <w:sz w:val="21"/>
                <w:szCs w:val="21"/>
              </w:rPr>
              <w:t>15</w:t>
            </w:r>
            <w:r>
              <w:rPr>
                <w:rFonts w:hint="eastAsia" w:eastAsia="宋体"/>
                <w:kern w:val="2"/>
                <w:sz w:val="21"/>
                <w:szCs w:val="21"/>
              </w:rPr>
              <w:t>分钟。就医。</w:t>
            </w:r>
          </w:p>
          <w:p>
            <w:pPr>
              <w:pStyle w:val="78"/>
              <w:jc w:val="both"/>
              <w:rPr>
                <w:rFonts w:eastAsia="宋体"/>
                <w:kern w:val="2"/>
                <w:sz w:val="21"/>
                <w:szCs w:val="21"/>
              </w:rPr>
            </w:pPr>
            <w:r>
              <w:rPr>
                <w:rFonts w:hint="eastAsia" w:eastAsia="宋体"/>
                <w:kern w:val="2"/>
                <w:sz w:val="21"/>
                <w:szCs w:val="21"/>
              </w:rPr>
              <w:t>眼睛接触：立即提起眼睑，用大量流动清水或生理盐水彻底冲洗至少</w:t>
            </w:r>
            <w:r>
              <w:rPr>
                <w:rFonts w:eastAsia="宋体"/>
                <w:kern w:val="2"/>
                <w:sz w:val="21"/>
                <w:szCs w:val="21"/>
              </w:rPr>
              <w:t>15</w:t>
            </w:r>
            <w:r>
              <w:rPr>
                <w:rFonts w:hint="eastAsia" w:eastAsia="宋体"/>
                <w:kern w:val="2"/>
                <w:sz w:val="21"/>
                <w:szCs w:val="21"/>
              </w:rPr>
              <w:t>分钟。就医。</w:t>
            </w:r>
          </w:p>
          <w:p>
            <w:pPr>
              <w:pStyle w:val="78"/>
              <w:jc w:val="both"/>
              <w:rPr>
                <w:rFonts w:eastAsia="宋体"/>
                <w:kern w:val="2"/>
                <w:sz w:val="21"/>
                <w:szCs w:val="21"/>
              </w:rPr>
            </w:pPr>
            <w:r>
              <w:rPr>
                <w:rFonts w:hint="eastAsia" w:eastAsia="宋体"/>
                <w:kern w:val="2"/>
                <w:sz w:val="21"/>
                <w:szCs w:val="21"/>
              </w:rPr>
              <w:t>吸入：迅速脱离现场至空气新鲜处，保持呼吸道通畅。如呼吸困难，给输氧。如呼吸停止，立即进行人工呼吸。就医。</w:t>
            </w:r>
          </w:p>
          <w:p>
            <w:pPr>
              <w:pStyle w:val="14"/>
              <w:spacing w:line="240" w:lineRule="auto"/>
              <w:jc w:val="both"/>
              <w:rPr>
                <w:b w:val="0"/>
                <w:sz w:val="21"/>
                <w:szCs w:val="21"/>
              </w:rPr>
            </w:pPr>
            <w:r>
              <w:rPr>
                <w:rFonts w:hint="eastAsia"/>
                <w:b w:val="0"/>
                <w:sz w:val="21"/>
                <w:szCs w:val="21"/>
              </w:rPr>
              <w:t>食入：误服者用水漱口，给饮牛奶或蛋清。就医。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pStyle w:val="78"/>
              <w:jc w:val="both"/>
              <w:rPr>
                <w:rFonts w:eastAsia="宋体"/>
                <w:kern w:val="2"/>
                <w:sz w:val="21"/>
                <w:szCs w:val="21"/>
              </w:rPr>
            </w:pPr>
            <w:r>
              <w:rPr>
                <w:rFonts w:eastAsia="宋体"/>
                <w:kern w:val="2"/>
                <w:sz w:val="21"/>
                <w:szCs w:val="21"/>
              </w:rPr>
              <w:t>防护</w:t>
            </w:r>
          </w:p>
        </w:tc>
        <w:tc>
          <w:tcPr>
            <w:tcW w:w="8577" w:type="dxa"/>
            <w:gridSpan w:val="2"/>
            <w:vAlign w:val="center"/>
          </w:tcPr>
          <w:p>
            <w:pPr>
              <w:pStyle w:val="78"/>
              <w:jc w:val="both"/>
              <w:rPr>
                <w:rFonts w:eastAsia="宋体"/>
                <w:kern w:val="2"/>
                <w:sz w:val="21"/>
                <w:szCs w:val="21"/>
              </w:rPr>
            </w:pPr>
            <w:r>
              <w:rPr>
                <w:rFonts w:hint="eastAsia" w:eastAsia="宋体"/>
                <w:kern w:val="2"/>
                <w:sz w:val="21"/>
                <w:szCs w:val="21"/>
              </w:rPr>
              <w:t>工程防护：密闭操作，注意通风。尽可能机械化、自动化。提供安全淋浴和洗眼设备。</w:t>
            </w:r>
          </w:p>
          <w:p>
            <w:pPr>
              <w:pStyle w:val="14"/>
              <w:spacing w:line="240" w:lineRule="auto"/>
              <w:jc w:val="both"/>
              <w:rPr>
                <w:b w:val="0"/>
                <w:sz w:val="21"/>
                <w:szCs w:val="21"/>
              </w:rPr>
            </w:pPr>
            <w:r>
              <w:rPr>
                <w:rFonts w:hint="eastAsia"/>
                <w:b w:val="0"/>
                <w:sz w:val="21"/>
                <w:szCs w:val="21"/>
              </w:rPr>
              <w:t>个人防护：可能接触其烟雾时，佩戴自吸过滤式防毒面具（全面罩）或空气呼吸器。紧急事态抢救或撤离时，建议佩戴氧气呼吸器；穿橡胶耐酸碱服；戴橡胶耐酸碱手套。工作现场严禁吸烟、进食和饮水。工作毕，淋浴更衣。单独存放被毒物污染的衣服，洗后备用。保持良好的卫生习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pStyle w:val="78"/>
              <w:jc w:val="both"/>
              <w:rPr>
                <w:rFonts w:eastAsia="宋体"/>
                <w:kern w:val="2"/>
                <w:sz w:val="21"/>
                <w:szCs w:val="21"/>
              </w:rPr>
            </w:pPr>
            <w:r>
              <w:rPr>
                <w:rFonts w:eastAsia="宋体"/>
                <w:kern w:val="2"/>
                <w:sz w:val="21"/>
                <w:szCs w:val="21"/>
              </w:rPr>
              <w:t>泄漏处理</w:t>
            </w:r>
          </w:p>
        </w:tc>
        <w:tc>
          <w:tcPr>
            <w:tcW w:w="8577" w:type="dxa"/>
            <w:gridSpan w:val="2"/>
            <w:vAlign w:val="center"/>
          </w:tcPr>
          <w:p>
            <w:pPr>
              <w:pStyle w:val="78"/>
              <w:jc w:val="both"/>
              <w:rPr>
                <w:rFonts w:eastAsia="宋体"/>
                <w:kern w:val="2"/>
                <w:sz w:val="21"/>
                <w:szCs w:val="21"/>
              </w:rPr>
            </w:pPr>
            <w:r>
              <w:rPr>
                <w:rFonts w:hint="eastAsia" w:eastAsia="宋体"/>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pStyle w:val="78"/>
              <w:jc w:val="both"/>
              <w:rPr>
                <w:rFonts w:eastAsia="宋体"/>
                <w:kern w:val="2"/>
                <w:sz w:val="21"/>
                <w:szCs w:val="21"/>
              </w:rPr>
            </w:pPr>
            <w:r>
              <w:rPr>
                <w:rFonts w:eastAsia="宋体"/>
                <w:kern w:val="2"/>
                <w:sz w:val="21"/>
                <w:szCs w:val="21"/>
              </w:rPr>
              <w:t>储运</w:t>
            </w:r>
          </w:p>
        </w:tc>
        <w:tc>
          <w:tcPr>
            <w:tcW w:w="8577" w:type="dxa"/>
            <w:gridSpan w:val="2"/>
            <w:vAlign w:val="center"/>
          </w:tcPr>
          <w:p>
            <w:pPr>
              <w:pStyle w:val="78"/>
              <w:jc w:val="both"/>
              <w:rPr>
                <w:rFonts w:eastAsia="宋体"/>
                <w:kern w:val="2"/>
                <w:sz w:val="21"/>
                <w:szCs w:val="21"/>
              </w:rPr>
            </w:pPr>
            <w:r>
              <w:rPr>
                <w:rFonts w:hint="eastAsia" w:eastAsia="宋体"/>
                <w:kern w:val="2"/>
                <w:sz w:val="21"/>
                <w:szCs w:val="21"/>
              </w:rPr>
              <w:t>包装标志：</w:t>
            </w:r>
            <w:r>
              <w:rPr>
                <w:rFonts w:eastAsia="宋体"/>
                <w:kern w:val="2"/>
                <w:sz w:val="21"/>
                <w:szCs w:val="21"/>
              </w:rPr>
              <w:t>20 UN</w:t>
            </w:r>
            <w:r>
              <w:rPr>
                <w:rFonts w:hint="eastAsia" w:eastAsia="宋体"/>
                <w:kern w:val="2"/>
                <w:sz w:val="21"/>
                <w:szCs w:val="21"/>
              </w:rPr>
              <w:t>编号：</w:t>
            </w:r>
            <w:r>
              <w:rPr>
                <w:rFonts w:eastAsia="宋体"/>
                <w:kern w:val="2"/>
                <w:sz w:val="21"/>
                <w:szCs w:val="21"/>
              </w:rPr>
              <w:t xml:space="preserve">1789 </w:t>
            </w:r>
            <w:r>
              <w:rPr>
                <w:rFonts w:hint="eastAsia" w:eastAsia="宋体"/>
                <w:kern w:val="2"/>
                <w:sz w:val="21"/>
                <w:szCs w:val="21"/>
              </w:rPr>
              <w:t>包装分类：Ⅰ包装方法：螺纹口玻璃瓶、铁盖压口玻璃瓶、塑料瓶或金属桶（罐）外木板箱；耐酸坛、陶瓷罐外木板箱或半花格箱。</w:t>
            </w:r>
          </w:p>
          <w:p>
            <w:pPr>
              <w:pStyle w:val="14"/>
              <w:spacing w:line="240" w:lineRule="auto"/>
              <w:jc w:val="both"/>
              <w:rPr>
                <w:b w:val="0"/>
                <w:sz w:val="21"/>
                <w:szCs w:val="21"/>
              </w:rPr>
            </w:pPr>
            <w:r>
              <w:rPr>
                <w:rFonts w:hint="eastAsia"/>
                <w:b w:val="0"/>
                <w:sz w:val="21"/>
                <w:szCs w:val="21"/>
              </w:rPr>
              <w:t>储运条件：储存于阴凉、干燥，通风良好的仓间。应与碱类、金属粉末、卤素（氟、氯、溴）、易燃或可燃物分开存放。不可混储混运。搬运要轻装轻卸，防止包装及容器损坏。分装和搬运作业要注意个人防护。运输按规定路线行驶。</w:t>
            </w:r>
          </w:p>
        </w:tc>
      </w:tr>
    </w:tbl>
    <w:p>
      <w:pPr>
        <w:pStyle w:val="14"/>
        <w:spacing w:line="240" w:lineRule="auto"/>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30</w:t>
      </w:r>
      <w:r>
        <w:fldChar w:fldCharType="end"/>
      </w:r>
      <w:r>
        <w:rPr>
          <w:rFonts w:hint="eastAsia"/>
        </w:rPr>
        <w:t xml:space="preserve">  三氯化铁理化性质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1"/>
        <w:gridCol w:w="4467"/>
        <w:gridCol w:w="42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pPr>
              <w:pStyle w:val="14"/>
              <w:rPr>
                <w:rFonts w:cs="Times New Roman"/>
                <w:b w:val="0"/>
                <w:sz w:val="21"/>
                <w:szCs w:val="21"/>
              </w:rPr>
            </w:pPr>
            <w:r>
              <w:rPr>
                <w:rFonts w:cs="Times New Roman"/>
                <w:b w:val="0"/>
                <w:sz w:val="21"/>
                <w:szCs w:val="21"/>
              </w:rPr>
              <w:t>标识</w:t>
            </w:r>
          </w:p>
        </w:tc>
        <w:tc>
          <w:tcPr>
            <w:tcW w:w="4467" w:type="dxa"/>
            <w:vAlign w:val="center"/>
          </w:tcPr>
          <w:p>
            <w:pPr>
              <w:pStyle w:val="78"/>
              <w:jc w:val="both"/>
              <w:rPr>
                <w:rFonts w:eastAsia="宋体"/>
                <w:kern w:val="2"/>
                <w:sz w:val="21"/>
                <w:szCs w:val="21"/>
              </w:rPr>
            </w:pPr>
            <w:r>
              <w:rPr>
                <w:rFonts w:eastAsia="宋体"/>
                <w:kern w:val="2"/>
                <w:sz w:val="21"/>
                <w:szCs w:val="21"/>
              </w:rPr>
              <w:t>中文名：三氯化铁</w:t>
            </w:r>
          </w:p>
        </w:tc>
        <w:tc>
          <w:tcPr>
            <w:tcW w:w="4214" w:type="dxa"/>
            <w:vAlign w:val="center"/>
          </w:tcPr>
          <w:p>
            <w:pPr>
              <w:pStyle w:val="78"/>
              <w:jc w:val="both"/>
              <w:rPr>
                <w:rFonts w:eastAsia="宋体"/>
                <w:kern w:val="2"/>
                <w:sz w:val="21"/>
                <w:szCs w:val="21"/>
              </w:rPr>
            </w:pPr>
            <w:r>
              <w:rPr>
                <w:rFonts w:eastAsia="宋体"/>
                <w:kern w:val="2"/>
                <w:sz w:val="21"/>
                <w:szCs w:val="21"/>
              </w:rPr>
              <w:t>英文名：ferric chloride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4467" w:type="dxa"/>
            <w:vAlign w:val="center"/>
          </w:tcPr>
          <w:p>
            <w:pPr>
              <w:pStyle w:val="78"/>
              <w:jc w:val="both"/>
              <w:rPr>
                <w:rFonts w:eastAsia="宋体"/>
                <w:kern w:val="2"/>
                <w:sz w:val="21"/>
                <w:szCs w:val="21"/>
              </w:rPr>
            </w:pPr>
            <w:r>
              <w:rPr>
                <w:rFonts w:eastAsia="宋体"/>
                <w:kern w:val="2"/>
                <w:sz w:val="21"/>
                <w:szCs w:val="21"/>
              </w:rPr>
              <w:t>分子式：Fecl</w:t>
            </w:r>
            <w:r>
              <w:rPr>
                <w:rFonts w:eastAsia="宋体"/>
                <w:kern w:val="2"/>
                <w:sz w:val="21"/>
                <w:szCs w:val="21"/>
                <w:vertAlign w:val="subscript"/>
              </w:rPr>
              <w:t>3</w:t>
            </w:r>
          </w:p>
        </w:tc>
        <w:tc>
          <w:tcPr>
            <w:tcW w:w="4214" w:type="dxa"/>
            <w:vAlign w:val="center"/>
          </w:tcPr>
          <w:p>
            <w:pPr>
              <w:pStyle w:val="78"/>
              <w:jc w:val="both"/>
              <w:rPr>
                <w:rFonts w:eastAsia="宋体"/>
                <w:kern w:val="2"/>
                <w:sz w:val="21"/>
                <w:szCs w:val="21"/>
              </w:rPr>
            </w:pPr>
            <w:r>
              <w:rPr>
                <w:rFonts w:eastAsia="宋体"/>
                <w:kern w:val="2"/>
                <w:sz w:val="21"/>
                <w:szCs w:val="21"/>
              </w:rPr>
              <w:t>分子量：40.01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4467" w:type="dxa"/>
            <w:vAlign w:val="center"/>
          </w:tcPr>
          <w:p>
            <w:pPr>
              <w:pStyle w:val="78"/>
              <w:jc w:val="both"/>
              <w:rPr>
                <w:rFonts w:eastAsia="宋体"/>
                <w:color w:val="000000" w:themeColor="text1"/>
                <w:kern w:val="2"/>
                <w:sz w:val="21"/>
                <w:szCs w:val="21"/>
              </w:rPr>
            </w:pPr>
            <w:r>
              <w:rPr>
                <w:rFonts w:eastAsia="宋体"/>
                <w:color w:val="000000" w:themeColor="text1"/>
                <w:kern w:val="2"/>
                <w:sz w:val="21"/>
                <w:szCs w:val="21"/>
              </w:rPr>
              <w:t>危规号：</w:t>
            </w:r>
          </w:p>
        </w:tc>
        <w:tc>
          <w:tcPr>
            <w:tcW w:w="4214" w:type="dxa"/>
            <w:vAlign w:val="center"/>
          </w:tcPr>
          <w:p>
            <w:pPr>
              <w:pStyle w:val="78"/>
              <w:jc w:val="both"/>
              <w:rPr>
                <w:rFonts w:eastAsia="宋体"/>
                <w:kern w:val="2"/>
                <w:sz w:val="21"/>
                <w:szCs w:val="21"/>
              </w:rPr>
            </w:pPr>
            <w:r>
              <w:rPr>
                <w:rFonts w:eastAsia="宋体"/>
                <w:kern w:val="2"/>
                <w:sz w:val="21"/>
                <w:szCs w:val="21"/>
              </w:rPr>
              <w:t>CAS号：7705-08-0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pPr>
              <w:pStyle w:val="14"/>
              <w:rPr>
                <w:rFonts w:cs="Times New Roman"/>
                <w:b w:val="0"/>
                <w:sz w:val="21"/>
                <w:szCs w:val="21"/>
              </w:rPr>
            </w:pPr>
            <w:r>
              <w:rPr>
                <w:rFonts w:cs="Times New Roman"/>
                <w:b w:val="0"/>
                <w:sz w:val="21"/>
                <w:szCs w:val="21"/>
              </w:rPr>
              <w:t>理化性质</w:t>
            </w:r>
          </w:p>
        </w:tc>
        <w:tc>
          <w:tcPr>
            <w:tcW w:w="8681" w:type="dxa"/>
            <w:gridSpan w:val="2"/>
            <w:vAlign w:val="center"/>
          </w:tcPr>
          <w:p>
            <w:pPr>
              <w:pStyle w:val="78"/>
              <w:jc w:val="both"/>
              <w:rPr>
                <w:rFonts w:eastAsia="宋体"/>
                <w:kern w:val="2"/>
                <w:sz w:val="21"/>
                <w:szCs w:val="21"/>
              </w:rPr>
            </w:pPr>
            <w:r>
              <w:rPr>
                <w:rFonts w:eastAsia="宋体"/>
                <w:kern w:val="2"/>
                <w:sz w:val="21"/>
                <w:szCs w:val="21"/>
              </w:rPr>
              <w:t>外观与性状：黑棕色结晶，也有薄片装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4467" w:type="dxa"/>
            <w:vAlign w:val="center"/>
          </w:tcPr>
          <w:p>
            <w:pPr>
              <w:pStyle w:val="78"/>
              <w:jc w:val="both"/>
              <w:rPr>
                <w:rFonts w:eastAsia="宋体"/>
                <w:kern w:val="2"/>
                <w:sz w:val="21"/>
                <w:szCs w:val="21"/>
              </w:rPr>
            </w:pPr>
            <w:r>
              <w:rPr>
                <w:rFonts w:eastAsia="宋体"/>
                <w:kern w:val="2"/>
                <w:sz w:val="21"/>
                <w:szCs w:val="21"/>
              </w:rPr>
              <w:t>熔点（℃）：306</w:t>
            </w:r>
          </w:p>
        </w:tc>
        <w:tc>
          <w:tcPr>
            <w:tcW w:w="4214" w:type="dxa"/>
            <w:vAlign w:val="center"/>
          </w:tcPr>
          <w:p>
            <w:pPr>
              <w:pStyle w:val="78"/>
              <w:jc w:val="both"/>
              <w:rPr>
                <w:rFonts w:eastAsia="宋体"/>
                <w:kern w:val="2"/>
                <w:sz w:val="21"/>
                <w:szCs w:val="21"/>
              </w:rPr>
            </w:pPr>
            <w:r>
              <w:rPr>
                <w:rFonts w:eastAsia="宋体"/>
                <w:kern w:val="2"/>
                <w:sz w:val="21"/>
                <w:szCs w:val="21"/>
              </w:rPr>
              <w:t>沸点：319（℃）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8681" w:type="dxa"/>
            <w:gridSpan w:val="2"/>
            <w:vAlign w:val="center"/>
          </w:tcPr>
          <w:p>
            <w:pPr>
              <w:pStyle w:val="78"/>
              <w:jc w:val="both"/>
              <w:rPr>
                <w:rFonts w:eastAsia="宋体"/>
                <w:kern w:val="2"/>
                <w:sz w:val="21"/>
                <w:szCs w:val="21"/>
              </w:rPr>
            </w:pPr>
            <w:r>
              <w:rPr>
                <w:rFonts w:eastAsia="宋体"/>
                <w:kern w:val="2"/>
                <w:sz w:val="21"/>
                <w:szCs w:val="21"/>
              </w:rPr>
              <w:t>相对密度（水＝1）：2.90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4467" w:type="dxa"/>
            <w:vAlign w:val="center"/>
          </w:tcPr>
          <w:p>
            <w:pPr>
              <w:pStyle w:val="78"/>
              <w:jc w:val="both"/>
              <w:rPr>
                <w:rFonts w:eastAsia="宋体"/>
                <w:kern w:val="2"/>
                <w:sz w:val="21"/>
                <w:szCs w:val="21"/>
              </w:rPr>
            </w:pPr>
            <w:r>
              <w:rPr>
                <w:rFonts w:eastAsia="宋体"/>
                <w:kern w:val="2"/>
                <w:sz w:val="21"/>
                <w:szCs w:val="21"/>
              </w:rPr>
              <w:t>稳定性：稳定</w:t>
            </w:r>
          </w:p>
        </w:tc>
        <w:tc>
          <w:tcPr>
            <w:tcW w:w="4214" w:type="dxa"/>
            <w:vAlign w:val="center"/>
          </w:tcPr>
          <w:p>
            <w:pPr>
              <w:pStyle w:val="78"/>
              <w:jc w:val="both"/>
              <w:rPr>
                <w:rFonts w:eastAsia="宋体"/>
                <w:kern w:val="2"/>
                <w:sz w:val="21"/>
                <w:szCs w:val="21"/>
              </w:rPr>
            </w:pPr>
            <w:r>
              <w:rPr>
                <w:rFonts w:eastAsia="宋体"/>
                <w:kern w:val="2"/>
                <w:sz w:val="21"/>
                <w:szCs w:val="21"/>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pPr>
              <w:pStyle w:val="78"/>
              <w:jc w:val="center"/>
              <w:rPr>
                <w:rFonts w:eastAsia="宋体"/>
                <w:kern w:val="2"/>
                <w:sz w:val="21"/>
                <w:szCs w:val="21"/>
              </w:rPr>
            </w:pPr>
            <w:r>
              <w:rPr>
                <w:rFonts w:eastAsia="宋体"/>
                <w:kern w:val="2"/>
                <w:sz w:val="21"/>
                <w:szCs w:val="21"/>
              </w:rPr>
              <w:t>危险特性</w:t>
            </w:r>
          </w:p>
        </w:tc>
        <w:tc>
          <w:tcPr>
            <w:tcW w:w="4467" w:type="dxa"/>
            <w:vAlign w:val="center"/>
          </w:tcPr>
          <w:p>
            <w:pPr>
              <w:pStyle w:val="78"/>
              <w:jc w:val="both"/>
              <w:rPr>
                <w:rFonts w:eastAsia="宋体"/>
                <w:kern w:val="2"/>
                <w:sz w:val="21"/>
                <w:szCs w:val="21"/>
              </w:rPr>
            </w:pPr>
            <w:r>
              <w:rPr>
                <w:rFonts w:eastAsia="宋体"/>
                <w:kern w:val="2"/>
                <w:sz w:val="21"/>
                <w:szCs w:val="21"/>
              </w:rPr>
              <w:t>危险性类别：第8.1类酸性腐蚀品</w:t>
            </w:r>
          </w:p>
        </w:tc>
        <w:tc>
          <w:tcPr>
            <w:tcW w:w="4214" w:type="dxa"/>
            <w:vAlign w:val="center"/>
          </w:tcPr>
          <w:p>
            <w:pPr>
              <w:pStyle w:val="78"/>
              <w:jc w:val="both"/>
              <w:rPr>
                <w:rFonts w:eastAsia="宋体"/>
                <w:kern w:val="2"/>
                <w:sz w:val="21"/>
                <w:szCs w:val="21"/>
              </w:rPr>
            </w:pPr>
            <w:r>
              <w:rPr>
                <w:rFonts w:eastAsia="宋体"/>
                <w:kern w:val="2"/>
                <w:sz w:val="21"/>
                <w:szCs w:val="21"/>
              </w:rPr>
              <w:t>燃烧热：无意义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4467" w:type="dxa"/>
            <w:vAlign w:val="center"/>
          </w:tcPr>
          <w:p>
            <w:pPr>
              <w:pStyle w:val="78"/>
              <w:jc w:val="both"/>
              <w:rPr>
                <w:rFonts w:eastAsia="宋体"/>
                <w:kern w:val="2"/>
                <w:sz w:val="21"/>
                <w:szCs w:val="21"/>
              </w:rPr>
            </w:pPr>
            <w:r>
              <w:rPr>
                <w:rFonts w:eastAsia="宋体"/>
                <w:kern w:val="2"/>
                <w:sz w:val="21"/>
                <w:szCs w:val="21"/>
              </w:rPr>
              <w:t>最小点火能（mJ）：</w:t>
            </w:r>
          </w:p>
        </w:tc>
        <w:tc>
          <w:tcPr>
            <w:tcW w:w="4214" w:type="dxa"/>
            <w:vAlign w:val="center"/>
          </w:tcPr>
          <w:p>
            <w:pPr>
              <w:pStyle w:val="78"/>
              <w:jc w:val="both"/>
              <w:rPr>
                <w:rFonts w:eastAsia="宋体"/>
                <w:kern w:val="2"/>
                <w:sz w:val="21"/>
                <w:szCs w:val="21"/>
              </w:rPr>
            </w:pPr>
            <w:r>
              <w:rPr>
                <w:rFonts w:eastAsia="宋体"/>
                <w:kern w:val="2"/>
                <w:sz w:val="21"/>
                <w:szCs w:val="21"/>
              </w:rPr>
              <w:t>最大爆炸压力（MPa）：无意义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4467" w:type="dxa"/>
            <w:vAlign w:val="center"/>
          </w:tcPr>
          <w:p>
            <w:pPr>
              <w:pStyle w:val="78"/>
              <w:jc w:val="both"/>
              <w:rPr>
                <w:rFonts w:eastAsia="宋体"/>
                <w:kern w:val="2"/>
                <w:sz w:val="21"/>
                <w:szCs w:val="21"/>
              </w:rPr>
            </w:pPr>
            <w:r>
              <w:rPr>
                <w:rFonts w:eastAsia="宋体"/>
                <w:kern w:val="2"/>
                <w:sz w:val="21"/>
                <w:szCs w:val="21"/>
              </w:rPr>
              <w:t>燃烧热（KJ/mol）：无意义</w:t>
            </w:r>
          </w:p>
        </w:tc>
        <w:tc>
          <w:tcPr>
            <w:tcW w:w="4214" w:type="dxa"/>
            <w:vAlign w:val="center"/>
          </w:tcPr>
          <w:p>
            <w:pPr>
              <w:pStyle w:val="78"/>
              <w:jc w:val="both"/>
              <w:rPr>
                <w:rFonts w:eastAsia="宋体"/>
                <w:kern w:val="2"/>
                <w:sz w:val="21"/>
                <w:szCs w:val="21"/>
              </w:rPr>
            </w:pPr>
            <w:r>
              <w:rPr>
                <w:rFonts w:eastAsia="宋体"/>
                <w:kern w:val="2"/>
                <w:sz w:val="21"/>
                <w:szCs w:val="21"/>
              </w:rPr>
              <w:t>燃烧分解产物：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8681" w:type="dxa"/>
            <w:gridSpan w:val="2"/>
            <w:vAlign w:val="center"/>
          </w:tcPr>
          <w:p>
            <w:pPr>
              <w:pStyle w:val="78"/>
              <w:jc w:val="both"/>
              <w:rPr>
                <w:rFonts w:eastAsia="宋体"/>
                <w:color w:val="000000" w:themeColor="text1"/>
                <w:kern w:val="2"/>
                <w:sz w:val="21"/>
                <w:szCs w:val="21"/>
              </w:rPr>
            </w:pPr>
            <w:r>
              <w:rPr>
                <w:rFonts w:eastAsia="宋体"/>
                <w:color w:val="000000" w:themeColor="text1"/>
                <w:kern w:val="2"/>
                <w:sz w:val="21"/>
                <w:szCs w:val="21"/>
              </w:rPr>
              <w:t>危险特性：受高</w:t>
            </w:r>
            <w:r>
              <w:fldChar w:fldCharType="begin"/>
            </w:r>
            <w:r>
              <w:instrText xml:space="preserve"> HYPERLINK "https://baike.so.com/doc/5846975-6059812.html" \t "_blank" </w:instrText>
            </w:r>
            <w:r>
              <w:fldChar w:fldCharType="separate"/>
            </w:r>
            <w:r>
              <w:rPr>
                <w:rStyle w:val="41"/>
                <w:rFonts w:eastAsia="宋体"/>
                <w:color w:val="000000" w:themeColor="text1"/>
                <w:kern w:val="2"/>
                <w:sz w:val="21"/>
                <w:szCs w:val="21"/>
                <w:u w:val="none"/>
              </w:rPr>
              <w:t>热分解</w:t>
            </w:r>
            <w:r>
              <w:rPr>
                <w:rStyle w:val="41"/>
                <w:rFonts w:eastAsia="宋体"/>
                <w:color w:val="000000" w:themeColor="text1"/>
                <w:kern w:val="2"/>
                <w:sz w:val="21"/>
                <w:szCs w:val="21"/>
                <w:u w:val="none"/>
              </w:rPr>
              <w:fldChar w:fldCharType="end"/>
            </w:r>
            <w:r>
              <w:rPr>
                <w:rFonts w:eastAsia="宋体"/>
                <w:color w:val="000000" w:themeColor="text1"/>
                <w:kern w:val="2"/>
                <w:sz w:val="21"/>
                <w:szCs w:val="21"/>
              </w:rPr>
              <w:t>产生有毒的腐蚀性气体氯化氢。 燃烧(分解)产物:</w:t>
            </w:r>
            <w:r>
              <w:fldChar w:fldCharType="begin"/>
            </w:r>
            <w:r>
              <w:instrText xml:space="preserve"> HYPERLINK "https://baike.so.com/doc/605909-641483.html" \t "_blank" </w:instrText>
            </w:r>
            <w:r>
              <w:fldChar w:fldCharType="separate"/>
            </w:r>
            <w:r>
              <w:rPr>
                <w:rStyle w:val="41"/>
                <w:rFonts w:eastAsia="宋体"/>
                <w:color w:val="000000" w:themeColor="text1"/>
                <w:kern w:val="2"/>
                <w:sz w:val="21"/>
                <w:szCs w:val="21"/>
                <w:u w:val="none"/>
              </w:rPr>
              <w:t>氯化物</w:t>
            </w:r>
            <w:r>
              <w:rPr>
                <w:rStyle w:val="41"/>
                <w:rFonts w:eastAsia="宋体"/>
                <w:color w:val="000000" w:themeColor="text1"/>
                <w:kern w:val="2"/>
                <w:sz w:val="21"/>
                <w:szCs w:val="21"/>
                <w:u w:val="none"/>
              </w:rPr>
              <w:fldChar w:fldCharType="end"/>
            </w:r>
            <w:r>
              <w:rPr>
                <w:rFonts w:eastAsia="宋体"/>
                <w:color w:val="000000" w:themeColor="text1"/>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8681" w:type="dxa"/>
            <w:gridSpan w:val="2"/>
            <w:vAlign w:val="center"/>
          </w:tcPr>
          <w:p>
            <w:pPr>
              <w:pStyle w:val="78"/>
              <w:jc w:val="both"/>
              <w:rPr>
                <w:rFonts w:eastAsia="宋体"/>
                <w:kern w:val="2"/>
                <w:sz w:val="21"/>
                <w:szCs w:val="21"/>
              </w:rPr>
            </w:pPr>
            <w:r>
              <w:rPr>
                <w:rFonts w:eastAsia="宋体"/>
                <w:kern w:val="2"/>
                <w:sz w:val="21"/>
                <w:szCs w:val="21"/>
              </w:rPr>
              <w:t>灭火方法：消防人员必须佩戴氧气呼吸器、穿全身防护服。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8681" w:type="dxa"/>
            <w:gridSpan w:val="2"/>
            <w:vAlign w:val="center"/>
          </w:tcPr>
          <w:p>
            <w:pPr>
              <w:pStyle w:val="78"/>
              <w:jc w:val="both"/>
              <w:rPr>
                <w:rFonts w:eastAsia="宋体"/>
                <w:kern w:val="2"/>
                <w:sz w:val="21"/>
                <w:szCs w:val="21"/>
              </w:rPr>
            </w:pPr>
            <w:r>
              <w:rPr>
                <w:rFonts w:eastAsia="宋体"/>
                <w:kern w:val="2"/>
                <w:sz w:val="21"/>
                <w:szCs w:val="21"/>
              </w:rPr>
              <w:t>灭火剂：雾状水、砂土。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pPr>
              <w:pStyle w:val="78"/>
              <w:jc w:val="center"/>
              <w:rPr>
                <w:rFonts w:eastAsia="宋体"/>
                <w:kern w:val="2"/>
                <w:sz w:val="21"/>
                <w:szCs w:val="21"/>
              </w:rPr>
            </w:pPr>
            <w:r>
              <w:rPr>
                <w:rFonts w:eastAsia="宋体"/>
                <w:kern w:val="2"/>
                <w:sz w:val="21"/>
                <w:szCs w:val="21"/>
              </w:rPr>
              <w:t>毒性</w:t>
            </w:r>
          </w:p>
        </w:tc>
        <w:tc>
          <w:tcPr>
            <w:tcW w:w="8681" w:type="dxa"/>
            <w:gridSpan w:val="2"/>
            <w:vAlign w:val="center"/>
          </w:tcPr>
          <w:p>
            <w:pPr>
              <w:pStyle w:val="78"/>
              <w:jc w:val="both"/>
              <w:rPr>
                <w:rFonts w:eastAsia="宋体"/>
                <w:kern w:val="2"/>
                <w:sz w:val="21"/>
                <w:szCs w:val="21"/>
              </w:rPr>
            </w:pPr>
            <w:r>
              <w:rPr>
                <w:rFonts w:eastAsia="宋体"/>
                <w:kern w:val="2"/>
                <w:sz w:val="21"/>
                <w:szCs w:val="21"/>
              </w:rPr>
              <w:t>LD50：1872 mg/kg(大鼠经口) LC50：无资料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pPr>
              <w:pStyle w:val="14"/>
              <w:rPr>
                <w:rFonts w:cs="Times New Roman"/>
                <w:b w:val="0"/>
                <w:sz w:val="21"/>
                <w:szCs w:val="21"/>
              </w:rPr>
            </w:pPr>
            <w:r>
              <w:rPr>
                <w:rFonts w:cs="Times New Roman"/>
                <w:b w:val="0"/>
                <w:sz w:val="21"/>
                <w:szCs w:val="21"/>
              </w:rPr>
              <w:t>危害</w:t>
            </w:r>
          </w:p>
        </w:tc>
        <w:tc>
          <w:tcPr>
            <w:tcW w:w="8681" w:type="dxa"/>
            <w:gridSpan w:val="2"/>
            <w:vAlign w:val="center"/>
          </w:tcPr>
          <w:p>
            <w:pPr>
              <w:pStyle w:val="78"/>
              <w:jc w:val="both"/>
              <w:rPr>
                <w:rFonts w:eastAsia="宋体"/>
                <w:kern w:val="2"/>
                <w:sz w:val="21"/>
                <w:szCs w:val="21"/>
              </w:rPr>
            </w:pPr>
            <w:r>
              <w:rPr>
                <w:rFonts w:eastAsia="宋体"/>
                <w:kern w:val="2"/>
                <w:sz w:val="21"/>
                <w:szCs w:val="21"/>
              </w:rPr>
              <w:t>侵入途径：吸入、食入。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pStyle w:val="14"/>
              <w:rPr>
                <w:rFonts w:cs="Times New Roman"/>
                <w:b w:val="0"/>
                <w:sz w:val="21"/>
                <w:szCs w:val="21"/>
              </w:rPr>
            </w:pPr>
          </w:p>
        </w:tc>
        <w:tc>
          <w:tcPr>
            <w:tcW w:w="8681" w:type="dxa"/>
            <w:gridSpan w:val="2"/>
            <w:vAlign w:val="center"/>
          </w:tcPr>
          <w:p>
            <w:pPr>
              <w:pStyle w:val="78"/>
              <w:jc w:val="both"/>
              <w:rPr>
                <w:rFonts w:eastAsia="宋体"/>
                <w:kern w:val="2"/>
                <w:sz w:val="21"/>
                <w:szCs w:val="21"/>
              </w:rPr>
            </w:pPr>
            <w:r>
              <w:rPr>
                <w:rFonts w:eastAsia="宋体"/>
                <w:kern w:val="2"/>
                <w:sz w:val="21"/>
                <w:szCs w:val="21"/>
              </w:rPr>
              <w:t>健康危害： 吸入该品粉尘对整个呼吸道有强烈刺激腐蚀作用，损害粘膜组织，引起化学性肺炎等。对眼有强烈腐蚀性，重者可导致失明。皮肤接触可致化学性灼伤。口服灼伤口腔和消化道，出现剧烈腹痛、呕吐和虚脱。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pPr>
              <w:pStyle w:val="78"/>
              <w:jc w:val="center"/>
              <w:rPr>
                <w:rFonts w:eastAsia="宋体"/>
                <w:kern w:val="2"/>
                <w:sz w:val="21"/>
                <w:szCs w:val="21"/>
              </w:rPr>
            </w:pPr>
            <w:r>
              <w:rPr>
                <w:rFonts w:eastAsia="宋体"/>
                <w:kern w:val="2"/>
                <w:sz w:val="21"/>
                <w:szCs w:val="21"/>
              </w:rPr>
              <w:t>急救</w:t>
            </w:r>
          </w:p>
          <w:p>
            <w:pPr>
              <w:pStyle w:val="14"/>
              <w:rPr>
                <w:rFonts w:cs="Times New Roman"/>
                <w:b w:val="0"/>
                <w:sz w:val="21"/>
                <w:szCs w:val="21"/>
              </w:rPr>
            </w:pPr>
          </w:p>
        </w:tc>
        <w:tc>
          <w:tcPr>
            <w:tcW w:w="8681" w:type="dxa"/>
            <w:gridSpan w:val="2"/>
            <w:vAlign w:val="center"/>
          </w:tcPr>
          <w:p>
            <w:pPr>
              <w:pStyle w:val="14"/>
              <w:spacing w:line="240" w:lineRule="auto"/>
              <w:jc w:val="both"/>
              <w:rPr>
                <w:rFonts w:cs="Times New Roman"/>
                <w:b w:val="0"/>
                <w:sz w:val="21"/>
                <w:szCs w:val="21"/>
              </w:rPr>
            </w:pPr>
            <w:r>
              <w:rPr>
                <w:rFonts w:cs="Times New Roman"/>
                <w:b w:val="0"/>
                <w:sz w:val="21"/>
                <w:szCs w:val="21"/>
              </w:rPr>
              <w:t>皮肤接触:立即用水冲洗至少15分钟。若有灼伤，就医治疗。眼睛接触:立即提起眼睑，用流动清水或生理盐水冲洗至少15分钟。就医。</w:t>
            </w:r>
          </w:p>
          <w:p>
            <w:pPr>
              <w:pStyle w:val="14"/>
              <w:spacing w:line="240" w:lineRule="auto"/>
              <w:jc w:val="both"/>
              <w:rPr>
                <w:rFonts w:cs="Times New Roman"/>
                <w:b w:val="0"/>
                <w:sz w:val="21"/>
                <w:szCs w:val="21"/>
              </w:rPr>
            </w:pPr>
            <w:r>
              <w:rPr>
                <w:rFonts w:cs="Times New Roman"/>
                <w:b w:val="0"/>
                <w:sz w:val="21"/>
                <w:szCs w:val="21"/>
              </w:rPr>
              <w:t>吸入:迅速脱离现场至空气新鲜处。保持呼吸道通畅。必要时进行人工呼吸。就医。</w:t>
            </w:r>
          </w:p>
          <w:p>
            <w:pPr>
              <w:pStyle w:val="14"/>
              <w:spacing w:line="240" w:lineRule="auto"/>
              <w:jc w:val="both"/>
              <w:rPr>
                <w:rFonts w:cs="Times New Roman"/>
                <w:b w:val="0"/>
                <w:sz w:val="21"/>
                <w:szCs w:val="21"/>
              </w:rPr>
            </w:pPr>
            <w:r>
              <w:rPr>
                <w:rFonts w:cs="Times New Roman"/>
                <w:b w:val="0"/>
                <w:sz w:val="21"/>
                <w:szCs w:val="21"/>
              </w:rPr>
              <w:t>食入:患者清醒时立即漱口，给饮牛奶或蛋清。就医。</w:t>
            </w:r>
          </w:p>
          <w:p>
            <w:pPr>
              <w:pStyle w:val="14"/>
              <w:spacing w:line="240" w:lineRule="auto"/>
              <w:jc w:val="both"/>
              <w:rPr>
                <w:rFonts w:cs="Times New Roman"/>
                <w:b w:val="0"/>
                <w:sz w:val="21"/>
                <w:szCs w:val="21"/>
              </w:rPr>
            </w:pPr>
            <w:r>
              <w:rPr>
                <w:rFonts w:cs="Times New Roman"/>
                <w:b w:val="0"/>
                <w:sz w:val="21"/>
                <w:szCs w:val="21"/>
              </w:rPr>
              <w:t>灭火方法:雾状水、火场周围可用的灭火介质。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pPr>
              <w:pStyle w:val="78"/>
              <w:jc w:val="center"/>
              <w:rPr>
                <w:rFonts w:eastAsia="宋体"/>
                <w:kern w:val="2"/>
                <w:sz w:val="21"/>
                <w:szCs w:val="21"/>
              </w:rPr>
            </w:pPr>
            <w:r>
              <w:rPr>
                <w:rFonts w:eastAsia="宋体"/>
                <w:kern w:val="2"/>
                <w:sz w:val="21"/>
                <w:szCs w:val="21"/>
              </w:rPr>
              <w:t>防护</w:t>
            </w:r>
          </w:p>
          <w:p>
            <w:pPr>
              <w:pStyle w:val="14"/>
              <w:rPr>
                <w:rFonts w:cs="Times New Roman"/>
                <w:b w:val="0"/>
                <w:sz w:val="21"/>
                <w:szCs w:val="21"/>
              </w:rPr>
            </w:pPr>
          </w:p>
        </w:tc>
        <w:tc>
          <w:tcPr>
            <w:tcW w:w="8681" w:type="dxa"/>
            <w:gridSpan w:val="2"/>
            <w:vAlign w:val="center"/>
          </w:tcPr>
          <w:p>
            <w:pPr>
              <w:pStyle w:val="78"/>
              <w:jc w:val="both"/>
              <w:rPr>
                <w:rFonts w:eastAsia="宋体"/>
                <w:kern w:val="2"/>
                <w:sz w:val="21"/>
                <w:szCs w:val="21"/>
              </w:rPr>
            </w:pPr>
            <w:r>
              <w:rPr>
                <w:rFonts w:eastAsia="宋体"/>
                <w:kern w:val="2"/>
                <w:sz w:val="21"/>
                <w:szCs w:val="21"/>
              </w:rPr>
              <w:t>呼吸系统防护:可能接触其粉尘时，应该佩带防尘口罩。必要时佩带防毒面具。</w:t>
            </w:r>
          </w:p>
          <w:p>
            <w:pPr>
              <w:pStyle w:val="78"/>
              <w:jc w:val="both"/>
              <w:rPr>
                <w:rFonts w:eastAsia="宋体"/>
                <w:kern w:val="2"/>
                <w:sz w:val="21"/>
                <w:szCs w:val="21"/>
              </w:rPr>
            </w:pPr>
            <w:r>
              <w:rPr>
                <w:rFonts w:eastAsia="宋体"/>
                <w:kern w:val="2"/>
                <w:sz w:val="21"/>
                <w:szCs w:val="21"/>
              </w:rPr>
              <w:t>眼睛防护:戴化学安全防护眼镜。</w:t>
            </w:r>
          </w:p>
          <w:p>
            <w:pPr>
              <w:pStyle w:val="78"/>
              <w:jc w:val="both"/>
              <w:rPr>
                <w:rFonts w:eastAsia="宋体"/>
                <w:kern w:val="2"/>
                <w:sz w:val="21"/>
                <w:szCs w:val="21"/>
              </w:rPr>
            </w:pPr>
            <w:r>
              <w:rPr>
                <w:rFonts w:eastAsia="宋体"/>
                <w:kern w:val="2"/>
                <w:sz w:val="21"/>
                <w:szCs w:val="21"/>
              </w:rPr>
              <w:t>防护服:穿工作服(防腐材料制作)。</w:t>
            </w:r>
          </w:p>
          <w:p>
            <w:pPr>
              <w:pStyle w:val="78"/>
              <w:jc w:val="both"/>
              <w:rPr>
                <w:rFonts w:eastAsia="宋体"/>
                <w:kern w:val="2"/>
                <w:sz w:val="21"/>
                <w:szCs w:val="21"/>
              </w:rPr>
            </w:pPr>
            <w:r>
              <w:rPr>
                <w:rFonts w:eastAsia="宋体"/>
                <w:kern w:val="2"/>
                <w:sz w:val="21"/>
                <w:szCs w:val="21"/>
              </w:rPr>
              <w:t>手防护:戴橡皮手套。</w:t>
            </w:r>
          </w:p>
          <w:p>
            <w:pPr>
              <w:pStyle w:val="78"/>
              <w:jc w:val="both"/>
              <w:rPr>
                <w:rFonts w:eastAsia="宋体"/>
                <w:kern w:val="2"/>
                <w:sz w:val="21"/>
                <w:szCs w:val="21"/>
              </w:rPr>
            </w:pPr>
            <w:r>
              <w:rPr>
                <w:rFonts w:eastAsia="宋体"/>
                <w:kern w:val="2"/>
                <w:sz w:val="21"/>
                <w:szCs w:val="21"/>
              </w:rPr>
              <w:t>其它:工作后，淋浴更衣。单独存放被毒物污染的衣服，洗后再用。保持良好的卫生习惯。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pPr>
              <w:pStyle w:val="78"/>
              <w:jc w:val="center"/>
              <w:rPr>
                <w:rFonts w:eastAsia="宋体"/>
                <w:kern w:val="2"/>
                <w:sz w:val="21"/>
                <w:szCs w:val="21"/>
              </w:rPr>
            </w:pPr>
            <w:r>
              <w:rPr>
                <w:rFonts w:eastAsia="宋体"/>
                <w:kern w:val="2"/>
                <w:sz w:val="21"/>
                <w:szCs w:val="21"/>
              </w:rPr>
              <w:t>泄漏处理</w:t>
            </w:r>
          </w:p>
          <w:p>
            <w:pPr>
              <w:pStyle w:val="14"/>
              <w:rPr>
                <w:rFonts w:cs="Times New Roman"/>
                <w:b w:val="0"/>
                <w:sz w:val="21"/>
                <w:szCs w:val="21"/>
              </w:rPr>
            </w:pPr>
          </w:p>
        </w:tc>
        <w:tc>
          <w:tcPr>
            <w:tcW w:w="8681" w:type="dxa"/>
            <w:gridSpan w:val="2"/>
            <w:vAlign w:val="center"/>
          </w:tcPr>
          <w:p>
            <w:pPr>
              <w:pStyle w:val="78"/>
              <w:jc w:val="both"/>
              <w:rPr>
                <w:rFonts w:eastAsia="宋体"/>
                <w:color w:val="000000" w:themeColor="text1"/>
                <w:kern w:val="2"/>
                <w:sz w:val="21"/>
                <w:szCs w:val="21"/>
              </w:rPr>
            </w:pPr>
            <w:r>
              <w:rPr>
                <w:rFonts w:hAnsi="Arial" w:eastAsia="宋体"/>
                <w:color w:val="000000" w:themeColor="text1"/>
                <w:kern w:val="2"/>
                <w:sz w:val="21"/>
                <w:szCs w:val="21"/>
                <w:shd w:val="clear" w:color="auto" w:fill="FFFFFF"/>
              </w:rPr>
              <w:t>隔离泄漏污染区，周围设警告标志，建议应急处理人员戴好防毒面具，穿化学防护服。不要直接接触泄漏物，避免扬尘，收集运至废物处理场所处置。使其溶于</w:t>
            </w:r>
            <w:r>
              <w:rPr>
                <w:rFonts w:eastAsia="宋体"/>
                <w:color w:val="000000" w:themeColor="text1"/>
                <w:kern w:val="2"/>
                <w:sz w:val="21"/>
                <w:szCs w:val="21"/>
                <w:shd w:val="clear" w:color="auto" w:fill="FFFFFF"/>
              </w:rPr>
              <w:t>a.</w:t>
            </w:r>
            <w:r>
              <w:rPr>
                <w:rFonts w:hAnsi="Arial" w:eastAsia="宋体"/>
                <w:color w:val="000000" w:themeColor="text1"/>
                <w:kern w:val="2"/>
                <w:sz w:val="21"/>
                <w:szCs w:val="21"/>
                <w:shd w:val="clear" w:color="auto" w:fill="FFFFFF"/>
              </w:rPr>
              <w:t>水、</w:t>
            </w:r>
            <w:r>
              <w:rPr>
                <w:rFonts w:eastAsia="宋体"/>
                <w:color w:val="000000" w:themeColor="text1"/>
                <w:kern w:val="2"/>
                <w:sz w:val="21"/>
                <w:szCs w:val="21"/>
                <w:shd w:val="clear" w:color="auto" w:fill="FFFFFF"/>
              </w:rPr>
              <w:t>b.</w:t>
            </w:r>
            <w:r>
              <w:rPr>
                <w:rFonts w:hAnsi="Arial" w:eastAsia="宋体"/>
                <w:color w:val="000000" w:themeColor="text1"/>
                <w:kern w:val="2"/>
                <w:sz w:val="21"/>
                <w:szCs w:val="21"/>
                <w:shd w:val="clear" w:color="auto" w:fill="FFFFFF"/>
              </w:rPr>
              <w:t>酸、或</w:t>
            </w:r>
            <w:r>
              <w:rPr>
                <w:rFonts w:eastAsia="宋体"/>
                <w:color w:val="000000" w:themeColor="text1"/>
                <w:kern w:val="2"/>
                <w:sz w:val="21"/>
                <w:szCs w:val="21"/>
                <w:shd w:val="clear" w:color="auto" w:fill="FFFFFF"/>
              </w:rPr>
              <w:t>c.</w:t>
            </w:r>
            <w:r>
              <w:rPr>
                <w:rFonts w:hAnsi="Arial" w:eastAsia="宋体"/>
                <w:color w:val="000000" w:themeColor="text1"/>
                <w:kern w:val="2"/>
                <w:sz w:val="21"/>
                <w:szCs w:val="21"/>
                <w:shd w:val="clear" w:color="auto" w:fill="FFFFFF"/>
              </w:rPr>
              <w:t>氧化成水溶液状态，再加硫化物发生</w:t>
            </w:r>
            <w:r>
              <w:fldChar w:fldCharType="begin"/>
            </w:r>
            <w:r>
              <w:instrText xml:space="preserve"> HYPERLINK "https://baike.so.com/doc/1709055-1806882.html" \t "_blank" </w:instrText>
            </w:r>
            <w:r>
              <w:fldChar w:fldCharType="separate"/>
            </w:r>
            <w:r>
              <w:rPr>
                <w:rStyle w:val="41"/>
                <w:rFonts w:hAnsi="Arial" w:eastAsia="宋体"/>
                <w:color w:val="000000" w:themeColor="text1"/>
                <w:kern w:val="2"/>
                <w:sz w:val="21"/>
                <w:szCs w:val="21"/>
                <w:shd w:val="clear" w:color="auto" w:fill="FFFFFF"/>
              </w:rPr>
              <w:t>沉淀反应</w:t>
            </w:r>
            <w:r>
              <w:rPr>
                <w:rStyle w:val="41"/>
                <w:rFonts w:hAnsi="Arial" w:eastAsia="宋体"/>
                <w:color w:val="000000" w:themeColor="text1"/>
                <w:kern w:val="2"/>
                <w:sz w:val="21"/>
                <w:szCs w:val="21"/>
                <w:shd w:val="clear" w:color="auto" w:fill="FFFFFF"/>
              </w:rPr>
              <w:fldChar w:fldCharType="end"/>
            </w:r>
            <w:r>
              <w:rPr>
                <w:rFonts w:hAnsi="Arial" w:eastAsia="宋体"/>
                <w:color w:val="000000" w:themeColor="text1"/>
                <w:kern w:val="2"/>
                <w:sz w:val="21"/>
                <w:szCs w:val="21"/>
                <w:shd w:val="clear" w:color="auto" w:fill="FFFFFF"/>
              </w:rPr>
              <w:t>，然后废弃。也可以用大量水冲洗，经稀释的洗水放入废水系统。如大量泄漏，收集回收或无害处理后废弃。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pPr>
              <w:pStyle w:val="78"/>
              <w:jc w:val="center"/>
              <w:rPr>
                <w:rFonts w:eastAsia="宋体"/>
                <w:kern w:val="2"/>
                <w:sz w:val="21"/>
                <w:szCs w:val="21"/>
              </w:rPr>
            </w:pPr>
            <w:r>
              <w:rPr>
                <w:rFonts w:eastAsia="宋体"/>
                <w:kern w:val="2"/>
                <w:sz w:val="21"/>
                <w:szCs w:val="21"/>
              </w:rPr>
              <w:t>储运</w:t>
            </w:r>
          </w:p>
        </w:tc>
        <w:tc>
          <w:tcPr>
            <w:tcW w:w="8681" w:type="dxa"/>
            <w:gridSpan w:val="2"/>
            <w:vAlign w:val="center"/>
          </w:tcPr>
          <w:p>
            <w:pPr>
              <w:pStyle w:val="78"/>
              <w:jc w:val="both"/>
              <w:rPr>
                <w:rFonts w:eastAsia="宋体"/>
                <w:kern w:val="2"/>
                <w:sz w:val="21"/>
                <w:szCs w:val="21"/>
              </w:rPr>
            </w:pPr>
            <w:r>
              <w:rPr>
                <w:rFonts w:eastAsia="宋体"/>
                <w:kern w:val="2"/>
                <w:sz w:val="21"/>
                <w:szCs w:val="21"/>
              </w:rPr>
              <w:t>危险货物编号：81513； UN编号：1773 ；包装分类：052；</w:t>
            </w:r>
          </w:p>
          <w:p>
            <w:pPr>
              <w:pStyle w:val="78"/>
              <w:jc w:val="both"/>
              <w:rPr>
                <w:rFonts w:eastAsia="宋体"/>
                <w:kern w:val="2"/>
                <w:sz w:val="21"/>
                <w:szCs w:val="21"/>
              </w:rPr>
            </w:pPr>
            <w:r>
              <w:rPr>
                <w:rFonts w:eastAsia="宋体"/>
                <w:kern w:val="2"/>
                <w:sz w:val="21"/>
                <w:szCs w:val="21"/>
              </w:rPr>
              <w:t>包装方法：塑料带或二层牛皮纸袋外全开口或中开口钢桶；塑料带或二层牛皮纸袋外纤维板桶、蛟河板桶、赢纸板桶；塑料袋外塑料桶（固体）</w:t>
            </w:r>
          </w:p>
          <w:p>
            <w:pPr>
              <w:pStyle w:val="78"/>
              <w:jc w:val="both"/>
              <w:rPr>
                <w:rFonts w:eastAsia="宋体"/>
                <w:kern w:val="2"/>
                <w:sz w:val="21"/>
                <w:szCs w:val="21"/>
              </w:rPr>
            </w:pPr>
            <w:r>
              <w:rPr>
                <w:rFonts w:eastAsia="宋体"/>
                <w:kern w:val="2"/>
                <w:sz w:val="21"/>
                <w:szCs w:val="21"/>
              </w:rPr>
              <w:t>储运条件：储存在阴凉、通风的仓间内。远离火种、热源。仓内温度不宜超过30℃。防止阳光直射。保持容器密封。应与易燃或可燃物、还原剂、酸类、金属粉末等分开存放。搬运时要轻装轻卸，防止包装及容器损坏。夏季应早晚运输，防止日光暴晒。禁止撞击和振荡。</w:t>
            </w:r>
          </w:p>
        </w:tc>
      </w:tr>
    </w:tbl>
    <w:p>
      <w:pPr>
        <w:pStyle w:val="14"/>
        <w:spacing w:line="240" w:lineRule="auto"/>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31</w:t>
      </w:r>
      <w:r>
        <w:fldChar w:fldCharType="end"/>
      </w:r>
      <w:r>
        <w:rPr>
          <w:rFonts w:hint="eastAsia"/>
        </w:rPr>
        <w:t xml:space="preserve">  石灰理化性质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4695"/>
        <w:gridCol w:w="3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pStyle w:val="14"/>
              <w:rPr>
                <w:rFonts w:cs="Times New Roman"/>
                <w:b w:val="0"/>
                <w:color w:val="000000" w:themeColor="text1"/>
                <w:sz w:val="21"/>
                <w:szCs w:val="21"/>
              </w:rPr>
            </w:pPr>
            <w:r>
              <w:rPr>
                <w:rFonts w:cs="Times New Roman"/>
                <w:b w:val="0"/>
                <w:color w:val="000000" w:themeColor="text1"/>
                <w:sz w:val="21"/>
                <w:szCs w:val="21"/>
              </w:rPr>
              <w:t>标识</w:t>
            </w: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中文名：氧化钙 </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英文名：calcium oxide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分子式：CaO </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分子量：56.077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危规号：215-138-9 </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CAS号：1305-78-8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pStyle w:val="14"/>
              <w:rPr>
                <w:rFonts w:cs="Times New Roman"/>
                <w:b w:val="0"/>
                <w:color w:val="000000" w:themeColor="text1"/>
                <w:sz w:val="21"/>
                <w:szCs w:val="21"/>
              </w:rPr>
            </w:pPr>
            <w:r>
              <w:rPr>
                <w:rFonts w:cs="Times New Roman"/>
                <w:b w:val="0"/>
                <w:color w:val="000000" w:themeColor="text1"/>
                <w:sz w:val="21"/>
                <w:szCs w:val="21"/>
              </w:rPr>
              <w:t>理化性质</w:t>
            </w: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外观与性状：黑棕色结晶，粉状也略带块状。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溶解性：易溶于水，不溶于甘油，易溶于甲醇、乙醇、</w:t>
            </w:r>
            <w:r>
              <w:fldChar w:fldCharType="begin"/>
            </w:r>
            <w:r>
              <w:instrText xml:space="preserve"> HYPERLINK "https://baike.so.com/doc/252057-266820.html" \t "_blank" </w:instrText>
            </w:r>
            <w:r>
              <w:fldChar w:fldCharType="separate"/>
            </w:r>
            <w:r>
              <w:rPr>
                <w:rStyle w:val="41"/>
                <w:rFonts w:eastAsia="宋体"/>
                <w:color w:val="000000" w:themeColor="text1"/>
                <w:kern w:val="2"/>
                <w:sz w:val="21"/>
                <w:szCs w:val="21"/>
                <w:u w:val="none"/>
              </w:rPr>
              <w:t>丙酮</w:t>
            </w:r>
            <w:r>
              <w:rPr>
                <w:rStyle w:val="41"/>
                <w:rFonts w:eastAsia="宋体"/>
                <w:color w:val="000000" w:themeColor="text1"/>
                <w:kern w:val="2"/>
                <w:sz w:val="21"/>
                <w:szCs w:val="21"/>
                <w:u w:val="none"/>
              </w:rPr>
              <w:fldChar w:fldCharType="end"/>
            </w:r>
            <w:r>
              <w:rPr>
                <w:rFonts w:eastAsia="宋体"/>
                <w:color w:val="000000" w:themeColor="text1"/>
                <w:kern w:val="2"/>
                <w:sz w:val="21"/>
                <w:szCs w:val="21"/>
              </w:rPr>
              <w:t>、</w:t>
            </w:r>
            <w:r>
              <w:fldChar w:fldCharType="begin"/>
            </w:r>
            <w:r>
              <w:instrText xml:space="preserve"> HYPERLINK "https://baike.so.com/doc/6744681-6959224.html" \t "_blank" </w:instrText>
            </w:r>
            <w:r>
              <w:fldChar w:fldCharType="separate"/>
            </w:r>
            <w:r>
              <w:rPr>
                <w:rStyle w:val="41"/>
                <w:rFonts w:eastAsia="宋体"/>
                <w:color w:val="000000" w:themeColor="text1"/>
                <w:kern w:val="2"/>
                <w:sz w:val="21"/>
                <w:szCs w:val="21"/>
                <w:u w:val="none"/>
              </w:rPr>
              <w:t>乙醚</w:t>
            </w:r>
            <w:r>
              <w:rPr>
                <w:rStyle w:val="41"/>
                <w:rFonts w:eastAsia="宋体"/>
                <w:color w:val="000000" w:themeColor="text1"/>
                <w:kern w:val="2"/>
                <w:sz w:val="21"/>
                <w:szCs w:val="21"/>
                <w:u w:val="none"/>
              </w:rPr>
              <w:fldChar w:fldCharType="end"/>
            </w:r>
            <w:r>
              <w:rPr>
                <w:rFonts w:eastAsia="宋体"/>
                <w:color w:val="000000" w:themeColor="text1"/>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熔点（℃）：306°C</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沸点（℃）：315°C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相对密度（水＝1）：2.90</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相对密度（空气＝1）：5.61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饱和蒸汽压（KPa）： 无资料</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临界温度（℃）： 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临界压力（MPa）： 无意义</w:t>
            </w:r>
          </w:p>
        </w:tc>
        <w:tc>
          <w:tcPr>
            <w:tcW w:w="3948" w:type="dxa"/>
          </w:tcPr>
          <w:p>
            <w:pPr>
              <w:pStyle w:val="78"/>
              <w:jc w:val="both"/>
              <w:rPr>
                <w:rFonts w:eastAsia="宋体"/>
                <w:color w:val="000000" w:themeColor="text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稳定性：稳定 </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危险特性</w:t>
            </w: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危险性类别：第8.2类碱性腐蚀品</w:t>
            </w:r>
          </w:p>
        </w:tc>
        <w:tc>
          <w:tcPr>
            <w:tcW w:w="3948" w:type="dxa"/>
          </w:tcPr>
          <w:p>
            <w:pPr>
              <w:pStyle w:val="78"/>
              <w:jc w:val="both"/>
              <w:rPr>
                <w:rFonts w:eastAsia="宋体"/>
                <w:color w:val="000000" w:themeColor="text1"/>
                <w:kern w:val="2"/>
                <w:sz w:val="21"/>
                <w:szCs w:val="21"/>
              </w:rPr>
            </w:pPr>
            <w:r>
              <w:rPr>
                <w:rFonts w:eastAsia="宋体"/>
                <w:color w:val="000000" w:themeColor="text1"/>
                <w:kern w:val="2"/>
                <w:sz w:val="21"/>
                <w:szCs w:val="21"/>
              </w:rPr>
              <w:t>燃烧性：不燃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4695" w:type="dxa"/>
          </w:tcPr>
          <w:p>
            <w:pPr>
              <w:pStyle w:val="78"/>
              <w:jc w:val="both"/>
              <w:rPr>
                <w:rFonts w:eastAsia="宋体"/>
                <w:color w:val="000000" w:themeColor="text1"/>
                <w:kern w:val="2"/>
                <w:sz w:val="21"/>
                <w:szCs w:val="21"/>
              </w:rPr>
            </w:pPr>
            <w:r>
              <w:rPr>
                <w:rFonts w:eastAsia="宋体"/>
                <w:color w:val="000000" w:themeColor="text1"/>
                <w:kern w:val="2"/>
                <w:sz w:val="21"/>
                <w:szCs w:val="21"/>
              </w:rPr>
              <w:t>燃烧热（KJ/mol）： 无意义</w:t>
            </w:r>
          </w:p>
        </w:tc>
        <w:tc>
          <w:tcPr>
            <w:tcW w:w="3948" w:type="dxa"/>
          </w:tcPr>
          <w:p>
            <w:pPr>
              <w:pStyle w:val="78"/>
              <w:jc w:val="both"/>
              <w:rPr>
                <w:rFonts w:eastAsia="宋体"/>
                <w:color w:val="000000" w:themeColor="text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危险特性：吸入该品粉尘对整个呼吸道有强烈刺激腐蚀作用，损害粘膜组织，引起化学性肺炎等。对眼有强烈腐蚀性，重者可导致失明。皮肤接触可致化学性灼伤。口服灼伤口腔和消化道，出现剧烈腹痛、呕吐和虚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灭火方法： 消防人员必须穿戴全身防火防毒服。尽可能将容器从火场移至空旷处。喷水冷却火场容器，直至灭火结束。处在火场中的容器若已变色或从安全泄压装置中产生声音，必须马上撤离。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灭火剂：二氧化碳、干粉、砂土。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pStyle w:val="78"/>
              <w:jc w:val="center"/>
              <w:rPr>
                <w:rFonts w:eastAsia="宋体"/>
                <w:color w:val="000000" w:themeColor="text1"/>
                <w:kern w:val="2"/>
                <w:sz w:val="21"/>
                <w:szCs w:val="21"/>
              </w:rPr>
            </w:pPr>
          </w:p>
          <w:p>
            <w:pPr>
              <w:pStyle w:val="14"/>
              <w:rPr>
                <w:rFonts w:cs="Times New Roman"/>
                <w:b w:val="0"/>
                <w:color w:val="000000" w:themeColor="text1"/>
                <w:sz w:val="21"/>
                <w:szCs w:val="21"/>
              </w:rPr>
            </w:pPr>
            <w:r>
              <w:rPr>
                <w:rFonts w:cs="Times New Roman"/>
                <w:b w:val="0"/>
                <w:color w:val="000000" w:themeColor="text1"/>
                <w:sz w:val="21"/>
                <w:szCs w:val="21"/>
              </w:rPr>
              <w:t>危害</w:t>
            </w: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侵入途径：吸入、食入。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14"/>
              <w:rPr>
                <w:rFonts w:cs="Times New Roman"/>
                <w:b w:val="0"/>
                <w:color w:val="000000" w:themeColor="text1"/>
                <w:sz w:val="21"/>
                <w:szCs w:val="21"/>
              </w:rPr>
            </w:pP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健康危害：本品属于强碱，有刺激和腐蚀作用。对呼吸道有强烈刺激性 ，吸入本品粉尘可致化学性肺炎。对眼和皮肤有强烈刺激性，可致灼伤。口服刺激和灼伤消化道。长期接触本品可致手掌皮肤角化、皸裂、指甲变形。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99"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急救</w:t>
            </w:r>
          </w:p>
          <w:p>
            <w:pPr>
              <w:pStyle w:val="14"/>
              <w:rPr>
                <w:rFonts w:cs="Times New Roman"/>
                <w:b w:val="0"/>
                <w:color w:val="000000" w:themeColor="text1"/>
                <w:sz w:val="21"/>
                <w:szCs w:val="21"/>
              </w:rPr>
            </w:pP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皮肤接触：立即脱去被污染的衣着，先用植物油或矿物油清洗，再用大量流动清水冲洗皮肤。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眼镜接触：立即提起眼睑，用大量流动清水或生理盐水冲洗至少15分钟。就医。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吸入：迅速脱离现场至空气新鲜处，保持呼吸道通畅。如呼吸困难，给输氧。如呼吸停止，立即进行人工呼吸。就医。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食入：用水漱口，用牛奶和蛋清，就医。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防护</w:t>
            </w: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工程控制：生产过程密闭，全面通风。提供安全淋浴和洗眼设备。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呼吸系统防护：可能接触其蒸气时，应佩戴自吸过滤式防毒面具（全面罩）。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身体防护：穿聚乙烯防毒服。 手防护：戴氯丁橡胶手套。 </w:t>
            </w:r>
          </w:p>
          <w:p>
            <w:pPr>
              <w:pStyle w:val="14"/>
              <w:spacing w:line="240" w:lineRule="auto"/>
              <w:jc w:val="both"/>
              <w:rPr>
                <w:rFonts w:cs="Times New Roman"/>
                <w:b w:val="0"/>
                <w:color w:val="000000" w:themeColor="text1"/>
                <w:sz w:val="21"/>
                <w:szCs w:val="21"/>
              </w:rPr>
            </w:pPr>
            <w:r>
              <w:rPr>
                <w:rFonts w:cs="Times New Roman"/>
                <w:b w:val="0"/>
                <w:color w:val="000000" w:themeColor="text1"/>
                <w:sz w:val="21"/>
                <w:szCs w:val="21"/>
              </w:rPr>
              <w:t xml:space="preserve">其他防护：工作场所禁止吸烟。工作毕，淋浴更衣。注意个人清洁卫生。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泄漏处理</w:t>
            </w: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迅速撤离泄漏污染区人员至安全区，并进行隔离，严格限制出入。建议应急处理人员戴自给正压式呼吸器，穿防酸碱工作服。不要直接接触泄漏物。小量泄漏：避免扬尘，用洁净的铲子收集于干燥、洁净、有盖的容器中。大量泄漏：喷雾状水控制粉尘，保护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储运</w:t>
            </w:r>
          </w:p>
        </w:tc>
        <w:tc>
          <w:tcPr>
            <w:tcW w:w="8643"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危险货物编号：T82501； UN编号：1910 ；包装分类：053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包装方法：塑料袋或二层牛皮袋外全开口钢桶；螺纹口玻璃瓶、铁盖压口玻璃瓶、塑料瓶或金属铜（罐）外普通木箱。 </w:t>
            </w:r>
          </w:p>
          <w:p>
            <w:pPr>
              <w:pStyle w:val="78"/>
              <w:jc w:val="both"/>
              <w:rPr>
                <w:rFonts w:eastAsia="宋体"/>
                <w:color w:val="000000" w:themeColor="text1"/>
                <w:kern w:val="2"/>
                <w:sz w:val="21"/>
                <w:szCs w:val="21"/>
              </w:rPr>
            </w:pPr>
            <w:r>
              <w:rPr>
                <w:rFonts w:eastAsia="宋体"/>
                <w:color w:val="000000" w:themeColor="text1"/>
                <w:kern w:val="2"/>
                <w:sz w:val="21"/>
                <w:szCs w:val="21"/>
              </w:rPr>
              <w:t xml:space="preserve">储运条件：通风的库房。库内湿度最好不大于85%。包装必须完整密封，防止吸潮。应与易（可）燃物、酸类等分开存放，切忌混储。储区应备有合适的材料收容泄漏物。搬运时要轻装轻卸，防止包装及容器损坏。夏季应早晚运输，防止日光暴晒。禁止撞击和振荡。 </w:t>
            </w:r>
          </w:p>
        </w:tc>
      </w:tr>
    </w:tbl>
    <w:p>
      <w:pPr>
        <w:pStyle w:val="14"/>
        <w:spacing w:line="240" w:lineRule="auto"/>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32</w:t>
      </w:r>
      <w:r>
        <w:fldChar w:fldCharType="end"/>
      </w:r>
      <w:r>
        <w:rPr>
          <w:rFonts w:hint="eastAsia"/>
        </w:rPr>
        <w:t xml:space="preserve">  氯酸钠理化性质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3852"/>
        <w:gridCol w:w="4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restart"/>
            <w:vAlign w:val="center"/>
          </w:tcPr>
          <w:p>
            <w:pPr>
              <w:pStyle w:val="14"/>
              <w:rPr>
                <w:rFonts w:cs="Times New Roman"/>
                <w:b w:val="0"/>
                <w:color w:val="000000" w:themeColor="text1"/>
                <w:sz w:val="21"/>
                <w:szCs w:val="21"/>
              </w:rPr>
            </w:pPr>
            <w:r>
              <w:rPr>
                <w:rFonts w:cs="Times New Roman"/>
                <w:b w:val="0"/>
                <w:color w:val="000000" w:themeColor="text1"/>
                <w:sz w:val="21"/>
                <w:szCs w:val="21"/>
              </w:rPr>
              <w:t>标识</w:t>
            </w:r>
          </w:p>
        </w:tc>
        <w:tc>
          <w:tcPr>
            <w:tcW w:w="3852"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中文名：氯酸钠 </w:t>
            </w:r>
          </w:p>
        </w:tc>
        <w:tc>
          <w:tcPr>
            <w:tcW w:w="4839"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英文名：Sodiumchlorate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3852" w:type="dxa"/>
          </w:tcPr>
          <w:p>
            <w:pPr>
              <w:pStyle w:val="78"/>
              <w:jc w:val="both"/>
              <w:rPr>
                <w:rFonts w:eastAsia="宋体"/>
                <w:color w:val="000000" w:themeColor="text1"/>
                <w:kern w:val="2"/>
                <w:sz w:val="21"/>
                <w:szCs w:val="21"/>
              </w:rPr>
            </w:pPr>
            <w:r>
              <w:rPr>
                <w:rFonts w:eastAsia="宋体"/>
                <w:color w:val="000000" w:themeColor="text1"/>
                <w:kern w:val="2"/>
                <w:sz w:val="21"/>
                <w:szCs w:val="21"/>
              </w:rPr>
              <w:t>分子式：NaClO</w:t>
            </w:r>
            <w:r>
              <w:rPr>
                <w:rFonts w:eastAsia="宋体"/>
                <w:color w:val="000000" w:themeColor="text1"/>
                <w:kern w:val="2"/>
                <w:sz w:val="21"/>
                <w:szCs w:val="21"/>
                <w:vertAlign w:val="subscript"/>
              </w:rPr>
              <w:t xml:space="preserve">3 </w:t>
            </w:r>
          </w:p>
        </w:tc>
        <w:tc>
          <w:tcPr>
            <w:tcW w:w="4839" w:type="dxa"/>
          </w:tcPr>
          <w:p>
            <w:pPr>
              <w:pStyle w:val="78"/>
              <w:jc w:val="both"/>
              <w:rPr>
                <w:rFonts w:eastAsia="宋体"/>
                <w:color w:val="000000" w:themeColor="text1"/>
                <w:kern w:val="2"/>
                <w:sz w:val="21"/>
                <w:szCs w:val="21"/>
              </w:rPr>
            </w:pPr>
            <w:r>
              <w:rPr>
                <w:rFonts w:eastAsia="宋体"/>
                <w:color w:val="000000" w:themeColor="text1"/>
                <w:kern w:val="2"/>
                <w:sz w:val="21"/>
                <w:szCs w:val="21"/>
              </w:rPr>
              <w:t>分子量：106.44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3852"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危规号：231-887-4 </w:t>
            </w:r>
          </w:p>
        </w:tc>
        <w:tc>
          <w:tcPr>
            <w:tcW w:w="4839"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CAS号：7775-09-9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restart"/>
            <w:vAlign w:val="center"/>
          </w:tcPr>
          <w:p>
            <w:pPr>
              <w:pStyle w:val="14"/>
              <w:rPr>
                <w:rFonts w:cs="Times New Roman"/>
                <w:b w:val="0"/>
                <w:color w:val="000000" w:themeColor="text1"/>
                <w:sz w:val="21"/>
                <w:szCs w:val="21"/>
              </w:rPr>
            </w:pPr>
            <w:r>
              <w:rPr>
                <w:rFonts w:cs="Times New Roman"/>
                <w:b w:val="0"/>
                <w:color w:val="000000" w:themeColor="text1"/>
                <w:sz w:val="21"/>
                <w:szCs w:val="21"/>
              </w:rPr>
              <w:t>理化性质</w:t>
            </w: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外观与性状：常温下为无色结晶或白色颗粒。无气味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溶解性：溶于水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3852" w:type="dxa"/>
          </w:tcPr>
          <w:p>
            <w:pPr>
              <w:pStyle w:val="78"/>
              <w:jc w:val="both"/>
              <w:rPr>
                <w:rFonts w:eastAsia="宋体"/>
                <w:color w:val="000000" w:themeColor="text1"/>
                <w:kern w:val="2"/>
                <w:sz w:val="21"/>
                <w:szCs w:val="21"/>
              </w:rPr>
            </w:pPr>
            <w:r>
              <w:rPr>
                <w:rFonts w:eastAsia="宋体"/>
                <w:color w:val="000000" w:themeColor="text1"/>
                <w:kern w:val="2"/>
                <w:sz w:val="21"/>
                <w:szCs w:val="21"/>
              </w:rPr>
              <w:t>熔点（℃）：255℃</w:t>
            </w:r>
          </w:p>
        </w:tc>
        <w:tc>
          <w:tcPr>
            <w:tcW w:w="4839"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沸点（℃）：分解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51" w:type="dxa"/>
            <w:vMerge w:val="continue"/>
            <w:vAlign w:val="center"/>
          </w:tcPr>
          <w:p>
            <w:pPr>
              <w:pStyle w:val="14"/>
              <w:rPr>
                <w:rFonts w:cs="Times New Roman"/>
                <w:b w:val="0"/>
                <w:color w:val="000000" w:themeColor="text1"/>
                <w:sz w:val="21"/>
                <w:szCs w:val="21"/>
              </w:rPr>
            </w:pPr>
          </w:p>
        </w:tc>
        <w:tc>
          <w:tcPr>
            <w:tcW w:w="3852" w:type="dxa"/>
            <w:vAlign w:val="center"/>
          </w:tcPr>
          <w:p>
            <w:pPr>
              <w:pStyle w:val="78"/>
              <w:jc w:val="both"/>
              <w:rPr>
                <w:rFonts w:eastAsia="宋体"/>
                <w:color w:val="000000" w:themeColor="text1"/>
                <w:kern w:val="2"/>
                <w:sz w:val="21"/>
                <w:szCs w:val="21"/>
              </w:rPr>
            </w:pPr>
            <w:r>
              <w:rPr>
                <w:rFonts w:eastAsia="宋体"/>
                <w:color w:val="000000" w:themeColor="text1"/>
                <w:kern w:val="2"/>
                <w:sz w:val="21"/>
                <w:szCs w:val="21"/>
              </w:rPr>
              <w:t>相对密度（水＝1）：2.49</w:t>
            </w:r>
          </w:p>
        </w:tc>
        <w:tc>
          <w:tcPr>
            <w:tcW w:w="4839" w:type="dxa"/>
            <w:vAlign w:val="center"/>
          </w:tcPr>
          <w:p>
            <w:pPr>
              <w:pStyle w:val="78"/>
              <w:jc w:val="both"/>
              <w:rPr>
                <w:rFonts w:eastAsia="宋体"/>
                <w:color w:val="000000" w:themeColor="text1"/>
                <w:kern w:val="2"/>
                <w:sz w:val="21"/>
                <w:szCs w:val="21"/>
              </w:rPr>
            </w:pPr>
            <w:r>
              <w:rPr>
                <w:rFonts w:eastAsia="宋体"/>
                <w:color w:val="000000" w:themeColor="text1"/>
                <w:kern w:val="2"/>
                <w:sz w:val="21"/>
                <w:szCs w:val="21"/>
              </w:rPr>
              <w:t>相对密度（空气＝1）：/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restart"/>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危险特性</w:t>
            </w:r>
          </w:p>
        </w:tc>
        <w:tc>
          <w:tcPr>
            <w:tcW w:w="3852" w:type="dxa"/>
          </w:tcPr>
          <w:p>
            <w:pPr>
              <w:pStyle w:val="78"/>
              <w:jc w:val="both"/>
              <w:rPr>
                <w:rFonts w:eastAsia="宋体"/>
                <w:color w:val="000000" w:themeColor="text1"/>
                <w:kern w:val="2"/>
                <w:sz w:val="21"/>
                <w:szCs w:val="21"/>
              </w:rPr>
            </w:pPr>
            <w:r>
              <w:rPr>
                <w:rFonts w:eastAsia="宋体"/>
                <w:color w:val="000000" w:themeColor="text1"/>
                <w:kern w:val="2"/>
                <w:sz w:val="21"/>
                <w:szCs w:val="21"/>
              </w:rPr>
              <w:t>危险性类别： 第5.1类氧化剂</w:t>
            </w:r>
          </w:p>
        </w:tc>
        <w:tc>
          <w:tcPr>
            <w:tcW w:w="4839" w:type="dxa"/>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燃烧性：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3852" w:type="dxa"/>
          </w:tcPr>
          <w:p>
            <w:pPr>
              <w:pStyle w:val="78"/>
              <w:jc w:val="both"/>
              <w:rPr>
                <w:rFonts w:eastAsia="宋体"/>
                <w:color w:val="000000" w:themeColor="text1"/>
                <w:kern w:val="2"/>
                <w:sz w:val="21"/>
                <w:szCs w:val="21"/>
              </w:rPr>
            </w:pPr>
            <w:r>
              <w:rPr>
                <w:rFonts w:eastAsia="宋体"/>
                <w:color w:val="000000" w:themeColor="text1"/>
                <w:kern w:val="2"/>
                <w:sz w:val="21"/>
                <w:szCs w:val="21"/>
              </w:rPr>
              <w:t>燃烧热（KJ/mol）：/ 无意义</w:t>
            </w:r>
          </w:p>
        </w:tc>
        <w:tc>
          <w:tcPr>
            <w:tcW w:w="4839" w:type="dxa"/>
          </w:tcPr>
          <w:p>
            <w:pPr>
              <w:pStyle w:val="78"/>
              <w:jc w:val="both"/>
              <w:rPr>
                <w:rFonts w:eastAsia="宋体"/>
                <w:color w:val="000000" w:themeColor="text1"/>
                <w:kern w:val="2"/>
                <w:sz w:val="21"/>
                <w:szCs w:val="21"/>
              </w:rPr>
            </w:pPr>
            <w:r>
              <w:rPr>
                <w:rFonts w:eastAsia="宋体"/>
                <w:color w:val="000000" w:themeColor="text1"/>
                <w:kern w:val="2"/>
                <w:sz w:val="21"/>
                <w:szCs w:val="21"/>
              </w:rPr>
              <w:t>有害燃烧产物： 氧气、氯化物、氧化钠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危险特性：强氧化剂，受强热或与强酸接触即发生爆炸。与还原剂、有机物、易燃物如硫、琳或金属粉末等混合可形成爆炸性混合物，急剧加热时可发生爆炸。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Merge w:val="continue"/>
            <w:vAlign w:val="center"/>
          </w:tcPr>
          <w:p>
            <w:pPr>
              <w:pStyle w:val="14"/>
              <w:rPr>
                <w:rFonts w:cs="Times New Roman"/>
                <w:b w:val="0"/>
                <w:color w:val="000000" w:themeColor="text1"/>
                <w:sz w:val="21"/>
                <w:szCs w:val="21"/>
              </w:rPr>
            </w:pP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灭火剂： 水、干粉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Align w:val="center"/>
          </w:tcPr>
          <w:p>
            <w:pPr>
              <w:pStyle w:val="14"/>
              <w:rPr>
                <w:rFonts w:cs="Times New Roman"/>
                <w:b w:val="0"/>
                <w:color w:val="000000" w:themeColor="text1"/>
                <w:sz w:val="21"/>
                <w:szCs w:val="21"/>
              </w:rPr>
            </w:pPr>
            <w:r>
              <w:rPr>
                <w:rFonts w:cs="Times New Roman"/>
                <w:b w:val="0"/>
                <w:color w:val="000000" w:themeColor="text1"/>
                <w:sz w:val="21"/>
                <w:szCs w:val="21"/>
              </w:rPr>
              <w:t>毒性</w:t>
            </w: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 xml:space="preserve">LD50：大鼠急性经口LD50 1200mg/kg：无资料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51" w:type="dxa"/>
            <w:vAlign w:val="center"/>
          </w:tcPr>
          <w:p>
            <w:pPr>
              <w:pStyle w:val="78"/>
              <w:jc w:val="center"/>
              <w:rPr>
                <w:rFonts w:eastAsia="宋体"/>
                <w:color w:val="000000" w:themeColor="text1"/>
                <w:kern w:val="2"/>
                <w:sz w:val="21"/>
                <w:szCs w:val="21"/>
              </w:rPr>
            </w:pPr>
          </w:p>
          <w:p>
            <w:pPr>
              <w:pStyle w:val="14"/>
              <w:rPr>
                <w:rFonts w:cs="Times New Roman"/>
                <w:b w:val="0"/>
                <w:color w:val="000000" w:themeColor="text1"/>
                <w:sz w:val="21"/>
                <w:szCs w:val="21"/>
              </w:rPr>
            </w:pPr>
            <w:r>
              <w:rPr>
                <w:rFonts w:cs="Times New Roman"/>
                <w:b w:val="0"/>
                <w:color w:val="000000" w:themeColor="text1"/>
                <w:sz w:val="21"/>
                <w:szCs w:val="21"/>
              </w:rPr>
              <w:t>危害</w:t>
            </w: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本品粉尘对呼吸道、眼及皮肤有刺激性。口服急性中毒，变现为高铁血红蛋白血症，胃肠炎、肝肾损伤，甚至发生窒息。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51"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急救</w:t>
            </w:r>
          </w:p>
          <w:p>
            <w:pPr>
              <w:pStyle w:val="14"/>
              <w:rPr>
                <w:rFonts w:cs="Times New Roman"/>
                <w:b w:val="0"/>
                <w:color w:val="000000" w:themeColor="text1"/>
                <w:sz w:val="21"/>
                <w:szCs w:val="21"/>
              </w:rPr>
            </w:pPr>
          </w:p>
        </w:tc>
        <w:tc>
          <w:tcPr>
            <w:tcW w:w="8691" w:type="dxa"/>
            <w:gridSpan w:val="2"/>
          </w:tcPr>
          <w:p>
            <w:pPr>
              <w:pStyle w:val="78"/>
              <w:jc w:val="both"/>
              <w:rPr>
                <w:rFonts w:eastAsia="宋体"/>
                <w:color w:val="000000" w:themeColor="text1"/>
                <w:kern w:val="2"/>
                <w:sz w:val="21"/>
                <w:szCs w:val="21"/>
                <w:shd w:val="clear" w:color="auto" w:fill="FFFFFF"/>
              </w:rPr>
            </w:pPr>
            <w:r>
              <w:rPr>
                <w:rFonts w:eastAsia="宋体"/>
                <w:color w:val="000000" w:themeColor="text1"/>
                <w:kern w:val="2"/>
                <w:sz w:val="21"/>
                <w:szCs w:val="21"/>
                <w:shd w:val="clear" w:color="auto" w:fill="FFFFFF"/>
              </w:rPr>
              <w:t>皮肤接触:脱去被污染的衣着，用大量清水冲洗。</w:t>
            </w:r>
          </w:p>
          <w:p>
            <w:pPr>
              <w:pStyle w:val="78"/>
              <w:jc w:val="both"/>
              <w:rPr>
                <w:rFonts w:eastAsia="宋体"/>
                <w:color w:val="000000" w:themeColor="text1"/>
                <w:kern w:val="2"/>
                <w:sz w:val="21"/>
                <w:szCs w:val="21"/>
                <w:shd w:val="clear" w:color="auto" w:fill="FFFFFF"/>
              </w:rPr>
            </w:pPr>
            <w:r>
              <w:rPr>
                <w:rFonts w:eastAsia="宋体"/>
                <w:color w:val="000000" w:themeColor="text1"/>
                <w:kern w:val="2"/>
                <w:sz w:val="21"/>
                <w:szCs w:val="21"/>
                <w:shd w:val="clear" w:color="auto" w:fill="FFFFFF"/>
              </w:rPr>
              <w:t>眼睛接触:提起眼睑，用流动清水或</w:t>
            </w:r>
            <w:r>
              <w:fldChar w:fldCharType="begin"/>
            </w:r>
            <w:r>
              <w:instrText xml:space="preserve"> HYPERLINK "https://baike.so.com/doc/3021705-3186252.html" \t "_blank" </w:instrText>
            </w:r>
            <w:r>
              <w:fldChar w:fldCharType="separate"/>
            </w:r>
            <w:r>
              <w:rPr>
                <w:rStyle w:val="41"/>
                <w:rFonts w:eastAsia="宋体"/>
                <w:color w:val="000000" w:themeColor="text1"/>
                <w:kern w:val="2"/>
                <w:sz w:val="21"/>
                <w:szCs w:val="21"/>
                <w:u w:val="none"/>
                <w:shd w:val="clear" w:color="auto" w:fill="FFFFFF"/>
              </w:rPr>
              <w:t>生理盐水</w:t>
            </w:r>
            <w:r>
              <w:rPr>
                <w:rStyle w:val="41"/>
                <w:rFonts w:eastAsia="宋体"/>
                <w:color w:val="000000" w:themeColor="text1"/>
                <w:kern w:val="2"/>
                <w:sz w:val="21"/>
                <w:szCs w:val="21"/>
                <w:u w:val="none"/>
                <w:shd w:val="clear" w:color="auto" w:fill="FFFFFF"/>
              </w:rPr>
              <w:fldChar w:fldCharType="end"/>
            </w:r>
            <w:r>
              <w:rPr>
                <w:rFonts w:eastAsia="宋体"/>
                <w:color w:val="000000" w:themeColor="text1"/>
                <w:kern w:val="2"/>
                <w:sz w:val="21"/>
                <w:szCs w:val="21"/>
                <w:shd w:val="clear" w:color="auto" w:fill="FFFFFF"/>
              </w:rPr>
              <w:t>冲洗。就医。</w:t>
            </w:r>
          </w:p>
          <w:p>
            <w:pPr>
              <w:pStyle w:val="78"/>
              <w:jc w:val="both"/>
              <w:rPr>
                <w:rFonts w:eastAsia="宋体"/>
                <w:color w:val="000000" w:themeColor="text1"/>
                <w:kern w:val="2"/>
                <w:sz w:val="21"/>
                <w:szCs w:val="21"/>
                <w:shd w:val="clear" w:color="auto" w:fill="FFFFFF"/>
              </w:rPr>
            </w:pPr>
            <w:r>
              <w:rPr>
                <w:rFonts w:eastAsia="宋体"/>
                <w:color w:val="000000" w:themeColor="text1"/>
                <w:kern w:val="2"/>
                <w:sz w:val="21"/>
                <w:szCs w:val="21"/>
                <w:shd w:val="clear" w:color="auto" w:fill="FFFFFF"/>
              </w:rPr>
              <w:t>吸入:迅速脱离现场至空气新鲜处。保持呼吸道通畅。如呼吸困难，给输氧。如呼吸停止，立即进行</w:t>
            </w:r>
            <w:r>
              <w:fldChar w:fldCharType="begin"/>
            </w:r>
            <w:r>
              <w:instrText xml:space="preserve"> HYPERLINK "https://baike.so.com/doc/1589919-1680590.html" \t "_blank" </w:instrText>
            </w:r>
            <w:r>
              <w:fldChar w:fldCharType="separate"/>
            </w:r>
            <w:r>
              <w:rPr>
                <w:rStyle w:val="41"/>
                <w:rFonts w:eastAsia="宋体"/>
                <w:color w:val="000000" w:themeColor="text1"/>
                <w:kern w:val="2"/>
                <w:sz w:val="21"/>
                <w:szCs w:val="21"/>
                <w:u w:val="none"/>
                <w:shd w:val="clear" w:color="auto" w:fill="FFFFFF"/>
              </w:rPr>
              <w:t>人工呼吸</w:t>
            </w:r>
            <w:r>
              <w:rPr>
                <w:rStyle w:val="41"/>
                <w:rFonts w:eastAsia="宋体"/>
                <w:color w:val="000000" w:themeColor="text1"/>
                <w:kern w:val="2"/>
                <w:sz w:val="21"/>
                <w:szCs w:val="21"/>
                <w:u w:val="none"/>
                <w:shd w:val="clear" w:color="auto" w:fill="FFFFFF"/>
              </w:rPr>
              <w:fldChar w:fldCharType="end"/>
            </w:r>
            <w:r>
              <w:rPr>
                <w:rFonts w:eastAsia="宋体"/>
                <w:color w:val="000000" w:themeColor="text1"/>
                <w:kern w:val="2"/>
                <w:sz w:val="21"/>
                <w:szCs w:val="21"/>
                <w:shd w:val="clear" w:color="auto" w:fill="FFFFFF"/>
              </w:rPr>
              <w:t>。就医。</w:t>
            </w:r>
          </w:p>
          <w:p>
            <w:pPr>
              <w:pStyle w:val="78"/>
              <w:jc w:val="both"/>
              <w:rPr>
                <w:rFonts w:eastAsia="宋体"/>
                <w:color w:val="000000" w:themeColor="text1"/>
                <w:kern w:val="2"/>
                <w:sz w:val="21"/>
                <w:szCs w:val="21"/>
                <w:shd w:val="clear" w:color="auto" w:fill="FFFFFF"/>
              </w:rPr>
            </w:pPr>
            <w:r>
              <w:rPr>
                <w:rFonts w:eastAsia="宋体"/>
                <w:color w:val="000000" w:themeColor="text1"/>
                <w:kern w:val="2"/>
                <w:sz w:val="21"/>
                <w:szCs w:val="21"/>
                <w:shd w:val="clear" w:color="auto" w:fill="FFFFFF"/>
              </w:rPr>
              <w:t>食入:误食中毒时应立即催吐、洗胃、导泻、给予牛奶、蛋清等保护胃粘膜，同时立即就医。</w:t>
            </w:r>
          </w:p>
          <w:p>
            <w:pPr>
              <w:pStyle w:val="78"/>
              <w:jc w:val="both"/>
              <w:rPr>
                <w:rFonts w:eastAsia="宋体"/>
                <w:color w:val="000000" w:themeColor="text1"/>
                <w:kern w:val="2"/>
                <w:sz w:val="21"/>
                <w:szCs w:val="21"/>
                <w:shd w:val="clear" w:color="auto" w:fill="FFFFFF"/>
              </w:rPr>
            </w:pPr>
            <w:r>
              <w:rPr>
                <w:rFonts w:eastAsia="宋体"/>
                <w:color w:val="000000" w:themeColor="text1"/>
                <w:kern w:val="2"/>
                <w:sz w:val="21"/>
                <w:szCs w:val="21"/>
                <w:shd w:val="clear" w:color="auto" w:fill="FFFFFF"/>
              </w:rPr>
              <w:t>医用:患有高铁血蛋白症时，用山美蓝溶液以25%葡萄糖溶液稀释后缓慢静脉滴注。美蓝的剂量按每公斤体重1~2毫克。如用药2小时后仍未好转，再重复注射一次。</w:t>
            </w:r>
          </w:p>
          <w:p>
            <w:pPr>
              <w:pStyle w:val="78"/>
              <w:jc w:val="both"/>
              <w:rPr>
                <w:rFonts w:eastAsia="宋体"/>
                <w:color w:val="000000" w:themeColor="text1"/>
                <w:kern w:val="2"/>
                <w:sz w:val="21"/>
                <w:szCs w:val="21"/>
              </w:rPr>
            </w:pPr>
            <w:r>
              <w:rPr>
                <w:rFonts w:eastAsia="宋体"/>
                <w:color w:val="000000" w:themeColor="text1"/>
                <w:kern w:val="2"/>
                <w:sz w:val="21"/>
                <w:szCs w:val="21"/>
                <w:shd w:val="clear" w:color="auto" w:fill="FFFFFF"/>
              </w:rPr>
              <w:t>灭火方法:用大量水扑救，同时用干粉灭火剂闷熄。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防护</w:t>
            </w: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shd w:val="clear" w:color="auto" w:fill="FFFFFF"/>
              </w:rPr>
              <w:t>密闭操作，加强通风。操作人员必须经过专门培训，严格遵守操作规程。建议操作人员佩戴自吸过滤式防尘口罩，戴化学</w:t>
            </w:r>
            <w:r>
              <w:fldChar w:fldCharType="begin"/>
            </w:r>
            <w:r>
              <w:instrText xml:space="preserve"> HYPERLINK "https://baike.so.com/doc/6910259-7132116.html" \t "_blank" </w:instrText>
            </w:r>
            <w:r>
              <w:fldChar w:fldCharType="separate"/>
            </w:r>
            <w:r>
              <w:rPr>
                <w:rStyle w:val="41"/>
                <w:rFonts w:eastAsia="宋体"/>
                <w:color w:val="000000" w:themeColor="text1"/>
                <w:kern w:val="2"/>
                <w:sz w:val="21"/>
                <w:szCs w:val="21"/>
                <w:u w:val="none"/>
                <w:shd w:val="clear" w:color="auto" w:fill="FFFFFF"/>
              </w:rPr>
              <w:t>安全防护眼镜</w:t>
            </w:r>
            <w:r>
              <w:rPr>
                <w:rStyle w:val="41"/>
                <w:rFonts w:eastAsia="宋体"/>
                <w:color w:val="000000" w:themeColor="text1"/>
                <w:kern w:val="2"/>
                <w:sz w:val="21"/>
                <w:szCs w:val="21"/>
                <w:u w:val="none"/>
                <w:shd w:val="clear" w:color="auto" w:fill="FFFFFF"/>
              </w:rPr>
              <w:fldChar w:fldCharType="end"/>
            </w:r>
            <w:r>
              <w:rPr>
                <w:rFonts w:eastAsia="宋体"/>
                <w:color w:val="000000" w:themeColor="text1"/>
                <w:kern w:val="2"/>
                <w:sz w:val="21"/>
                <w:szCs w:val="21"/>
                <w:shd w:val="clear" w:color="auto" w:fill="FFFFFF"/>
              </w:rPr>
              <w:t>，穿聚乙烯防毒服，戴</w:t>
            </w:r>
            <w:r>
              <w:fldChar w:fldCharType="begin"/>
            </w:r>
            <w:r>
              <w:instrText xml:space="preserve"> HYPERLINK "https://baike.so.com/doc/5863293-6076140.html" \t "_blank" </w:instrText>
            </w:r>
            <w:r>
              <w:fldChar w:fldCharType="separate"/>
            </w:r>
            <w:r>
              <w:rPr>
                <w:rStyle w:val="41"/>
                <w:rFonts w:eastAsia="宋体"/>
                <w:color w:val="000000" w:themeColor="text1"/>
                <w:kern w:val="2"/>
                <w:sz w:val="21"/>
                <w:szCs w:val="21"/>
                <w:u w:val="none"/>
                <w:shd w:val="clear" w:color="auto" w:fill="FFFFFF"/>
              </w:rPr>
              <w:t>橡胶手套</w:t>
            </w:r>
            <w:r>
              <w:rPr>
                <w:rStyle w:val="41"/>
                <w:rFonts w:eastAsia="宋体"/>
                <w:color w:val="000000" w:themeColor="text1"/>
                <w:kern w:val="2"/>
                <w:sz w:val="21"/>
                <w:szCs w:val="21"/>
                <w:u w:val="none"/>
                <w:shd w:val="clear" w:color="auto" w:fill="FFFFFF"/>
              </w:rPr>
              <w:fldChar w:fldCharType="end"/>
            </w:r>
            <w:r>
              <w:rPr>
                <w:rFonts w:eastAsia="宋体"/>
                <w:color w:val="000000" w:themeColor="text1"/>
                <w:kern w:val="2"/>
                <w:sz w:val="21"/>
                <w:szCs w:val="21"/>
                <w:shd w:val="clear" w:color="auto" w:fill="FFFFFF"/>
              </w:rPr>
              <w:t>。远离火种、</w:t>
            </w:r>
            <w:r>
              <w:fldChar w:fldCharType="begin"/>
            </w:r>
            <w:r>
              <w:instrText xml:space="preserve"> HYPERLINK "https://baike.so.com/doc/5880117-6092992.html" \t "_blank" </w:instrText>
            </w:r>
            <w:r>
              <w:fldChar w:fldCharType="separate"/>
            </w:r>
            <w:r>
              <w:rPr>
                <w:rStyle w:val="41"/>
                <w:rFonts w:eastAsia="宋体"/>
                <w:color w:val="000000" w:themeColor="text1"/>
                <w:kern w:val="2"/>
                <w:sz w:val="21"/>
                <w:szCs w:val="21"/>
                <w:u w:val="none"/>
                <w:shd w:val="clear" w:color="auto" w:fill="FFFFFF"/>
              </w:rPr>
              <w:t>热源</w:t>
            </w:r>
            <w:r>
              <w:rPr>
                <w:rStyle w:val="41"/>
                <w:rFonts w:eastAsia="宋体"/>
                <w:color w:val="000000" w:themeColor="text1"/>
                <w:kern w:val="2"/>
                <w:sz w:val="21"/>
                <w:szCs w:val="21"/>
                <w:u w:val="none"/>
                <w:shd w:val="clear" w:color="auto" w:fill="FFFFFF"/>
              </w:rPr>
              <w:fldChar w:fldCharType="end"/>
            </w:r>
            <w:r>
              <w:rPr>
                <w:rFonts w:eastAsia="宋体"/>
                <w:color w:val="000000" w:themeColor="text1"/>
                <w:kern w:val="2"/>
                <w:sz w:val="21"/>
                <w:szCs w:val="21"/>
                <w:shd w:val="clear" w:color="auto" w:fill="FFFFFF"/>
              </w:rPr>
              <w:t>，工作场所严禁吸烟。远离易燃、可燃物。避免产生粉尘。避免与还原剂、醇类接触。搬运时要轻装轻卸，防止包装及容器损坏。禁止震动、撞击和摩擦。配备相应品种和数量的消防器材及</w:t>
            </w:r>
            <w:r>
              <w:fldChar w:fldCharType="begin"/>
            </w:r>
            <w:r>
              <w:instrText xml:space="preserve"> HYPERLINK "https://baike.so.com/doc/7889213-8163308.html" \t "_blank" </w:instrText>
            </w:r>
            <w:r>
              <w:fldChar w:fldCharType="separate"/>
            </w:r>
            <w:r>
              <w:rPr>
                <w:rStyle w:val="41"/>
                <w:rFonts w:eastAsia="宋体"/>
                <w:color w:val="000000" w:themeColor="text1"/>
                <w:kern w:val="2"/>
                <w:sz w:val="21"/>
                <w:szCs w:val="21"/>
                <w:u w:val="none"/>
                <w:shd w:val="clear" w:color="auto" w:fill="FFFFFF"/>
              </w:rPr>
              <w:t>泄漏应急处理</w:t>
            </w:r>
            <w:r>
              <w:rPr>
                <w:rStyle w:val="41"/>
                <w:rFonts w:eastAsia="宋体"/>
                <w:color w:val="000000" w:themeColor="text1"/>
                <w:kern w:val="2"/>
                <w:sz w:val="21"/>
                <w:szCs w:val="21"/>
                <w:u w:val="none"/>
                <w:shd w:val="clear" w:color="auto" w:fill="FFFFFF"/>
              </w:rPr>
              <w:fldChar w:fldCharType="end"/>
            </w:r>
            <w:r>
              <w:rPr>
                <w:rFonts w:eastAsia="宋体"/>
                <w:color w:val="000000" w:themeColor="text1"/>
                <w:kern w:val="2"/>
                <w:sz w:val="21"/>
                <w:szCs w:val="21"/>
                <w:shd w:val="clear" w:color="auto" w:fill="FFFFFF"/>
              </w:rPr>
              <w:t>设备。倒空的容器可能残留有害物。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泄漏处理</w:t>
            </w:r>
          </w:p>
          <w:p>
            <w:pPr>
              <w:pStyle w:val="78"/>
              <w:jc w:val="center"/>
              <w:rPr>
                <w:rFonts w:eastAsia="宋体"/>
                <w:color w:val="000000" w:themeColor="text1"/>
                <w:kern w:val="2"/>
                <w:sz w:val="21"/>
                <w:szCs w:val="21"/>
              </w:rPr>
            </w:pP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隔离泄漏污染区，限制出入。建议应急处理人员戴自给式呼吸器，穿一般工作服。不要直接接触泄漏物，勿使泄漏物与有机物、还原剂、易燃物接触。小量泄漏:避免扬尘，用洁净的铲子收集于干燥、洁净、有盖的容器中。大量泄漏:收集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dxa"/>
            <w:vAlign w:val="center"/>
          </w:tcPr>
          <w:p>
            <w:pPr>
              <w:pStyle w:val="78"/>
              <w:jc w:val="center"/>
              <w:rPr>
                <w:rFonts w:eastAsia="宋体"/>
                <w:color w:val="000000" w:themeColor="text1"/>
                <w:kern w:val="2"/>
                <w:sz w:val="21"/>
                <w:szCs w:val="21"/>
              </w:rPr>
            </w:pPr>
            <w:r>
              <w:rPr>
                <w:rFonts w:eastAsia="宋体"/>
                <w:color w:val="000000" w:themeColor="text1"/>
                <w:kern w:val="2"/>
                <w:sz w:val="21"/>
                <w:szCs w:val="21"/>
              </w:rPr>
              <w:t>储运</w:t>
            </w:r>
          </w:p>
        </w:tc>
        <w:tc>
          <w:tcPr>
            <w:tcW w:w="8691" w:type="dxa"/>
            <w:gridSpan w:val="2"/>
          </w:tcPr>
          <w:p>
            <w:pPr>
              <w:pStyle w:val="78"/>
              <w:jc w:val="both"/>
              <w:rPr>
                <w:rFonts w:eastAsia="宋体"/>
                <w:color w:val="000000" w:themeColor="text1"/>
                <w:kern w:val="2"/>
                <w:sz w:val="21"/>
                <w:szCs w:val="21"/>
              </w:rPr>
            </w:pPr>
            <w:r>
              <w:rPr>
                <w:rFonts w:eastAsia="宋体"/>
                <w:color w:val="000000" w:themeColor="text1"/>
                <w:kern w:val="2"/>
                <w:sz w:val="21"/>
                <w:szCs w:val="21"/>
              </w:rPr>
              <w:t>UN编号：1495 包装类别： 052</w:t>
            </w:r>
          </w:p>
          <w:p>
            <w:pPr>
              <w:pStyle w:val="78"/>
              <w:jc w:val="both"/>
              <w:rPr>
                <w:rFonts w:eastAsia="宋体"/>
                <w:color w:val="000000" w:themeColor="text1"/>
                <w:kern w:val="2"/>
                <w:sz w:val="21"/>
                <w:szCs w:val="21"/>
              </w:rPr>
            </w:pPr>
            <w:r>
              <w:rPr>
                <w:rFonts w:eastAsia="宋体"/>
                <w:color w:val="000000" w:themeColor="text1"/>
                <w:kern w:val="2"/>
                <w:sz w:val="21"/>
                <w:szCs w:val="21"/>
              </w:rPr>
              <w:t>储运条件：储存于阴凉、通风的</w:t>
            </w:r>
            <w:r>
              <w:fldChar w:fldCharType="begin"/>
            </w:r>
            <w:r>
              <w:instrText xml:space="preserve"> HYPERLINK "https://baike.so.com/doc/3755535-3945329.html" \t "_blank" </w:instrText>
            </w:r>
            <w:r>
              <w:fldChar w:fldCharType="separate"/>
            </w:r>
            <w:r>
              <w:rPr>
                <w:rStyle w:val="41"/>
                <w:rFonts w:eastAsia="宋体"/>
                <w:color w:val="000000" w:themeColor="text1"/>
                <w:kern w:val="2"/>
                <w:sz w:val="21"/>
                <w:szCs w:val="21"/>
              </w:rPr>
              <w:t>库房</w:t>
            </w:r>
            <w:r>
              <w:rPr>
                <w:rStyle w:val="41"/>
                <w:rFonts w:eastAsia="宋体"/>
                <w:color w:val="000000" w:themeColor="text1"/>
                <w:kern w:val="2"/>
                <w:sz w:val="21"/>
                <w:szCs w:val="21"/>
              </w:rPr>
              <w:fldChar w:fldCharType="end"/>
            </w:r>
            <w:r>
              <w:rPr>
                <w:rFonts w:eastAsia="宋体"/>
                <w:color w:val="000000" w:themeColor="text1"/>
                <w:kern w:val="2"/>
                <w:sz w:val="21"/>
                <w:szCs w:val="21"/>
              </w:rPr>
              <w:t xml:space="preserve">。远离火种、热源。包装密封。应与易(可)燃物、还原剂、醇类等分开存放，切忌混储。储区应备有合适的材料收容泄漏物。储区应备有泄漏应急处理设备和合适的收容材料。起运时包装要完整，装载应稳妥。运输过程中要确保容器不泄漏、不倒塌、不坠落、不损坏。严禁与碱类、食用化学品等混装混运。运输时运输车辆应配备泄漏应急处理设备。运输途中应防曝晒、雨淋，防高温。公路运输时要按规定路线行驶，勿在居民区和人口稠密区停留。 </w:t>
            </w:r>
          </w:p>
        </w:tc>
      </w:tr>
    </w:tbl>
    <w:p>
      <w:pPr>
        <w:pStyle w:val="14"/>
        <w:spacing w:line="240" w:lineRule="auto"/>
      </w:pPr>
    </w:p>
    <w:p>
      <w:pPr>
        <w:pStyle w:val="14"/>
        <w:spacing w:line="240" w:lineRule="auto"/>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33</w:t>
      </w:r>
      <w:r>
        <w:fldChar w:fldCharType="end"/>
      </w:r>
      <w:r>
        <w:rPr>
          <w:rFonts w:hint="eastAsia"/>
        </w:rPr>
        <w:t xml:space="preserve">  氨理化性质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2342"/>
        <w:gridCol w:w="2237"/>
        <w:gridCol w:w="4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restart"/>
            <w:vAlign w:val="center"/>
          </w:tcPr>
          <w:p>
            <w:pPr>
              <w:pStyle w:val="14"/>
              <w:rPr>
                <w:b w:val="0"/>
                <w:sz w:val="21"/>
                <w:szCs w:val="21"/>
              </w:rPr>
            </w:pPr>
            <w:r>
              <w:rPr>
                <w:b w:val="0"/>
                <w:sz w:val="21"/>
                <w:szCs w:val="21"/>
              </w:rPr>
              <w:t>标识</w:t>
            </w:r>
          </w:p>
        </w:tc>
        <w:tc>
          <w:tcPr>
            <w:tcW w:w="4579" w:type="dxa"/>
            <w:gridSpan w:val="2"/>
          </w:tcPr>
          <w:p>
            <w:pPr>
              <w:pStyle w:val="78"/>
              <w:jc w:val="both"/>
              <w:rPr>
                <w:rFonts w:eastAsia="宋体"/>
                <w:kern w:val="2"/>
                <w:sz w:val="21"/>
                <w:szCs w:val="21"/>
              </w:rPr>
            </w:pPr>
            <w:r>
              <w:rPr>
                <w:rFonts w:hint="eastAsia" w:eastAsia="宋体"/>
                <w:kern w:val="2"/>
                <w:sz w:val="21"/>
                <w:szCs w:val="21"/>
              </w:rPr>
              <w:t>中文名：氨气</w:t>
            </w:r>
          </w:p>
        </w:tc>
        <w:tc>
          <w:tcPr>
            <w:tcW w:w="4022" w:type="dxa"/>
          </w:tcPr>
          <w:p>
            <w:pPr>
              <w:pStyle w:val="78"/>
              <w:jc w:val="both"/>
              <w:rPr>
                <w:rFonts w:eastAsia="宋体"/>
                <w:kern w:val="2"/>
                <w:sz w:val="21"/>
                <w:szCs w:val="21"/>
              </w:rPr>
            </w:pPr>
            <w:r>
              <w:rPr>
                <w:rFonts w:hint="eastAsia" w:eastAsia="宋体"/>
                <w:kern w:val="2"/>
                <w:sz w:val="21"/>
                <w:szCs w:val="21"/>
              </w:rPr>
              <w:t>英文名：</w:t>
            </w:r>
            <w:r>
              <w:rPr>
                <w:rFonts w:eastAsia="宋体"/>
                <w:kern w:val="2"/>
                <w:sz w:val="21"/>
                <w:szCs w:val="21"/>
              </w:rPr>
              <w:t xml:space="preserve">Ammonia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分子式</w:t>
            </w:r>
            <w:r>
              <w:rPr>
                <w:rFonts w:eastAsia="宋体"/>
                <w:kern w:val="2"/>
                <w:sz w:val="21"/>
                <w:szCs w:val="21"/>
              </w:rPr>
              <w:t>:NH</w:t>
            </w:r>
            <w:r>
              <w:rPr>
                <w:rFonts w:eastAsia="宋体"/>
                <w:kern w:val="2"/>
                <w:sz w:val="21"/>
                <w:szCs w:val="21"/>
                <w:vertAlign w:val="subscript"/>
              </w:rPr>
              <w:t>3</w:t>
            </w:r>
          </w:p>
        </w:tc>
        <w:tc>
          <w:tcPr>
            <w:tcW w:w="4022" w:type="dxa"/>
          </w:tcPr>
          <w:p>
            <w:pPr>
              <w:pStyle w:val="78"/>
              <w:jc w:val="both"/>
              <w:rPr>
                <w:rFonts w:eastAsia="宋体"/>
                <w:kern w:val="2"/>
                <w:sz w:val="21"/>
                <w:szCs w:val="21"/>
              </w:rPr>
            </w:pPr>
            <w:r>
              <w:rPr>
                <w:rFonts w:hint="eastAsia" w:eastAsia="宋体"/>
                <w:kern w:val="2"/>
                <w:sz w:val="21"/>
                <w:szCs w:val="21"/>
              </w:rPr>
              <w:t>分子量：</w:t>
            </w:r>
            <w:r>
              <w:rPr>
                <w:rFonts w:eastAsia="宋体"/>
                <w:kern w:val="2"/>
                <w:sz w:val="21"/>
                <w:szCs w:val="21"/>
              </w:rPr>
              <w:t xml:space="preserve">17.03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2342" w:type="dxa"/>
          </w:tcPr>
          <w:p>
            <w:pPr>
              <w:pStyle w:val="78"/>
              <w:jc w:val="both"/>
              <w:rPr>
                <w:rFonts w:eastAsia="宋体"/>
                <w:kern w:val="2"/>
                <w:sz w:val="21"/>
                <w:szCs w:val="21"/>
              </w:rPr>
            </w:pPr>
            <w:r>
              <w:rPr>
                <w:rFonts w:hint="eastAsia" w:eastAsia="宋体"/>
                <w:kern w:val="2"/>
                <w:sz w:val="21"/>
                <w:szCs w:val="21"/>
              </w:rPr>
              <w:t>危规号</w:t>
            </w:r>
            <w:r>
              <w:rPr>
                <w:rFonts w:eastAsia="宋体"/>
                <w:kern w:val="2"/>
                <w:sz w:val="21"/>
                <w:szCs w:val="21"/>
              </w:rPr>
              <w:t xml:space="preserve">:23003 </w:t>
            </w:r>
          </w:p>
        </w:tc>
        <w:tc>
          <w:tcPr>
            <w:tcW w:w="2237" w:type="dxa"/>
          </w:tcPr>
          <w:p>
            <w:pPr>
              <w:pStyle w:val="78"/>
              <w:jc w:val="both"/>
              <w:rPr>
                <w:rFonts w:eastAsia="宋体"/>
                <w:kern w:val="2"/>
                <w:sz w:val="21"/>
                <w:szCs w:val="21"/>
              </w:rPr>
            </w:pPr>
            <w:r>
              <w:rPr>
                <w:rFonts w:eastAsia="宋体"/>
                <w:kern w:val="2"/>
                <w:sz w:val="21"/>
                <w:szCs w:val="21"/>
              </w:rPr>
              <w:t>UN</w:t>
            </w:r>
            <w:r>
              <w:rPr>
                <w:rFonts w:hint="eastAsia" w:eastAsia="宋体"/>
                <w:kern w:val="2"/>
                <w:sz w:val="21"/>
                <w:szCs w:val="21"/>
              </w:rPr>
              <w:t>编号：</w:t>
            </w:r>
            <w:r>
              <w:rPr>
                <w:rFonts w:eastAsia="宋体"/>
                <w:kern w:val="2"/>
                <w:sz w:val="21"/>
                <w:szCs w:val="21"/>
              </w:rPr>
              <w:t xml:space="preserve">1005 </w:t>
            </w:r>
          </w:p>
        </w:tc>
        <w:tc>
          <w:tcPr>
            <w:tcW w:w="4022" w:type="dxa"/>
          </w:tcPr>
          <w:p>
            <w:pPr>
              <w:pStyle w:val="78"/>
              <w:jc w:val="both"/>
              <w:rPr>
                <w:rFonts w:eastAsia="宋体"/>
                <w:kern w:val="2"/>
                <w:sz w:val="21"/>
                <w:szCs w:val="21"/>
              </w:rPr>
            </w:pPr>
            <w:r>
              <w:rPr>
                <w:rFonts w:eastAsia="宋体"/>
                <w:kern w:val="2"/>
                <w:sz w:val="21"/>
                <w:szCs w:val="21"/>
              </w:rPr>
              <w:t>CAS</w:t>
            </w:r>
            <w:r>
              <w:rPr>
                <w:rFonts w:hint="eastAsia" w:eastAsia="宋体"/>
                <w:kern w:val="2"/>
                <w:sz w:val="21"/>
                <w:szCs w:val="21"/>
              </w:rPr>
              <w:t>号：</w:t>
            </w:r>
            <w:r>
              <w:rPr>
                <w:rFonts w:eastAsia="宋体"/>
                <w:kern w:val="2"/>
                <w:sz w:val="21"/>
                <w:szCs w:val="21"/>
              </w:rPr>
              <w:t xml:space="preserve">7664-41-7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restart"/>
            <w:vAlign w:val="center"/>
          </w:tcPr>
          <w:p>
            <w:pPr>
              <w:pStyle w:val="14"/>
              <w:rPr>
                <w:b w:val="0"/>
                <w:sz w:val="21"/>
                <w:szCs w:val="21"/>
              </w:rPr>
            </w:pPr>
            <w:r>
              <w:rPr>
                <w:b w:val="0"/>
                <w:sz w:val="21"/>
                <w:szCs w:val="21"/>
              </w:rPr>
              <w:t>理化性质</w:t>
            </w:r>
          </w:p>
        </w:tc>
        <w:tc>
          <w:tcPr>
            <w:tcW w:w="4579" w:type="dxa"/>
            <w:gridSpan w:val="2"/>
          </w:tcPr>
          <w:p>
            <w:pPr>
              <w:pStyle w:val="78"/>
              <w:jc w:val="both"/>
              <w:rPr>
                <w:rFonts w:eastAsia="宋体"/>
                <w:kern w:val="2"/>
                <w:sz w:val="21"/>
                <w:szCs w:val="21"/>
              </w:rPr>
            </w:pPr>
            <w:r>
              <w:rPr>
                <w:rFonts w:hint="eastAsia" w:eastAsia="宋体"/>
                <w:kern w:val="2"/>
                <w:sz w:val="21"/>
                <w:szCs w:val="21"/>
              </w:rPr>
              <w:t>外观与形状</w:t>
            </w:r>
            <w:r>
              <w:rPr>
                <w:rFonts w:eastAsia="宋体"/>
                <w:kern w:val="2"/>
                <w:sz w:val="21"/>
                <w:szCs w:val="21"/>
              </w:rPr>
              <w:t>:</w:t>
            </w:r>
            <w:r>
              <w:rPr>
                <w:rFonts w:hint="eastAsia" w:eastAsia="宋体"/>
                <w:kern w:val="2"/>
                <w:sz w:val="21"/>
                <w:szCs w:val="21"/>
              </w:rPr>
              <w:t>无色有刺激性恶臭气体，在适当压力下可液化成液氨</w:t>
            </w:r>
          </w:p>
        </w:tc>
        <w:tc>
          <w:tcPr>
            <w:tcW w:w="4022" w:type="dxa"/>
          </w:tcPr>
          <w:p>
            <w:pPr>
              <w:pStyle w:val="78"/>
              <w:jc w:val="both"/>
              <w:rPr>
                <w:rFonts w:eastAsia="宋体"/>
                <w:kern w:val="2"/>
                <w:sz w:val="21"/>
                <w:szCs w:val="21"/>
              </w:rPr>
            </w:pPr>
            <w:r>
              <w:rPr>
                <w:rFonts w:hint="eastAsia" w:eastAsia="宋体"/>
                <w:kern w:val="2"/>
                <w:sz w:val="21"/>
                <w:szCs w:val="21"/>
              </w:rPr>
              <w:t>溶解性</w:t>
            </w:r>
            <w:r>
              <w:rPr>
                <w:rFonts w:eastAsia="宋体"/>
                <w:kern w:val="2"/>
                <w:sz w:val="21"/>
                <w:szCs w:val="21"/>
              </w:rPr>
              <w:t>:</w:t>
            </w:r>
            <w:r>
              <w:rPr>
                <w:rFonts w:hint="eastAsia" w:eastAsia="宋体"/>
                <w:kern w:val="2"/>
                <w:sz w:val="21"/>
                <w:szCs w:val="21"/>
              </w:rPr>
              <w:t>易溶于水、乙醇、乙醚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熔点</w:t>
            </w:r>
            <w:r>
              <w:rPr>
                <w:rFonts w:eastAsia="宋体"/>
                <w:kern w:val="2"/>
                <w:sz w:val="21"/>
                <w:szCs w:val="21"/>
              </w:rPr>
              <w:t>(</w:t>
            </w:r>
            <w:r>
              <w:rPr>
                <w:rFonts w:hint="eastAsia" w:eastAsia="宋体"/>
                <w:kern w:val="2"/>
                <w:sz w:val="21"/>
                <w:szCs w:val="21"/>
              </w:rPr>
              <w:t>℃</w:t>
            </w:r>
            <w:r>
              <w:rPr>
                <w:rFonts w:eastAsia="宋体"/>
                <w:kern w:val="2"/>
                <w:sz w:val="21"/>
                <w:szCs w:val="21"/>
              </w:rPr>
              <w:t xml:space="preserve">):-77.7 </w:t>
            </w:r>
          </w:p>
        </w:tc>
        <w:tc>
          <w:tcPr>
            <w:tcW w:w="4022" w:type="dxa"/>
          </w:tcPr>
          <w:p>
            <w:pPr>
              <w:pStyle w:val="78"/>
              <w:jc w:val="both"/>
              <w:rPr>
                <w:rFonts w:eastAsia="宋体"/>
                <w:kern w:val="2"/>
                <w:sz w:val="21"/>
                <w:szCs w:val="21"/>
              </w:rPr>
            </w:pPr>
            <w:r>
              <w:rPr>
                <w:rFonts w:hint="eastAsia" w:eastAsia="宋体"/>
                <w:kern w:val="2"/>
                <w:sz w:val="21"/>
                <w:szCs w:val="21"/>
              </w:rPr>
              <w:t>沸点</w:t>
            </w:r>
            <w:r>
              <w:rPr>
                <w:rFonts w:eastAsia="宋体"/>
                <w:kern w:val="2"/>
                <w:sz w:val="21"/>
                <w:szCs w:val="21"/>
              </w:rPr>
              <w:t>(</w:t>
            </w:r>
            <w:r>
              <w:rPr>
                <w:rFonts w:hint="eastAsia" w:eastAsia="宋体"/>
                <w:kern w:val="2"/>
                <w:sz w:val="21"/>
                <w:szCs w:val="21"/>
              </w:rPr>
              <w:t>℃</w:t>
            </w:r>
            <w:r>
              <w:rPr>
                <w:rFonts w:eastAsia="宋体"/>
                <w:kern w:val="2"/>
                <w:sz w:val="21"/>
                <w:szCs w:val="21"/>
              </w:rPr>
              <w:t xml:space="preserve">):-33.5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相对密度</w:t>
            </w:r>
            <w:r>
              <w:rPr>
                <w:rFonts w:eastAsia="宋体"/>
                <w:kern w:val="2"/>
                <w:sz w:val="21"/>
                <w:szCs w:val="21"/>
              </w:rPr>
              <w:t>:(</w:t>
            </w:r>
            <w:r>
              <w:rPr>
                <w:rFonts w:hint="eastAsia" w:eastAsia="宋体"/>
                <w:kern w:val="2"/>
                <w:sz w:val="21"/>
                <w:szCs w:val="21"/>
              </w:rPr>
              <w:t>水</w:t>
            </w:r>
            <w:r>
              <w:rPr>
                <w:rFonts w:eastAsia="宋体"/>
                <w:kern w:val="2"/>
                <w:sz w:val="21"/>
                <w:szCs w:val="21"/>
              </w:rPr>
              <w:t>=1)0.82(-79</w:t>
            </w:r>
            <w:r>
              <w:rPr>
                <w:rFonts w:hint="eastAsia" w:eastAsia="宋体"/>
                <w:kern w:val="2"/>
                <w:sz w:val="21"/>
                <w:szCs w:val="21"/>
              </w:rPr>
              <w:t>℃</w:t>
            </w:r>
            <w:r>
              <w:rPr>
                <w:rFonts w:eastAsia="宋体"/>
                <w:kern w:val="2"/>
                <w:sz w:val="21"/>
                <w:szCs w:val="21"/>
              </w:rPr>
              <w:t xml:space="preserve">) </w:t>
            </w:r>
          </w:p>
        </w:tc>
        <w:tc>
          <w:tcPr>
            <w:tcW w:w="4022" w:type="dxa"/>
          </w:tcPr>
          <w:p>
            <w:pPr>
              <w:pStyle w:val="78"/>
              <w:jc w:val="both"/>
              <w:rPr>
                <w:rFonts w:eastAsia="宋体"/>
                <w:kern w:val="2"/>
                <w:sz w:val="21"/>
                <w:szCs w:val="21"/>
              </w:rPr>
            </w:pPr>
            <w:r>
              <w:rPr>
                <w:rFonts w:hint="eastAsia" w:eastAsia="宋体"/>
                <w:kern w:val="2"/>
                <w:sz w:val="21"/>
                <w:szCs w:val="21"/>
              </w:rPr>
              <w:t>相对密度</w:t>
            </w:r>
            <w:r>
              <w:rPr>
                <w:rFonts w:eastAsia="宋体"/>
                <w:kern w:val="2"/>
                <w:sz w:val="21"/>
                <w:szCs w:val="21"/>
              </w:rPr>
              <w:t>:(</w:t>
            </w:r>
            <w:r>
              <w:rPr>
                <w:rFonts w:hint="eastAsia" w:eastAsia="宋体"/>
                <w:kern w:val="2"/>
                <w:sz w:val="21"/>
                <w:szCs w:val="21"/>
              </w:rPr>
              <w:t>空气</w:t>
            </w:r>
            <w:r>
              <w:rPr>
                <w:rFonts w:eastAsia="宋体"/>
                <w:kern w:val="2"/>
                <w:sz w:val="21"/>
                <w:szCs w:val="21"/>
              </w:rPr>
              <w:t xml:space="preserve">=1) 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饱和蒸汽压</w:t>
            </w:r>
            <w:r>
              <w:rPr>
                <w:rFonts w:eastAsia="宋体"/>
                <w:kern w:val="2"/>
                <w:sz w:val="21"/>
                <w:szCs w:val="21"/>
              </w:rPr>
              <w:t>(kPa)506.62(4.7</w:t>
            </w:r>
            <w:r>
              <w:rPr>
                <w:rFonts w:hint="eastAsia" w:eastAsia="宋体"/>
                <w:kern w:val="2"/>
                <w:sz w:val="21"/>
                <w:szCs w:val="21"/>
              </w:rPr>
              <w:t>℃</w:t>
            </w:r>
            <w:r>
              <w:rPr>
                <w:rFonts w:eastAsia="宋体"/>
                <w:kern w:val="2"/>
                <w:sz w:val="21"/>
                <w:szCs w:val="21"/>
              </w:rPr>
              <w:t xml:space="preserve">) </w:t>
            </w:r>
          </w:p>
        </w:tc>
        <w:tc>
          <w:tcPr>
            <w:tcW w:w="4022" w:type="dxa"/>
          </w:tcPr>
          <w:p>
            <w:pPr>
              <w:pStyle w:val="78"/>
              <w:jc w:val="both"/>
              <w:rPr>
                <w:rFonts w:eastAsia="宋体"/>
                <w:kern w:val="2"/>
                <w:sz w:val="21"/>
                <w:szCs w:val="21"/>
              </w:rPr>
            </w:pPr>
            <w:r>
              <w:rPr>
                <w:rFonts w:hint="eastAsia" w:eastAsia="宋体"/>
                <w:kern w:val="2"/>
                <w:sz w:val="21"/>
                <w:szCs w:val="21"/>
              </w:rPr>
              <w:t>禁忌物</w:t>
            </w:r>
            <w:r>
              <w:rPr>
                <w:rFonts w:eastAsia="宋体"/>
                <w:kern w:val="2"/>
                <w:sz w:val="21"/>
                <w:szCs w:val="21"/>
              </w:rPr>
              <w:t>:</w:t>
            </w:r>
            <w:r>
              <w:rPr>
                <w:rFonts w:hint="eastAsia" w:eastAsia="宋体"/>
                <w:kern w:val="2"/>
                <w:sz w:val="21"/>
                <w:szCs w:val="21"/>
              </w:rPr>
              <w:t>卤素、酰基氯、酸类、氯仿、强氧化剂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临界压力</w:t>
            </w:r>
            <w:r>
              <w:rPr>
                <w:rFonts w:eastAsia="宋体"/>
                <w:kern w:val="2"/>
                <w:sz w:val="21"/>
                <w:szCs w:val="21"/>
              </w:rPr>
              <w:t>(Mpa)</w:t>
            </w:r>
            <w:r>
              <w:rPr>
                <w:rFonts w:hint="eastAsia" w:eastAsia="宋体"/>
                <w:kern w:val="2"/>
                <w:sz w:val="21"/>
                <w:szCs w:val="21"/>
              </w:rPr>
              <w:t>：</w:t>
            </w:r>
            <w:r>
              <w:rPr>
                <w:rFonts w:eastAsia="宋体"/>
                <w:kern w:val="2"/>
                <w:sz w:val="21"/>
                <w:szCs w:val="21"/>
              </w:rPr>
              <w:t xml:space="preserve">11.40 </w:t>
            </w:r>
          </w:p>
        </w:tc>
        <w:tc>
          <w:tcPr>
            <w:tcW w:w="4022" w:type="dxa"/>
          </w:tcPr>
          <w:p>
            <w:pPr>
              <w:pStyle w:val="78"/>
              <w:jc w:val="both"/>
              <w:rPr>
                <w:rFonts w:eastAsia="宋体"/>
                <w:kern w:val="2"/>
                <w:sz w:val="21"/>
                <w:szCs w:val="21"/>
              </w:rPr>
            </w:pPr>
            <w:r>
              <w:rPr>
                <w:rFonts w:hint="eastAsia" w:eastAsia="宋体"/>
                <w:kern w:val="2"/>
                <w:sz w:val="21"/>
                <w:szCs w:val="21"/>
              </w:rPr>
              <w:t>临界温度</w:t>
            </w:r>
            <w:r>
              <w:rPr>
                <w:rFonts w:eastAsia="宋体"/>
                <w:kern w:val="2"/>
                <w:sz w:val="21"/>
                <w:szCs w:val="21"/>
              </w:rPr>
              <w:t>(</w:t>
            </w:r>
            <w:r>
              <w:rPr>
                <w:rFonts w:hint="eastAsia" w:eastAsia="宋体"/>
                <w:kern w:val="2"/>
                <w:sz w:val="21"/>
                <w:szCs w:val="21"/>
              </w:rPr>
              <w:t>℃</w:t>
            </w:r>
            <w:r>
              <w:rPr>
                <w:rFonts w:eastAsia="宋体"/>
                <w:kern w:val="2"/>
                <w:sz w:val="21"/>
                <w:szCs w:val="21"/>
              </w:rPr>
              <w:t xml:space="preserve">):132.4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稳定性</w:t>
            </w:r>
            <w:r>
              <w:rPr>
                <w:rFonts w:eastAsia="宋体"/>
                <w:kern w:val="2"/>
                <w:sz w:val="21"/>
                <w:szCs w:val="21"/>
              </w:rPr>
              <w:t>:</w:t>
            </w:r>
            <w:r>
              <w:rPr>
                <w:rFonts w:hint="eastAsia" w:eastAsia="宋体"/>
                <w:kern w:val="2"/>
                <w:sz w:val="21"/>
                <w:szCs w:val="21"/>
              </w:rPr>
              <w:t>稳定</w:t>
            </w:r>
          </w:p>
        </w:tc>
        <w:tc>
          <w:tcPr>
            <w:tcW w:w="4022" w:type="dxa"/>
          </w:tcPr>
          <w:p>
            <w:pPr>
              <w:pStyle w:val="78"/>
              <w:jc w:val="both"/>
              <w:rPr>
                <w:rFonts w:eastAsia="宋体"/>
                <w:kern w:val="2"/>
                <w:sz w:val="21"/>
                <w:szCs w:val="21"/>
              </w:rPr>
            </w:pPr>
            <w:r>
              <w:rPr>
                <w:rFonts w:hint="eastAsia" w:eastAsia="宋体"/>
                <w:kern w:val="2"/>
                <w:sz w:val="21"/>
                <w:szCs w:val="21"/>
              </w:rPr>
              <w:t>聚合危害</w:t>
            </w:r>
            <w:r>
              <w:rPr>
                <w:rFonts w:eastAsia="宋体"/>
                <w:kern w:val="2"/>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restart"/>
            <w:vAlign w:val="center"/>
          </w:tcPr>
          <w:p>
            <w:pPr>
              <w:pStyle w:val="78"/>
              <w:jc w:val="center"/>
              <w:rPr>
                <w:rFonts w:eastAsia="宋体"/>
                <w:b/>
                <w:kern w:val="2"/>
                <w:sz w:val="21"/>
                <w:szCs w:val="21"/>
              </w:rPr>
            </w:pPr>
            <w:r>
              <w:rPr>
                <w:rFonts w:eastAsia="宋体"/>
                <w:kern w:val="2"/>
                <w:sz w:val="21"/>
                <w:szCs w:val="21"/>
              </w:rPr>
              <w:t>危险特性</w:t>
            </w:r>
          </w:p>
        </w:tc>
        <w:tc>
          <w:tcPr>
            <w:tcW w:w="4579" w:type="dxa"/>
            <w:gridSpan w:val="2"/>
          </w:tcPr>
          <w:p>
            <w:pPr>
              <w:pStyle w:val="78"/>
              <w:jc w:val="both"/>
              <w:rPr>
                <w:rFonts w:eastAsia="宋体"/>
                <w:kern w:val="2"/>
                <w:sz w:val="21"/>
                <w:szCs w:val="21"/>
              </w:rPr>
            </w:pPr>
            <w:r>
              <w:rPr>
                <w:rFonts w:hint="eastAsia" w:eastAsia="宋体"/>
                <w:kern w:val="2"/>
                <w:sz w:val="21"/>
                <w:szCs w:val="21"/>
              </w:rPr>
              <w:t>危险性类别</w:t>
            </w:r>
            <w:r>
              <w:rPr>
                <w:rFonts w:eastAsia="宋体"/>
                <w:kern w:val="2"/>
                <w:sz w:val="21"/>
                <w:szCs w:val="21"/>
              </w:rPr>
              <w:t xml:space="preserve">: </w:t>
            </w:r>
            <w:r>
              <w:rPr>
                <w:rFonts w:hint="eastAsia" w:eastAsia="宋体"/>
                <w:kern w:val="2"/>
                <w:sz w:val="21"/>
                <w:szCs w:val="21"/>
              </w:rPr>
              <w:t>第</w:t>
            </w:r>
            <w:r>
              <w:rPr>
                <w:rFonts w:eastAsia="宋体"/>
                <w:kern w:val="2"/>
                <w:sz w:val="21"/>
                <w:szCs w:val="21"/>
              </w:rPr>
              <w:t>2..3</w:t>
            </w:r>
            <w:r>
              <w:rPr>
                <w:rFonts w:hint="eastAsia" w:eastAsia="宋体"/>
                <w:kern w:val="2"/>
                <w:sz w:val="21"/>
                <w:szCs w:val="21"/>
              </w:rPr>
              <w:t>类有毒气体</w:t>
            </w:r>
          </w:p>
        </w:tc>
        <w:tc>
          <w:tcPr>
            <w:tcW w:w="4022" w:type="dxa"/>
          </w:tcPr>
          <w:p>
            <w:pPr>
              <w:pStyle w:val="78"/>
              <w:jc w:val="both"/>
              <w:rPr>
                <w:rFonts w:eastAsia="宋体"/>
                <w:kern w:val="2"/>
                <w:sz w:val="21"/>
                <w:szCs w:val="21"/>
              </w:rPr>
            </w:pPr>
            <w:r>
              <w:rPr>
                <w:rFonts w:hint="eastAsia" w:eastAsia="宋体"/>
                <w:kern w:val="2"/>
                <w:sz w:val="21"/>
                <w:szCs w:val="21"/>
              </w:rPr>
              <w:t>燃烧性</w:t>
            </w:r>
            <w:r>
              <w:rPr>
                <w:rFonts w:eastAsia="宋体"/>
                <w:kern w:val="2"/>
                <w:sz w:val="21"/>
                <w:szCs w:val="21"/>
              </w:rPr>
              <w:t>:</w:t>
            </w:r>
            <w:r>
              <w:rPr>
                <w:rFonts w:hint="eastAsia" w:eastAsia="宋体"/>
                <w:kern w:val="2"/>
                <w:sz w:val="21"/>
                <w:szCs w:val="21"/>
              </w:rPr>
              <w:t>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78"/>
              <w:jc w:val="center"/>
              <w:rPr>
                <w:rFonts w:eastAsia="宋体"/>
                <w:kern w:val="2"/>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引燃温度</w:t>
            </w:r>
            <w:r>
              <w:rPr>
                <w:rFonts w:eastAsia="宋体"/>
                <w:kern w:val="2"/>
                <w:sz w:val="21"/>
                <w:szCs w:val="21"/>
              </w:rPr>
              <w:t>(</w:t>
            </w:r>
            <w:r>
              <w:rPr>
                <w:rFonts w:hint="eastAsia" w:eastAsia="宋体"/>
                <w:kern w:val="2"/>
                <w:sz w:val="21"/>
                <w:szCs w:val="21"/>
              </w:rPr>
              <w:t>℃</w:t>
            </w:r>
            <w:r>
              <w:rPr>
                <w:rFonts w:eastAsia="宋体"/>
                <w:kern w:val="2"/>
                <w:sz w:val="21"/>
                <w:szCs w:val="21"/>
              </w:rPr>
              <w:t xml:space="preserve">):651 </w:t>
            </w:r>
          </w:p>
        </w:tc>
        <w:tc>
          <w:tcPr>
            <w:tcW w:w="4022" w:type="dxa"/>
          </w:tcPr>
          <w:p>
            <w:pPr>
              <w:pStyle w:val="78"/>
              <w:jc w:val="both"/>
              <w:rPr>
                <w:rFonts w:eastAsia="宋体"/>
                <w:kern w:val="2"/>
                <w:sz w:val="21"/>
                <w:szCs w:val="21"/>
              </w:rPr>
            </w:pPr>
            <w:r>
              <w:rPr>
                <w:rFonts w:hint="eastAsia" w:eastAsia="宋体"/>
                <w:kern w:val="2"/>
                <w:sz w:val="21"/>
                <w:szCs w:val="21"/>
              </w:rPr>
              <w:t>闪点</w:t>
            </w:r>
            <w:r>
              <w:rPr>
                <w:rFonts w:eastAsia="宋体"/>
                <w:kern w:val="2"/>
                <w:sz w:val="21"/>
                <w:szCs w:val="21"/>
              </w:rPr>
              <w:t>(</w:t>
            </w:r>
            <w:r>
              <w:rPr>
                <w:rFonts w:hint="eastAsia" w:eastAsia="宋体"/>
                <w:kern w:val="2"/>
                <w:sz w:val="21"/>
                <w:szCs w:val="21"/>
              </w:rPr>
              <w:t>℃</w:t>
            </w:r>
            <w:r>
              <w:rPr>
                <w:rFonts w:eastAsia="宋体"/>
                <w:kern w:val="2"/>
                <w:sz w:val="21"/>
                <w:szCs w:val="21"/>
              </w:rPr>
              <w:t>):</w:t>
            </w:r>
            <w:r>
              <w:rPr>
                <w:rFonts w:hint="eastAsia" w:eastAsia="宋体"/>
                <w:kern w:val="2"/>
                <w:sz w:val="21"/>
                <w:szCs w:val="21"/>
              </w:rPr>
              <w:t>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爆炸下限</w:t>
            </w:r>
            <w:r>
              <w:rPr>
                <w:rFonts w:eastAsia="宋体"/>
                <w:kern w:val="2"/>
                <w:sz w:val="21"/>
                <w:szCs w:val="21"/>
              </w:rPr>
              <w:t xml:space="preserve">(%):14.5 </w:t>
            </w:r>
          </w:p>
        </w:tc>
        <w:tc>
          <w:tcPr>
            <w:tcW w:w="4022" w:type="dxa"/>
          </w:tcPr>
          <w:p>
            <w:pPr>
              <w:pStyle w:val="78"/>
              <w:jc w:val="both"/>
              <w:rPr>
                <w:rFonts w:eastAsia="宋体"/>
                <w:kern w:val="2"/>
                <w:sz w:val="21"/>
                <w:szCs w:val="21"/>
              </w:rPr>
            </w:pPr>
            <w:r>
              <w:rPr>
                <w:rFonts w:hint="eastAsia" w:eastAsia="宋体"/>
                <w:kern w:val="2"/>
                <w:sz w:val="21"/>
                <w:szCs w:val="21"/>
              </w:rPr>
              <w:t>爆炸上限</w:t>
            </w:r>
            <w:r>
              <w:rPr>
                <w:rFonts w:eastAsia="宋体"/>
                <w:kern w:val="2"/>
                <w:sz w:val="21"/>
                <w:szCs w:val="21"/>
              </w:rPr>
              <w:t xml:space="preserve">(%):27.4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最小点火能</w:t>
            </w:r>
            <w:r>
              <w:rPr>
                <w:rFonts w:eastAsia="宋体"/>
                <w:kern w:val="2"/>
                <w:sz w:val="21"/>
                <w:szCs w:val="21"/>
              </w:rPr>
              <w:t>(MJ)</w:t>
            </w:r>
            <w:r>
              <w:rPr>
                <w:rFonts w:hint="eastAsia" w:eastAsia="宋体"/>
                <w:kern w:val="2"/>
                <w:sz w:val="21"/>
                <w:szCs w:val="21"/>
              </w:rPr>
              <w:t>：</w:t>
            </w:r>
            <w:r>
              <w:rPr>
                <w:rFonts w:eastAsia="宋体"/>
                <w:kern w:val="2"/>
                <w:sz w:val="21"/>
                <w:szCs w:val="21"/>
              </w:rPr>
              <w:t xml:space="preserve">1000 </w:t>
            </w:r>
          </w:p>
        </w:tc>
        <w:tc>
          <w:tcPr>
            <w:tcW w:w="4022" w:type="dxa"/>
          </w:tcPr>
          <w:p>
            <w:pPr>
              <w:pStyle w:val="78"/>
              <w:jc w:val="both"/>
              <w:rPr>
                <w:rFonts w:eastAsia="宋体"/>
                <w:kern w:val="2"/>
                <w:sz w:val="21"/>
                <w:szCs w:val="21"/>
              </w:rPr>
            </w:pPr>
            <w:r>
              <w:rPr>
                <w:rFonts w:hint="eastAsia" w:eastAsia="宋体"/>
                <w:kern w:val="2"/>
                <w:sz w:val="21"/>
                <w:szCs w:val="21"/>
              </w:rPr>
              <w:t>最大爆炸压力</w:t>
            </w:r>
            <w:r>
              <w:rPr>
                <w:rFonts w:eastAsia="宋体"/>
                <w:kern w:val="2"/>
                <w:sz w:val="21"/>
                <w:szCs w:val="21"/>
              </w:rPr>
              <w:t xml:space="preserve">(KPa):4.85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4579" w:type="dxa"/>
            <w:gridSpan w:val="2"/>
          </w:tcPr>
          <w:p>
            <w:pPr>
              <w:pStyle w:val="78"/>
              <w:jc w:val="both"/>
              <w:rPr>
                <w:rFonts w:eastAsia="宋体"/>
                <w:kern w:val="2"/>
                <w:sz w:val="21"/>
                <w:szCs w:val="21"/>
              </w:rPr>
            </w:pPr>
            <w:r>
              <w:rPr>
                <w:rFonts w:hint="eastAsia" w:eastAsia="宋体"/>
                <w:kern w:val="2"/>
                <w:sz w:val="21"/>
                <w:szCs w:val="21"/>
              </w:rPr>
              <w:t>燃烧热</w:t>
            </w:r>
            <w:r>
              <w:rPr>
                <w:rFonts w:eastAsia="宋体"/>
                <w:kern w:val="2"/>
                <w:sz w:val="21"/>
                <w:szCs w:val="21"/>
              </w:rPr>
              <w:t xml:space="preserve">( kJ/kg):18700 </w:t>
            </w:r>
          </w:p>
        </w:tc>
        <w:tc>
          <w:tcPr>
            <w:tcW w:w="4022" w:type="dxa"/>
          </w:tcPr>
          <w:p>
            <w:pPr>
              <w:pStyle w:val="78"/>
              <w:jc w:val="both"/>
              <w:rPr>
                <w:rFonts w:eastAsia="宋体"/>
                <w:kern w:val="2"/>
                <w:sz w:val="21"/>
                <w:szCs w:val="21"/>
              </w:rPr>
            </w:pPr>
            <w:r>
              <w:rPr>
                <w:rFonts w:hint="eastAsia" w:eastAsia="宋体"/>
                <w:kern w:val="2"/>
                <w:sz w:val="21"/>
                <w:szCs w:val="21"/>
              </w:rPr>
              <w:t>燃烧</w:t>
            </w:r>
            <w:r>
              <w:rPr>
                <w:rFonts w:eastAsia="宋体"/>
                <w:kern w:val="2"/>
                <w:sz w:val="21"/>
                <w:szCs w:val="21"/>
              </w:rPr>
              <w:t>(</w:t>
            </w:r>
            <w:r>
              <w:rPr>
                <w:rFonts w:hint="eastAsia" w:eastAsia="宋体"/>
                <w:kern w:val="2"/>
                <w:sz w:val="21"/>
                <w:szCs w:val="21"/>
              </w:rPr>
              <w:t>分解</w:t>
            </w:r>
            <w:r>
              <w:rPr>
                <w:rFonts w:eastAsia="宋体"/>
                <w:kern w:val="2"/>
                <w:sz w:val="21"/>
                <w:szCs w:val="21"/>
              </w:rPr>
              <w:t>)</w:t>
            </w:r>
            <w:r>
              <w:rPr>
                <w:rFonts w:hint="eastAsia" w:eastAsia="宋体"/>
                <w:kern w:val="2"/>
                <w:sz w:val="21"/>
                <w:szCs w:val="21"/>
              </w:rPr>
              <w:t>产物</w:t>
            </w:r>
            <w:r>
              <w:rPr>
                <w:rFonts w:eastAsia="宋体"/>
                <w:kern w:val="2"/>
                <w:sz w:val="21"/>
                <w:szCs w:val="21"/>
              </w:rPr>
              <w:t>:</w:t>
            </w:r>
            <w:r>
              <w:rPr>
                <w:rFonts w:hint="eastAsia" w:eastAsia="宋体"/>
                <w:kern w:val="2"/>
                <w:sz w:val="21"/>
                <w:szCs w:val="21"/>
              </w:rPr>
              <w:t>氮氧化物、水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8601" w:type="dxa"/>
            <w:gridSpan w:val="3"/>
          </w:tcPr>
          <w:p>
            <w:pPr>
              <w:pStyle w:val="78"/>
              <w:jc w:val="both"/>
              <w:rPr>
                <w:rFonts w:eastAsia="宋体"/>
                <w:kern w:val="2"/>
                <w:sz w:val="21"/>
                <w:szCs w:val="21"/>
              </w:rPr>
            </w:pPr>
            <w:r>
              <w:rPr>
                <w:rFonts w:hint="eastAsia" w:eastAsia="宋体"/>
                <w:kern w:val="2"/>
                <w:sz w:val="21"/>
                <w:szCs w:val="21"/>
              </w:rPr>
              <w:t>与空气混合能形成爆炸性混合物。遇明火、热即会发生燃烧爆炸。与氟、氯等接触会发生剧烈的化学反应。若遇高热，容器内压增大，又开裂和爆炸危险。遇热放出氨和氮及氮氧化物的有毒烟雾。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8601" w:type="dxa"/>
            <w:gridSpan w:val="3"/>
          </w:tcPr>
          <w:p>
            <w:pPr>
              <w:pStyle w:val="78"/>
              <w:jc w:val="both"/>
              <w:rPr>
                <w:rFonts w:eastAsia="宋体"/>
                <w:kern w:val="2"/>
                <w:sz w:val="21"/>
                <w:szCs w:val="21"/>
              </w:rPr>
            </w:pPr>
            <w:r>
              <w:rPr>
                <w:rFonts w:hint="eastAsia" w:eastAsia="宋体"/>
                <w:kern w:val="2"/>
                <w:sz w:val="21"/>
                <w:szCs w:val="21"/>
              </w:rPr>
              <w:t>灭火方法</w:t>
            </w:r>
            <w:r>
              <w:rPr>
                <w:rFonts w:eastAsia="宋体"/>
                <w:kern w:val="2"/>
                <w:sz w:val="21"/>
                <w:szCs w:val="21"/>
              </w:rPr>
              <w:t>:</w:t>
            </w:r>
            <w:r>
              <w:rPr>
                <w:rFonts w:hint="eastAsia" w:eastAsia="宋体"/>
                <w:kern w:val="2"/>
                <w:sz w:val="21"/>
                <w:szCs w:val="21"/>
              </w:rPr>
              <w:t>消防人员必须穿戴全身防火防毒服。切断气源。若不能立即切断气源，则不允许熄灭正在燃烧的气体。喷气冷却容器，可能的话将容器从火场移至空旷处。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pStyle w:val="14"/>
              <w:rPr>
                <w:b w:val="0"/>
                <w:sz w:val="21"/>
                <w:szCs w:val="21"/>
              </w:rPr>
            </w:pPr>
          </w:p>
        </w:tc>
        <w:tc>
          <w:tcPr>
            <w:tcW w:w="8601" w:type="dxa"/>
            <w:gridSpan w:val="3"/>
          </w:tcPr>
          <w:p>
            <w:pPr>
              <w:pStyle w:val="78"/>
              <w:jc w:val="both"/>
              <w:rPr>
                <w:rFonts w:eastAsia="宋体"/>
                <w:kern w:val="2"/>
                <w:sz w:val="21"/>
                <w:szCs w:val="21"/>
              </w:rPr>
            </w:pPr>
            <w:r>
              <w:rPr>
                <w:rFonts w:hint="eastAsia" w:eastAsia="宋体"/>
                <w:kern w:val="2"/>
                <w:sz w:val="21"/>
                <w:szCs w:val="21"/>
              </w:rPr>
              <w:t>灭火剂</w:t>
            </w:r>
            <w:r>
              <w:rPr>
                <w:rFonts w:eastAsia="宋体"/>
                <w:kern w:val="2"/>
                <w:sz w:val="21"/>
                <w:szCs w:val="21"/>
              </w:rPr>
              <w:t xml:space="preserve">: </w:t>
            </w:r>
            <w:r>
              <w:rPr>
                <w:rFonts w:hint="eastAsia" w:eastAsia="宋体"/>
                <w:kern w:val="2"/>
                <w:sz w:val="21"/>
                <w:szCs w:val="21"/>
              </w:rPr>
              <w:t>雾状水、抗溶性泡沫、二氧化碳、砂土。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641" w:type="dxa"/>
            <w:vMerge w:val="restart"/>
            <w:vAlign w:val="center"/>
          </w:tcPr>
          <w:p>
            <w:pPr>
              <w:pStyle w:val="78"/>
              <w:jc w:val="center"/>
              <w:rPr>
                <w:rFonts w:eastAsia="宋体"/>
                <w:kern w:val="2"/>
                <w:sz w:val="21"/>
                <w:szCs w:val="21"/>
              </w:rPr>
            </w:pPr>
            <w:r>
              <w:rPr>
                <w:rFonts w:eastAsia="宋体"/>
                <w:kern w:val="2"/>
                <w:sz w:val="21"/>
                <w:szCs w:val="21"/>
              </w:rPr>
              <w:t>健康</w:t>
            </w:r>
          </w:p>
          <w:p>
            <w:pPr>
              <w:pStyle w:val="14"/>
              <w:rPr>
                <w:b w:val="0"/>
                <w:sz w:val="21"/>
                <w:szCs w:val="21"/>
              </w:rPr>
            </w:pPr>
            <w:r>
              <w:rPr>
                <w:b w:val="0"/>
                <w:sz w:val="21"/>
                <w:szCs w:val="21"/>
              </w:rPr>
              <w:t>危害</w:t>
            </w:r>
          </w:p>
        </w:tc>
        <w:tc>
          <w:tcPr>
            <w:tcW w:w="8601" w:type="dxa"/>
            <w:gridSpan w:val="3"/>
          </w:tcPr>
          <w:p>
            <w:pPr>
              <w:pStyle w:val="78"/>
              <w:jc w:val="both"/>
              <w:rPr>
                <w:rFonts w:eastAsia="宋体"/>
                <w:kern w:val="2"/>
                <w:sz w:val="21"/>
                <w:szCs w:val="21"/>
              </w:rPr>
            </w:pPr>
            <w:r>
              <w:rPr>
                <w:rFonts w:hint="eastAsia" w:eastAsia="宋体"/>
                <w:kern w:val="2"/>
                <w:sz w:val="21"/>
                <w:szCs w:val="21"/>
              </w:rPr>
              <w:t>侵入途径</w:t>
            </w:r>
            <w:r>
              <w:rPr>
                <w:rFonts w:eastAsia="宋体"/>
                <w:kern w:val="2"/>
                <w:sz w:val="21"/>
                <w:szCs w:val="21"/>
              </w:rPr>
              <w:t>:</w:t>
            </w:r>
            <w:r>
              <w:rPr>
                <w:rFonts w:hint="eastAsia" w:eastAsia="宋体"/>
                <w:kern w:val="2"/>
                <w:sz w:val="21"/>
                <w:szCs w:val="21"/>
              </w:rPr>
              <w:t>吸入，此外可以通过皮肤吸收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41" w:type="dxa"/>
            <w:vMerge w:val="continue"/>
            <w:vAlign w:val="center"/>
          </w:tcPr>
          <w:p>
            <w:pPr>
              <w:pStyle w:val="78"/>
              <w:jc w:val="center"/>
              <w:rPr>
                <w:rFonts w:eastAsia="宋体"/>
                <w:kern w:val="2"/>
                <w:sz w:val="21"/>
                <w:szCs w:val="21"/>
              </w:rPr>
            </w:pPr>
          </w:p>
        </w:tc>
        <w:tc>
          <w:tcPr>
            <w:tcW w:w="8601" w:type="dxa"/>
            <w:gridSpan w:val="3"/>
          </w:tcPr>
          <w:p>
            <w:pPr>
              <w:pStyle w:val="78"/>
              <w:jc w:val="both"/>
              <w:rPr>
                <w:rFonts w:eastAsia="宋体"/>
                <w:kern w:val="2"/>
                <w:sz w:val="21"/>
                <w:szCs w:val="21"/>
              </w:rPr>
            </w:pPr>
            <w:r>
              <w:rPr>
                <w:rFonts w:hint="eastAsia" w:eastAsia="宋体"/>
                <w:kern w:val="2"/>
                <w:sz w:val="21"/>
                <w:szCs w:val="21"/>
              </w:rPr>
              <w:t>健康危害</w:t>
            </w:r>
            <w:r>
              <w:rPr>
                <w:rFonts w:eastAsia="宋体"/>
                <w:kern w:val="2"/>
                <w:sz w:val="21"/>
                <w:szCs w:val="21"/>
              </w:rPr>
              <w:t xml:space="preserve">: </w:t>
            </w:r>
            <w:r>
              <w:rPr>
                <w:rFonts w:hint="eastAsia" w:eastAsia="宋体"/>
                <w:kern w:val="2"/>
                <w:sz w:val="21"/>
                <w:szCs w:val="21"/>
              </w:rPr>
              <w:t>对粘膜和皮肤有碱性刺激及腐蚀作用，可造成组织溶解性坏死。高浓度时可引起反射性呼吸停止和心脏停搏。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41" w:type="dxa"/>
            <w:vMerge w:val="continue"/>
            <w:vAlign w:val="center"/>
          </w:tcPr>
          <w:p>
            <w:pPr>
              <w:pStyle w:val="78"/>
              <w:jc w:val="center"/>
              <w:rPr>
                <w:rFonts w:eastAsia="宋体"/>
                <w:kern w:val="2"/>
                <w:sz w:val="21"/>
                <w:szCs w:val="21"/>
              </w:rPr>
            </w:pPr>
          </w:p>
        </w:tc>
        <w:tc>
          <w:tcPr>
            <w:tcW w:w="8601" w:type="dxa"/>
            <w:gridSpan w:val="3"/>
          </w:tcPr>
          <w:p>
            <w:pPr>
              <w:pStyle w:val="78"/>
              <w:jc w:val="both"/>
              <w:rPr>
                <w:rFonts w:eastAsia="宋体"/>
                <w:kern w:val="2"/>
                <w:sz w:val="21"/>
                <w:szCs w:val="21"/>
              </w:rPr>
            </w:pPr>
            <w:r>
              <w:rPr>
                <w:rFonts w:hint="eastAsia" w:eastAsia="宋体"/>
                <w:kern w:val="2"/>
                <w:sz w:val="21"/>
                <w:szCs w:val="21"/>
              </w:rPr>
              <w:t>工作场所最高允许浓度：中国</w:t>
            </w:r>
            <w:r>
              <w:rPr>
                <w:rFonts w:eastAsia="宋体"/>
                <w:kern w:val="2"/>
                <w:sz w:val="21"/>
                <w:szCs w:val="21"/>
              </w:rPr>
              <w:t xml:space="preserve"> MAC</w:t>
            </w:r>
            <w:r>
              <w:rPr>
                <w:rFonts w:hint="eastAsia" w:eastAsia="宋体"/>
                <w:kern w:val="2"/>
                <w:sz w:val="21"/>
                <w:szCs w:val="21"/>
              </w:rPr>
              <w:t>（</w:t>
            </w:r>
            <w:r>
              <w:rPr>
                <w:rFonts w:eastAsia="宋体"/>
                <w:kern w:val="2"/>
                <w:sz w:val="21"/>
                <w:szCs w:val="21"/>
              </w:rPr>
              <w:t>mg/m3</w:t>
            </w:r>
            <w:r>
              <w:rPr>
                <w:rFonts w:hint="eastAsia" w:eastAsia="宋体"/>
                <w:kern w:val="2"/>
                <w:sz w:val="21"/>
                <w:szCs w:val="21"/>
              </w:rPr>
              <w:t>）：</w:t>
            </w:r>
            <w:r>
              <w:rPr>
                <w:rFonts w:eastAsia="宋体"/>
                <w:kern w:val="2"/>
                <w:sz w:val="21"/>
                <w:szCs w:val="21"/>
              </w:rPr>
              <w:t>30</w:t>
            </w:r>
            <w:r>
              <w:rPr>
                <w:rFonts w:hint="eastAsia" w:eastAsia="宋体"/>
                <w:kern w:val="2"/>
                <w:sz w:val="21"/>
                <w:szCs w:val="21"/>
              </w:rPr>
              <w:t>；前苏联</w:t>
            </w:r>
            <w:r>
              <w:rPr>
                <w:rFonts w:eastAsia="宋体"/>
                <w:kern w:val="2"/>
                <w:sz w:val="21"/>
                <w:szCs w:val="21"/>
              </w:rPr>
              <w:t xml:space="preserve"> MAC</w:t>
            </w:r>
            <w:r>
              <w:rPr>
                <w:rFonts w:hint="eastAsia" w:eastAsia="宋体"/>
                <w:kern w:val="2"/>
                <w:sz w:val="21"/>
                <w:szCs w:val="21"/>
              </w:rPr>
              <w:t>（</w:t>
            </w:r>
            <w:r>
              <w:rPr>
                <w:rFonts w:eastAsia="宋体"/>
                <w:kern w:val="2"/>
                <w:sz w:val="21"/>
                <w:szCs w:val="21"/>
              </w:rPr>
              <w:t>mg/m3</w:t>
            </w:r>
            <w:r>
              <w:rPr>
                <w:rFonts w:hint="eastAsia" w:eastAsia="宋体"/>
                <w:kern w:val="2"/>
                <w:sz w:val="21"/>
                <w:szCs w:val="21"/>
              </w:rPr>
              <w:t>）：</w:t>
            </w:r>
            <w:r>
              <w:rPr>
                <w:rFonts w:eastAsia="宋体"/>
                <w:kern w:val="2"/>
                <w:sz w:val="21"/>
                <w:szCs w:val="21"/>
              </w:rPr>
              <w:t xml:space="preserve">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41" w:type="dxa"/>
            <w:vAlign w:val="center"/>
          </w:tcPr>
          <w:p>
            <w:pPr>
              <w:pStyle w:val="78"/>
              <w:jc w:val="center"/>
              <w:rPr>
                <w:rFonts w:eastAsia="宋体"/>
                <w:kern w:val="2"/>
                <w:sz w:val="21"/>
                <w:szCs w:val="21"/>
              </w:rPr>
            </w:pPr>
            <w:r>
              <w:rPr>
                <w:rFonts w:eastAsia="宋体"/>
                <w:kern w:val="2"/>
                <w:sz w:val="21"/>
                <w:szCs w:val="21"/>
              </w:rPr>
              <w:t>急救</w:t>
            </w:r>
          </w:p>
          <w:p>
            <w:pPr>
              <w:pStyle w:val="14"/>
              <w:rPr>
                <w:b w:val="0"/>
                <w:sz w:val="21"/>
                <w:szCs w:val="21"/>
              </w:rPr>
            </w:pPr>
            <w:r>
              <w:rPr>
                <w:b w:val="0"/>
                <w:sz w:val="21"/>
                <w:szCs w:val="21"/>
              </w:rPr>
              <w:t>措施</w:t>
            </w:r>
          </w:p>
        </w:tc>
        <w:tc>
          <w:tcPr>
            <w:tcW w:w="8601" w:type="dxa"/>
            <w:gridSpan w:val="3"/>
          </w:tcPr>
          <w:p>
            <w:pPr>
              <w:pStyle w:val="78"/>
              <w:jc w:val="both"/>
              <w:rPr>
                <w:rFonts w:eastAsia="宋体"/>
                <w:kern w:val="2"/>
                <w:sz w:val="21"/>
                <w:szCs w:val="21"/>
              </w:rPr>
            </w:pPr>
            <w:r>
              <w:rPr>
                <w:rFonts w:hint="eastAsia" w:eastAsia="宋体"/>
                <w:kern w:val="2"/>
                <w:sz w:val="21"/>
                <w:szCs w:val="21"/>
              </w:rPr>
              <w:t>皮肤接触：立即脱去污染的衣着，用流动清水冲洗至少</w:t>
            </w:r>
            <w:r>
              <w:rPr>
                <w:rFonts w:eastAsia="宋体"/>
                <w:kern w:val="2"/>
                <w:sz w:val="21"/>
                <w:szCs w:val="21"/>
              </w:rPr>
              <w:t>30</w:t>
            </w:r>
            <w:r>
              <w:rPr>
                <w:rFonts w:hint="eastAsia" w:eastAsia="宋体"/>
                <w:kern w:val="2"/>
                <w:sz w:val="21"/>
                <w:szCs w:val="21"/>
              </w:rPr>
              <w:t>分钟</w:t>
            </w:r>
          </w:p>
          <w:p>
            <w:pPr>
              <w:pStyle w:val="78"/>
              <w:jc w:val="both"/>
              <w:rPr>
                <w:rFonts w:eastAsia="宋体"/>
                <w:kern w:val="2"/>
                <w:sz w:val="21"/>
                <w:szCs w:val="21"/>
              </w:rPr>
            </w:pPr>
            <w:r>
              <w:rPr>
                <w:rFonts w:hint="eastAsia" w:eastAsia="宋体"/>
                <w:kern w:val="2"/>
                <w:sz w:val="21"/>
                <w:szCs w:val="21"/>
              </w:rPr>
              <w:t>眼睛接触：立即用流动清水或凉开水冲洗至少</w:t>
            </w:r>
            <w:r>
              <w:rPr>
                <w:rFonts w:eastAsia="宋体"/>
                <w:kern w:val="2"/>
                <w:sz w:val="21"/>
                <w:szCs w:val="21"/>
              </w:rPr>
              <w:t>10</w:t>
            </w:r>
            <w:r>
              <w:rPr>
                <w:rFonts w:hint="eastAsia" w:eastAsia="宋体"/>
                <w:kern w:val="2"/>
                <w:sz w:val="21"/>
                <w:szCs w:val="21"/>
              </w:rPr>
              <w:t>分钟。</w:t>
            </w:r>
          </w:p>
          <w:p>
            <w:pPr>
              <w:pStyle w:val="78"/>
              <w:jc w:val="both"/>
              <w:rPr>
                <w:rFonts w:eastAsia="宋体"/>
                <w:kern w:val="2"/>
                <w:sz w:val="21"/>
                <w:szCs w:val="21"/>
              </w:rPr>
            </w:pPr>
            <w:r>
              <w:rPr>
                <w:rFonts w:hint="eastAsia" w:eastAsia="宋体"/>
                <w:kern w:val="2"/>
                <w:sz w:val="21"/>
                <w:szCs w:val="21"/>
              </w:rPr>
              <w:t>吸入：吸入者应迅速脱离现场，至空气新鲜处。维持呼吸功能。卧床静息。及时观察血气分析及胸部</w:t>
            </w:r>
            <w:r>
              <w:rPr>
                <w:rFonts w:eastAsia="宋体"/>
                <w:kern w:val="2"/>
                <w:sz w:val="21"/>
                <w:szCs w:val="21"/>
              </w:rPr>
              <w:t>X</w:t>
            </w:r>
            <w:r>
              <w:rPr>
                <w:rFonts w:hint="eastAsia" w:eastAsia="宋体"/>
                <w:kern w:val="2"/>
                <w:sz w:val="21"/>
                <w:szCs w:val="21"/>
              </w:rPr>
              <w:t>线片变化。给对症、支持治疗。</w:t>
            </w:r>
          </w:p>
          <w:p>
            <w:pPr>
              <w:pStyle w:val="78"/>
              <w:jc w:val="both"/>
              <w:rPr>
                <w:rFonts w:eastAsia="宋体"/>
                <w:kern w:val="2"/>
                <w:sz w:val="21"/>
                <w:szCs w:val="21"/>
              </w:rPr>
            </w:pPr>
            <w:r>
              <w:rPr>
                <w:rFonts w:hint="eastAsia" w:eastAsia="宋体"/>
                <w:kern w:val="2"/>
                <w:sz w:val="21"/>
                <w:szCs w:val="21"/>
              </w:rPr>
              <w:t>食入：给饮牛奶，有腐蚀症状时忌洗胃。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78"/>
              <w:jc w:val="center"/>
              <w:rPr>
                <w:rFonts w:eastAsia="宋体"/>
                <w:kern w:val="2"/>
                <w:sz w:val="21"/>
                <w:szCs w:val="21"/>
              </w:rPr>
            </w:pPr>
            <w:r>
              <w:rPr>
                <w:rFonts w:eastAsia="宋体"/>
                <w:kern w:val="2"/>
                <w:sz w:val="21"/>
                <w:szCs w:val="21"/>
              </w:rPr>
              <w:t>泄漏处理</w:t>
            </w:r>
          </w:p>
        </w:tc>
        <w:tc>
          <w:tcPr>
            <w:tcW w:w="8601" w:type="dxa"/>
            <w:gridSpan w:val="3"/>
          </w:tcPr>
          <w:p>
            <w:pPr>
              <w:pStyle w:val="78"/>
              <w:jc w:val="both"/>
              <w:rPr>
                <w:rFonts w:eastAsia="宋体"/>
                <w:kern w:val="2"/>
                <w:sz w:val="21"/>
                <w:szCs w:val="21"/>
              </w:rPr>
            </w:pPr>
            <w:r>
              <w:rPr>
                <w:rFonts w:hint="eastAsia" w:eastAsia="宋体"/>
                <w:kern w:val="2"/>
                <w:sz w:val="21"/>
                <w:szCs w:val="21"/>
              </w:rPr>
              <w:t>迅速撤离泄漏污染区人员至上风处，并进行隔离，严格限制出入。用湿草席等盖在泄漏处或漏出来的氨液上，然后从远处用水管冲洗。气体大量喷出时，在远处用喷射雾状水吸收。液体附着物要用大量水冲洗或用含盐酸的水中和。废气要用水吸收后盐酸中和，也可用大量水稀释排入下水道。中和剂，除盐酸外硫酸和其它酸也可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78"/>
              <w:jc w:val="center"/>
              <w:rPr>
                <w:rFonts w:eastAsia="宋体"/>
                <w:b/>
                <w:kern w:val="2"/>
                <w:sz w:val="21"/>
                <w:szCs w:val="21"/>
              </w:rPr>
            </w:pPr>
            <w:r>
              <w:rPr>
                <w:rFonts w:eastAsia="宋体"/>
                <w:kern w:val="2"/>
                <w:sz w:val="21"/>
                <w:szCs w:val="21"/>
              </w:rPr>
              <w:t>储运措施</w:t>
            </w:r>
          </w:p>
        </w:tc>
        <w:tc>
          <w:tcPr>
            <w:tcW w:w="8601" w:type="dxa"/>
            <w:gridSpan w:val="3"/>
          </w:tcPr>
          <w:p>
            <w:pPr>
              <w:pStyle w:val="78"/>
              <w:jc w:val="both"/>
              <w:rPr>
                <w:rFonts w:eastAsia="宋体"/>
                <w:kern w:val="2"/>
                <w:sz w:val="21"/>
                <w:szCs w:val="21"/>
              </w:rPr>
            </w:pPr>
            <w:r>
              <w:rPr>
                <w:rFonts w:hint="eastAsia" w:eastAsia="宋体"/>
                <w:kern w:val="2"/>
                <w:sz w:val="21"/>
                <w:szCs w:val="21"/>
              </w:rPr>
              <w:t>谨防容器受损；本品适宜室外或单独存放，室内存放应置于凉爽、通风处；避易燃物，与其他化学品分离，尤其是氧化气体，次氯酸物、碘和酸；严禁烟火。搬运时要轻装轻卸，防止包装及容器损坏。分装和搬运作业要注意个人防护。运输按规定路线行驶，勿在居民区和人口稠密区停留</w:t>
            </w:r>
          </w:p>
        </w:tc>
      </w:tr>
    </w:tbl>
    <w:p>
      <w:pPr>
        <w:pStyle w:val="14"/>
        <w:spacing w:line="240" w:lineRule="auto"/>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34</w:t>
      </w:r>
      <w:r>
        <w:fldChar w:fldCharType="end"/>
      </w:r>
      <w:r>
        <w:rPr>
          <w:rFonts w:hint="eastAsia"/>
        </w:rPr>
        <w:t xml:space="preserve">  硫化氢理化性质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534"/>
        <w:gridCol w:w="2280"/>
        <w:gridCol w:w="3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restart"/>
            <w:vAlign w:val="center"/>
          </w:tcPr>
          <w:p>
            <w:pPr>
              <w:pStyle w:val="14"/>
              <w:rPr>
                <w:b w:val="0"/>
                <w:sz w:val="21"/>
                <w:szCs w:val="21"/>
              </w:rPr>
            </w:pPr>
            <w:r>
              <w:rPr>
                <w:b w:val="0"/>
                <w:sz w:val="21"/>
                <w:szCs w:val="21"/>
              </w:rPr>
              <w:t>标识</w:t>
            </w:r>
          </w:p>
        </w:tc>
        <w:tc>
          <w:tcPr>
            <w:tcW w:w="4814" w:type="dxa"/>
            <w:gridSpan w:val="2"/>
          </w:tcPr>
          <w:p>
            <w:pPr>
              <w:pStyle w:val="78"/>
              <w:jc w:val="both"/>
              <w:rPr>
                <w:rFonts w:eastAsia="宋体"/>
                <w:kern w:val="2"/>
                <w:sz w:val="21"/>
                <w:szCs w:val="21"/>
              </w:rPr>
            </w:pPr>
            <w:r>
              <w:rPr>
                <w:rFonts w:hint="eastAsia" w:eastAsia="宋体"/>
                <w:kern w:val="2"/>
                <w:sz w:val="21"/>
                <w:szCs w:val="21"/>
              </w:rPr>
              <w:t>中文名：硫化氢</w:t>
            </w:r>
          </w:p>
        </w:tc>
        <w:tc>
          <w:tcPr>
            <w:tcW w:w="3888" w:type="dxa"/>
          </w:tcPr>
          <w:p>
            <w:pPr>
              <w:pStyle w:val="78"/>
              <w:jc w:val="both"/>
              <w:rPr>
                <w:rFonts w:eastAsia="宋体"/>
                <w:kern w:val="2"/>
                <w:sz w:val="21"/>
                <w:szCs w:val="21"/>
              </w:rPr>
            </w:pPr>
            <w:r>
              <w:rPr>
                <w:rFonts w:hint="eastAsia" w:eastAsia="宋体"/>
                <w:kern w:val="2"/>
                <w:sz w:val="21"/>
                <w:szCs w:val="21"/>
              </w:rPr>
              <w:t>英文名：</w:t>
            </w:r>
            <w:r>
              <w:rPr>
                <w:rFonts w:eastAsia="宋体"/>
                <w:kern w:val="2"/>
                <w:sz w:val="21"/>
                <w:szCs w:val="21"/>
              </w:rPr>
              <w:t xml:space="preserve">hydrogensulfide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分子式</w:t>
            </w:r>
            <w:r>
              <w:rPr>
                <w:rFonts w:eastAsia="宋体"/>
                <w:kern w:val="2"/>
                <w:sz w:val="21"/>
                <w:szCs w:val="21"/>
              </w:rPr>
              <w:t xml:space="preserve">:H2S </w:t>
            </w:r>
          </w:p>
        </w:tc>
        <w:tc>
          <w:tcPr>
            <w:tcW w:w="3888" w:type="dxa"/>
          </w:tcPr>
          <w:p>
            <w:pPr>
              <w:pStyle w:val="78"/>
              <w:jc w:val="both"/>
              <w:rPr>
                <w:rFonts w:eastAsia="宋体"/>
                <w:kern w:val="2"/>
                <w:sz w:val="21"/>
                <w:szCs w:val="21"/>
              </w:rPr>
            </w:pPr>
            <w:r>
              <w:rPr>
                <w:rFonts w:hint="eastAsia" w:eastAsia="宋体"/>
                <w:kern w:val="2"/>
                <w:sz w:val="21"/>
                <w:szCs w:val="21"/>
              </w:rPr>
              <w:t>分子量：</w:t>
            </w:r>
            <w:r>
              <w:rPr>
                <w:rFonts w:eastAsia="宋体"/>
                <w:kern w:val="2"/>
                <w:sz w:val="21"/>
                <w:szCs w:val="21"/>
              </w:rPr>
              <w:t xml:space="preserve">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2534" w:type="dxa"/>
          </w:tcPr>
          <w:p>
            <w:pPr>
              <w:pStyle w:val="78"/>
              <w:jc w:val="both"/>
              <w:rPr>
                <w:rFonts w:eastAsia="宋体"/>
                <w:kern w:val="2"/>
                <w:sz w:val="21"/>
                <w:szCs w:val="21"/>
              </w:rPr>
            </w:pPr>
            <w:r>
              <w:rPr>
                <w:rFonts w:hint="eastAsia" w:eastAsia="宋体"/>
                <w:kern w:val="2"/>
                <w:sz w:val="21"/>
                <w:szCs w:val="21"/>
              </w:rPr>
              <w:t>危规号</w:t>
            </w:r>
            <w:r>
              <w:rPr>
                <w:rFonts w:eastAsia="宋体"/>
                <w:kern w:val="2"/>
                <w:sz w:val="21"/>
                <w:szCs w:val="21"/>
              </w:rPr>
              <w:t xml:space="preserve">:21005 </w:t>
            </w:r>
          </w:p>
        </w:tc>
        <w:tc>
          <w:tcPr>
            <w:tcW w:w="2280" w:type="dxa"/>
          </w:tcPr>
          <w:p>
            <w:pPr>
              <w:pStyle w:val="78"/>
              <w:jc w:val="both"/>
              <w:rPr>
                <w:rFonts w:eastAsia="宋体"/>
                <w:kern w:val="2"/>
                <w:sz w:val="21"/>
                <w:szCs w:val="21"/>
              </w:rPr>
            </w:pPr>
            <w:r>
              <w:rPr>
                <w:rFonts w:eastAsia="宋体"/>
                <w:kern w:val="2"/>
                <w:sz w:val="21"/>
                <w:szCs w:val="21"/>
              </w:rPr>
              <w:t>UN</w:t>
            </w:r>
            <w:r>
              <w:rPr>
                <w:rFonts w:hint="eastAsia" w:eastAsia="宋体"/>
                <w:kern w:val="2"/>
                <w:sz w:val="21"/>
                <w:szCs w:val="21"/>
              </w:rPr>
              <w:t>编号：</w:t>
            </w:r>
            <w:r>
              <w:rPr>
                <w:rFonts w:eastAsia="宋体"/>
                <w:kern w:val="2"/>
                <w:sz w:val="21"/>
                <w:szCs w:val="21"/>
              </w:rPr>
              <w:t xml:space="preserve">1016 </w:t>
            </w:r>
          </w:p>
        </w:tc>
        <w:tc>
          <w:tcPr>
            <w:tcW w:w="3888" w:type="dxa"/>
          </w:tcPr>
          <w:p>
            <w:pPr>
              <w:pStyle w:val="78"/>
              <w:jc w:val="both"/>
              <w:rPr>
                <w:rFonts w:eastAsia="宋体"/>
                <w:kern w:val="2"/>
                <w:sz w:val="21"/>
                <w:szCs w:val="21"/>
              </w:rPr>
            </w:pPr>
            <w:r>
              <w:rPr>
                <w:rFonts w:eastAsia="宋体"/>
                <w:kern w:val="2"/>
                <w:sz w:val="21"/>
                <w:szCs w:val="21"/>
              </w:rPr>
              <w:t>CAS</w:t>
            </w:r>
            <w:r>
              <w:rPr>
                <w:rFonts w:hint="eastAsia" w:eastAsia="宋体"/>
                <w:kern w:val="2"/>
                <w:sz w:val="21"/>
                <w:szCs w:val="21"/>
              </w:rPr>
              <w:t>号：</w:t>
            </w:r>
            <w:r>
              <w:rPr>
                <w:rFonts w:eastAsia="宋体"/>
                <w:kern w:val="2"/>
                <w:sz w:val="21"/>
                <w:szCs w:val="21"/>
              </w:rPr>
              <w:t xml:space="preserve">630-08-0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restart"/>
            <w:vAlign w:val="center"/>
          </w:tcPr>
          <w:p>
            <w:pPr>
              <w:pStyle w:val="14"/>
              <w:rPr>
                <w:b w:val="0"/>
                <w:sz w:val="21"/>
                <w:szCs w:val="21"/>
              </w:rPr>
            </w:pPr>
            <w:r>
              <w:rPr>
                <w:b w:val="0"/>
                <w:sz w:val="21"/>
                <w:szCs w:val="21"/>
              </w:rPr>
              <w:t>理化性质</w:t>
            </w:r>
          </w:p>
        </w:tc>
        <w:tc>
          <w:tcPr>
            <w:tcW w:w="4814" w:type="dxa"/>
            <w:gridSpan w:val="2"/>
          </w:tcPr>
          <w:p>
            <w:pPr>
              <w:pStyle w:val="78"/>
              <w:jc w:val="both"/>
              <w:rPr>
                <w:rFonts w:eastAsia="宋体"/>
                <w:kern w:val="2"/>
                <w:sz w:val="21"/>
                <w:szCs w:val="21"/>
              </w:rPr>
            </w:pPr>
            <w:r>
              <w:rPr>
                <w:rFonts w:hint="eastAsia" w:eastAsia="宋体"/>
                <w:kern w:val="2"/>
                <w:sz w:val="21"/>
                <w:szCs w:val="21"/>
              </w:rPr>
              <w:t>外观与形状</w:t>
            </w:r>
            <w:r>
              <w:rPr>
                <w:rFonts w:eastAsia="宋体"/>
                <w:kern w:val="2"/>
                <w:sz w:val="21"/>
                <w:szCs w:val="21"/>
              </w:rPr>
              <w:t>:</w:t>
            </w:r>
            <w:r>
              <w:rPr>
                <w:rFonts w:hint="eastAsia" w:eastAsia="宋体"/>
                <w:kern w:val="2"/>
                <w:sz w:val="21"/>
                <w:szCs w:val="21"/>
              </w:rPr>
              <w:t>无色有恶臭气体</w:t>
            </w:r>
          </w:p>
        </w:tc>
        <w:tc>
          <w:tcPr>
            <w:tcW w:w="3888" w:type="dxa"/>
          </w:tcPr>
          <w:p>
            <w:pPr>
              <w:pStyle w:val="78"/>
              <w:jc w:val="both"/>
              <w:rPr>
                <w:rFonts w:eastAsia="宋体"/>
                <w:kern w:val="2"/>
                <w:sz w:val="21"/>
                <w:szCs w:val="21"/>
              </w:rPr>
            </w:pPr>
            <w:r>
              <w:rPr>
                <w:rFonts w:hint="eastAsia" w:eastAsia="宋体"/>
                <w:kern w:val="2"/>
                <w:sz w:val="21"/>
                <w:szCs w:val="21"/>
              </w:rPr>
              <w:t>溶解性</w:t>
            </w:r>
            <w:r>
              <w:rPr>
                <w:rFonts w:eastAsia="宋体"/>
                <w:kern w:val="2"/>
                <w:sz w:val="21"/>
                <w:szCs w:val="21"/>
              </w:rPr>
              <w:t>:</w:t>
            </w:r>
            <w:r>
              <w:rPr>
                <w:rFonts w:hint="eastAsia" w:eastAsia="宋体"/>
                <w:kern w:val="2"/>
                <w:sz w:val="21"/>
                <w:szCs w:val="21"/>
              </w:rPr>
              <w:t>溶于水、乙醇。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熔点</w:t>
            </w:r>
            <w:r>
              <w:rPr>
                <w:rFonts w:eastAsia="宋体"/>
                <w:kern w:val="2"/>
                <w:sz w:val="21"/>
                <w:szCs w:val="21"/>
              </w:rPr>
              <w:t>(</w:t>
            </w:r>
            <w:r>
              <w:rPr>
                <w:rFonts w:hint="eastAsia" w:eastAsia="宋体"/>
                <w:kern w:val="2"/>
                <w:sz w:val="21"/>
                <w:szCs w:val="21"/>
              </w:rPr>
              <w:t>℃</w:t>
            </w:r>
            <w:r>
              <w:rPr>
                <w:rFonts w:eastAsia="宋体"/>
                <w:kern w:val="2"/>
                <w:sz w:val="21"/>
                <w:szCs w:val="21"/>
              </w:rPr>
              <w:t xml:space="preserve">):-84.5 </w:t>
            </w:r>
          </w:p>
        </w:tc>
        <w:tc>
          <w:tcPr>
            <w:tcW w:w="3888" w:type="dxa"/>
          </w:tcPr>
          <w:p>
            <w:pPr>
              <w:pStyle w:val="78"/>
              <w:jc w:val="both"/>
              <w:rPr>
                <w:rFonts w:eastAsia="宋体"/>
                <w:kern w:val="2"/>
                <w:sz w:val="21"/>
                <w:szCs w:val="21"/>
              </w:rPr>
            </w:pPr>
            <w:r>
              <w:rPr>
                <w:rFonts w:hint="eastAsia" w:eastAsia="宋体"/>
                <w:kern w:val="2"/>
                <w:sz w:val="21"/>
                <w:szCs w:val="21"/>
              </w:rPr>
              <w:t>沸点</w:t>
            </w:r>
            <w:r>
              <w:rPr>
                <w:rFonts w:eastAsia="宋体"/>
                <w:kern w:val="2"/>
                <w:sz w:val="21"/>
                <w:szCs w:val="21"/>
              </w:rPr>
              <w:t>(</w:t>
            </w:r>
            <w:r>
              <w:rPr>
                <w:rFonts w:hint="eastAsia" w:eastAsia="宋体"/>
                <w:kern w:val="2"/>
                <w:sz w:val="21"/>
                <w:szCs w:val="21"/>
              </w:rPr>
              <w:t>℃</w:t>
            </w:r>
            <w:r>
              <w:rPr>
                <w:rFonts w:eastAsia="宋体"/>
                <w:kern w:val="2"/>
                <w:sz w:val="21"/>
                <w:szCs w:val="21"/>
              </w:rPr>
              <w:t xml:space="preserve">):-60.4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相对密度</w:t>
            </w:r>
            <w:r>
              <w:rPr>
                <w:rFonts w:eastAsia="宋体"/>
                <w:kern w:val="2"/>
                <w:sz w:val="21"/>
                <w:szCs w:val="21"/>
              </w:rPr>
              <w:t>:(</w:t>
            </w:r>
            <w:r>
              <w:rPr>
                <w:rFonts w:hint="eastAsia" w:eastAsia="宋体"/>
                <w:kern w:val="2"/>
                <w:sz w:val="21"/>
                <w:szCs w:val="21"/>
              </w:rPr>
              <w:t>水</w:t>
            </w:r>
            <w:r>
              <w:rPr>
                <w:rFonts w:eastAsia="宋体"/>
                <w:kern w:val="2"/>
                <w:sz w:val="21"/>
                <w:szCs w:val="21"/>
              </w:rPr>
              <w:t xml:space="preserve">=1) </w:t>
            </w:r>
          </w:p>
        </w:tc>
        <w:tc>
          <w:tcPr>
            <w:tcW w:w="3888" w:type="dxa"/>
          </w:tcPr>
          <w:p>
            <w:pPr>
              <w:pStyle w:val="78"/>
              <w:jc w:val="both"/>
              <w:rPr>
                <w:rFonts w:eastAsia="宋体"/>
                <w:kern w:val="2"/>
                <w:sz w:val="21"/>
                <w:szCs w:val="21"/>
              </w:rPr>
            </w:pPr>
            <w:r>
              <w:rPr>
                <w:rFonts w:hint="eastAsia" w:eastAsia="宋体"/>
                <w:kern w:val="2"/>
                <w:sz w:val="21"/>
                <w:szCs w:val="21"/>
              </w:rPr>
              <w:t>相对密度</w:t>
            </w:r>
            <w:r>
              <w:rPr>
                <w:rFonts w:eastAsia="宋体"/>
                <w:kern w:val="2"/>
                <w:sz w:val="21"/>
                <w:szCs w:val="21"/>
              </w:rPr>
              <w:t>:(</w:t>
            </w:r>
            <w:r>
              <w:rPr>
                <w:rFonts w:hint="eastAsia" w:eastAsia="宋体"/>
                <w:kern w:val="2"/>
                <w:sz w:val="21"/>
                <w:szCs w:val="21"/>
              </w:rPr>
              <w:t>空气</w:t>
            </w:r>
            <w:r>
              <w:rPr>
                <w:rFonts w:eastAsia="宋体"/>
                <w:kern w:val="2"/>
                <w:sz w:val="21"/>
                <w:szCs w:val="21"/>
              </w:rPr>
              <w:t xml:space="preserve">=1) 1.19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饱和蒸汽压</w:t>
            </w:r>
            <w:r>
              <w:rPr>
                <w:rFonts w:eastAsia="宋体"/>
                <w:kern w:val="2"/>
                <w:sz w:val="21"/>
                <w:szCs w:val="21"/>
              </w:rPr>
              <w:t>(kPa)2026.5(-24.5</w:t>
            </w:r>
            <w:r>
              <w:rPr>
                <w:rFonts w:hint="eastAsia" w:eastAsia="宋体"/>
                <w:kern w:val="2"/>
                <w:sz w:val="21"/>
                <w:szCs w:val="21"/>
              </w:rPr>
              <w:t>℃</w:t>
            </w:r>
            <w:r>
              <w:rPr>
                <w:rFonts w:eastAsia="宋体"/>
                <w:kern w:val="2"/>
                <w:sz w:val="21"/>
                <w:szCs w:val="21"/>
              </w:rPr>
              <w:t xml:space="preserve">) </w:t>
            </w:r>
          </w:p>
        </w:tc>
        <w:tc>
          <w:tcPr>
            <w:tcW w:w="3888" w:type="dxa"/>
          </w:tcPr>
          <w:p>
            <w:pPr>
              <w:pStyle w:val="78"/>
              <w:jc w:val="both"/>
              <w:rPr>
                <w:rFonts w:eastAsia="宋体"/>
                <w:kern w:val="2"/>
                <w:sz w:val="21"/>
                <w:szCs w:val="21"/>
              </w:rPr>
            </w:pPr>
            <w:r>
              <w:rPr>
                <w:rFonts w:hint="eastAsia" w:eastAsia="宋体"/>
                <w:kern w:val="2"/>
                <w:sz w:val="21"/>
                <w:szCs w:val="21"/>
              </w:rPr>
              <w:t>禁忌物</w:t>
            </w:r>
            <w:r>
              <w:rPr>
                <w:rFonts w:eastAsia="宋体"/>
                <w:kern w:val="2"/>
                <w:sz w:val="21"/>
                <w:szCs w:val="21"/>
              </w:rPr>
              <w:t>:</w:t>
            </w:r>
            <w:r>
              <w:rPr>
                <w:rFonts w:hint="eastAsia" w:eastAsia="宋体"/>
                <w:kern w:val="2"/>
                <w:sz w:val="21"/>
                <w:szCs w:val="21"/>
              </w:rPr>
              <w:t>强氧化剂、碱类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临界压力</w:t>
            </w:r>
            <w:r>
              <w:rPr>
                <w:rFonts w:eastAsia="宋体"/>
                <w:kern w:val="2"/>
                <w:sz w:val="21"/>
                <w:szCs w:val="21"/>
              </w:rPr>
              <w:t>(Mpa)</w:t>
            </w:r>
            <w:r>
              <w:rPr>
                <w:rFonts w:hint="eastAsia" w:eastAsia="宋体"/>
                <w:kern w:val="2"/>
                <w:sz w:val="21"/>
                <w:szCs w:val="21"/>
              </w:rPr>
              <w:t>：</w:t>
            </w:r>
            <w:r>
              <w:rPr>
                <w:rFonts w:eastAsia="宋体"/>
                <w:kern w:val="2"/>
                <w:sz w:val="21"/>
                <w:szCs w:val="21"/>
              </w:rPr>
              <w:t xml:space="preserve">9.01 </w:t>
            </w:r>
          </w:p>
        </w:tc>
        <w:tc>
          <w:tcPr>
            <w:tcW w:w="3888" w:type="dxa"/>
          </w:tcPr>
          <w:p>
            <w:pPr>
              <w:pStyle w:val="78"/>
              <w:jc w:val="both"/>
              <w:rPr>
                <w:rFonts w:eastAsia="宋体"/>
                <w:kern w:val="2"/>
                <w:sz w:val="21"/>
                <w:szCs w:val="21"/>
              </w:rPr>
            </w:pPr>
            <w:r>
              <w:rPr>
                <w:rFonts w:hint="eastAsia" w:eastAsia="宋体"/>
                <w:kern w:val="2"/>
                <w:sz w:val="21"/>
                <w:szCs w:val="21"/>
              </w:rPr>
              <w:t>临界温度</w:t>
            </w:r>
            <w:r>
              <w:rPr>
                <w:rFonts w:eastAsia="宋体"/>
                <w:kern w:val="2"/>
                <w:sz w:val="21"/>
                <w:szCs w:val="21"/>
              </w:rPr>
              <w:t>(</w:t>
            </w:r>
            <w:r>
              <w:rPr>
                <w:rFonts w:hint="eastAsia" w:eastAsia="宋体"/>
                <w:kern w:val="2"/>
                <w:sz w:val="21"/>
                <w:szCs w:val="21"/>
              </w:rPr>
              <w:t>℃</w:t>
            </w:r>
            <w:r>
              <w:rPr>
                <w:rFonts w:eastAsia="宋体"/>
                <w:kern w:val="2"/>
                <w:sz w:val="21"/>
                <w:szCs w:val="21"/>
              </w:rPr>
              <w:t xml:space="preserve">):100.4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稳定性</w:t>
            </w:r>
            <w:r>
              <w:rPr>
                <w:rFonts w:eastAsia="宋体"/>
                <w:kern w:val="2"/>
                <w:sz w:val="21"/>
                <w:szCs w:val="21"/>
              </w:rPr>
              <w:t>:</w:t>
            </w:r>
            <w:r>
              <w:rPr>
                <w:rFonts w:hint="eastAsia" w:eastAsia="宋体"/>
                <w:kern w:val="2"/>
                <w:sz w:val="21"/>
                <w:szCs w:val="21"/>
              </w:rPr>
              <w:t>稳定</w:t>
            </w:r>
          </w:p>
        </w:tc>
        <w:tc>
          <w:tcPr>
            <w:tcW w:w="3888" w:type="dxa"/>
          </w:tcPr>
          <w:p>
            <w:pPr>
              <w:pStyle w:val="78"/>
              <w:jc w:val="both"/>
              <w:rPr>
                <w:rFonts w:eastAsia="宋体"/>
                <w:kern w:val="2"/>
                <w:sz w:val="21"/>
                <w:szCs w:val="21"/>
              </w:rPr>
            </w:pPr>
            <w:r>
              <w:rPr>
                <w:rFonts w:hint="eastAsia" w:eastAsia="宋体"/>
                <w:kern w:val="2"/>
                <w:sz w:val="21"/>
                <w:szCs w:val="21"/>
              </w:rPr>
              <w:t>聚合危害</w:t>
            </w:r>
            <w:r>
              <w:rPr>
                <w:rFonts w:eastAsia="宋体"/>
                <w:kern w:val="2"/>
                <w:sz w:val="21"/>
                <w:szCs w:val="21"/>
              </w:rPr>
              <w:t>:</w:t>
            </w:r>
            <w:r>
              <w:rPr>
                <w:rFonts w:hint="eastAsia" w:eastAsia="宋体"/>
                <w:kern w:val="2"/>
                <w:sz w:val="21"/>
                <w:szCs w:val="21"/>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restart"/>
            <w:vAlign w:val="center"/>
          </w:tcPr>
          <w:p>
            <w:pPr>
              <w:pStyle w:val="78"/>
              <w:jc w:val="center"/>
              <w:rPr>
                <w:rFonts w:eastAsia="宋体"/>
                <w:b/>
                <w:kern w:val="2"/>
                <w:sz w:val="21"/>
                <w:szCs w:val="21"/>
              </w:rPr>
            </w:pPr>
            <w:r>
              <w:rPr>
                <w:rFonts w:eastAsia="宋体"/>
                <w:kern w:val="2"/>
                <w:sz w:val="21"/>
                <w:szCs w:val="21"/>
              </w:rPr>
              <w:t>危险特性</w:t>
            </w:r>
          </w:p>
        </w:tc>
        <w:tc>
          <w:tcPr>
            <w:tcW w:w="4814" w:type="dxa"/>
            <w:gridSpan w:val="2"/>
          </w:tcPr>
          <w:p>
            <w:pPr>
              <w:pStyle w:val="78"/>
              <w:jc w:val="both"/>
              <w:rPr>
                <w:rFonts w:eastAsia="宋体"/>
                <w:kern w:val="2"/>
                <w:sz w:val="21"/>
                <w:szCs w:val="21"/>
              </w:rPr>
            </w:pPr>
            <w:r>
              <w:rPr>
                <w:rFonts w:hint="eastAsia" w:eastAsia="宋体"/>
                <w:kern w:val="2"/>
                <w:sz w:val="21"/>
                <w:szCs w:val="21"/>
              </w:rPr>
              <w:t>危险性类别</w:t>
            </w:r>
            <w:r>
              <w:rPr>
                <w:rFonts w:eastAsia="宋体"/>
                <w:kern w:val="2"/>
                <w:sz w:val="21"/>
                <w:szCs w:val="21"/>
              </w:rPr>
              <w:t>:</w:t>
            </w:r>
            <w:r>
              <w:rPr>
                <w:rFonts w:hint="eastAsia" w:eastAsia="宋体"/>
                <w:kern w:val="2"/>
                <w:sz w:val="21"/>
                <w:szCs w:val="21"/>
              </w:rPr>
              <w:t>第</w:t>
            </w:r>
            <w:r>
              <w:rPr>
                <w:rFonts w:eastAsia="宋体"/>
                <w:kern w:val="2"/>
                <w:sz w:val="21"/>
                <w:szCs w:val="21"/>
              </w:rPr>
              <w:t>2.1</w:t>
            </w:r>
            <w:r>
              <w:rPr>
                <w:rFonts w:hint="eastAsia" w:eastAsia="宋体"/>
                <w:kern w:val="2"/>
                <w:sz w:val="21"/>
                <w:szCs w:val="21"/>
              </w:rPr>
              <w:t>类易燃气体</w:t>
            </w:r>
          </w:p>
        </w:tc>
        <w:tc>
          <w:tcPr>
            <w:tcW w:w="3888" w:type="dxa"/>
          </w:tcPr>
          <w:p>
            <w:pPr>
              <w:pStyle w:val="78"/>
              <w:jc w:val="both"/>
              <w:rPr>
                <w:rFonts w:eastAsia="宋体"/>
                <w:kern w:val="2"/>
                <w:sz w:val="21"/>
                <w:szCs w:val="21"/>
              </w:rPr>
            </w:pPr>
            <w:r>
              <w:rPr>
                <w:rFonts w:hint="eastAsia" w:eastAsia="宋体"/>
                <w:kern w:val="2"/>
                <w:sz w:val="21"/>
                <w:szCs w:val="21"/>
              </w:rPr>
              <w:t>燃烧性</w:t>
            </w:r>
            <w:r>
              <w:rPr>
                <w:rFonts w:eastAsia="宋体"/>
                <w:kern w:val="2"/>
                <w:sz w:val="21"/>
                <w:szCs w:val="21"/>
              </w:rPr>
              <w:t>:</w:t>
            </w:r>
            <w:r>
              <w:rPr>
                <w:rFonts w:hint="eastAsia" w:eastAsia="宋体"/>
                <w:kern w:val="2"/>
                <w:sz w:val="21"/>
                <w:szCs w:val="21"/>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78"/>
              <w:jc w:val="center"/>
              <w:rPr>
                <w:rFonts w:eastAsia="宋体"/>
                <w:kern w:val="2"/>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引燃温度</w:t>
            </w:r>
            <w:r>
              <w:rPr>
                <w:rFonts w:eastAsia="宋体"/>
                <w:kern w:val="2"/>
                <w:sz w:val="21"/>
                <w:szCs w:val="21"/>
              </w:rPr>
              <w:t>(</w:t>
            </w:r>
            <w:r>
              <w:rPr>
                <w:rFonts w:hint="eastAsia" w:eastAsia="宋体"/>
                <w:kern w:val="2"/>
                <w:sz w:val="21"/>
                <w:szCs w:val="21"/>
              </w:rPr>
              <w:t>℃</w:t>
            </w:r>
            <w:r>
              <w:rPr>
                <w:rFonts w:eastAsia="宋体"/>
                <w:kern w:val="2"/>
                <w:sz w:val="21"/>
                <w:szCs w:val="21"/>
              </w:rPr>
              <w:t xml:space="preserve">):260 </w:t>
            </w:r>
          </w:p>
        </w:tc>
        <w:tc>
          <w:tcPr>
            <w:tcW w:w="3888" w:type="dxa"/>
          </w:tcPr>
          <w:p>
            <w:pPr>
              <w:pStyle w:val="78"/>
              <w:jc w:val="both"/>
              <w:rPr>
                <w:rFonts w:eastAsia="宋体"/>
                <w:kern w:val="2"/>
                <w:sz w:val="21"/>
                <w:szCs w:val="21"/>
              </w:rPr>
            </w:pPr>
            <w:r>
              <w:rPr>
                <w:rFonts w:hint="eastAsia" w:eastAsia="宋体"/>
                <w:kern w:val="2"/>
                <w:sz w:val="21"/>
                <w:szCs w:val="21"/>
              </w:rPr>
              <w:t>闪点</w:t>
            </w:r>
            <w:r>
              <w:rPr>
                <w:rFonts w:eastAsia="宋体"/>
                <w:kern w:val="2"/>
                <w:sz w:val="21"/>
                <w:szCs w:val="21"/>
              </w:rPr>
              <w:t>(</w:t>
            </w:r>
            <w:r>
              <w:rPr>
                <w:rFonts w:hint="eastAsia" w:eastAsia="宋体"/>
                <w:kern w:val="2"/>
                <w:sz w:val="21"/>
                <w:szCs w:val="21"/>
              </w:rPr>
              <w:t>℃</w:t>
            </w:r>
            <w:r>
              <w:rPr>
                <w:rFonts w:eastAsia="宋体"/>
                <w:kern w:val="2"/>
                <w:sz w:val="21"/>
                <w:szCs w:val="21"/>
              </w:rPr>
              <w:t>):</w:t>
            </w:r>
            <w:r>
              <w:rPr>
                <w:rFonts w:hint="eastAsia" w:eastAsia="宋体"/>
                <w:kern w:val="2"/>
                <w:sz w:val="21"/>
                <w:szCs w:val="21"/>
              </w:rPr>
              <w:t>无意义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爆炸下限</w:t>
            </w:r>
            <w:r>
              <w:rPr>
                <w:rFonts w:eastAsia="宋体"/>
                <w:kern w:val="2"/>
                <w:sz w:val="21"/>
                <w:szCs w:val="21"/>
              </w:rPr>
              <w:t xml:space="preserve">(%):4.0 </w:t>
            </w:r>
          </w:p>
        </w:tc>
        <w:tc>
          <w:tcPr>
            <w:tcW w:w="3888" w:type="dxa"/>
          </w:tcPr>
          <w:p>
            <w:pPr>
              <w:pStyle w:val="78"/>
              <w:jc w:val="both"/>
              <w:rPr>
                <w:rFonts w:eastAsia="宋体"/>
                <w:kern w:val="2"/>
                <w:sz w:val="21"/>
                <w:szCs w:val="21"/>
              </w:rPr>
            </w:pPr>
            <w:r>
              <w:rPr>
                <w:rFonts w:hint="eastAsia" w:eastAsia="宋体"/>
                <w:kern w:val="2"/>
                <w:sz w:val="21"/>
                <w:szCs w:val="21"/>
              </w:rPr>
              <w:t>爆炸上限</w:t>
            </w:r>
            <w:r>
              <w:rPr>
                <w:rFonts w:eastAsia="宋体"/>
                <w:kern w:val="2"/>
                <w:sz w:val="21"/>
                <w:szCs w:val="21"/>
              </w:rPr>
              <w:t xml:space="preserve">(%):46.0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最小点火能</w:t>
            </w:r>
            <w:r>
              <w:rPr>
                <w:rFonts w:eastAsia="宋体"/>
                <w:kern w:val="2"/>
                <w:sz w:val="21"/>
                <w:szCs w:val="21"/>
              </w:rPr>
              <w:t xml:space="preserve">(MJ):0.077 </w:t>
            </w:r>
          </w:p>
        </w:tc>
        <w:tc>
          <w:tcPr>
            <w:tcW w:w="3888" w:type="dxa"/>
          </w:tcPr>
          <w:p>
            <w:pPr>
              <w:pStyle w:val="78"/>
              <w:jc w:val="both"/>
              <w:rPr>
                <w:rFonts w:eastAsia="宋体"/>
                <w:kern w:val="2"/>
                <w:sz w:val="21"/>
                <w:szCs w:val="21"/>
              </w:rPr>
            </w:pPr>
            <w:r>
              <w:rPr>
                <w:rFonts w:hint="eastAsia" w:eastAsia="宋体"/>
                <w:kern w:val="2"/>
                <w:sz w:val="21"/>
                <w:szCs w:val="21"/>
              </w:rPr>
              <w:t>最大爆炸压力</w:t>
            </w:r>
            <w:r>
              <w:rPr>
                <w:rFonts w:eastAsia="宋体"/>
                <w:kern w:val="2"/>
                <w:sz w:val="21"/>
                <w:szCs w:val="21"/>
              </w:rPr>
              <w:t xml:space="preserve">(MPa):0.490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4814" w:type="dxa"/>
            <w:gridSpan w:val="2"/>
          </w:tcPr>
          <w:p>
            <w:pPr>
              <w:pStyle w:val="78"/>
              <w:jc w:val="both"/>
              <w:rPr>
                <w:rFonts w:eastAsia="宋体"/>
                <w:kern w:val="2"/>
                <w:sz w:val="21"/>
                <w:szCs w:val="21"/>
              </w:rPr>
            </w:pPr>
            <w:r>
              <w:rPr>
                <w:rFonts w:hint="eastAsia" w:eastAsia="宋体"/>
                <w:kern w:val="2"/>
                <w:sz w:val="21"/>
                <w:szCs w:val="21"/>
              </w:rPr>
              <w:t>燃烧热</w:t>
            </w:r>
            <w:r>
              <w:rPr>
                <w:rFonts w:eastAsia="宋体"/>
                <w:kern w:val="2"/>
                <w:sz w:val="21"/>
                <w:szCs w:val="21"/>
              </w:rPr>
              <w:t xml:space="preserve">:3524 kcal/kg </w:t>
            </w:r>
          </w:p>
        </w:tc>
        <w:tc>
          <w:tcPr>
            <w:tcW w:w="3888" w:type="dxa"/>
          </w:tcPr>
          <w:p>
            <w:pPr>
              <w:pStyle w:val="78"/>
              <w:jc w:val="both"/>
              <w:rPr>
                <w:rFonts w:eastAsia="宋体"/>
                <w:kern w:val="2"/>
                <w:sz w:val="21"/>
                <w:szCs w:val="21"/>
              </w:rPr>
            </w:pPr>
            <w:r>
              <w:rPr>
                <w:rFonts w:hint="eastAsia" w:eastAsia="宋体"/>
                <w:kern w:val="2"/>
                <w:sz w:val="21"/>
                <w:szCs w:val="21"/>
              </w:rPr>
              <w:t>燃烧</w:t>
            </w:r>
            <w:r>
              <w:rPr>
                <w:rFonts w:eastAsia="宋体"/>
                <w:kern w:val="2"/>
                <w:sz w:val="21"/>
                <w:szCs w:val="21"/>
              </w:rPr>
              <w:t>(</w:t>
            </w:r>
            <w:r>
              <w:rPr>
                <w:rFonts w:hint="eastAsia" w:eastAsia="宋体"/>
                <w:kern w:val="2"/>
                <w:sz w:val="21"/>
                <w:szCs w:val="21"/>
              </w:rPr>
              <w:t>分解</w:t>
            </w:r>
            <w:r>
              <w:rPr>
                <w:rFonts w:eastAsia="宋体"/>
                <w:kern w:val="2"/>
                <w:sz w:val="21"/>
                <w:szCs w:val="21"/>
              </w:rPr>
              <w:t>)</w:t>
            </w:r>
            <w:r>
              <w:rPr>
                <w:rFonts w:hint="eastAsia" w:eastAsia="宋体"/>
                <w:kern w:val="2"/>
                <w:sz w:val="21"/>
                <w:szCs w:val="21"/>
              </w:rPr>
              <w:t>产物</w:t>
            </w:r>
            <w:r>
              <w:rPr>
                <w:rFonts w:eastAsia="宋体"/>
                <w:kern w:val="2"/>
                <w:sz w:val="21"/>
                <w:szCs w:val="21"/>
              </w:rPr>
              <w:t>:</w:t>
            </w:r>
            <w:r>
              <w:rPr>
                <w:rFonts w:hint="eastAsia" w:eastAsia="宋体"/>
                <w:kern w:val="2"/>
                <w:sz w:val="21"/>
                <w:szCs w:val="21"/>
              </w:rPr>
              <w:t>硫氧化物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危险特性：与空气混合能形成爆炸性混合物，遇明火、高热能引起燃烧爆炸。与浓硝酸、发烟硝酸或其它强氧化剂剧烈反应，发生爆炸。气体比空气重，能在较低处扩散到相当远的地方，遇明火会引着回燃。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灭火方法</w:t>
            </w:r>
            <w:r>
              <w:rPr>
                <w:rFonts w:eastAsia="宋体"/>
                <w:kern w:val="2"/>
                <w:sz w:val="21"/>
                <w:szCs w:val="21"/>
              </w:rPr>
              <w:t>:</w:t>
            </w:r>
            <w:r>
              <w:rPr>
                <w:rFonts w:hint="eastAsia" w:eastAsia="宋体"/>
                <w:kern w:val="2"/>
                <w:sz w:val="21"/>
                <w:szCs w:val="21"/>
              </w:rPr>
              <w:t>消防人员必须穿戴全身防火防毒服。切断气源。若不能切断气源，则不允许熄灭正在燃烧的气体，喷水冷却容器，可能的话将容器从火场移至空旷处。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Merge w:val="continue"/>
            <w:vAlign w:val="center"/>
          </w:tcPr>
          <w:p>
            <w:pPr>
              <w:pStyle w:val="14"/>
              <w:rPr>
                <w:b w:val="0"/>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灭火剂</w:t>
            </w:r>
            <w:r>
              <w:rPr>
                <w:rFonts w:eastAsia="宋体"/>
                <w:kern w:val="2"/>
                <w:sz w:val="21"/>
                <w:szCs w:val="21"/>
              </w:rPr>
              <w:t>:</w:t>
            </w:r>
            <w:r>
              <w:rPr>
                <w:rFonts w:hint="eastAsia" w:eastAsia="宋体"/>
                <w:kern w:val="2"/>
                <w:sz w:val="21"/>
                <w:szCs w:val="21"/>
              </w:rPr>
              <w:t>雾状水、抗溶性泡沫、干粉。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40" w:type="dxa"/>
            <w:vMerge w:val="restart"/>
            <w:vAlign w:val="center"/>
          </w:tcPr>
          <w:p>
            <w:pPr>
              <w:pStyle w:val="78"/>
              <w:jc w:val="center"/>
              <w:rPr>
                <w:rFonts w:eastAsia="宋体"/>
                <w:kern w:val="2"/>
                <w:sz w:val="21"/>
                <w:szCs w:val="21"/>
              </w:rPr>
            </w:pPr>
            <w:r>
              <w:rPr>
                <w:rFonts w:eastAsia="宋体"/>
                <w:kern w:val="2"/>
                <w:sz w:val="21"/>
                <w:szCs w:val="21"/>
              </w:rPr>
              <w:t>健康</w:t>
            </w:r>
          </w:p>
          <w:p>
            <w:pPr>
              <w:pStyle w:val="14"/>
              <w:rPr>
                <w:b w:val="0"/>
                <w:sz w:val="21"/>
                <w:szCs w:val="21"/>
              </w:rPr>
            </w:pPr>
            <w:r>
              <w:rPr>
                <w:b w:val="0"/>
                <w:sz w:val="21"/>
                <w:szCs w:val="21"/>
              </w:rPr>
              <w:t>危害</w:t>
            </w:r>
          </w:p>
        </w:tc>
        <w:tc>
          <w:tcPr>
            <w:tcW w:w="8702" w:type="dxa"/>
            <w:gridSpan w:val="3"/>
          </w:tcPr>
          <w:p>
            <w:pPr>
              <w:pStyle w:val="78"/>
              <w:jc w:val="both"/>
              <w:rPr>
                <w:rFonts w:eastAsia="宋体"/>
                <w:kern w:val="2"/>
                <w:sz w:val="21"/>
                <w:szCs w:val="21"/>
              </w:rPr>
            </w:pPr>
            <w:r>
              <w:rPr>
                <w:rFonts w:hint="eastAsia" w:eastAsia="宋体"/>
                <w:kern w:val="2"/>
                <w:sz w:val="21"/>
                <w:szCs w:val="21"/>
              </w:rPr>
              <w:t>侵入途径</w:t>
            </w:r>
            <w:r>
              <w:rPr>
                <w:rFonts w:eastAsia="宋体"/>
                <w:kern w:val="2"/>
                <w:sz w:val="21"/>
                <w:szCs w:val="21"/>
              </w:rPr>
              <w:t>:</w:t>
            </w:r>
            <w:r>
              <w:rPr>
                <w:rFonts w:hint="eastAsia" w:eastAsia="宋体"/>
                <w:kern w:val="2"/>
                <w:sz w:val="21"/>
                <w:szCs w:val="21"/>
              </w:rPr>
              <w:t>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40" w:type="dxa"/>
            <w:vMerge w:val="continue"/>
            <w:vAlign w:val="center"/>
          </w:tcPr>
          <w:p>
            <w:pPr>
              <w:pStyle w:val="78"/>
              <w:jc w:val="center"/>
              <w:rPr>
                <w:rFonts w:eastAsia="宋体"/>
                <w:kern w:val="2"/>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健康危害</w:t>
            </w:r>
            <w:r>
              <w:rPr>
                <w:rFonts w:eastAsia="宋体"/>
                <w:kern w:val="2"/>
                <w:sz w:val="21"/>
                <w:szCs w:val="21"/>
              </w:rPr>
              <w:t>:</w:t>
            </w:r>
            <w:r>
              <w:rPr>
                <w:rFonts w:hint="eastAsia" w:eastAsia="宋体"/>
                <w:kern w:val="2"/>
                <w:sz w:val="21"/>
                <w:szCs w:val="21"/>
              </w:rPr>
              <w:t>本品是强烈的神经毒物，对粘膜有强烈刺激作用。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40" w:type="dxa"/>
            <w:vMerge w:val="continue"/>
            <w:vAlign w:val="center"/>
          </w:tcPr>
          <w:p>
            <w:pPr>
              <w:pStyle w:val="78"/>
              <w:jc w:val="center"/>
              <w:rPr>
                <w:rFonts w:eastAsia="宋体"/>
                <w:kern w:val="2"/>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急性中毒：短期内吸入高浓度硫化氢后出现流泪、眼痛、眼内异物感、畏光、视物模糊、流涕、咽喉部灼热感、咳嗽、胸闷、头痛、乏力、意识模糊等。部分患者可有心肌损害。重者可出现脑水肿、肺水肿。极高浓度</w:t>
            </w:r>
            <w:r>
              <w:rPr>
                <w:rFonts w:eastAsia="宋体"/>
                <w:kern w:val="2"/>
                <w:sz w:val="21"/>
                <w:szCs w:val="21"/>
              </w:rPr>
              <w:t>(1000mg/m</w:t>
            </w:r>
            <w:r>
              <w:rPr>
                <w:rFonts w:eastAsia="宋体"/>
                <w:kern w:val="2"/>
                <w:sz w:val="21"/>
                <w:szCs w:val="21"/>
                <w:vertAlign w:val="superscript"/>
              </w:rPr>
              <w:t>3</w:t>
            </w:r>
            <w:r>
              <w:rPr>
                <w:rFonts w:hint="eastAsia" w:eastAsia="宋体"/>
                <w:kern w:val="2"/>
                <w:sz w:val="21"/>
                <w:szCs w:val="21"/>
              </w:rPr>
              <w:t>以上</w:t>
            </w:r>
            <w:r>
              <w:rPr>
                <w:rFonts w:eastAsia="宋体"/>
                <w:kern w:val="2"/>
                <w:sz w:val="21"/>
                <w:szCs w:val="21"/>
              </w:rPr>
              <w:t>)</w:t>
            </w:r>
            <w:r>
              <w:rPr>
                <w:rFonts w:hint="eastAsia" w:eastAsia="宋体"/>
                <w:kern w:val="2"/>
                <w:sz w:val="21"/>
                <w:szCs w:val="21"/>
              </w:rPr>
              <w:t>然时可在数种内突然昏迷，呼吸和心跳骤停，发生闪电型死亡。高浓度接触眼结膜发生水肿和角膜溃殇。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40" w:type="dxa"/>
            <w:vMerge w:val="continue"/>
            <w:vAlign w:val="center"/>
          </w:tcPr>
          <w:p>
            <w:pPr>
              <w:pStyle w:val="78"/>
              <w:jc w:val="center"/>
              <w:rPr>
                <w:rFonts w:eastAsia="宋体"/>
                <w:kern w:val="2"/>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长期低浓度接触，引起神经衰弱综合症和植物神经功能紊乱。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40" w:type="dxa"/>
            <w:vMerge w:val="continue"/>
            <w:vAlign w:val="center"/>
          </w:tcPr>
          <w:p>
            <w:pPr>
              <w:pStyle w:val="78"/>
              <w:jc w:val="center"/>
              <w:rPr>
                <w:rFonts w:eastAsia="宋体"/>
                <w:kern w:val="2"/>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工作场所最高允许浓度：中国</w:t>
            </w:r>
            <w:r>
              <w:rPr>
                <w:rFonts w:eastAsia="宋体"/>
                <w:kern w:val="2"/>
                <w:sz w:val="21"/>
                <w:szCs w:val="21"/>
              </w:rPr>
              <w:t>MAC=10mg/m</w:t>
            </w:r>
            <w:r>
              <w:rPr>
                <w:rFonts w:eastAsia="宋体"/>
                <w:kern w:val="2"/>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40" w:type="dxa"/>
            <w:vMerge w:val="restart"/>
            <w:vAlign w:val="center"/>
          </w:tcPr>
          <w:p>
            <w:pPr>
              <w:pStyle w:val="78"/>
              <w:jc w:val="center"/>
              <w:rPr>
                <w:rFonts w:eastAsia="宋体"/>
                <w:kern w:val="2"/>
                <w:sz w:val="21"/>
                <w:szCs w:val="21"/>
              </w:rPr>
            </w:pPr>
            <w:r>
              <w:rPr>
                <w:rFonts w:eastAsia="宋体"/>
                <w:kern w:val="2"/>
                <w:sz w:val="21"/>
                <w:szCs w:val="21"/>
              </w:rPr>
              <w:t>急救</w:t>
            </w:r>
          </w:p>
          <w:p>
            <w:pPr>
              <w:pStyle w:val="78"/>
              <w:jc w:val="center"/>
              <w:rPr>
                <w:rFonts w:eastAsia="宋体"/>
                <w:b/>
                <w:kern w:val="2"/>
                <w:sz w:val="21"/>
                <w:szCs w:val="21"/>
              </w:rPr>
            </w:pPr>
            <w:r>
              <w:rPr>
                <w:rFonts w:eastAsia="宋体"/>
                <w:kern w:val="2"/>
                <w:sz w:val="21"/>
                <w:szCs w:val="21"/>
              </w:rPr>
              <w:t>措施</w:t>
            </w:r>
          </w:p>
        </w:tc>
        <w:tc>
          <w:tcPr>
            <w:tcW w:w="8702" w:type="dxa"/>
            <w:gridSpan w:val="3"/>
          </w:tcPr>
          <w:p>
            <w:pPr>
              <w:pStyle w:val="78"/>
              <w:jc w:val="both"/>
              <w:rPr>
                <w:rFonts w:eastAsia="宋体"/>
                <w:kern w:val="2"/>
                <w:sz w:val="21"/>
                <w:szCs w:val="21"/>
              </w:rPr>
            </w:pPr>
            <w:r>
              <w:rPr>
                <w:rFonts w:hint="eastAsia" w:eastAsia="宋体"/>
                <w:kern w:val="2"/>
                <w:sz w:val="21"/>
                <w:szCs w:val="21"/>
              </w:rPr>
              <w:t>眼睛接触</w:t>
            </w:r>
            <w:r>
              <w:rPr>
                <w:rFonts w:eastAsia="宋体"/>
                <w:kern w:val="2"/>
                <w:sz w:val="21"/>
                <w:szCs w:val="21"/>
              </w:rPr>
              <w:t>:</w:t>
            </w:r>
            <w:r>
              <w:rPr>
                <w:rFonts w:hint="eastAsia" w:eastAsia="宋体"/>
                <w:kern w:val="2"/>
                <w:sz w:val="21"/>
                <w:szCs w:val="21"/>
              </w:rPr>
              <w:t>提起眼险，用流动清水或生理盐水冲洗。就医。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540" w:type="dxa"/>
            <w:vMerge w:val="continue"/>
            <w:vAlign w:val="center"/>
          </w:tcPr>
          <w:p>
            <w:pPr>
              <w:pStyle w:val="78"/>
              <w:jc w:val="center"/>
              <w:rPr>
                <w:rFonts w:eastAsia="宋体"/>
                <w:kern w:val="2"/>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吸入</w:t>
            </w:r>
            <w:r>
              <w:rPr>
                <w:rFonts w:eastAsia="宋体"/>
                <w:kern w:val="2"/>
                <w:sz w:val="21"/>
                <w:szCs w:val="21"/>
              </w:rPr>
              <w:t>:</w:t>
            </w:r>
            <w:r>
              <w:rPr>
                <w:rFonts w:hint="eastAsia" w:eastAsia="宋体"/>
                <w:kern w:val="2"/>
                <w:sz w:val="21"/>
                <w:szCs w:val="21"/>
              </w:rPr>
              <w:t>迅速脱离现场至空气新鲜处。保持呼吸道通畅。如呼吸困难，给输氧。如呼吸停止，立即进行人王呼吸。就医。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8"/>
              <w:jc w:val="center"/>
              <w:rPr>
                <w:rFonts w:eastAsia="宋体"/>
                <w:kern w:val="2"/>
                <w:sz w:val="21"/>
                <w:szCs w:val="21"/>
              </w:rPr>
            </w:pPr>
            <w:r>
              <w:rPr>
                <w:rFonts w:eastAsia="宋体"/>
                <w:kern w:val="2"/>
                <w:sz w:val="21"/>
                <w:szCs w:val="21"/>
              </w:rPr>
              <w:t>泄漏处理</w:t>
            </w:r>
          </w:p>
          <w:p>
            <w:pPr>
              <w:pStyle w:val="78"/>
              <w:jc w:val="center"/>
              <w:rPr>
                <w:rFonts w:eastAsia="宋体"/>
                <w:b/>
                <w:kern w:val="2"/>
                <w:sz w:val="21"/>
                <w:szCs w:val="21"/>
              </w:rPr>
            </w:pPr>
          </w:p>
        </w:tc>
        <w:tc>
          <w:tcPr>
            <w:tcW w:w="8702" w:type="dxa"/>
            <w:gridSpan w:val="3"/>
          </w:tcPr>
          <w:p>
            <w:pPr>
              <w:pStyle w:val="78"/>
              <w:jc w:val="both"/>
              <w:rPr>
                <w:rFonts w:eastAsia="宋体"/>
                <w:kern w:val="2"/>
                <w:sz w:val="21"/>
                <w:szCs w:val="21"/>
              </w:rPr>
            </w:pPr>
            <w:r>
              <w:rPr>
                <w:rFonts w:hint="eastAsia" w:eastAsia="宋体"/>
                <w:kern w:val="2"/>
                <w:sz w:val="21"/>
                <w:szCs w:val="21"/>
              </w:rPr>
              <w:t>迅速撤离泄漏污染区人员至上风处，并立即隔离，小泄漏时隔离</w:t>
            </w:r>
            <w:r>
              <w:rPr>
                <w:rFonts w:eastAsia="宋体"/>
                <w:kern w:val="2"/>
                <w:sz w:val="21"/>
                <w:szCs w:val="21"/>
              </w:rPr>
              <w:t>150m</w:t>
            </w:r>
            <w:r>
              <w:rPr>
                <w:rFonts w:hint="eastAsia" w:eastAsia="宋体"/>
                <w:kern w:val="2"/>
                <w:sz w:val="21"/>
                <w:szCs w:val="21"/>
              </w:rPr>
              <w:t>，大泄漏时隔离</w:t>
            </w:r>
            <w:r>
              <w:rPr>
                <w:rFonts w:eastAsia="宋体"/>
                <w:kern w:val="2"/>
                <w:sz w:val="21"/>
                <w:szCs w:val="21"/>
              </w:rPr>
              <w:t>300m</w:t>
            </w:r>
            <w:r>
              <w:rPr>
                <w:rFonts w:hint="eastAsia" w:eastAsia="宋体"/>
                <w:kern w:val="2"/>
                <w:sz w:val="21"/>
                <w:szCs w:val="21"/>
              </w:rPr>
              <w:t>，，严格限制出入。切断火源，建议应急处理人员戴自给正压式呼吸器，穿消防防护服。从上风向进入现场，尽可能切断泄漏源。合理通风，加强扩散。喷雾状水稀释、溶解。构筑围堤或挖坑收容产生的大量废水。如有可能，将残余气或漏出气用排风机送至水洗塔相连的通风橱内。或使其通过三氯化铁水溶液，管路装止回装置以防溶液吸回。漏气溶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78"/>
              <w:jc w:val="center"/>
              <w:rPr>
                <w:rFonts w:eastAsia="宋体"/>
                <w:b/>
                <w:kern w:val="2"/>
                <w:sz w:val="21"/>
                <w:szCs w:val="21"/>
              </w:rPr>
            </w:pPr>
            <w:r>
              <w:rPr>
                <w:rFonts w:eastAsia="宋体"/>
                <w:kern w:val="2"/>
                <w:sz w:val="21"/>
                <w:szCs w:val="21"/>
              </w:rPr>
              <w:t>储运措施</w:t>
            </w:r>
          </w:p>
        </w:tc>
        <w:tc>
          <w:tcPr>
            <w:tcW w:w="8702" w:type="dxa"/>
            <w:gridSpan w:val="3"/>
          </w:tcPr>
          <w:p>
            <w:pPr>
              <w:pStyle w:val="78"/>
              <w:jc w:val="both"/>
              <w:rPr>
                <w:rFonts w:eastAsia="宋体"/>
                <w:kern w:val="2"/>
                <w:sz w:val="21"/>
                <w:szCs w:val="21"/>
              </w:rPr>
            </w:pPr>
            <w:r>
              <w:rPr>
                <w:rFonts w:hint="eastAsia" w:eastAsia="宋体"/>
                <w:kern w:val="2"/>
                <w:sz w:val="21"/>
                <w:szCs w:val="21"/>
              </w:rPr>
              <w:t>储运于阴凉、通风仓间内。仓内温度不宜超过</w:t>
            </w:r>
            <w:r>
              <w:rPr>
                <w:rFonts w:eastAsia="宋体"/>
                <w:kern w:val="2"/>
                <w:sz w:val="21"/>
                <w:szCs w:val="21"/>
              </w:rPr>
              <w:t>30</w:t>
            </w:r>
            <w:r>
              <w:rPr>
                <w:rFonts w:hint="eastAsia" w:eastAsia="宋体"/>
                <w:kern w:val="2"/>
                <w:sz w:val="21"/>
                <w:szCs w:val="21"/>
              </w:rPr>
              <w:t>℃。远离火种、热源。防止阳光直射。保持容器密封。配备相应品种和数量的消防器材。禁止使用易产生火花的机械设备和工具。</w:t>
            </w:r>
          </w:p>
        </w:tc>
      </w:tr>
    </w:tbl>
    <w:p>
      <w:pPr>
        <w:pStyle w:val="61"/>
      </w:pPr>
      <w:r>
        <w:t>工程潜在危险性识别</w:t>
      </w:r>
    </w:p>
    <w:p>
      <w:pPr>
        <w:pStyle w:val="100"/>
        <w:spacing w:line="360" w:lineRule="auto"/>
        <w:ind w:firstLine="482"/>
        <w:rPr>
          <w:b/>
        </w:rPr>
      </w:pPr>
      <w:r>
        <w:rPr>
          <w:rFonts w:hint="eastAsia"/>
          <w:b/>
        </w:rPr>
        <w:t>（1）</w:t>
      </w:r>
      <w:r>
        <w:rPr>
          <w:b/>
        </w:rPr>
        <w:t>生产过程潜在危险性识别</w:t>
      </w:r>
    </w:p>
    <w:p>
      <w:pPr>
        <w:pStyle w:val="100"/>
        <w:spacing w:line="360" w:lineRule="auto"/>
        <w:ind w:firstLine="480"/>
      </w:pPr>
      <w:r>
        <w:t>污水输送过程中设备管道</w:t>
      </w:r>
      <w:r>
        <w:rPr>
          <w:rFonts w:hint="eastAsia"/>
        </w:rPr>
        <w:t>、</w:t>
      </w:r>
      <w:r>
        <w:t>弯曲连接</w:t>
      </w:r>
      <w:r>
        <w:rPr>
          <w:rFonts w:hint="eastAsia"/>
        </w:rPr>
        <w:t>、</w:t>
      </w:r>
      <w:r>
        <w:t>阀门</w:t>
      </w:r>
      <w:r>
        <w:rPr>
          <w:rFonts w:hint="eastAsia"/>
        </w:rPr>
        <w:t>、</w:t>
      </w:r>
      <w:r>
        <w:t>泵等均可能导致物质的释放与泄漏</w:t>
      </w:r>
      <w:r>
        <w:rPr>
          <w:rFonts w:hint="eastAsia"/>
        </w:rPr>
        <w:t>，</w:t>
      </w:r>
      <w:r>
        <w:t>发生污水泄漏事故</w:t>
      </w:r>
      <w:r>
        <w:rPr>
          <w:rFonts w:hint="eastAsia"/>
        </w:rPr>
        <w:t>。</w:t>
      </w:r>
    </w:p>
    <w:p>
      <w:pPr>
        <w:pStyle w:val="100"/>
        <w:spacing w:line="360" w:lineRule="auto"/>
        <w:ind w:firstLine="480"/>
      </w:pPr>
      <w:r>
        <w:rPr>
          <w:rFonts w:hint="eastAsia"/>
        </w:rPr>
        <w:t>在使用化学品进行生产时，可能会操作方法不当或使用次序错误而引起事故；设施、管道连接处、阀门、机泵等的泄漏、断裂或损伤等，也会导致响应化学品泄漏等事故。</w:t>
      </w:r>
    </w:p>
    <w:p>
      <w:pPr>
        <w:pStyle w:val="100"/>
        <w:spacing w:line="360" w:lineRule="auto"/>
        <w:ind w:firstLine="482"/>
        <w:rPr>
          <w:b/>
        </w:rPr>
      </w:pPr>
      <w:r>
        <w:rPr>
          <w:rFonts w:hint="eastAsia"/>
          <w:b/>
        </w:rPr>
        <w:t>（2）</w:t>
      </w:r>
      <w:r>
        <w:rPr>
          <w:b/>
        </w:rPr>
        <w:t>物料储运过程潜在危险性识别</w:t>
      </w:r>
    </w:p>
    <w:p>
      <w:pPr>
        <w:pStyle w:val="100"/>
        <w:spacing w:before="0" w:line="360" w:lineRule="auto"/>
        <w:ind w:firstLine="480"/>
      </w:pPr>
      <w:r>
        <w:rPr>
          <w:rFonts w:hint="eastAsia"/>
        </w:rPr>
        <w:t>本项目涉及到氯酸钠危化品的暂存，暂存设施为袋装，其主要风险泄漏后遇水溶解。</w:t>
      </w:r>
      <w:r>
        <w:t>盐酸</w:t>
      </w:r>
      <w:r>
        <w:rPr>
          <w:rFonts w:hint="eastAsia"/>
        </w:rPr>
        <w:t>、</w:t>
      </w:r>
      <w:r>
        <w:t>氯酸钠和三氯化铁均采用汽车运输，运输过程中发生事故，引起泄漏，对其他建构筑物、设备造成腐蚀性破坏，导致周边人员因接触或吸入发生腐蚀、中毒。厂内采用卧式储罐储存，由于其腐蚀性，对储罐、阀门和管路产生破坏，引发泄漏后对其他建构筑物、设备造成腐蚀性破坏，导致工人因接触或吸入发生腐蚀、中毒。</w:t>
      </w:r>
    </w:p>
    <w:p>
      <w:pPr>
        <w:pStyle w:val="61"/>
      </w:pPr>
      <w:r>
        <w:t>环境风险事故类型</w:t>
      </w:r>
    </w:p>
    <w:p>
      <w:pPr>
        <w:pStyle w:val="100"/>
        <w:spacing w:line="360" w:lineRule="auto"/>
        <w:ind w:firstLine="480"/>
      </w:pPr>
      <w:r>
        <w:t>本项目主要为污水处理厂的建设</w:t>
      </w:r>
      <w:r>
        <w:rPr>
          <w:rFonts w:hint="eastAsia"/>
        </w:rPr>
        <w:t>，</w:t>
      </w:r>
      <w:r>
        <w:t>发生潜在的环境风险事故的可能环节及由此产生的影响方式主要有以下几个方面</w:t>
      </w:r>
      <w:r>
        <w:rPr>
          <w:rFonts w:hint="eastAsia"/>
        </w:rPr>
        <w:t>：</w:t>
      </w:r>
    </w:p>
    <w:p>
      <w:pPr>
        <w:pStyle w:val="100"/>
        <w:spacing w:line="360" w:lineRule="auto"/>
        <w:ind w:firstLine="480"/>
      </w:pPr>
      <w:r>
        <w:rPr>
          <w:rFonts w:hint="eastAsia"/>
        </w:rPr>
        <w:t>①危险化学品泄漏、火灾爆炸事故</w:t>
      </w:r>
    </w:p>
    <w:p>
      <w:pPr>
        <w:pStyle w:val="100"/>
        <w:spacing w:line="360" w:lineRule="auto"/>
        <w:ind w:firstLine="480"/>
      </w:pPr>
      <w:r>
        <w:rPr>
          <w:rFonts w:hint="eastAsia"/>
        </w:rPr>
        <w:t>药品在储存或使用过程中，由于操作不当、管理不善等原因造成泄漏；储药系统中储药装置破裂、管线断裂、连接口裂口、不当操作等造成的泄漏；化学品泄漏后继而发生火灾爆炸事故，产生次生/伴生污染物。</w:t>
      </w:r>
    </w:p>
    <w:p>
      <w:pPr>
        <w:pStyle w:val="100"/>
        <w:spacing w:line="360" w:lineRule="auto"/>
        <w:ind w:firstLine="480"/>
      </w:pPr>
      <w:r>
        <w:rPr>
          <w:rFonts w:hint="eastAsia"/>
        </w:rPr>
        <w:t>②污泥膨胀环境风险事故</w:t>
      </w:r>
    </w:p>
    <w:p>
      <w:pPr>
        <w:pStyle w:val="100"/>
        <w:spacing w:line="360" w:lineRule="auto"/>
        <w:ind w:firstLine="480"/>
        <w:rPr>
          <w:szCs w:val="24"/>
        </w:rPr>
      </w:pPr>
      <w:r>
        <w:rPr>
          <w:rFonts w:hint="eastAsia"/>
          <w:szCs w:val="24"/>
        </w:rPr>
        <w:t>污水或污泥处理系统的设备发生故障，污水处理能力降低，出水水质下降或污泥不能及时外运，引起污泥发酵，</w:t>
      </w:r>
      <w:r>
        <w:rPr>
          <w:szCs w:val="24"/>
        </w:rPr>
        <w:t>或污泥不能及时外运，引起污泥发酵，贮泥池爆满，散发恶臭，对大气、地表水均有可能造成影响。</w:t>
      </w:r>
    </w:p>
    <w:p>
      <w:pPr>
        <w:pStyle w:val="100"/>
        <w:spacing w:line="360" w:lineRule="auto"/>
        <w:ind w:firstLine="480"/>
      </w:pPr>
      <w:r>
        <w:rPr>
          <w:rFonts w:hint="eastAsia"/>
        </w:rPr>
        <w:t>③地表水环境风险事故</w:t>
      </w:r>
    </w:p>
    <w:p>
      <w:pPr>
        <w:pStyle w:val="100"/>
        <w:spacing w:line="360" w:lineRule="auto"/>
        <w:ind w:firstLine="480"/>
      </w:pPr>
      <w:r>
        <w:rPr>
          <w:rFonts w:hint="eastAsia"/>
        </w:rPr>
        <w:t>在收水范围内，不正常导致污水处理厂进水水质、水量负荷突增，或有毒有害物质误入管网，影响污水处理效率，超标排放从而对地表水环境造成影响。</w:t>
      </w:r>
    </w:p>
    <w:p>
      <w:pPr>
        <w:pStyle w:val="100"/>
        <w:spacing w:line="360" w:lineRule="auto"/>
        <w:ind w:firstLine="480"/>
      </w:pPr>
      <w:r>
        <w:rPr>
          <w:rFonts w:hint="eastAsia"/>
        </w:rPr>
        <w:t>另外，由于出现一些不可抗拒的外部原因，如停电等，造成污水处理设施停止运行，大量未经处理的污水直接排放，这将是污水站非正常排放的极限情况。</w:t>
      </w:r>
    </w:p>
    <w:p>
      <w:pPr>
        <w:pStyle w:val="100"/>
        <w:spacing w:line="360" w:lineRule="auto"/>
        <w:ind w:firstLine="480"/>
      </w:pPr>
      <w:r>
        <w:rPr>
          <w:rFonts w:hint="eastAsia"/>
        </w:rPr>
        <w:t>④地下水环境风险事故</w:t>
      </w:r>
    </w:p>
    <w:p>
      <w:pPr>
        <w:pStyle w:val="100"/>
        <w:spacing w:line="360" w:lineRule="auto"/>
        <w:ind w:firstLine="480"/>
      </w:pPr>
      <w:r>
        <w:rPr>
          <w:rFonts w:hint="eastAsia"/>
        </w:rPr>
        <w:t>药剂泄漏、污水泄漏以及火灾等情况下的消防废水等，下渗对地下水产生影响。</w:t>
      </w:r>
    </w:p>
    <w:p>
      <w:pPr>
        <w:pStyle w:val="61"/>
      </w:pPr>
      <w:r>
        <w:rPr>
          <w:rFonts w:hint="eastAsia"/>
        </w:rPr>
        <w:t>影响途径分析</w:t>
      </w:r>
    </w:p>
    <w:p>
      <w:pPr>
        <w:pStyle w:val="100"/>
        <w:spacing w:line="360" w:lineRule="auto"/>
        <w:ind w:firstLine="480"/>
      </w:pPr>
      <w:r>
        <w:rPr>
          <w:rFonts w:hint="eastAsia"/>
        </w:rPr>
        <w:t>风险源环境风险类型、转化为事故的出发因素以及可能的环境影响途径见下表所示。</w:t>
      </w:r>
    </w:p>
    <w:p>
      <w:pPr>
        <w:pStyle w:val="14"/>
        <w:spacing w:line="240" w:lineRule="auto"/>
        <w:rPr>
          <w:rFonts w:cs="Times New Roman"/>
        </w:rPr>
      </w:pPr>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35</w:t>
      </w:r>
      <w:r>
        <w:fldChar w:fldCharType="end"/>
      </w:r>
      <w:r>
        <w:rPr>
          <w:rFonts w:hint="eastAsia"/>
        </w:rPr>
        <w:t xml:space="preserve">  本项目环境风险识别一览表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663"/>
        <w:gridCol w:w="1094"/>
        <w:gridCol w:w="1308"/>
        <w:gridCol w:w="2040"/>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vAlign w:val="center"/>
          </w:tcPr>
          <w:p>
            <w:pPr>
              <w:pStyle w:val="14"/>
              <w:rPr>
                <w:rFonts w:cs="Times New Roman"/>
                <w:b w:val="0"/>
                <w:sz w:val="21"/>
                <w:szCs w:val="21"/>
              </w:rPr>
            </w:pPr>
            <w:r>
              <w:rPr>
                <w:rFonts w:hint="eastAsia" w:cs="Times New Roman"/>
                <w:b w:val="0"/>
                <w:sz w:val="21"/>
                <w:szCs w:val="21"/>
              </w:rPr>
              <w:t>危险单元</w:t>
            </w:r>
          </w:p>
        </w:tc>
        <w:tc>
          <w:tcPr>
            <w:tcW w:w="1663" w:type="dxa"/>
            <w:vAlign w:val="center"/>
          </w:tcPr>
          <w:p>
            <w:pPr>
              <w:pStyle w:val="14"/>
              <w:rPr>
                <w:rFonts w:cs="Times New Roman"/>
                <w:b w:val="0"/>
                <w:sz w:val="21"/>
                <w:szCs w:val="21"/>
              </w:rPr>
            </w:pPr>
            <w:r>
              <w:rPr>
                <w:rFonts w:hint="eastAsia" w:cs="Times New Roman"/>
                <w:b w:val="0"/>
                <w:sz w:val="21"/>
                <w:szCs w:val="21"/>
              </w:rPr>
              <w:t>主要风险源</w:t>
            </w:r>
          </w:p>
        </w:tc>
        <w:tc>
          <w:tcPr>
            <w:tcW w:w="1094" w:type="dxa"/>
            <w:vAlign w:val="center"/>
          </w:tcPr>
          <w:p>
            <w:pPr>
              <w:pStyle w:val="14"/>
              <w:rPr>
                <w:rFonts w:cs="Times New Roman"/>
                <w:b w:val="0"/>
                <w:sz w:val="21"/>
                <w:szCs w:val="21"/>
              </w:rPr>
            </w:pPr>
            <w:r>
              <w:rPr>
                <w:rFonts w:hint="eastAsia" w:cs="Times New Roman"/>
                <w:b w:val="0"/>
                <w:sz w:val="21"/>
                <w:szCs w:val="21"/>
              </w:rPr>
              <w:t>主要危险物质</w:t>
            </w:r>
          </w:p>
        </w:tc>
        <w:tc>
          <w:tcPr>
            <w:tcW w:w="1308" w:type="dxa"/>
            <w:vAlign w:val="center"/>
          </w:tcPr>
          <w:p>
            <w:pPr>
              <w:pStyle w:val="14"/>
              <w:rPr>
                <w:rFonts w:cs="Times New Roman"/>
                <w:b w:val="0"/>
                <w:sz w:val="21"/>
                <w:szCs w:val="21"/>
              </w:rPr>
            </w:pPr>
            <w:r>
              <w:rPr>
                <w:rFonts w:hint="eastAsia" w:cs="Times New Roman"/>
                <w:b w:val="0"/>
                <w:sz w:val="21"/>
                <w:szCs w:val="21"/>
              </w:rPr>
              <w:t>环境风险类型</w:t>
            </w:r>
          </w:p>
        </w:tc>
        <w:tc>
          <w:tcPr>
            <w:tcW w:w="2040" w:type="dxa"/>
            <w:vAlign w:val="center"/>
          </w:tcPr>
          <w:p>
            <w:pPr>
              <w:pStyle w:val="14"/>
              <w:rPr>
                <w:rFonts w:cs="Times New Roman"/>
                <w:b w:val="0"/>
                <w:sz w:val="21"/>
                <w:szCs w:val="21"/>
              </w:rPr>
            </w:pPr>
            <w:r>
              <w:rPr>
                <w:rFonts w:hint="eastAsia" w:cs="Times New Roman"/>
                <w:b w:val="0"/>
                <w:sz w:val="21"/>
                <w:szCs w:val="21"/>
              </w:rPr>
              <w:t>触发因素</w:t>
            </w:r>
          </w:p>
        </w:tc>
        <w:tc>
          <w:tcPr>
            <w:tcW w:w="2406" w:type="dxa"/>
            <w:vAlign w:val="center"/>
          </w:tcPr>
          <w:p>
            <w:pPr>
              <w:pStyle w:val="14"/>
              <w:rPr>
                <w:rFonts w:cs="Times New Roman"/>
                <w:b w:val="0"/>
                <w:sz w:val="21"/>
                <w:szCs w:val="21"/>
              </w:rPr>
            </w:pPr>
            <w:r>
              <w:rPr>
                <w:rFonts w:hint="eastAsia" w:cs="Times New Roman"/>
                <w:b w:val="0"/>
                <w:sz w:val="21"/>
                <w:szCs w:val="21"/>
              </w:rPr>
              <w:t>可能环境影响途径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vMerge w:val="restart"/>
            <w:vAlign w:val="center"/>
          </w:tcPr>
          <w:p>
            <w:pPr>
              <w:pStyle w:val="78"/>
              <w:jc w:val="center"/>
              <w:rPr>
                <w:rFonts w:eastAsia="宋体"/>
                <w:kern w:val="2"/>
                <w:sz w:val="21"/>
                <w:szCs w:val="21"/>
              </w:rPr>
            </w:pPr>
            <w:r>
              <w:rPr>
                <w:rFonts w:hint="eastAsia" w:eastAsia="宋体"/>
                <w:kern w:val="2"/>
                <w:sz w:val="21"/>
                <w:szCs w:val="21"/>
              </w:rPr>
              <w:t>废水处理单元</w:t>
            </w:r>
          </w:p>
          <w:p>
            <w:pPr>
              <w:pStyle w:val="14"/>
              <w:rPr>
                <w:rFonts w:cs="Times New Roman"/>
                <w:b w:val="0"/>
                <w:sz w:val="21"/>
                <w:szCs w:val="21"/>
              </w:rPr>
            </w:pPr>
          </w:p>
        </w:tc>
        <w:tc>
          <w:tcPr>
            <w:tcW w:w="1663" w:type="dxa"/>
            <w:vAlign w:val="center"/>
          </w:tcPr>
          <w:p>
            <w:pPr>
              <w:pStyle w:val="14"/>
              <w:rPr>
                <w:rFonts w:cs="Times New Roman"/>
                <w:b w:val="0"/>
                <w:sz w:val="21"/>
                <w:szCs w:val="21"/>
              </w:rPr>
            </w:pPr>
            <w:r>
              <w:rPr>
                <w:rFonts w:hint="eastAsia" w:cs="Times New Roman"/>
                <w:b w:val="0"/>
                <w:sz w:val="21"/>
                <w:szCs w:val="21"/>
              </w:rPr>
              <w:t>污水处理区、污泥处理区</w:t>
            </w:r>
          </w:p>
        </w:tc>
        <w:tc>
          <w:tcPr>
            <w:tcW w:w="1094" w:type="dxa"/>
            <w:vAlign w:val="center"/>
          </w:tcPr>
          <w:p>
            <w:pPr>
              <w:pStyle w:val="78"/>
              <w:jc w:val="center"/>
              <w:rPr>
                <w:rFonts w:eastAsia="宋体"/>
                <w:kern w:val="2"/>
                <w:sz w:val="21"/>
                <w:szCs w:val="21"/>
              </w:rPr>
            </w:pPr>
            <w:r>
              <w:rPr>
                <w:rFonts w:eastAsia="宋体"/>
                <w:kern w:val="2"/>
                <w:sz w:val="21"/>
                <w:szCs w:val="21"/>
              </w:rPr>
              <w:t>H</w:t>
            </w:r>
            <w:r>
              <w:rPr>
                <w:rFonts w:eastAsia="宋体"/>
                <w:kern w:val="2"/>
                <w:sz w:val="21"/>
                <w:szCs w:val="21"/>
                <w:vertAlign w:val="subscript"/>
              </w:rPr>
              <w:t>2</w:t>
            </w:r>
            <w:r>
              <w:rPr>
                <w:rFonts w:eastAsia="宋体"/>
                <w:kern w:val="2"/>
                <w:sz w:val="21"/>
                <w:szCs w:val="21"/>
              </w:rPr>
              <w:t>S</w:t>
            </w:r>
            <w:r>
              <w:rPr>
                <w:rFonts w:hint="eastAsia" w:ascii="宋体" w:eastAsia="宋体" w:cs="宋体"/>
                <w:kern w:val="2"/>
                <w:sz w:val="21"/>
                <w:szCs w:val="21"/>
              </w:rPr>
              <w:t>、</w:t>
            </w:r>
            <w:r>
              <w:rPr>
                <w:rFonts w:eastAsia="宋体"/>
                <w:kern w:val="2"/>
                <w:sz w:val="21"/>
                <w:szCs w:val="21"/>
              </w:rPr>
              <w:t>NH</w:t>
            </w:r>
            <w:r>
              <w:rPr>
                <w:rFonts w:eastAsia="宋体"/>
                <w:kern w:val="2"/>
                <w:sz w:val="21"/>
                <w:szCs w:val="21"/>
                <w:vertAlign w:val="subscript"/>
              </w:rPr>
              <w:t>3</w:t>
            </w:r>
          </w:p>
        </w:tc>
        <w:tc>
          <w:tcPr>
            <w:tcW w:w="1308" w:type="dxa"/>
            <w:vAlign w:val="center"/>
          </w:tcPr>
          <w:p>
            <w:pPr>
              <w:pStyle w:val="78"/>
              <w:jc w:val="center"/>
              <w:rPr>
                <w:rFonts w:ascii="宋体" w:eastAsia="宋体" w:cs="宋体"/>
                <w:kern w:val="2"/>
                <w:sz w:val="21"/>
                <w:szCs w:val="21"/>
              </w:rPr>
            </w:pPr>
            <w:r>
              <w:rPr>
                <w:rFonts w:hint="eastAsia" w:ascii="宋体" w:eastAsia="宋体" w:cs="宋体"/>
                <w:kern w:val="2"/>
                <w:sz w:val="21"/>
                <w:szCs w:val="21"/>
              </w:rPr>
              <w:t>有毒有害气体泄漏</w:t>
            </w:r>
          </w:p>
        </w:tc>
        <w:tc>
          <w:tcPr>
            <w:tcW w:w="2040" w:type="dxa"/>
            <w:vAlign w:val="center"/>
          </w:tcPr>
          <w:p>
            <w:pPr>
              <w:pStyle w:val="78"/>
              <w:jc w:val="center"/>
              <w:rPr>
                <w:rFonts w:ascii="宋体" w:eastAsia="宋体" w:cs="宋体"/>
                <w:kern w:val="2"/>
                <w:sz w:val="21"/>
                <w:szCs w:val="21"/>
              </w:rPr>
            </w:pPr>
            <w:r>
              <w:rPr>
                <w:rFonts w:hint="eastAsia" w:ascii="宋体" w:eastAsia="宋体" w:cs="宋体"/>
                <w:kern w:val="2"/>
                <w:sz w:val="21"/>
                <w:szCs w:val="21"/>
              </w:rPr>
              <w:t>设备腐蚀、材质缺陷等引发泄漏</w:t>
            </w:r>
          </w:p>
        </w:tc>
        <w:tc>
          <w:tcPr>
            <w:tcW w:w="2406" w:type="dxa"/>
            <w:vAlign w:val="center"/>
          </w:tcPr>
          <w:p>
            <w:pPr>
              <w:pStyle w:val="78"/>
              <w:jc w:val="center"/>
              <w:rPr>
                <w:rFonts w:ascii="宋体" w:eastAsia="宋体" w:cs="宋体"/>
                <w:kern w:val="2"/>
                <w:sz w:val="21"/>
                <w:szCs w:val="21"/>
              </w:rPr>
            </w:pPr>
            <w:r>
              <w:rPr>
                <w:rFonts w:hint="eastAsia" w:ascii="宋体" w:eastAsia="宋体" w:cs="宋体"/>
                <w:kern w:val="2"/>
                <w:sz w:val="21"/>
                <w:szCs w:val="21"/>
              </w:rPr>
              <w:t>污染物进入环境空气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vMerge w:val="continue"/>
            <w:vAlign w:val="center"/>
          </w:tcPr>
          <w:p>
            <w:pPr>
              <w:pStyle w:val="14"/>
              <w:rPr>
                <w:rFonts w:cs="Times New Roman"/>
                <w:b w:val="0"/>
                <w:sz w:val="21"/>
                <w:szCs w:val="21"/>
              </w:rPr>
            </w:pPr>
          </w:p>
        </w:tc>
        <w:tc>
          <w:tcPr>
            <w:tcW w:w="1663" w:type="dxa"/>
            <w:vAlign w:val="center"/>
          </w:tcPr>
          <w:p>
            <w:pPr>
              <w:pStyle w:val="14"/>
              <w:rPr>
                <w:rFonts w:cs="Times New Roman"/>
                <w:b w:val="0"/>
                <w:sz w:val="21"/>
                <w:szCs w:val="21"/>
              </w:rPr>
            </w:pPr>
            <w:r>
              <w:rPr>
                <w:rFonts w:hint="eastAsia" w:cs="Times New Roman"/>
                <w:b w:val="0"/>
                <w:sz w:val="21"/>
                <w:szCs w:val="21"/>
              </w:rPr>
              <w:t>废水管道</w:t>
            </w:r>
          </w:p>
        </w:tc>
        <w:tc>
          <w:tcPr>
            <w:tcW w:w="1094" w:type="dxa"/>
            <w:vAlign w:val="center"/>
          </w:tcPr>
          <w:p>
            <w:pPr>
              <w:pStyle w:val="78"/>
              <w:jc w:val="center"/>
              <w:rPr>
                <w:rFonts w:eastAsia="宋体"/>
                <w:kern w:val="2"/>
                <w:sz w:val="21"/>
                <w:szCs w:val="21"/>
              </w:rPr>
            </w:pPr>
            <w:r>
              <w:rPr>
                <w:rFonts w:hint="eastAsia" w:eastAsia="宋体"/>
                <w:kern w:val="2"/>
                <w:sz w:val="21"/>
                <w:szCs w:val="21"/>
              </w:rPr>
              <w:t>废水</w:t>
            </w:r>
          </w:p>
        </w:tc>
        <w:tc>
          <w:tcPr>
            <w:tcW w:w="1308" w:type="dxa"/>
            <w:vAlign w:val="center"/>
          </w:tcPr>
          <w:p>
            <w:pPr>
              <w:pStyle w:val="78"/>
              <w:jc w:val="center"/>
              <w:rPr>
                <w:rFonts w:eastAsia="宋体"/>
                <w:kern w:val="2"/>
                <w:sz w:val="21"/>
                <w:szCs w:val="21"/>
              </w:rPr>
            </w:pPr>
            <w:r>
              <w:rPr>
                <w:rFonts w:hint="eastAsia" w:eastAsia="宋体"/>
                <w:kern w:val="2"/>
                <w:sz w:val="21"/>
                <w:szCs w:val="21"/>
              </w:rPr>
              <w:t>废水泄漏</w:t>
            </w:r>
          </w:p>
        </w:tc>
        <w:tc>
          <w:tcPr>
            <w:tcW w:w="2040" w:type="dxa"/>
            <w:vAlign w:val="center"/>
          </w:tcPr>
          <w:p>
            <w:pPr>
              <w:pStyle w:val="78"/>
              <w:jc w:val="center"/>
              <w:rPr>
                <w:rFonts w:eastAsia="宋体"/>
                <w:kern w:val="2"/>
                <w:sz w:val="21"/>
                <w:szCs w:val="21"/>
              </w:rPr>
            </w:pPr>
            <w:r>
              <w:rPr>
                <w:rFonts w:hint="eastAsia" w:eastAsia="宋体"/>
                <w:kern w:val="2"/>
                <w:sz w:val="21"/>
                <w:szCs w:val="21"/>
              </w:rPr>
              <w:t>设备腐蚀、材质缺陷、操作失误、防渗层破损等引发泄漏</w:t>
            </w:r>
          </w:p>
        </w:tc>
        <w:tc>
          <w:tcPr>
            <w:tcW w:w="2406" w:type="dxa"/>
            <w:vAlign w:val="center"/>
          </w:tcPr>
          <w:p>
            <w:pPr>
              <w:pStyle w:val="78"/>
              <w:jc w:val="center"/>
              <w:rPr>
                <w:rFonts w:eastAsia="宋体"/>
                <w:kern w:val="2"/>
                <w:sz w:val="21"/>
                <w:szCs w:val="21"/>
              </w:rPr>
            </w:pPr>
            <w:r>
              <w:rPr>
                <w:rFonts w:hint="eastAsia" w:eastAsia="宋体"/>
                <w:kern w:val="2"/>
                <w:sz w:val="21"/>
                <w:szCs w:val="21"/>
              </w:rPr>
              <w:t>泄漏废水进入土壤、地表水、地下水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vMerge w:val="continue"/>
            <w:vAlign w:val="center"/>
          </w:tcPr>
          <w:p>
            <w:pPr>
              <w:pStyle w:val="14"/>
              <w:rPr>
                <w:rFonts w:cs="Times New Roman"/>
                <w:b w:val="0"/>
                <w:sz w:val="21"/>
                <w:szCs w:val="21"/>
              </w:rPr>
            </w:pPr>
          </w:p>
        </w:tc>
        <w:tc>
          <w:tcPr>
            <w:tcW w:w="1663"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cs="Times New Roman"/>
                <w:b w:val="0"/>
                <w:sz w:val="21"/>
                <w:szCs w:val="21"/>
              </w:rPr>
            </w:pPr>
            <w:r>
              <w:rPr>
                <w:rFonts w:hint="eastAsia" w:cs="Times New Roman"/>
                <w:b w:val="0"/>
                <w:sz w:val="21"/>
                <w:szCs w:val="21"/>
              </w:rPr>
              <w:t>水解酸化池、AAO生物池、污泥处理区等</w:t>
            </w:r>
          </w:p>
        </w:tc>
        <w:tc>
          <w:tcPr>
            <w:tcW w:w="1094" w:type="dxa"/>
            <w:vAlign w:val="center"/>
          </w:tcPr>
          <w:p>
            <w:pPr>
              <w:pStyle w:val="78"/>
              <w:jc w:val="center"/>
              <w:rPr>
                <w:rFonts w:eastAsia="宋体"/>
                <w:kern w:val="2"/>
                <w:sz w:val="21"/>
                <w:szCs w:val="21"/>
              </w:rPr>
            </w:pPr>
            <w:r>
              <w:rPr>
                <w:rFonts w:hint="eastAsia" w:eastAsia="宋体"/>
                <w:kern w:val="2"/>
                <w:sz w:val="21"/>
                <w:szCs w:val="21"/>
              </w:rPr>
              <w:t>废水、污泥、恶臭</w:t>
            </w:r>
          </w:p>
        </w:tc>
        <w:tc>
          <w:tcPr>
            <w:tcW w:w="1308" w:type="dxa"/>
            <w:vAlign w:val="center"/>
          </w:tcPr>
          <w:p>
            <w:pPr>
              <w:pStyle w:val="14"/>
              <w:rPr>
                <w:rFonts w:cs="Times New Roman"/>
                <w:b w:val="0"/>
                <w:sz w:val="21"/>
                <w:szCs w:val="21"/>
              </w:rPr>
            </w:pPr>
            <w:r>
              <w:rPr>
                <w:rFonts w:hint="eastAsia" w:cs="Times New Roman"/>
                <w:b w:val="0"/>
                <w:sz w:val="21"/>
                <w:szCs w:val="21"/>
              </w:rPr>
              <w:t>超标排放或直排、</w:t>
            </w:r>
            <w:r>
              <w:rPr>
                <w:rFonts w:hint="eastAsia"/>
                <w:b w:val="0"/>
                <w:sz w:val="21"/>
                <w:szCs w:val="21"/>
              </w:rPr>
              <w:t>贮泥池爆满</w:t>
            </w:r>
          </w:p>
        </w:tc>
        <w:tc>
          <w:tcPr>
            <w:tcW w:w="2040" w:type="dxa"/>
            <w:vAlign w:val="center"/>
          </w:tcPr>
          <w:p>
            <w:pPr>
              <w:pStyle w:val="78"/>
              <w:jc w:val="center"/>
              <w:rPr>
                <w:rFonts w:eastAsia="宋体"/>
                <w:kern w:val="2"/>
                <w:sz w:val="21"/>
                <w:szCs w:val="21"/>
              </w:rPr>
            </w:pPr>
            <w:r>
              <w:rPr>
                <w:rFonts w:hint="eastAsia" w:eastAsia="宋体"/>
                <w:kern w:val="2"/>
                <w:sz w:val="21"/>
                <w:szCs w:val="21"/>
              </w:rPr>
              <w:t>污泥膨胀</w:t>
            </w:r>
          </w:p>
        </w:tc>
        <w:tc>
          <w:tcPr>
            <w:tcW w:w="2406" w:type="dxa"/>
            <w:vAlign w:val="center"/>
          </w:tcPr>
          <w:p>
            <w:pPr>
              <w:pStyle w:val="78"/>
              <w:jc w:val="center"/>
              <w:rPr>
                <w:rFonts w:eastAsia="宋体"/>
                <w:kern w:val="2"/>
                <w:sz w:val="21"/>
                <w:szCs w:val="21"/>
              </w:rPr>
            </w:pPr>
            <w:r>
              <w:rPr>
                <w:rFonts w:hint="eastAsia" w:eastAsia="宋体"/>
                <w:kern w:val="2"/>
                <w:sz w:val="21"/>
                <w:szCs w:val="21"/>
              </w:rPr>
              <w:t>废水超标排放入河、恶臭进入环境空气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31" w:type="dxa"/>
            <w:vMerge w:val="continue"/>
            <w:vAlign w:val="center"/>
          </w:tcPr>
          <w:p>
            <w:pPr>
              <w:pStyle w:val="14"/>
              <w:rPr>
                <w:rFonts w:cs="Times New Roman"/>
                <w:b w:val="0"/>
                <w:sz w:val="21"/>
                <w:szCs w:val="21"/>
              </w:rPr>
            </w:pPr>
          </w:p>
        </w:tc>
        <w:tc>
          <w:tcPr>
            <w:tcW w:w="1663" w:type="dxa"/>
            <w:vMerge w:val="restart"/>
            <w:vAlign w:val="center"/>
          </w:tcPr>
          <w:p>
            <w:pPr>
              <w:pStyle w:val="14"/>
              <w:rPr>
                <w:rFonts w:cs="Times New Roman"/>
                <w:b w:val="0"/>
                <w:color w:val="000000" w:themeColor="text1"/>
                <w:sz w:val="21"/>
                <w:szCs w:val="21"/>
              </w:rPr>
            </w:pPr>
            <w:r>
              <w:rPr>
                <w:rFonts w:hint="eastAsia" w:cs="Times New Roman"/>
                <w:b w:val="0"/>
                <w:color w:val="000000" w:themeColor="text1"/>
                <w:sz w:val="21"/>
                <w:szCs w:val="21"/>
              </w:rPr>
              <w:t>催化氧化间</w:t>
            </w:r>
          </w:p>
        </w:tc>
        <w:tc>
          <w:tcPr>
            <w:tcW w:w="1094" w:type="dxa"/>
            <w:vAlign w:val="center"/>
          </w:tcPr>
          <w:p>
            <w:pPr>
              <w:pStyle w:val="14"/>
              <w:rPr>
                <w:rFonts w:cs="Times New Roman"/>
                <w:b w:val="0"/>
                <w:color w:val="000000" w:themeColor="text1"/>
                <w:sz w:val="21"/>
                <w:szCs w:val="21"/>
              </w:rPr>
            </w:pPr>
            <w:r>
              <w:rPr>
                <w:rFonts w:hint="eastAsia" w:cs="Times New Roman"/>
                <w:b w:val="0"/>
                <w:color w:val="000000" w:themeColor="text1"/>
                <w:sz w:val="21"/>
                <w:szCs w:val="21"/>
              </w:rPr>
              <w:t>盐酸</w:t>
            </w:r>
          </w:p>
        </w:tc>
        <w:tc>
          <w:tcPr>
            <w:tcW w:w="1308" w:type="dxa"/>
            <w:vMerge w:val="restar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危险物质泄漏</w:t>
            </w:r>
          </w:p>
        </w:tc>
        <w:tc>
          <w:tcPr>
            <w:tcW w:w="2040" w:type="dxa"/>
            <w:vMerge w:val="restar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设备腐蚀、材质缺陷、操作失误等引发泄漏</w:t>
            </w:r>
          </w:p>
        </w:tc>
        <w:tc>
          <w:tcPr>
            <w:tcW w:w="2406" w:type="dxa"/>
            <w:vMerge w:val="restart"/>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污染物进入环境空气、泄漏物质及事故废水进入土壤、地表水、地下水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vMerge w:val="continue"/>
            <w:vAlign w:val="center"/>
          </w:tcPr>
          <w:p>
            <w:pPr>
              <w:pStyle w:val="14"/>
              <w:rPr>
                <w:rFonts w:cs="Times New Roman"/>
                <w:b w:val="0"/>
                <w:sz w:val="21"/>
                <w:szCs w:val="21"/>
              </w:rPr>
            </w:pPr>
          </w:p>
        </w:tc>
        <w:tc>
          <w:tcPr>
            <w:tcW w:w="1663" w:type="dxa"/>
            <w:vMerge w:val="continue"/>
            <w:vAlign w:val="center"/>
          </w:tcPr>
          <w:p>
            <w:pPr>
              <w:pStyle w:val="14"/>
              <w:rPr>
                <w:rFonts w:cs="Times New Roman"/>
                <w:b w:val="0"/>
                <w:color w:val="000000" w:themeColor="text1"/>
                <w:sz w:val="21"/>
                <w:szCs w:val="21"/>
              </w:rPr>
            </w:pPr>
          </w:p>
        </w:tc>
        <w:tc>
          <w:tcPr>
            <w:tcW w:w="1094" w:type="dxa"/>
            <w:vAlign w:val="center"/>
          </w:tcPr>
          <w:p>
            <w:pPr>
              <w:pStyle w:val="14"/>
              <w:rPr>
                <w:rFonts w:cs="Times New Roman"/>
                <w:b w:val="0"/>
                <w:color w:val="000000" w:themeColor="text1"/>
                <w:sz w:val="21"/>
                <w:szCs w:val="21"/>
              </w:rPr>
            </w:pPr>
            <w:r>
              <w:rPr>
                <w:rFonts w:hint="eastAsia"/>
                <w:b w:val="0"/>
                <w:sz w:val="21"/>
                <w:szCs w:val="21"/>
              </w:rPr>
              <w:t>氯酸钠</w:t>
            </w:r>
          </w:p>
        </w:tc>
        <w:tc>
          <w:tcPr>
            <w:tcW w:w="1308" w:type="dxa"/>
            <w:vMerge w:val="continue"/>
            <w:vAlign w:val="center"/>
          </w:tcPr>
          <w:p>
            <w:pPr>
              <w:pStyle w:val="78"/>
              <w:jc w:val="center"/>
              <w:rPr>
                <w:rFonts w:eastAsia="宋体"/>
                <w:color w:val="000000" w:themeColor="text1"/>
                <w:kern w:val="2"/>
                <w:sz w:val="21"/>
                <w:szCs w:val="21"/>
              </w:rPr>
            </w:pPr>
          </w:p>
        </w:tc>
        <w:tc>
          <w:tcPr>
            <w:tcW w:w="2040" w:type="dxa"/>
            <w:vMerge w:val="continue"/>
            <w:vAlign w:val="center"/>
          </w:tcPr>
          <w:p>
            <w:pPr>
              <w:pStyle w:val="78"/>
              <w:jc w:val="center"/>
              <w:rPr>
                <w:rFonts w:eastAsia="宋体"/>
                <w:color w:val="000000" w:themeColor="text1"/>
                <w:kern w:val="2"/>
                <w:sz w:val="21"/>
                <w:szCs w:val="21"/>
              </w:rPr>
            </w:pPr>
          </w:p>
        </w:tc>
        <w:tc>
          <w:tcPr>
            <w:tcW w:w="2406" w:type="dxa"/>
            <w:vMerge w:val="continue"/>
            <w:vAlign w:val="center"/>
          </w:tcPr>
          <w:p>
            <w:pPr>
              <w:pStyle w:val="78"/>
              <w:jc w:val="center"/>
              <w:rPr>
                <w:rFonts w:eastAsia="宋体"/>
                <w:color w:val="000000" w:themeColor="text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vAlign w:val="center"/>
          </w:tcPr>
          <w:p>
            <w:pPr>
              <w:pStyle w:val="78"/>
              <w:jc w:val="center"/>
              <w:rPr>
                <w:rFonts w:eastAsia="宋体"/>
                <w:kern w:val="2"/>
                <w:sz w:val="21"/>
                <w:szCs w:val="21"/>
              </w:rPr>
            </w:pPr>
            <w:r>
              <w:rPr>
                <w:rFonts w:hint="eastAsia" w:eastAsia="宋体"/>
                <w:kern w:val="2"/>
                <w:sz w:val="21"/>
                <w:szCs w:val="21"/>
              </w:rPr>
              <w:t>储存区</w:t>
            </w:r>
          </w:p>
        </w:tc>
        <w:tc>
          <w:tcPr>
            <w:tcW w:w="1663" w:type="dxa"/>
            <w:vAlign w:val="center"/>
          </w:tcPr>
          <w:p>
            <w:pPr>
              <w:pStyle w:val="78"/>
              <w:jc w:val="center"/>
              <w:rPr>
                <w:rFonts w:eastAsia="宋体"/>
                <w:color w:val="000000" w:themeColor="text1"/>
                <w:kern w:val="2"/>
                <w:sz w:val="21"/>
                <w:szCs w:val="21"/>
              </w:rPr>
            </w:pPr>
            <w:r>
              <w:rPr>
                <w:rFonts w:hint="eastAsia" w:eastAsia="宋体"/>
                <w:color w:val="000000" w:themeColor="text1"/>
                <w:kern w:val="2"/>
                <w:sz w:val="21"/>
                <w:szCs w:val="21"/>
              </w:rPr>
              <w:t>原辅材料存放间</w:t>
            </w:r>
          </w:p>
        </w:tc>
        <w:tc>
          <w:tcPr>
            <w:tcW w:w="1094" w:type="dxa"/>
            <w:vAlign w:val="center"/>
          </w:tcPr>
          <w:p>
            <w:pPr>
              <w:pStyle w:val="78"/>
              <w:jc w:val="center"/>
              <w:rPr>
                <w:rFonts w:eastAsia="宋体"/>
                <w:kern w:val="2"/>
                <w:sz w:val="21"/>
                <w:szCs w:val="21"/>
              </w:rPr>
            </w:pPr>
            <w:r>
              <w:rPr>
                <w:rFonts w:eastAsia="宋体"/>
                <w:kern w:val="2"/>
                <w:sz w:val="21"/>
                <w:szCs w:val="21"/>
              </w:rPr>
              <w:t>石灰</w:t>
            </w:r>
            <w:r>
              <w:rPr>
                <w:rFonts w:hint="eastAsia" w:eastAsia="宋体"/>
                <w:kern w:val="2"/>
                <w:sz w:val="21"/>
                <w:szCs w:val="21"/>
              </w:rPr>
              <w:t>、</w:t>
            </w:r>
            <w:r>
              <w:rPr>
                <w:rFonts w:eastAsia="宋体"/>
                <w:kern w:val="2"/>
                <w:sz w:val="21"/>
                <w:szCs w:val="21"/>
              </w:rPr>
              <w:t>三氯化铁</w:t>
            </w:r>
          </w:p>
        </w:tc>
        <w:tc>
          <w:tcPr>
            <w:tcW w:w="1308" w:type="dxa"/>
            <w:vAlign w:val="center"/>
          </w:tcPr>
          <w:p>
            <w:pPr>
              <w:pStyle w:val="78"/>
              <w:jc w:val="center"/>
              <w:rPr>
                <w:rFonts w:eastAsia="宋体"/>
                <w:kern w:val="2"/>
                <w:sz w:val="21"/>
                <w:szCs w:val="21"/>
              </w:rPr>
            </w:pPr>
            <w:r>
              <w:rPr>
                <w:rFonts w:hint="eastAsia" w:eastAsia="宋体"/>
                <w:color w:val="000000" w:themeColor="text1"/>
                <w:kern w:val="2"/>
                <w:sz w:val="21"/>
                <w:szCs w:val="21"/>
              </w:rPr>
              <w:t>危险物质泄漏</w:t>
            </w:r>
          </w:p>
        </w:tc>
        <w:tc>
          <w:tcPr>
            <w:tcW w:w="2040" w:type="dxa"/>
            <w:vAlign w:val="center"/>
          </w:tcPr>
          <w:p>
            <w:pPr>
              <w:pStyle w:val="78"/>
              <w:jc w:val="center"/>
              <w:rPr>
                <w:rFonts w:eastAsia="宋体"/>
                <w:kern w:val="2"/>
                <w:sz w:val="21"/>
                <w:szCs w:val="21"/>
              </w:rPr>
            </w:pPr>
            <w:r>
              <w:rPr>
                <w:rFonts w:hint="eastAsia" w:eastAsia="宋体"/>
                <w:color w:val="000000" w:themeColor="text1"/>
                <w:kern w:val="2"/>
                <w:sz w:val="21"/>
                <w:szCs w:val="21"/>
              </w:rPr>
              <w:t>设备腐蚀、材质缺陷、操作失误等引发泄漏</w:t>
            </w:r>
          </w:p>
        </w:tc>
        <w:tc>
          <w:tcPr>
            <w:tcW w:w="2406" w:type="dxa"/>
            <w:vAlign w:val="center"/>
          </w:tcPr>
          <w:p>
            <w:pPr>
              <w:pStyle w:val="78"/>
              <w:jc w:val="center"/>
              <w:rPr>
                <w:rFonts w:eastAsia="宋体"/>
                <w:kern w:val="2"/>
                <w:sz w:val="21"/>
                <w:szCs w:val="21"/>
              </w:rPr>
            </w:pPr>
            <w:r>
              <w:rPr>
                <w:rFonts w:hint="eastAsia" w:eastAsia="宋体"/>
                <w:kern w:val="2"/>
                <w:sz w:val="21"/>
                <w:szCs w:val="21"/>
              </w:rPr>
              <w:t>污染物进入环境空气、泄漏物质及事故废水进入土壤、地表水、地下水</w:t>
            </w:r>
          </w:p>
        </w:tc>
      </w:tr>
    </w:tbl>
    <w:p>
      <w:pPr>
        <w:pStyle w:val="61"/>
      </w:pPr>
      <w:r>
        <w:t>事故影响分析及防范措施</w:t>
      </w:r>
    </w:p>
    <w:p>
      <w:pPr>
        <w:pStyle w:val="100"/>
        <w:spacing w:line="360" w:lineRule="auto"/>
        <w:ind w:firstLine="480"/>
      </w:pPr>
      <w:r>
        <w:rPr>
          <w:rFonts w:hint="eastAsia"/>
        </w:rPr>
        <w:t>（1）各废水管道事故风险分析及对策</w:t>
      </w:r>
    </w:p>
    <w:p>
      <w:pPr>
        <w:pStyle w:val="100"/>
        <w:spacing w:line="360" w:lineRule="auto"/>
        <w:ind w:firstLine="480"/>
      </w:pPr>
      <w:r>
        <w:rPr>
          <w:rFonts w:hint="eastAsia"/>
        </w:rPr>
        <w:t>根据有关资料，厂内各废水管道事故风险主要由于管道破裂或堵塞造成污水外流。造成这一种情况一般是由于其他工程开挖或管线基础隐患等造成的，这类事故发生后，管线内废水外溢与管线的输送污水量、抢修进度等有关，一旦发生此类事故要立即关闭相应阀门并及时组织抢修，尽可能减少废水外溢量，减少对周围环境的影响。项目采取如下防治措施：</w:t>
      </w:r>
    </w:p>
    <w:p>
      <w:pPr>
        <w:pStyle w:val="78"/>
        <w:spacing w:line="360" w:lineRule="auto"/>
        <w:ind w:firstLine="480" w:firstLineChars="200"/>
        <w:rPr>
          <w:rFonts w:ascii="宋体" w:hAnsi="宋体" w:cs="宋体"/>
        </w:rPr>
      </w:pPr>
      <w:r>
        <w:rPr>
          <w:rFonts w:hint="eastAsia" w:asciiTheme="minorEastAsia" w:hAnsiTheme="minorEastAsia"/>
        </w:rPr>
        <w:t>①</w:t>
      </w:r>
      <w:r>
        <w:rPr>
          <w:rFonts w:ascii="宋体" w:hAnsi="宋体" w:cs="宋体"/>
        </w:rPr>
        <w:t>管道施工时对管道材料应按规章进行认真检查、验收，要求管道要有足够的强度和一定耐腐蚀性能，并且使用年限要长；</w:t>
      </w:r>
    </w:p>
    <w:p>
      <w:pPr>
        <w:pStyle w:val="78"/>
        <w:spacing w:line="360" w:lineRule="auto"/>
        <w:ind w:firstLine="480" w:firstLineChars="200"/>
        <w:rPr>
          <w:rFonts w:asciiTheme="minorEastAsia" w:hAnsiTheme="minorEastAsia"/>
        </w:rPr>
      </w:pPr>
      <w:r>
        <w:rPr>
          <w:rFonts w:hint="eastAsia" w:asciiTheme="minorEastAsia" w:hAnsiTheme="minorEastAsia"/>
        </w:rPr>
        <w:t>②</w:t>
      </w:r>
      <w:r>
        <w:rPr>
          <w:rFonts w:asciiTheme="minorEastAsia" w:hAnsiTheme="minorEastAsia"/>
        </w:rPr>
        <w:t>在各废水管道敷设后，在设立明显的警示标识，均设置专用明管；</w:t>
      </w:r>
    </w:p>
    <w:p>
      <w:pPr>
        <w:pStyle w:val="78"/>
        <w:spacing w:line="360" w:lineRule="auto"/>
        <w:ind w:firstLine="480" w:firstLineChars="200"/>
        <w:rPr>
          <w:rFonts w:asciiTheme="minorEastAsia" w:hAnsiTheme="minorEastAsia"/>
        </w:rPr>
      </w:pPr>
      <w:r>
        <w:rPr>
          <w:rFonts w:hint="eastAsia" w:asciiTheme="minorEastAsia" w:hAnsiTheme="minorEastAsia"/>
        </w:rPr>
        <w:t>③</w:t>
      </w:r>
      <w:r>
        <w:rPr>
          <w:rFonts w:asciiTheme="minorEastAsia" w:hAnsiTheme="minorEastAsia"/>
        </w:rPr>
        <w:t>应十分重视各废水管道的维护及管理，防止沉积堵塞而影响管道的过水能力。管道衔接应防止泄漏污染地下水，淤塞应及时疏浚，保证管道通畅；</w:t>
      </w:r>
    </w:p>
    <w:p>
      <w:pPr>
        <w:pStyle w:val="78"/>
        <w:spacing w:line="360" w:lineRule="auto"/>
        <w:ind w:firstLine="480" w:firstLineChars="200"/>
        <w:rPr>
          <w:rFonts w:asciiTheme="minorEastAsia" w:hAnsiTheme="minorEastAsia"/>
        </w:rPr>
      </w:pPr>
      <w:r>
        <w:rPr>
          <w:rFonts w:hint="eastAsia" w:asciiTheme="minorEastAsia" w:hAnsiTheme="minorEastAsia"/>
        </w:rPr>
        <w:t>④</w:t>
      </w:r>
      <w:r>
        <w:rPr>
          <w:rFonts w:asciiTheme="minorEastAsia" w:hAnsiTheme="minorEastAsia"/>
        </w:rPr>
        <w:t>污水处理厂的地面设计一定坡度，在发生事故时外溢废水可流入事故排水系统。</w:t>
      </w:r>
    </w:p>
    <w:p>
      <w:pPr>
        <w:pStyle w:val="61"/>
      </w:pPr>
      <w:r>
        <w:rPr>
          <w:rFonts w:hint="eastAsia"/>
        </w:rPr>
        <w:t>危险化学品储存事故风险分析及对策</w:t>
      </w:r>
    </w:p>
    <w:p>
      <w:pPr>
        <w:pStyle w:val="78"/>
        <w:spacing w:line="360" w:lineRule="auto"/>
        <w:ind w:firstLine="480" w:firstLineChars="200"/>
      </w:pPr>
      <w:r>
        <w:t>储药间中的药品为固态，液态储存的化学品物质主要是1×2</w:t>
      </w:r>
      <w:r>
        <w:rPr>
          <w:rFonts w:hint="eastAsia"/>
        </w:rPr>
        <w:t>.5</w:t>
      </w:r>
      <w:r>
        <w:t>m</w:t>
      </w:r>
      <w:r>
        <w:rPr>
          <w:vertAlign w:val="superscript"/>
        </w:rPr>
        <w:t>3</w:t>
      </w:r>
      <w:r>
        <w:t>氯化钠储罐、1×</w:t>
      </w:r>
      <w:r>
        <w:rPr>
          <w:rFonts w:hint="eastAsia"/>
        </w:rPr>
        <w:t>10</w:t>
      </w:r>
      <w:r>
        <w:t>m</w:t>
      </w:r>
      <w:r>
        <w:rPr>
          <w:vertAlign w:val="superscript"/>
        </w:rPr>
        <w:t>3</w:t>
      </w:r>
      <w:r>
        <w:t>盐酸储罐，液态化学品储存量较小，因此，预计各种危险化学品直接进入厂区其他区域的可能性不大，故评价认为该环境风险影响水平是可防可控的。项目危险化学品泄漏事故防范措施如下：</w:t>
      </w:r>
    </w:p>
    <w:p>
      <w:pPr>
        <w:pStyle w:val="78"/>
        <w:spacing w:line="360" w:lineRule="auto"/>
        <w:ind w:firstLine="480" w:firstLineChars="200"/>
        <w:rPr>
          <w:rFonts w:ascii="宋体" w:hAnsi="宋体" w:cs="宋体"/>
        </w:rPr>
      </w:pPr>
      <w:r>
        <w:rPr>
          <w:rFonts w:hint="eastAsia" w:asciiTheme="minorEastAsia" w:hAnsiTheme="minorEastAsia"/>
        </w:rPr>
        <w:t>①</w:t>
      </w:r>
      <w:r>
        <w:rPr>
          <w:rFonts w:ascii="宋体" w:hAnsi="宋体" w:cs="宋体"/>
        </w:rPr>
        <w:t>危险化学品贮存及使用</w:t>
      </w:r>
    </w:p>
    <w:p>
      <w:pPr>
        <w:pStyle w:val="78"/>
        <w:spacing w:line="360" w:lineRule="auto"/>
        <w:ind w:firstLine="480" w:firstLineChars="200"/>
        <w:rPr>
          <w:rFonts w:ascii="宋体" w:hAnsi="宋体" w:cs="宋体"/>
        </w:rPr>
      </w:pPr>
      <w:r>
        <w:rPr>
          <w:rFonts w:ascii="宋体" w:hAnsi="宋体" w:cs="宋体"/>
          <w:color w:val="000000" w:themeColor="text1"/>
        </w:rPr>
        <w:t>本项目使用的原辅材料中，危险化学品主要以次氯酸钠、盐酸为主。危险化学品在运输、贮存及使用过程中，应严格按照国家和地方有关危险化学品的法规、条例的规</w:t>
      </w:r>
      <w:r>
        <w:rPr>
          <w:rFonts w:ascii="宋体" w:hAnsi="宋体" w:cs="宋体"/>
        </w:rPr>
        <w:t>定和要求，主要有《化学危险物品安全管理条例》、《危险化学品登记管理办法》、《常用化学品贮存通则》、《监控化学品管理条例》，建立健全从加药系统、原料储存区的全过程安全管理，并接受公安部门和安全监督部门监管。</w:t>
      </w:r>
    </w:p>
    <w:p>
      <w:pPr>
        <w:pStyle w:val="78"/>
        <w:spacing w:line="360" w:lineRule="auto"/>
        <w:ind w:firstLine="480" w:firstLineChars="200"/>
        <w:rPr>
          <w:rFonts w:ascii="宋体" w:hAnsi="宋体" w:cs="宋体"/>
        </w:rPr>
      </w:pPr>
      <w:r>
        <w:rPr>
          <w:rFonts w:hint="eastAsia" w:ascii="宋体" w:hAnsi="宋体" w:cs="宋体"/>
        </w:rPr>
        <w:t>具体防范措施为：在加药间（含加药池）和化学品储存点均采用环氧树脂进行防腐、防渗和防漏处理，定期巡检药品桶是否有破损、磨损等以防泄漏，并及时修复或更换包装桶。</w:t>
      </w:r>
    </w:p>
    <w:p>
      <w:pPr>
        <w:pStyle w:val="78"/>
        <w:spacing w:line="360" w:lineRule="auto"/>
        <w:ind w:firstLine="480" w:firstLineChars="200"/>
        <w:rPr>
          <w:rFonts w:cs="宋体" w:asciiTheme="minorEastAsia" w:hAnsiTheme="minorEastAsia"/>
        </w:rPr>
      </w:pPr>
      <w:r>
        <w:rPr>
          <w:rFonts w:hint="eastAsia" w:cs="宋体" w:asciiTheme="minorEastAsia" w:hAnsiTheme="minorEastAsia"/>
        </w:rPr>
        <w:t>②危险化学品运输</w:t>
      </w:r>
    </w:p>
    <w:p>
      <w:pPr>
        <w:pStyle w:val="78"/>
        <w:spacing w:line="360" w:lineRule="auto"/>
        <w:ind w:firstLine="480" w:firstLineChars="200"/>
        <w:rPr>
          <w:rFonts w:ascii="宋体" w:hAnsi="宋体" w:cs="宋体"/>
        </w:rPr>
      </w:pPr>
      <w:r>
        <w:rPr>
          <w:rFonts w:ascii="宋体" w:hAnsi="宋体" w:cs="宋体"/>
        </w:rPr>
        <w:t>本项目化学品外部运输由供应商或第三单位负责，本评价不考虑运输过程中的环境风险，但要求建设单位在选择供应商或运输单位时，要选择具有相应资质的危险化学品供应商和运输单位</w:t>
      </w:r>
      <w:r>
        <w:rPr>
          <w:rFonts w:hint="eastAsia" w:ascii="宋体" w:hAnsi="宋体" w:cs="宋体"/>
        </w:rPr>
        <w:t>。</w:t>
      </w:r>
    </w:p>
    <w:p>
      <w:pPr>
        <w:pStyle w:val="78"/>
        <w:spacing w:line="360" w:lineRule="auto"/>
        <w:ind w:firstLine="480" w:firstLineChars="200"/>
        <w:rPr>
          <w:rFonts w:hAnsi="宋体"/>
        </w:rPr>
      </w:pPr>
      <w:r>
        <w:rPr>
          <w:rFonts w:hAnsi="宋体"/>
        </w:rPr>
        <w:t>储存：储运于阴暗、通风的库房。远离火种、热源。库温不宜超过</w:t>
      </w:r>
      <w:r>
        <w:t>30℃</w:t>
      </w:r>
      <w:r>
        <w:rPr>
          <w:rFonts w:hAnsi="宋体"/>
        </w:rPr>
        <w:t>。应与酸、食品和不兼容性物料分开存放，切记混储，注意密封，储备区应备有泄漏应急处理设备和适合的收容材料</w:t>
      </w:r>
      <w:r>
        <w:rPr>
          <w:rFonts w:hint="eastAsia" w:hAnsi="宋体"/>
        </w:rPr>
        <w:t>。</w:t>
      </w:r>
    </w:p>
    <w:p>
      <w:pPr>
        <w:pStyle w:val="78"/>
        <w:spacing w:line="360" w:lineRule="auto"/>
        <w:ind w:firstLine="480" w:firstLineChars="200"/>
        <w:rPr>
          <w:rFonts w:asciiTheme="minorEastAsia" w:hAnsiTheme="minorEastAsia"/>
        </w:rPr>
      </w:pPr>
      <w:r>
        <w:rPr>
          <w:rFonts w:hint="eastAsia" w:hAnsi="宋体"/>
        </w:rPr>
        <w:t>使用：消毒过程中应注意防护：</w:t>
      </w:r>
      <w:r>
        <w:rPr>
          <w:rFonts w:hint="eastAsia" w:asciiTheme="minorEastAsia" w:hAnsiTheme="minorEastAsia"/>
        </w:rPr>
        <w:t>①避免吸入、食入，要求戴口罩和护目镜。</w:t>
      </w:r>
      <w:r>
        <w:rPr>
          <w:rFonts w:asciiTheme="minorEastAsia" w:hAnsiTheme="minorEastAsia"/>
        </w:rPr>
        <w:t>戴橡皮胶手套，穿防护衣；②消毒所用衣物单独清洗；③工作中禁止吸烟、进食、饮水</w:t>
      </w:r>
      <w:r>
        <w:rPr>
          <w:rFonts w:hint="eastAsia" w:asciiTheme="minorEastAsia" w:hAnsiTheme="minorEastAsia"/>
        </w:rPr>
        <w:t>。</w:t>
      </w:r>
      <w:r>
        <w:rPr>
          <w:rFonts w:asciiTheme="minorEastAsia" w:hAnsiTheme="minorEastAsia"/>
        </w:rPr>
        <w:t>消毒完成后注意通风或局部排风</w:t>
      </w:r>
      <w:r>
        <w:rPr>
          <w:rFonts w:hint="eastAsia" w:asciiTheme="minorEastAsia" w:hAnsiTheme="minorEastAsia"/>
        </w:rPr>
        <w:t>，</w:t>
      </w:r>
      <w:r>
        <w:rPr>
          <w:rFonts w:asciiTheme="minorEastAsia" w:hAnsiTheme="minorEastAsia"/>
        </w:rPr>
        <w:t>工作完毕用肥皂水洗手</w:t>
      </w:r>
      <w:r>
        <w:rPr>
          <w:rFonts w:hint="eastAsia" w:asciiTheme="minorEastAsia" w:hAnsiTheme="minorEastAsia"/>
        </w:rPr>
        <w:t>。</w:t>
      </w:r>
    </w:p>
    <w:p>
      <w:pPr>
        <w:pStyle w:val="78"/>
        <w:spacing w:line="360" w:lineRule="auto"/>
        <w:ind w:firstLine="480" w:firstLineChars="200"/>
        <w:rPr>
          <w:rFonts w:hAnsi="宋体"/>
        </w:rPr>
      </w:pPr>
      <w:r>
        <w:rPr>
          <w:rFonts w:hint="eastAsia" w:hAnsi="宋体"/>
        </w:rPr>
        <w:t>应急处置：①</w:t>
      </w:r>
      <w:r>
        <w:rPr>
          <w:rFonts w:hAnsi="宋体"/>
        </w:rPr>
        <w:t>火灾：小火采用干粉、CO</w:t>
      </w:r>
      <w:r>
        <w:rPr>
          <w:rFonts w:hAnsi="宋体"/>
          <w:vertAlign w:val="subscript"/>
        </w:rPr>
        <w:t>2</w:t>
      </w:r>
      <w:r>
        <w:rPr>
          <w:rFonts w:hAnsi="宋体"/>
        </w:rPr>
        <w:t>、水幕灭火。大火用干粉、CO</w:t>
      </w:r>
      <w:r>
        <w:rPr>
          <w:rFonts w:hAnsi="宋体"/>
          <w:vertAlign w:val="subscript"/>
        </w:rPr>
        <w:t>2</w:t>
      </w:r>
      <w:r>
        <w:rPr>
          <w:rFonts w:hAnsi="宋体"/>
        </w:rPr>
        <w:t>、抗醇泡沫或水幕灭火，在确保安全的前提下，将容器移离火场，筑堤收容消防水。储罐、公路、铁路槽车发生火灾时尽可能远离灭火或使用无人控制消防软管、自动喷头扑救；用大量水冷却容器，直至火灾扑灭；安全阀发生声响或储罐变色，立即撤离。</w:t>
      </w:r>
    </w:p>
    <w:p>
      <w:pPr>
        <w:pStyle w:val="78"/>
        <w:spacing w:line="360" w:lineRule="auto"/>
        <w:ind w:firstLine="480" w:firstLineChars="200"/>
        <w:rPr>
          <w:rFonts w:hAnsi="宋体"/>
        </w:rPr>
      </w:pPr>
      <w:r>
        <w:rPr>
          <w:rFonts w:hint="eastAsia" w:hAnsi="宋体"/>
        </w:rPr>
        <w:t>②</w:t>
      </w:r>
      <w:r>
        <w:rPr>
          <w:rFonts w:hAnsi="宋体"/>
        </w:rPr>
        <w:t>泄漏：迅速撤离泄漏污染区人员至安全区，并进行隔离，严格限制出入。应急处理人员戴自给正压式呼吸器，穿放酸碱服。不要直接接触泄漏物。尽可能切断泄漏源。次氯酸钠溶液小量泄漏：用砂土或其他惰性材料吸收。大量泄漏：构筑围堤或挖坑收容。注意保持现场通风，用泡沫覆盖，降低蒸汽灾害。用泵转移至槽车祸专用收集器内</w:t>
      </w:r>
      <w:r>
        <w:rPr>
          <w:rFonts w:hint="eastAsia" w:hAnsi="宋体"/>
        </w:rPr>
        <w:t>，</w:t>
      </w:r>
      <w:r>
        <w:rPr>
          <w:rFonts w:hAnsi="宋体"/>
        </w:rPr>
        <w:t>回收至危废处置单位</w:t>
      </w:r>
      <w:r>
        <w:rPr>
          <w:rFonts w:hint="eastAsia" w:hAnsi="宋体"/>
        </w:rPr>
        <w:t>。</w:t>
      </w:r>
    </w:p>
    <w:p>
      <w:pPr>
        <w:pStyle w:val="61"/>
      </w:pPr>
      <w:r>
        <w:rPr>
          <w:rFonts w:hint="eastAsia"/>
        </w:rPr>
        <w:t>废水处理系统运行事故风险分析及对策</w:t>
      </w:r>
    </w:p>
    <w:p>
      <w:pPr>
        <w:pStyle w:val="78"/>
        <w:snapToGrid w:val="0"/>
        <w:spacing w:line="360" w:lineRule="auto"/>
        <w:ind w:firstLine="480" w:firstLineChars="200"/>
        <w:rPr>
          <w:u w:val="single"/>
        </w:rPr>
      </w:pPr>
      <w:r>
        <w:rPr>
          <w:rFonts w:hint="eastAsia"/>
          <w:u w:val="single"/>
        </w:rPr>
        <w:t>根据对污水处理厂及国内同类污水处理厂运行实践的分析，污水站各废水处理系统运行事故排放的主要原因为：</w:t>
      </w:r>
    </w:p>
    <w:p>
      <w:pPr>
        <w:pStyle w:val="78"/>
        <w:snapToGrid w:val="0"/>
        <w:spacing w:line="360" w:lineRule="auto"/>
        <w:ind w:firstLine="480" w:firstLineChars="200"/>
        <w:rPr>
          <w:rFonts w:hint="default" w:ascii="Times New Roman" w:hAnsi="Times New Roman" w:cs="Times New Roman"/>
          <w:u w:val="single"/>
        </w:rPr>
      </w:pPr>
      <w:r>
        <w:rPr>
          <w:rFonts w:hint="default" w:ascii="Times New Roman" w:hAnsi="Times New Roman" w:cs="Times New Roman"/>
          <w:u w:val="single"/>
        </w:rPr>
        <w:t>①由于污水处理设备、设施质量问题或养护不当造成设备、设施故障，导致污水处理效率下降甚至未处理直接排放。</w:t>
      </w:r>
    </w:p>
    <w:p>
      <w:pPr>
        <w:pStyle w:val="78"/>
        <w:snapToGrid w:val="0"/>
        <w:spacing w:line="360" w:lineRule="auto"/>
        <w:ind w:firstLine="480" w:firstLineChars="200"/>
        <w:rPr>
          <w:rFonts w:hint="default" w:ascii="Times New Roman" w:hAnsi="Times New Roman" w:cs="Times New Roman"/>
          <w:u w:val="single"/>
        </w:rPr>
      </w:pPr>
      <w:r>
        <w:rPr>
          <w:rFonts w:hint="default" w:ascii="Times New Roman" w:hAnsi="Times New Roman" w:cs="Times New Roman"/>
          <w:u w:val="single"/>
        </w:rPr>
        <w:t>②由于污水处理厂停电或供电故障，直接导致污水未处理直接排放。</w:t>
      </w:r>
    </w:p>
    <w:p>
      <w:pPr>
        <w:pStyle w:val="78"/>
        <w:snapToGrid w:val="0"/>
        <w:spacing w:line="360" w:lineRule="auto"/>
        <w:ind w:firstLine="480" w:firstLineChars="200"/>
        <w:rPr>
          <w:rFonts w:hint="default" w:ascii="Times New Roman" w:hAnsi="Times New Roman" w:cs="Times New Roman"/>
          <w:u w:val="single"/>
        </w:rPr>
      </w:pPr>
      <w:r>
        <w:rPr>
          <w:rFonts w:hint="default" w:ascii="Times New Roman" w:hAnsi="Times New Roman" w:cs="Times New Roman"/>
          <w:u w:val="single"/>
        </w:rPr>
        <w:t>③由于生产过程中分类废水非正常排放或意外排放进入污水处理系统，超过污水处理系统的能力，导致废水处理能力低下，尾水不能回用。</w:t>
      </w:r>
    </w:p>
    <w:p>
      <w:pPr>
        <w:pStyle w:val="78"/>
        <w:snapToGrid w:val="0"/>
        <w:spacing w:line="360" w:lineRule="auto"/>
        <w:ind w:firstLine="48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④</w:t>
      </w:r>
      <w:r>
        <w:rPr>
          <w:rFonts w:hint="default" w:ascii="Times New Roman" w:hAnsi="Times New Roman" w:eastAsia="宋体" w:cs="Times New Roman"/>
          <w:u w:val="single"/>
          <w:lang w:eastAsia="zh-CN"/>
        </w:rPr>
        <w:t>本项目一年</w:t>
      </w:r>
      <w:r>
        <w:rPr>
          <w:rFonts w:hint="eastAsia" w:ascii="Times New Roman" w:hAnsi="Times New Roman" w:eastAsia="宋体" w:cs="Times New Roman"/>
          <w:u w:val="single"/>
          <w:lang w:eastAsia="zh-CN"/>
        </w:rPr>
        <w:t>两次安全大检查，提升泵、细格栅、曝气器、混合液回流泵、生化污泥泵、回用水泵、过滤提升泵。检修方式主要是对设备的维修和保养，主要内容包括润滑、防腐、清洁、零部件调整更换等。</w:t>
      </w:r>
    </w:p>
    <w:p>
      <w:pPr>
        <w:pStyle w:val="78"/>
        <w:snapToGrid w:val="0"/>
        <w:spacing w:line="360" w:lineRule="auto"/>
        <w:ind w:firstLine="480" w:firstLineChars="200"/>
        <w:rPr>
          <w:rFonts w:hAnsi="宋体"/>
          <w:u w:val="single"/>
        </w:rPr>
      </w:pPr>
      <w:r>
        <w:rPr>
          <w:rFonts w:hAnsi="宋体"/>
          <w:u w:val="single"/>
        </w:rPr>
        <w:t>以上三种情况都将对污水处理厂产生较大影响</w:t>
      </w:r>
      <w:r>
        <w:rPr>
          <w:rFonts w:hint="eastAsia" w:hAnsi="宋体"/>
          <w:u w:val="single"/>
        </w:rPr>
        <w:t>。</w:t>
      </w:r>
    </w:p>
    <w:p>
      <w:pPr>
        <w:pStyle w:val="78"/>
        <w:snapToGrid w:val="0"/>
        <w:spacing w:line="360" w:lineRule="auto"/>
        <w:ind w:firstLine="480" w:firstLineChars="200"/>
        <w:rPr>
          <w:rFonts w:hAnsi="宋体"/>
          <w:u w:val="single"/>
        </w:rPr>
      </w:pPr>
      <w:r>
        <w:rPr>
          <w:rFonts w:hint="eastAsia" w:hAnsi="宋体"/>
          <w:u w:val="single"/>
        </w:rPr>
        <w:t>运行事故处理应急措施如下：</w:t>
      </w:r>
    </w:p>
    <w:p>
      <w:pPr>
        <w:pStyle w:val="78"/>
        <w:snapToGrid w:val="0"/>
        <w:spacing w:line="360" w:lineRule="auto"/>
        <w:ind w:firstLine="480" w:firstLineChars="200"/>
        <w:rPr>
          <w:u w:val="single"/>
        </w:rPr>
      </w:pPr>
      <w:r>
        <w:rPr>
          <w:rFonts w:hAnsiTheme="minorEastAsia"/>
          <w:u w:val="single"/>
        </w:rPr>
        <w:t>①</w:t>
      </w:r>
      <w:r>
        <w:rPr>
          <w:u w:val="single"/>
        </w:rPr>
        <w:t>运行过程中应按规程对设备进行操作和养护，及时检修，避免故障发生。</w:t>
      </w:r>
    </w:p>
    <w:p>
      <w:pPr>
        <w:pStyle w:val="78"/>
        <w:snapToGrid w:val="0"/>
        <w:spacing w:line="360" w:lineRule="auto"/>
        <w:ind w:firstLine="480" w:firstLineChars="200"/>
        <w:rPr>
          <w:rFonts w:hAnsiTheme="minorEastAsia"/>
          <w:u w:val="single"/>
        </w:rPr>
      </w:pPr>
      <w:r>
        <w:rPr>
          <w:rFonts w:hAnsiTheme="minorEastAsia"/>
          <w:u w:val="single"/>
        </w:rPr>
        <w:t>②</w:t>
      </w:r>
      <w:r>
        <w:rPr>
          <w:rFonts w:hint="eastAsia" w:asciiTheme="minorEastAsia" w:hAnsiTheme="minorEastAsia"/>
          <w:u w:val="single"/>
        </w:rPr>
        <w:t>加强废水管线的巡查，及时发送问题及解决；监理污水处理厂运行管理和操作责任制度；搞好员工培训，监理技术考核档案，不合格者不得上岗。</w:t>
      </w:r>
    </w:p>
    <w:p>
      <w:pPr>
        <w:pStyle w:val="78"/>
        <w:snapToGrid w:val="0"/>
        <w:spacing w:line="360" w:lineRule="auto"/>
        <w:ind w:firstLine="480" w:firstLineChars="200"/>
        <w:rPr>
          <w:rFonts w:hint="default" w:eastAsiaTheme="minorEastAsia"/>
          <w:u w:val="single"/>
          <w:lang w:val="en-US" w:eastAsia="zh-CN"/>
        </w:rPr>
      </w:pPr>
      <w:r>
        <w:rPr>
          <w:rFonts w:hAnsiTheme="minorEastAsia"/>
          <w:u w:val="single"/>
        </w:rPr>
        <w:t>③</w:t>
      </w:r>
      <w:r>
        <w:rPr>
          <w:rFonts w:hint="eastAsia" w:hAnsiTheme="minorEastAsia"/>
          <w:u w:val="single"/>
          <w:lang w:eastAsia="zh-CN"/>
        </w:rPr>
        <w:t>应按照操作规程对进水水质进行定期检测，发现进水水质超标时及时向管理部门报告，查找污水来源，截断污染源，并相应调整运行参数，如延长污水停留时间，在组合池</w:t>
      </w:r>
      <w:r>
        <w:rPr>
          <w:rFonts w:hint="eastAsia" w:hAnsiTheme="minorEastAsia"/>
          <w:u w:val="single"/>
          <w:lang w:val="en-US" w:eastAsia="zh-CN"/>
        </w:rPr>
        <w:t>（</w:t>
      </w:r>
      <w:r>
        <w:rPr>
          <w:rFonts w:cs="Times New Roman"/>
          <w:szCs w:val="21"/>
          <w:u w:val="single"/>
        </w:rPr>
        <w:t>水解酸化池</w:t>
      </w:r>
      <w:r>
        <w:rPr>
          <w:rFonts w:hint="eastAsia" w:cs="Times New Roman"/>
          <w:szCs w:val="21"/>
          <w:u w:val="single"/>
          <w:lang w:val="en-US" w:eastAsia="zh-CN"/>
        </w:rPr>
        <w:t>+</w:t>
      </w:r>
      <w:r>
        <w:rPr>
          <w:rFonts w:cs="Times New Roman"/>
          <w:szCs w:val="21"/>
          <w:u w:val="single"/>
        </w:rPr>
        <w:t>AAO生物池</w:t>
      </w:r>
      <w:r>
        <w:rPr>
          <w:rFonts w:hint="eastAsia" w:cs="Times New Roman"/>
          <w:szCs w:val="21"/>
          <w:u w:val="single"/>
          <w:lang w:val="en-US" w:eastAsia="zh-CN"/>
        </w:rPr>
        <w:t>+</w:t>
      </w:r>
      <w:r>
        <w:rPr>
          <w:rFonts w:cs="Times New Roman"/>
          <w:szCs w:val="21"/>
          <w:u w:val="single"/>
        </w:rPr>
        <w:t>二沉池</w:t>
      </w:r>
      <w:r>
        <w:rPr>
          <w:rFonts w:hint="eastAsia" w:hAnsiTheme="minorEastAsia"/>
          <w:u w:val="single"/>
          <w:lang w:val="en-US" w:eastAsia="zh-CN"/>
        </w:rPr>
        <w:t>）投加微生物菌剂以保证污泥活性等措施。在加强监控与及时采取有效处理措施的情况下，预计可大大降低污水排放事故的概率。</w:t>
      </w:r>
    </w:p>
    <w:p>
      <w:pPr>
        <w:pStyle w:val="78"/>
        <w:snapToGrid w:val="0"/>
        <w:spacing w:line="360" w:lineRule="auto"/>
        <w:ind w:firstLine="480" w:firstLineChars="200"/>
        <w:rPr>
          <w:rFonts w:hint="default" w:asciiTheme="minorEastAsia" w:hAnsiTheme="minorEastAsia" w:eastAsiaTheme="minorEastAsia"/>
          <w:u w:val="single"/>
          <w:lang w:val="en-US" w:eastAsia="zh-CN"/>
        </w:rPr>
      </w:pPr>
      <w:r>
        <w:rPr>
          <w:rFonts w:hint="eastAsia" w:asciiTheme="minorEastAsia" w:hAnsiTheme="minorEastAsia"/>
          <w:u w:val="single"/>
        </w:rPr>
        <w:t>④</w:t>
      </w:r>
      <w:r>
        <w:rPr>
          <w:rFonts w:hint="eastAsia" w:asciiTheme="minorEastAsia" w:hAnsiTheme="minorEastAsia"/>
          <w:u w:val="single"/>
          <w:lang w:eastAsia="zh-CN"/>
        </w:rPr>
        <w:t>本项目利用平流沉淀池和二沉池作为本项目的事故池，暂存事故排放的废水，减少废水排放量。一旦发生事故，关闭出水阀门，优先将</w:t>
      </w:r>
      <w:r>
        <w:rPr>
          <w:rFonts w:hint="eastAsia" w:asciiTheme="minorEastAsia" w:hAnsiTheme="minorEastAsia"/>
          <w:u w:val="single"/>
          <w:lang w:val="en-US" w:eastAsia="zh-CN"/>
        </w:rPr>
        <w:t xml:space="preserve"> 污水储存在调节水池，同时立即采取应急抢险措施，减少对地表水体造成不利影响。污水厂在运行中还应严格按照操作规程和步骤进行规范化操作，加强对污水处理设施的运行管理和维护，将事故消灭在萌芽状态。定期检测、维修、及时更换腐蚀受损加强对污水处理设施的管理，杜绝造成事故性排放。</w:t>
      </w:r>
    </w:p>
    <w:p>
      <w:pPr>
        <w:pStyle w:val="61"/>
      </w:pPr>
      <w:r>
        <w:rPr>
          <w:rFonts w:hint="eastAsia"/>
        </w:rPr>
        <w:t>污泥膨胀事故风险分析及对策</w:t>
      </w:r>
    </w:p>
    <w:p>
      <w:pPr>
        <w:pStyle w:val="78"/>
        <w:spacing w:line="360" w:lineRule="auto"/>
        <w:ind w:firstLine="480" w:firstLineChars="200"/>
        <w:rPr>
          <w:rFonts w:hAnsiTheme="minorEastAsia"/>
        </w:rPr>
      </w:pPr>
      <w:r>
        <w:rPr>
          <w:rFonts w:hint="eastAsia" w:hAnsiTheme="minorEastAsia"/>
        </w:rPr>
        <w:t>污水或污泥处理系统的设备发生故障，使污水处理能力降低，出水水质下降或污泥不能及时外运，引起污泥发酵，贮泥池爆满，散发恶臭。</w:t>
      </w:r>
    </w:p>
    <w:p>
      <w:pPr>
        <w:pStyle w:val="78"/>
        <w:spacing w:line="360" w:lineRule="auto"/>
        <w:ind w:firstLine="480" w:firstLineChars="200"/>
        <w:rPr>
          <w:rFonts w:hAnsiTheme="minorEastAsia"/>
        </w:rPr>
      </w:pPr>
      <w:r>
        <w:rPr>
          <w:rFonts w:hint="eastAsia" w:hAnsiTheme="minorEastAsia"/>
        </w:rPr>
        <w:t>正常的活性污泥沉降性能很好，含水率一般在</w:t>
      </w:r>
      <w:r>
        <w:rPr>
          <w:rFonts w:hAnsiTheme="minorEastAsia"/>
        </w:rPr>
        <w:t>99%</w:t>
      </w:r>
      <w:r>
        <w:rPr>
          <w:rFonts w:hint="eastAsia" w:hAnsiTheme="minorEastAsia"/>
        </w:rPr>
        <w:t>左右，当活性污泥变质时，污泥就不易沉淀，含水率上升，体积膨胀，澄清液减少，这就是污泥膨胀。根据国内外活性污泥系统调查结果，无论是普通活性污泥系统，还是生物脱氮除磷系统都会发污泥膨胀，污泥膨胀是自活性污泥法问世以来在运行管理上一直困扰人们的难题之一。污泥膨胀一般是由丝状菌和真菌引起的，其中由丝状菌过量繁殖引起的污泥膨胀最为常见。</w:t>
      </w:r>
    </w:p>
    <w:p>
      <w:pPr>
        <w:pStyle w:val="78"/>
        <w:spacing w:line="360" w:lineRule="auto"/>
        <w:ind w:firstLine="480" w:firstLineChars="200"/>
        <w:rPr>
          <w:rFonts w:hAnsiTheme="minorEastAsia"/>
        </w:rPr>
      </w:pPr>
      <w:r>
        <w:rPr>
          <w:rFonts w:hint="eastAsia" w:hAnsiTheme="minorEastAsia"/>
        </w:rPr>
        <w:t>目前已知的近30种丝状菌中，与污泥膨胀问题密切相关的有十几种。有的丝状菌引起的污泥膨胀发展迅速，</w:t>
      </w:r>
      <w:r>
        <w:rPr>
          <w:rFonts w:hAnsiTheme="minorEastAsia"/>
        </w:rPr>
        <w:t>2</w:t>
      </w:r>
      <w:r>
        <w:rPr>
          <w:rFonts w:hint="eastAsia" w:hAnsiTheme="minorEastAsia"/>
        </w:rPr>
        <w:t>～</w:t>
      </w:r>
      <w:r>
        <w:rPr>
          <w:rFonts w:hAnsiTheme="minorEastAsia"/>
        </w:rPr>
        <w:t>4</w:t>
      </w:r>
      <w:r>
        <w:rPr>
          <w:rFonts w:hint="eastAsia" w:hAnsiTheme="minorEastAsia"/>
        </w:rPr>
        <w:t>天就可达到非常严重的结果，而且非常持久。一般认为，低负荷和低氧、低温是造成膨胀的主要原因。因为①丝状菌比菌胶团细菌有更大的比表面积，在低负荷下具有更强的捕食能力；②丝状菌具有比菌胶团细菌更高的溶解氧亲合力和忍耐力，因此在低氧条件下丝状菌比菌胶团细菌对氧有更强的竞争力；③低温时丝状菌有更强的繁殖能力。当发生污泥膨胀时，会严重影响污水处理设施的处理效果，甚至完全失效。</w:t>
      </w:r>
    </w:p>
    <w:p>
      <w:pPr>
        <w:pStyle w:val="78"/>
        <w:spacing w:line="360" w:lineRule="auto"/>
        <w:ind w:firstLine="480" w:firstLineChars="200"/>
        <w:rPr>
          <w:rFonts w:hAnsiTheme="minorEastAsia"/>
        </w:rPr>
      </w:pPr>
      <w:r>
        <w:rPr>
          <w:rFonts w:hint="eastAsia" w:hAnsiTheme="minorEastAsia"/>
        </w:rPr>
        <w:t>为了防止发生污泥膨胀，首先应加强管理，经常检查废水水质，如氧化池中的溶解氧、污泥沉降比、污泥指数等，如果发现不正常（如污泥指数突增），就应采取下列措施：一是按照进水的浓度，出水的处理效果，变更供气量，使营养和供氧维持适当的比例关系；二是严格控制排泥量和排泥时间，排泥量应根据</w:t>
      </w:r>
      <w:r>
        <w:rPr>
          <w:rFonts w:hAnsiTheme="minorEastAsia"/>
        </w:rPr>
        <w:t>30</w:t>
      </w:r>
      <w:r>
        <w:rPr>
          <w:rFonts w:hint="eastAsia" w:hAnsiTheme="minorEastAsia"/>
        </w:rPr>
        <w:t>分钟沉降比或氧化池中的污泥浓度进行控制。</w:t>
      </w:r>
    </w:p>
    <w:p>
      <w:pPr>
        <w:autoSpaceDE w:val="0"/>
        <w:autoSpaceDN w:val="0"/>
        <w:adjustRightInd w:val="0"/>
        <w:spacing w:line="360" w:lineRule="auto"/>
        <w:ind w:firstLine="480" w:firstLineChars="200"/>
        <w:jc w:val="left"/>
        <w:rPr>
          <w:rFonts w:cs="Times New Roman" w:hAnsiTheme="minorEastAsia"/>
          <w:color w:val="000000"/>
          <w:kern w:val="0"/>
          <w:szCs w:val="24"/>
        </w:rPr>
      </w:pPr>
      <w:r>
        <w:rPr>
          <w:rFonts w:hint="eastAsia" w:cs="Times New Roman" w:hAnsiTheme="minorEastAsia"/>
          <w:color w:val="000000"/>
          <w:kern w:val="0"/>
          <w:szCs w:val="24"/>
        </w:rPr>
        <w:t>当发生污泥膨胀后，可针对丝状菌和真菌的特性，采取措施：</w:t>
      </w:r>
    </w:p>
    <w:p>
      <w:pPr>
        <w:autoSpaceDE w:val="0"/>
        <w:autoSpaceDN w:val="0"/>
        <w:adjustRightInd w:val="0"/>
        <w:spacing w:line="360" w:lineRule="auto"/>
        <w:ind w:firstLine="480" w:firstLineChars="200"/>
        <w:jc w:val="left"/>
        <w:rPr>
          <w:rFonts w:cs="Times New Roman" w:hAnsiTheme="minorEastAsia"/>
          <w:color w:val="000000"/>
          <w:kern w:val="0"/>
          <w:szCs w:val="24"/>
        </w:rPr>
      </w:pPr>
      <w:r>
        <w:rPr>
          <w:rFonts w:hint="eastAsia" w:cs="Times New Roman" w:hAnsiTheme="minorEastAsia"/>
          <w:color w:val="000000"/>
          <w:kern w:val="0"/>
          <w:szCs w:val="24"/>
        </w:rPr>
        <w:t>（</w:t>
      </w:r>
      <w:r>
        <w:rPr>
          <w:rFonts w:cs="Times New Roman" w:hAnsiTheme="minorEastAsia"/>
          <w:color w:val="000000"/>
          <w:kern w:val="0"/>
          <w:szCs w:val="24"/>
        </w:rPr>
        <w:t>1</w:t>
      </w:r>
      <w:r>
        <w:rPr>
          <w:rFonts w:hint="eastAsia" w:cs="Times New Roman" w:hAnsiTheme="minorEastAsia"/>
          <w:color w:val="000000"/>
          <w:kern w:val="0"/>
          <w:szCs w:val="24"/>
        </w:rPr>
        <w:t>）加强曝气，使废水中保持足够的溶解氧，（一般要求混合液中的溶解氧不少于</w:t>
      </w:r>
      <w:r>
        <w:rPr>
          <w:rFonts w:cs="Times New Roman" w:hAnsiTheme="minorEastAsia"/>
          <w:color w:val="000000"/>
          <w:kern w:val="0"/>
          <w:szCs w:val="24"/>
        </w:rPr>
        <w:t>1</w:t>
      </w:r>
      <w:r>
        <w:rPr>
          <w:rFonts w:hint="eastAsia" w:cs="Times New Roman" w:hAnsiTheme="minorEastAsia"/>
          <w:color w:val="000000"/>
          <w:kern w:val="0"/>
          <w:szCs w:val="24"/>
        </w:rPr>
        <w:t>～</w:t>
      </w:r>
      <w:r>
        <w:rPr>
          <w:rFonts w:cs="Times New Roman" w:hAnsiTheme="minorEastAsia"/>
          <w:color w:val="000000"/>
          <w:kern w:val="0"/>
          <w:szCs w:val="24"/>
        </w:rPr>
        <w:t>2mg/L</w:t>
      </w:r>
      <w:r>
        <w:rPr>
          <w:rFonts w:hint="eastAsia" w:cs="Times New Roman" w:hAnsiTheme="minorEastAsia"/>
          <w:color w:val="000000"/>
          <w:kern w:val="0"/>
          <w:szCs w:val="24"/>
        </w:rPr>
        <w:t>）。</w:t>
      </w:r>
    </w:p>
    <w:p>
      <w:pPr>
        <w:autoSpaceDE w:val="0"/>
        <w:autoSpaceDN w:val="0"/>
        <w:adjustRightInd w:val="0"/>
        <w:spacing w:line="360" w:lineRule="auto"/>
        <w:ind w:firstLine="480" w:firstLineChars="200"/>
        <w:jc w:val="left"/>
        <w:rPr>
          <w:rFonts w:cs="Times New Roman" w:hAnsiTheme="minorEastAsia"/>
          <w:color w:val="000000"/>
          <w:kern w:val="0"/>
          <w:szCs w:val="24"/>
        </w:rPr>
      </w:pPr>
      <w:r>
        <w:rPr>
          <w:rFonts w:hint="eastAsia" w:cs="Times New Roman" w:hAnsiTheme="minorEastAsia"/>
          <w:color w:val="000000"/>
          <w:kern w:val="0"/>
          <w:szCs w:val="24"/>
        </w:rPr>
        <w:t>（</w:t>
      </w:r>
      <w:r>
        <w:rPr>
          <w:rFonts w:cs="Times New Roman" w:hAnsiTheme="minorEastAsia"/>
          <w:color w:val="000000"/>
          <w:kern w:val="0"/>
          <w:szCs w:val="24"/>
        </w:rPr>
        <w:t>2</w:t>
      </w:r>
      <w:r>
        <w:rPr>
          <w:rFonts w:hint="eastAsia" w:cs="Times New Roman" w:hAnsiTheme="minorEastAsia"/>
          <w:color w:val="000000"/>
          <w:kern w:val="0"/>
          <w:szCs w:val="24"/>
        </w:rPr>
        <w:t>）氯处理，利用丝状菌对氯抵抗力不如菌胶团的特点，在回流污泥中投加漂白粉或液氯以消除丝状菌。加氯量可按干污泥量的</w:t>
      </w:r>
      <w:r>
        <w:rPr>
          <w:rFonts w:cs="Times New Roman" w:hAnsiTheme="minorEastAsia"/>
          <w:color w:val="000000"/>
          <w:kern w:val="0"/>
          <w:szCs w:val="24"/>
        </w:rPr>
        <w:t>0.3</w:t>
      </w:r>
      <w:r>
        <w:rPr>
          <w:rFonts w:hint="eastAsia" w:cs="Times New Roman" w:hAnsiTheme="minorEastAsia"/>
          <w:color w:val="000000"/>
          <w:kern w:val="0"/>
          <w:szCs w:val="24"/>
        </w:rPr>
        <w:t>～</w:t>
      </w:r>
      <w:r>
        <w:rPr>
          <w:rFonts w:cs="Times New Roman" w:hAnsiTheme="minorEastAsia"/>
          <w:color w:val="000000"/>
          <w:kern w:val="0"/>
          <w:szCs w:val="24"/>
        </w:rPr>
        <w:t>0.6%</w:t>
      </w:r>
      <w:r>
        <w:rPr>
          <w:rFonts w:hint="eastAsia" w:cs="Times New Roman" w:hAnsiTheme="minorEastAsia"/>
          <w:color w:val="000000"/>
          <w:kern w:val="0"/>
          <w:szCs w:val="24"/>
        </w:rPr>
        <w:t>计。</w:t>
      </w:r>
    </w:p>
    <w:p>
      <w:pPr>
        <w:pStyle w:val="78"/>
        <w:spacing w:line="360" w:lineRule="auto"/>
        <w:ind w:firstLine="480" w:firstLineChars="200"/>
        <w:rPr>
          <w:rFonts w:hAnsiTheme="minorEastAsia"/>
        </w:rPr>
      </w:pPr>
      <w:r>
        <w:rPr>
          <w:rFonts w:hint="eastAsia" w:hAnsiTheme="minorEastAsia"/>
        </w:rPr>
        <w:t>（</w:t>
      </w:r>
      <w:r>
        <w:rPr>
          <w:rFonts w:hAnsiTheme="minorEastAsia"/>
        </w:rPr>
        <w:t>3</w:t>
      </w:r>
      <w:r>
        <w:rPr>
          <w:rFonts w:hint="eastAsia" w:hAnsiTheme="minorEastAsia"/>
        </w:rPr>
        <w:t>）调整</w:t>
      </w:r>
      <w:r>
        <w:rPr>
          <w:rFonts w:hAnsiTheme="minorEastAsia"/>
        </w:rPr>
        <w:t>pH</w:t>
      </w:r>
      <w:r>
        <w:rPr>
          <w:rFonts w:hint="eastAsia" w:hAnsiTheme="minorEastAsia"/>
        </w:rPr>
        <w:t>值，菌胶团生长适应的</w:t>
      </w:r>
      <w:r>
        <w:rPr>
          <w:rFonts w:hAnsiTheme="minorEastAsia"/>
        </w:rPr>
        <w:t>pH</w:t>
      </w:r>
      <w:r>
        <w:rPr>
          <w:rFonts w:hint="eastAsia" w:hAnsiTheme="minorEastAsia"/>
        </w:rPr>
        <w:t>值为</w:t>
      </w:r>
      <w:r>
        <w:rPr>
          <w:rFonts w:hAnsiTheme="minorEastAsia"/>
        </w:rPr>
        <w:t>6</w:t>
      </w:r>
      <w:r>
        <w:rPr>
          <w:rFonts w:hint="eastAsia" w:hAnsiTheme="minorEastAsia"/>
        </w:rPr>
        <w:t>～</w:t>
      </w:r>
      <w:r>
        <w:rPr>
          <w:rFonts w:hAnsiTheme="minorEastAsia"/>
        </w:rPr>
        <w:t>8</w:t>
      </w:r>
      <w:r>
        <w:rPr>
          <w:rFonts w:hint="eastAsia" w:hAnsiTheme="minorEastAsia"/>
        </w:rPr>
        <w:t>，而真菌则在</w:t>
      </w:r>
      <w:r>
        <w:rPr>
          <w:rFonts w:hAnsiTheme="minorEastAsia"/>
        </w:rPr>
        <w:t>pH 4.5</w:t>
      </w:r>
      <w:r>
        <w:rPr>
          <w:rFonts w:hint="eastAsia" w:hAnsiTheme="minorEastAsia"/>
        </w:rPr>
        <w:t>～</w:t>
      </w:r>
      <w:r>
        <w:rPr>
          <w:rFonts w:hAnsiTheme="minorEastAsia"/>
        </w:rPr>
        <w:t>6.5</w:t>
      </w:r>
      <w:r>
        <w:rPr>
          <w:rFonts w:hint="eastAsia" w:hAnsiTheme="minorEastAsia"/>
        </w:rPr>
        <w:t>之间生长良好，通过调整</w:t>
      </w:r>
      <w:r>
        <w:rPr>
          <w:rFonts w:hAnsiTheme="minorEastAsia"/>
        </w:rPr>
        <w:t>pH</w:t>
      </w:r>
      <w:r>
        <w:rPr>
          <w:rFonts w:hint="eastAsia" w:hAnsiTheme="minorEastAsia"/>
        </w:rPr>
        <w:t>值来抑制丝状菌的繁殖。</w:t>
      </w:r>
    </w:p>
    <w:p>
      <w:pPr>
        <w:pStyle w:val="5"/>
      </w:pPr>
      <w:r>
        <w:rPr>
          <w:rFonts w:hint="eastAsia"/>
        </w:rPr>
        <w:t>应急</w:t>
      </w:r>
      <w:r>
        <w:t>要求</w:t>
      </w:r>
    </w:p>
    <w:p>
      <w:pPr>
        <w:pStyle w:val="61"/>
      </w:pPr>
      <w:r>
        <w:t>应急求援体系</w:t>
      </w:r>
    </w:p>
    <w:p>
      <w:pPr>
        <w:pStyle w:val="100"/>
        <w:spacing w:line="360" w:lineRule="auto"/>
        <w:ind w:firstLine="480"/>
        <w:rPr>
          <w:szCs w:val="24"/>
        </w:rPr>
      </w:pPr>
      <w:r>
        <w:rPr>
          <w:szCs w:val="24"/>
        </w:rPr>
        <w:t>为了进一步加强企业应急管理工作，提升企业应对突发、异常状态下的应急处理能力，迅速、有效的开展应急救援工作，最大程度的减少突发异常状态下的人员伤亡和财产损失，切实保障人民生命和共公财产安全，根据环保部发布的《突发环境事件应急预案管理暂行办法》、关于印发《突发环境事件应急预案管理暂行办法》的通知（2010）[113号]和《陕西省突发事件应急预案管理暂行办法》及《突发环境事件应急管理办法》（环保部令第34号）要求，企业在投产前，应制定详细的防止重大环境污染事故发生应急预案、消除事故隐患的措施及应急处理办法。</w:t>
      </w:r>
    </w:p>
    <w:p>
      <w:pPr>
        <w:pStyle w:val="10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Cs w:val="24"/>
        </w:rPr>
      </w:pPr>
      <w:r>
        <w:rPr>
          <w:szCs w:val="24"/>
        </w:rPr>
        <w:t>因此，本次评价要求企业针对本拟建项目可能发生的环境风险事故，严格按照《典型行业企业突发环境事件应急预案编制指南》（环办应急函[2017]1271号）编制应急预案，并经过专家评审，审查合格后在当地环保局备案后实施。同时成立以企业总经理为总指挥的事故救援队伍，下设办公室、医疗救护组、后勤保障组等</w:t>
      </w:r>
      <w:r>
        <w:rPr>
          <w:rFonts w:hint="eastAsia"/>
          <w:szCs w:val="24"/>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根据本项目环境风险分析结果，根据《建设项目环境风险技术导则》（HJ 169-2018）编制项目应急预案，具体见</w:t>
      </w:r>
      <w:r>
        <w:fldChar w:fldCharType="begin"/>
      </w:r>
      <w:r>
        <w:instrText xml:space="preserve"> REF _Ref16587327 \h  \* MERGEFORMAT </w:instrText>
      </w:r>
      <w:r>
        <w:fldChar w:fldCharType="separate"/>
      </w:r>
      <w:r>
        <w:rPr>
          <w:rFonts w:hint="eastAsia"/>
        </w:rPr>
        <w:t>表</w:t>
      </w:r>
      <w:r>
        <w:fldChar w:fldCharType="begin"/>
      </w:r>
      <w:r>
        <w:instrText xml:space="preserve"> STYLEREF 2 \s </w:instrText>
      </w:r>
      <w:r>
        <w:fldChar w:fldCharType="separate"/>
      </w:r>
      <w:r>
        <w:t>4.1</w:t>
      </w:r>
      <w:r>
        <w:fldChar w:fldCharType="end"/>
      </w:r>
      <w:r>
        <w:noBreakHyphen/>
      </w:r>
      <w:r>
        <w:rPr>
          <w:rFonts w:hint="eastAsia"/>
        </w:rPr>
        <w:t>39</w:t>
      </w:r>
      <w:r>
        <w:fldChar w:fldCharType="end"/>
      </w:r>
      <w:r>
        <w:rPr>
          <w:rFonts w:hint="eastAsia"/>
        </w:rPr>
        <w:t>。</w:t>
      </w:r>
    </w:p>
    <w:p>
      <w:pPr>
        <w:pStyle w:val="14"/>
        <w:spacing w:line="240" w:lineRule="auto"/>
      </w:pPr>
      <w:bookmarkStart w:id="195" w:name="_Ref16587327"/>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36</w:t>
      </w:r>
      <w:r>
        <w:fldChar w:fldCharType="end"/>
      </w:r>
      <w:bookmarkEnd w:id="195"/>
      <w:r>
        <w:rPr>
          <w:rFonts w:hint="eastAsia"/>
        </w:rPr>
        <w:t xml:space="preserve">  应急预案基本内容</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242"/>
        <w:gridCol w:w="6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jc w:val="both"/>
            </w:pPr>
            <w:r>
              <w:t>序号</w:t>
            </w:r>
          </w:p>
        </w:tc>
        <w:tc>
          <w:tcPr>
            <w:tcW w:w="2242" w:type="dxa"/>
            <w:shd w:val="clear" w:color="auto" w:fill="auto"/>
            <w:vAlign w:val="center"/>
          </w:tcPr>
          <w:p>
            <w:pPr>
              <w:pStyle w:val="122"/>
            </w:pPr>
            <w:r>
              <w:t>项目</w:t>
            </w:r>
          </w:p>
        </w:tc>
        <w:tc>
          <w:tcPr>
            <w:tcW w:w="6150" w:type="dxa"/>
            <w:shd w:val="clear" w:color="auto" w:fill="auto"/>
            <w:vAlign w:val="center"/>
          </w:tcPr>
          <w:p>
            <w:pPr>
              <w:pStyle w:val="122"/>
            </w:pPr>
            <w: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1</w:t>
            </w:r>
          </w:p>
        </w:tc>
        <w:tc>
          <w:tcPr>
            <w:tcW w:w="2242" w:type="dxa"/>
            <w:shd w:val="clear" w:color="auto" w:fill="auto"/>
            <w:vAlign w:val="center"/>
          </w:tcPr>
          <w:p>
            <w:pPr>
              <w:pStyle w:val="122"/>
            </w:pPr>
            <w:r>
              <w:t>危险源情况</w:t>
            </w:r>
          </w:p>
        </w:tc>
        <w:tc>
          <w:tcPr>
            <w:tcW w:w="6150" w:type="dxa"/>
            <w:shd w:val="clear" w:color="auto" w:fill="auto"/>
            <w:vAlign w:val="center"/>
          </w:tcPr>
          <w:p>
            <w:pPr>
              <w:pStyle w:val="78"/>
              <w:jc w:val="center"/>
              <w:rPr>
                <w:kern w:val="2"/>
                <w:sz w:val="21"/>
                <w:szCs w:val="21"/>
              </w:rPr>
            </w:pPr>
            <w:r>
              <w:rPr>
                <w:kern w:val="2"/>
                <w:sz w:val="21"/>
                <w:szCs w:val="21"/>
              </w:rPr>
              <w:t>详细说明危险源类型、数量、分布及其对环境的风险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2</w:t>
            </w:r>
          </w:p>
        </w:tc>
        <w:tc>
          <w:tcPr>
            <w:tcW w:w="2242" w:type="dxa"/>
            <w:shd w:val="clear" w:color="auto" w:fill="auto"/>
            <w:vAlign w:val="center"/>
          </w:tcPr>
          <w:p>
            <w:pPr>
              <w:pStyle w:val="122"/>
            </w:pPr>
            <w:r>
              <w:t>应急计划区</w:t>
            </w:r>
          </w:p>
        </w:tc>
        <w:tc>
          <w:tcPr>
            <w:tcW w:w="6150" w:type="dxa"/>
            <w:shd w:val="clear" w:color="auto" w:fill="auto"/>
            <w:vAlign w:val="center"/>
          </w:tcPr>
          <w:p>
            <w:pPr>
              <w:pStyle w:val="78"/>
              <w:jc w:val="center"/>
              <w:rPr>
                <w:kern w:val="2"/>
                <w:sz w:val="21"/>
                <w:szCs w:val="21"/>
              </w:rPr>
            </w:pPr>
            <w:r>
              <w:rPr>
                <w:kern w:val="2"/>
                <w:sz w:val="21"/>
                <w:szCs w:val="21"/>
              </w:rPr>
              <w:t>装置区、污水处理设施区、仓储区、临近地区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3</w:t>
            </w:r>
          </w:p>
        </w:tc>
        <w:tc>
          <w:tcPr>
            <w:tcW w:w="2242" w:type="dxa"/>
            <w:shd w:val="clear" w:color="auto" w:fill="auto"/>
            <w:vAlign w:val="center"/>
          </w:tcPr>
          <w:p>
            <w:pPr>
              <w:pStyle w:val="122"/>
            </w:pPr>
            <w:r>
              <w:t>应急组织</w:t>
            </w:r>
          </w:p>
        </w:tc>
        <w:tc>
          <w:tcPr>
            <w:tcW w:w="6150" w:type="dxa"/>
            <w:shd w:val="clear" w:color="auto" w:fill="auto"/>
            <w:vAlign w:val="center"/>
          </w:tcPr>
          <w:p>
            <w:pPr>
              <w:pStyle w:val="78"/>
              <w:jc w:val="center"/>
              <w:rPr>
                <w:kern w:val="2"/>
                <w:sz w:val="21"/>
                <w:szCs w:val="21"/>
              </w:rPr>
            </w:pPr>
            <w:r>
              <w:rPr>
                <w:kern w:val="2"/>
                <w:sz w:val="21"/>
                <w:szCs w:val="21"/>
              </w:rPr>
              <w:t>企业：成立应急指挥小组，由最高领导层担任小组长，负责现场全面指挥，专业求援队伍负责事故控制、救援和善后处理。成立应急指挥小组，环保、消防、水力部门为主要影响机构。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4</w:t>
            </w:r>
          </w:p>
        </w:tc>
        <w:tc>
          <w:tcPr>
            <w:tcW w:w="2242" w:type="dxa"/>
            <w:shd w:val="clear" w:color="auto" w:fill="auto"/>
            <w:vAlign w:val="center"/>
          </w:tcPr>
          <w:p>
            <w:pPr>
              <w:pStyle w:val="78"/>
              <w:jc w:val="center"/>
              <w:rPr>
                <w:kern w:val="2"/>
                <w:sz w:val="21"/>
                <w:szCs w:val="21"/>
              </w:rPr>
            </w:pPr>
            <w:r>
              <w:rPr>
                <w:kern w:val="2"/>
                <w:sz w:val="21"/>
                <w:szCs w:val="21"/>
              </w:rPr>
              <w:t>应急状态分类应急响应程序</w:t>
            </w:r>
          </w:p>
        </w:tc>
        <w:tc>
          <w:tcPr>
            <w:tcW w:w="6150" w:type="dxa"/>
            <w:shd w:val="clear" w:color="auto" w:fill="auto"/>
            <w:vAlign w:val="center"/>
          </w:tcPr>
          <w:p>
            <w:pPr>
              <w:pStyle w:val="78"/>
              <w:jc w:val="center"/>
              <w:rPr>
                <w:kern w:val="2"/>
                <w:sz w:val="21"/>
                <w:szCs w:val="21"/>
              </w:rPr>
            </w:pPr>
            <w:r>
              <w:rPr>
                <w:kern w:val="2"/>
                <w:sz w:val="21"/>
                <w:szCs w:val="21"/>
              </w:rPr>
              <w:t>规定环境风险事故的级别及相应的应急状态分类，以此制定相应的应急响应程序。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5</w:t>
            </w:r>
          </w:p>
        </w:tc>
        <w:tc>
          <w:tcPr>
            <w:tcW w:w="2242" w:type="dxa"/>
            <w:shd w:val="clear" w:color="auto" w:fill="auto"/>
            <w:vAlign w:val="center"/>
          </w:tcPr>
          <w:p>
            <w:pPr>
              <w:pStyle w:val="78"/>
              <w:jc w:val="center"/>
              <w:rPr>
                <w:kern w:val="2"/>
                <w:sz w:val="21"/>
                <w:szCs w:val="21"/>
              </w:rPr>
            </w:pPr>
            <w:r>
              <w:rPr>
                <w:kern w:val="2"/>
                <w:sz w:val="21"/>
                <w:szCs w:val="21"/>
              </w:rPr>
              <w:t>应急设施设备与材料</w:t>
            </w:r>
          </w:p>
          <w:p>
            <w:pPr>
              <w:pStyle w:val="122"/>
            </w:pPr>
          </w:p>
        </w:tc>
        <w:tc>
          <w:tcPr>
            <w:tcW w:w="6150" w:type="dxa"/>
            <w:shd w:val="clear" w:color="auto" w:fill="auto"/>
            <w:vAlign w:val="center"/>
          </w:tcPr>
          <w:p>
            <w:pPr>
              <w:pStyle w:val="78"/>
              <w:jc w:val="center"/>
              <w:rPr>
                <w:kern w:val="2"/>
                <w:sz w:val="21"/>
                <w:szCs w:val="21"/>
              </w:rPr>
            </w:pPr>
            <w:r>
              <w:rPr>
                <w:kern w:val="2"/>
                <w:sz w:val="21"/>
                <w:szCs w:val="21"/>
              </w:rPr>
              <w:t>生产装置：事故的应急设施、设备与材料，主要为消防器材、消防服等；防有毒有害物质外溢、扩散；中毒人员急求所用的一些要求、器材；应设置应急事故池；临界地区：人员急救所用的一些药品、器材。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6</w:t>
            </w:r>
          </w:p>
        </w:tc>
        <w:tc>
          <w:tcPr>
            <w:tcW w:w="2242" w:type="dxa"/>
            <w:shd w:val="clear" w:color="auto" w:fill="auto"/>
            <w:vAlign w:val="center"/>
          </w:tcPr>
          <w:p>
            <w:pPr>
              <w:pStyle w:val="78"/>
              <w:jc w:val="center"/>
              <w:rPr>
                <w:kern w:val="2"/>
                <w:sz w:val="21"/>
                <w:szCs w:val="21"/>
              </w:rPr>
            </w:pPr>
            <w:r>
              <w:rPr>
                <w:kern w:val="2"/>
                <w:sz w:val="21"/>
                <w:szCs w:val="21"/>
              </w:rPr>
              <w:t>应急通讯通告</w:t>
            </w:r>
            <w:r>
              <w:rPr>
                <w:rFonts w:hint="eastAsia"/>
                <w:kern w:val="2"/>
                <w:sz w:val="21"/>
                <w:szCs w:val="21"/>
              </w:rPr>
              <w:t>与交通</w:t>
            </w:r>
          </w:p>
        </w:tc>
        <w:tc>
          <w:tcPr>
            <w:tcW w:w="6150" w:type="dxa"/>
            <w:shd w:val="clear" w:color="auto" w:fill="auto"/>
            <w:vAlign w:val="center"/>
          </w:tcPr>
          <w:p>
            <w:pPr>
              <w:pStyle w:val="78"/>
              <w:jc w:val="center"/>
              <w:rPr>
                <w:kern w:val="2"/>
                <w:sz w:val="21"/>
                <w:szCs w:val="21"/>
              </w:rPr>
            </w:pPr>
            <w:r>
              <w:rPr>
                <w:kern w:val="2"/>
                <w:sz w:val="21"/>
                <w:szCs w:val="21"/>
              </w:rPr>
              <w:t>规定应急状态下的通讯、通告方式和交通保障、管理等事项。可充分利用现代化的通信设施，如手机、固定电话、广播、电视等。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7</w:t>
            </w:r>
          </w:p>
        </w:tc>
        <w:tc>
          <w:tcPr>
            <w:tcW w:w="2242" w:type="dxa"/>
            <w:shd w:val="clear" w:color="auto" w:fill="auto"/>
            <w:vAlign w:val="center"/>
          </w:tcPr>
          <w:p>
            <w:pPr>
              <w:pStyle w:val="78"/>
              <w:jc w:val="center"/>
              <w:rPr>
                <w:kern w:val="2"/>
                <w:sz w:val="21"/>
                <w:szCs w:val="21"/>
              </w:rPr>
            </w:pPr>
            <w:r>
              <w:rPr>
                <w:kern w:val="2"/>
                <w:sz w:val="21"/>
                <w:szCs w:val="21"/>
              </w:rPr>
              <w:t>应急环境监测及事故后评价</w:t>
            </w:r>
          </w:p>
        </w:tc>
        <w:tc>
          <w:tcPr>
            <w:tcW w:w="6150" w:type="dxa"/>
            <w:shd w:val="clear" w:color="auto" w:fill="auto"/>
            <w:vAlign w:val="center"/>
          </w:tcPr>
          <w:p>
            <w:pPr>
              <w:pStyle w:val="78"/>
              <w:jc w:val="center"/>
              <w:rPr>
                <w:kern w:val="2"/>
                <w:sz w:val="21"/>
                <w:szCs w:val="21"/>
              </w:rPr>
            </w:pPr>
            <w:r>
              <w:rPr>
                <w:kern w:val="2"/>
                <w:sz w:val="21"/>
                <w:szCs w:val="21"/>
              </w:rPr>
              <w:t>由专业人员对环境分析事故现场进行应急监测，对事故性质、严重程度均所造成的华南能危害后果进行评估，吸取经验教训避免再次发生事故，为指挥部门提供决策依据。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8</w:t>
            </w:r>
          </w:p>
        </w:tc>
        <w:tc>
          <w:tcPr>
            <w:tcW w:w="2242" w:type="dxa"/>
            <w:shd w:val="clear" w:color="auto" w:fill="auto"/>
            <w:vAlign w:val="center"/>
          </w:tcPr>
          <w:p>
            <w:pPr>
              <w:pStyle w:val="78"/>
              <w:jc w:val="center"/>
              <w:rPr>
                <w:kern w:val="2"/>
                <w:sz w:val="21"/>
                <w:szCs w:val="21"/>
              </w:rPr>
            </w:pPr>
            <w:r>
              <w:rPr>
                <w:kern w:val="2"/>
                <w:sz w:val="21"/>
                <w:szCs w:val="21"/>
              </w:rPr>
              <w:t>应急防护措施消除泄漏措施及需使用器材</w:t>
            </w:r>
          </w:p>
        </w:tc>
        <w:tc>
          <w:tcPr>
            <w:tcW w:w="6150" w:type="dxa"/>
            <w:shd w:val="clear" w:color="auto" w:fill="auto"/>
            <w:vAlign w:val="center"/>
          </w:tcPr>
          <w:p>
            <w:pPr>
              <w:pStyle w:val="78"/>
              <w:jc w:val="center"/>
              <w:rPr>
                <w:kern w:val="2"/>
                <w:sz w:val="21"/>
                <w:szCs w:val="21"/>
              </w:rPr>
            </w:pPr>
            <w:r>
              <w:rPr>
                <w:kern w:val="2"/>
                <w:sz w:val="21"/>
                <w:szCs w:val="21"/>
              </w:rPr>
              <w:t>事故现场：控制事故发展，防止扩大、蔓延及连锁反应；消除现场泄泥物，降低危害；相应的设施器材配备；</w:t>
            </w:r>
          </w:p>
          <w:p>
            <w:pPr>
              <w:pStyle w:val="122"/>
            </w:pPr>
            <w:r>
              <w:rPr>
                <w:szCs w:val="21"/>
              </w:rPr>
              <w:t>临近地区：控制防火区域，控制和消除环境污染的措施及相应的设备配备</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9</w:t>
            </w:r>
          </w:p>
        </w:tc>
        <w:tc>
          <w:tcPr>
            <w:tcW w:w="2242" w:type="dxa"/>
            <w:shd w:val="clear" w:color="auto" w:fill="auto"/>
            <w:vAlign w:val="center"/>
          </w:tcPr>
          <w:p>
            <w:pPr>
              <w:pStyle w:val="78"/>
              <w:jc w:val="center"/>
              <w:rPr>
                <w:kern w:val="2"/>
                <w:sz w:val="21"/>
                <w:szCs w:val="21"/>
              </w:rPr>
            </w:pPr>
            <w:r>
              <w:rPr>
                <w:kern w:val="2"/>
                <w:sz w:val="21"/>
                <w:szCs w:val="21"/>
              </w:rPr>
              <w:t>应急剂量控制撤离组织计划医疗救护与保护公众健康</w:t>
            </w:r>
          </w:p>
        </w:tc>
        <w:tc>
          <w:tcPr>
            <w:tcW w:w="6150" w:type="dxa"/>
            <w:shd w:val="clear" w:color="auto" w:fill="auto"/>
            <w:vAlign w:val="center"/>
          </w:tcPr>
          <w:p>
            <w:pPr>
              <w:pStyle w:val="78"/>
              <w:jc w:val="center"/>
              <w:rPr>
                <w:kern w:val="2"/>
                <w:sz w:val="21"/>
                <w:szCs w:val="21"/>
              </w:rPr>
            </w:pPr>
            <w:r>
              <w:rPr>
                <w:kern w:val="2"/>
                <w:sz w:val="21"/>
                <w:szCs w:val="21"/>
              </w:rPr>
              <w:t>事故现场：事故处理人员制定毒物的应急剂量、现场及邻近装置人员的撤离组织计划和紧急救护方案；</w:t>
            </w:r>
          </w:p>
          <w:p>
            <w:pPr>
              <w:pStyle w:val="122"/>
            </w:pPr>
            <w:r>
              <w:rPr>
                <w:szCs w:val="21"/>
              </w:rPr>
              <w:t>临近地区：制定受事故影响的临近地区内人员对毒物的应急剂量、公众的疏散组织计划和紧急救护方案；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10</w:t>
            </w:r>
          </w:p>
        </w:tc>
        <w:tc>
          <w:tcPr>
            <w:tcW w:w="2242" w:type="dxa"/>
            <w:shd w:val="clear" w:color="auto" w:fill="auto"/>
            <w:vAlign w:val="center"/>
          </w:tcPr>
          <w:p>
            <w:pPr>
              <w:pStyle w:val="78"/>
              <w:jc w:val="center"/>
              <w:rPr>
                <w:kern w:val="2"/>
                <w:sz w:val="21"/>
                <w:szCs w:val="21"/>
              </w:rPr>
            </w:pPr>
            <w:r>
              <w:rPr>
                <w:kern w:val="2"/>
                <w:sz w:val="21"/>
                <w:szCs w:val="21"/>
              </w:rPr>
              <w:t>应急状态中止恢复措施</w:t>
            </w:r>
          </w:p>
        </w:tc>
        <w:tc>
          <w:tcPr>
            <w:tcW w:w="6150" w:type="dxa"/>
            <w:shd w:val="clear" w:color="auto" w:fill="auto"/>
            <w:vAlign w:val="center"/>
          </w:tcPr>
          <w:p>
            <w:pPr>
              <w:pStyle w:val="78"/>
              <w:jc w:val="center"/>
              <w:rPr>
                <w:kern w:val="2"/>
                <w:sz w:val="21"/>
                <w:szCs w:val="21"/>
              </w:rPr>
            </w:pPr>
            <w:r>
              <w:rPr>
                <w:kern w:val="2"/>
                <w:sz w:val="21"/>
                <w:szCs w:val="21"/>
              </w:rPr>
              <w:t>事故现场：规定应急状态终止秩序；事故现场善后处理，恢复生产措施；</w:t>
            </w:r>
          </w:p>
          <w:p>
            <w:pPr>
              <w:pStyle w:val="122"/>
            </w:pPr>
            <w:r>
              <w:rPr>
                <w:szCs w:val="21"/>
              </w:rPr>
              <w:t>临近地区：解除事故警戒，公众返回和善后恢复措施。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t>11</w:t>
            </w:r>
          </w:p>
        </w:tc>
        <w:tc>
          <w:tcPr>
            <w:tcW w:w="2242" w:type="dxa"/>
            <w:shd w:val="clear" w:color="auto" w:fill="auto"/>
            <w:vAlign w:val="center"/>
          </w:tcPr>
          <w:p>
            <w:pPr>
              <w:pStyle w:val="78"/>
              <w:jc w:val="center"/>
              <w:rPr>
                <w:kern w:val="2"/>
                <w:sz w:val="21"/>
                <w:szCs w:val="21"/>
              </w:rPr>
            </w:pPr>
            <w:r>
              <w:rPr>
                <w:kern w:val="2"/>
                <w:sz w:val="21"/>
                <w:szCs w:val="21"/>
              </w:rPr>
              <w:t>人员培训与演习</w:t>
            </w:r>
          </w:p>
        </w:tc>
        <w:tc>
          <w:tcPr>
            <w:tcW w:w="6150" w:type="dxa"/>
            <w:shd w:val="clear" w:color="auto" w:fill="auto"/>
            <w:vAlign w:val="center"/>
          </w:tcPr>
          <w:p>
            <w:pPr>
              <w:pStyle w:val="78"/>
              <w:jc w:val="center"/>
              <w:rPr>
                <w:kern w:val="2"/>
                <w:sz w:val="21"/>
                <w:szCs w:val="21"/>
              </w:rPr>
            </w:pPr>
            <w:r>
              <w:rPr>
                <w:kern w:val="2"/>
                <w:sz w:val="21"/>
                <w:szCs w:val="21"/>
              </w:rPr>
              <w:t>应急计划制定后，平时安排事故出路人员进行相关知识培训并进行事故应急处理演习；对企业员工进行安全卫生教育。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rPr>
                <w:rFonts w:hint="eastAsia"/>
              </w:rPr>
              <w:t>12</w:t>
            </w:r>
          </w:p>
        </w:tc>
        <w:tc>
          <w:tcPr>
            <w:tcW w:w="2242" w:type="dxa"/>
            <w:shd w:val="clear" w:color="auto" w:fill="auto"/>
            <w:vAlign w:val="center"/>
          </w:tcPr>
          <w:p>
            <w:pPr>
              <w:pStyle w:val="78"/>
              <w:jc w:val="center"/>
              <w:rPr>
                <w:kern w:val="2"/>
                <w:sz w:val="21"/>
                <w:szCs w:val="21"/>
              </w:rPr>
            </w:pPr>
            <w:r>
              <w:rPr>
                <w:kern w:val="2"/>
                <w:sz w:val="21"/>
                <w:szCs w:val="21"/>
              </w:rPr>
              <w:t>公众教育信息</w:t>
            </w:r>
            <w:r>
              <w:rPr>
                <w:rFonts w:hint="eastAsia"/>
                <w:kern w:val="2"/>
                <w:sz w:val="21"/>
                <w:szCs w:val="21"/>
              </w:rPr>
              <w:t>发布</w:t>
            </w:r>
          </w:p>
        </w:tc>
        <w:tc>
          <w:tcPr>
            <w:tcW w:w="6150" w:type="dxa"/>
            <w:shd w:val="clear" w:color="auto" w:fill="auto"/>
            <w:vAlign w:val="center"/>
          </w:tcPr>
          <w:p>
            <w:pPr>
              <w:pStyle w:val="78"/>
              <w:jc w:val="center"/>
              <w:rPr>
                <w:kern w:val="2"/>
                <w:sz w:val="21"/>
                <w:szCs w:val="21"/>
              </w:rPr>
            </w:pPr>
            <w:r>
              <w:rPr>
                <w:kern w:val="2"/>
                <w:sz w:val="21"/>
                <w:szCs w:val="21"/>
              </w:rPr>
              <w:t>对企业临近地区公众开展环境风险事故预防教育、应急知识培训并定期发布相关信息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rPr>
                <w:rFonts w:hint="eastAsia"/>
              </w:rPr>
              <w:t>13</w:t>
            </w:r>
          </w:p>
        </w:tc>
        <w:tc>
          <w:tcPr>
            <w:tcW w:w="2242" w:type="dxa"/>
            <w:shd w:val="clear" w:color="auto" w:fill="auto"/>
            <w:vAlign w:val="center"/>
          </w:tcPr>
          <w:p>
            <w:pPr>
              <w:pStyle w:val="78"/>
              <w:jc w:val="center"/>
              <w:rPr>
                <w:kern w:val="2"/>
                <w:sz w:val="21"/>
                <w:szCs w:val="21"/>
              </w:rPr>
            </w:pPr>
            <w:r>
              <w:rPr>
                <w:kern w:val="2"/>
                <w:sz w:val="21"/>
                <w:szCs w:val="21"/>
              </w:rPr>
              <w:t>记录和报告</w:t>
            </w:r>
          </w:p>
        </w:tc>
        <w:tc>
          <w:tcPr>
            <w:tcW w:w="6150" w:type="dxa"/>
            <w:shd w:val="clear" w:color="auto" w:fill="auto"/>
            <w:vAlign w:val="center"/>
          </w:tcPr>
          <w:p>
            <w:pPr>
              <w:pStyle w:val="78"/>
              <w:jc w:val="center"/>
              <w:rPr>
                <w:kern w:val="2"/>
                <w:sz w:val="21"/>
                <w:szCs w:val="21"/>
              </w:rPr>
            </w:pPr>
            <w:r>
              <w:rPr>
                <w:kern w:val="2"/>
                <w:sz w:val="21"/>
                <w:szCs w:val="21"/>
              </w:rPr>
              <w:t>设应急事故专门记录，建立档案和报告制度，设专门部门负责管理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shd w:val="clear" w:color="auto" w:fill="auto"/>
            <w:vAlign w:val="center"/>
          </w:tcPr>
          <w:p>
            <w:pPr>
              <w:pStyle w:val="122"/>
            </w:pPr>
            <w:r>
              <w:rPr>
                <w:rFonts w:hint="eastAsia"/>
              </w:rPr>
              <w:t>14</w:t>
            </w:r>
          </w:p>
        </w:tc>
        <w:tc>
          <w:tcPr>
            <w:tcW w:w="2242" w:type="dxa"/>
            <w:shd w:val="clear" w:color="auto" w:fill="auto"/>
            <w:vAlign w:val="center"/>
          </w:tcPr>
          <w:p>
            <w:pPr>
              <w:pStyle w:val="122"/>
            </w:pPr>
            <w:r>
              <w:t>附件</w:t>
            </w:r>
          </w:p>
        </w:tc>
        <w:tc>
          <w:tcPr>
            <w:tcW w:w="6150" w:type="dxa"/>
            <w:shd w:val="clear" w:color="auto" w:fill="auto"/>
            <w:vAlign w:val="center"/>
          </w:tcPr>
          <w:p>
            <w:pPr>
              <w:pStyle w:val="122"/>
              <w:rPr>
                <w:rFonts w:hint="eastAsia" w:eastAsia="宋体"/>
                <w:lang w:eastAsia="zh-CN"/>
              </w:rPr>
            </w:pPr>
            <w:r>
              <w:rPr>
                <w:rFonts w:hint="eastAsia"/>
                <w:lang w:eastAsia="zh-CN"/>
              </w:rPr>
              <w:t>准备并形成环境风险事故应急处理有关的附件材料</w:t>
            </w:r>
          </w:p>
        </w:tc>
      </w:tr>
    </w:tbl>
    <w:p>
      <w:pPr>
        <w:pStyle w:val="100"/>
        <w:spacing w:before="0" w:line="360" w:lineRule="auto"/>
        <w:ind w:firstLine="480"/>
      </w:pPr>
      <w:r>
        <w:rPr>
          <w:rFonts w:hint="eastAsia"/>
        </w:rPr>
        <w:t>根据本项目污水处理工艺、设备运行特征，本环评提出如下建议与要求：</w:t>
      </w:r>
    </w:p>
    <w:p>
      <w:pPr>
        <w:pStyle w:val="100"/>
        <w:spacing w:before="0" w:line="360" w:lineRule="auto"/>
        <w:ind w:firstLine="480"/>
      </w:pPr>
      <w:r>
        <w:rPr>
          <w:rFonts w:hint="eastAsia"/>
        </w:rPr>
        <w:t>1、明确公司内应急组织机构的责任和与社会应急机构的联系</w:t>
      </w:r>
    </w:p>
    <w:p>
      <w:pPr>
        <w:pStyle w:val="100"/>
        <w:spacing w:before="0" w:line="360" w:lineRule="auto"/>
        <w:ind w:firstLine="480"/>
      </w:pPr>
      <w:r>
        <w:rPr>
          <w:rFonts w:hint="eastAsia"/>
        </w:rPr>
        <w:t>1）应明确事故发生的现场指挥人，说明应急组织机构的主要职责。明确事故发生时，公司应急结构与社会应急机构应成立应急指挥部门，指明相关职责、指挥权限和应急纪律。</w:t>
      </w:r>
    </w:p>
    <w:p>
      <w:pPr>
        <w:pStyle w:val="100"/>
        <w:spacing w:before="0" w:line="360" w:lineRule="auto"/>
        <w:ind w:firstLine="480"/>
      </w:pPr>
      <w:r>
        <w:rPr>
          <w:rFonts w:hint="eastAsia"/>
        </w:rPr>
        <w:t>2）因全面掌握有关职能部门的联系电话和联系人。联系部门除消防、公安、安全、环保等部门外，还要增加卫生及行政部门。</w:t>
      </w:r>
    </w:p>
    <w:p>
      <w:pPr>
        <w:pStyle w:val="100"/>
        <w:spacing w:before="0" w:line="360" w:lineRule="auto"/>
        <w:ind w:firstLine="480"/>
      </w:pPr>
      <w:r>
        <w:rPr>
          <w:rFonts w:hint="eastAsia"/>
        </w:rPr>
        <w:t>3）建立应急预案的应急机构主要职责修订内容为：a、组织制订、修订突发事故应急预案；b、负责人员资源配置，应急队伍的调动；c、确定现场指挥人员；d、协调事故现场有关工作，批准突发环境事故应急预案的启动和终止；e、突发环境事件信息的上报工作与友邻单位的通报；f、接受政府的指令和调动；g、组织应急预案的演练。</w:t>
      </w:r>
    </w:p>
    <w:p>
      <w:pPr>
        <w:pStyle w:val="100"/>
        <w:spacing w:before="0" w:line="360" w:lineRule="auto"/>
        <w:ind w:firstLine="480"/>
      </w:pPr>
      <w:r>
        <w:rPr>
          <w:rFonts w:hint="eastAsia"/>
        </w:rPr>
        <w:t>2、应急响应程序</w:t>
      </w:r>
    </w:p>
    <w:p>
      <w:pPr>
        <w:pStyle w:val="100"/>
        <w:spacing w:before="0" w:line="360" w:lineRule="auto"/>
        <w:ind w:firstLine="480"/>
      </w:pPr>
      <w:r>
        <w:rPr>
          <w:rFonts w:hint="eastAsia"/>
        </w:rPr>
        <w:t>1）开通与突发环境事故所在地的环境应急指挥机构、现场应急指挥部、相关专业应急指挥机构的通信联系，随时掌握事故进展情况；</w:t>
      </w:r>
    </w:p>
    <w:p>
      <w:pPr>
        <w:pStyle w:val="100"/>
        <w:spacing w:before="0" w:line="360" w:lineRule="auto"/>
        <w:ind w:firstLine="480"/>
      </w:pPr>
      <w:r>
        <w:rPr>
          <w:rFonts w:hint="eastAsia"/>
        </w:rPr>
        <w:t>2）立即向上一级环保局领导、环境监察大队队长报告，必要时成立环境应急指挥部；</w:t>
      </w:r>
    </w:p>
    <w:p>
      <w:pPr>
        <w:pStyle w:val="100"/>
        <w:spacing w:before="0" w:line="360" w:lineRule="auto"/>
        <w:ind w:firstLine="480"/>
      </w:pPr>
      <w:r>
        <w:rPr>
          <w:rFonts w:hint="eastAsia"/>
        </w:rPr>
        <w:t>3）及时向相关部门报告突发环境事件基本情况和应急救援的进展情况；</w:t>
      </w:r>
    </w:p>
    <w:p>
      <w:pPr>
        <w:pStyle w:val="100"/>
        <w:spacing w:before="0" w:line="360" w:lineRule="auto"/>
        <w:ind w:firstLine="480"/>
      </w:pPr>
      <w:r>
        <w:rPr>
          <w:rFonts w:hint="eastAsia"/>
        </w:rPr>
        <w:t>4）通知有关专家组，分析情况。根据专家的建议，通知相关应急救援力量随时待命，为地方或相关专业应急指挥机构提供技术支持。</w:t>
      </w:r>
    </w:p>
    <w:p>
      <w:pPr>
        <w:pStyle w:val="100"/>
        <w:spacing w:before="0" w:line="360" w:lineRule="auto"/>
        <w:ind w:firstLine="480"/>
      </w:pPr>
      <w:r>
        <w:rPr>
          <w:rFonts w:hint="eastAsia"/>
        </w:rPr>
        <w:t>3、应急环境监测</w:t>
      </w:r>
    </w:p>
    <w:p>
      <w:pPr>
        <w:pStyle w:val="100"/>
        <w:spacing w:before="0" w:line="360" w:lineRule="auto"/>
        <w:ind w:firstLine="480"/>
      </w:pPr>
      <w:r>
        <w:t>事故应急监测将在环境风险事故发生时，启动应急预案，并与区域应急预案衔接，由项目应急工作负责人员与当地环境监测站取得联系，实施事故应急监测。本项目污水厂排放口的设置应满足监测要求，监测项目、监测频次根据不同的的事故工况及外环境条件而定。</w:t>
      </w:r>
    </w:p>
    <w:p>
      <w:pPr>
        <w:pStyle w:val="5"/>
      </w:pPr>
      <w:r>
        <w:t>环境风险评价结论</w:t>
      </w:r>
    </w:p>
    <w:p>
      <w:pPr>
        <w:spacing w:line="360" w:lineRule="auto"/>
        <w:ind w:firstLine="480" w:firstLineChars="200"/>
      </w:pPr>
      <w:r>
        <w:rPr>
          <w:rFonts w:hint="eastAsia"/>
        </w:rPr>
        <w:t>通过对本项目风险识别，认为项目涉及的风险影响，经对项目贮运系统和生产系统进行分析，确定本项目存在泄漏和尾水超标排放两种类型的风险事故，其中泄漏事故属最大可信灾害事故。因此，在建设单位制定严格的生产运行管理、加强职工的安全生产教育、提高风险意识，严格落实相关风险防范措施和安全应急措施的前提下，并制定详细的风险应急预案基础上，项目环境风险影响可接受。根据《建设项目环境风险评价技术导则》（HJ169-2018）附录A，环境风险简单分析内容见下表。</w:t>
      </w:r>
    </w:p>
    <w:p>
      <w:pPr>
        <w:pStyle w:val="14"/>
        <w:spacing w:line="240" w:lineRule="auto"/>
      </w:pPr>
      <w:r>
        <w:rPr>
          <w:rFonts w:hint="eastAsia"/>
        </w:rPr>
        <w:t>表</w:t>
      </w:r>
      <w:r>
        <w:fldChar w:fldCharType="begin"/>
      </w:r>
      <w:r>
        <w:instrText xml:space="preserve"> STYLEREF 2 \s </w:instrText>
      </w:r>
      <w:r>
        <w:fldChar w:fldCharType="separate"/>
      </w:r>
      <w:r>
        <w:t>4.1</w:t>
      </w:r>
      <w:r>
        <w:fldChar w:fldCharType="end"/>
      </w:r>
      <w:r>
        <w:noBreakHyphen/>
      </w:r>
      <w:r>
        <w:fldChar w:fldCharType="begin"/>
      </w:r>
      <w:r>
        <w:rPr>
          <w:rFonts w:hint="eastAsia"/>
        </w:rPr>
        <w:instrText xml:space="preserve">SEQ 表 \* ARABIC \s 2</w:instrText>
      </w:r>
      <w:r>
        <w:fldChar w:fldCharType="separate"/>
      </w:r>
      <w:r>
        <w:rPr>
          <w:rFonts w:hint="eastAsia"/>
        </w:rPr>
        <w:t>37</w:t>
      </w:r>
      <w:r>
        <w:fldChar w:fldCharType="end"/>
      </w:r>
      <w:r>
        <w:rPr>
          <w:rFonts w:hint="eastAsia"/>
        </w:rPr>
        <w:t xml:space="preserve">  建设项目环境风险简单分析内容表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0"/>
        <w:gridCol w:w="1540"/>
        <w:gridCol w:w="1540"/>
        <w:gridCol w:w="1541"/>
        <w:gridCol w:w="1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rPr>
                <w:b w:val="0"/>
                <w:sz w:val="21"/>
                <w:szCs w:val="21"/>
              </w:rPr>
            </w:pPr>
            <w:r>
              <w:rPr>
                <w:b w:val="0"/>
                <w:sz w:val="21"/>
                <w:szCs w:val="21"/>
              </w:rPr>
              <w:t>建设项目名称</w:t>
            </w:r>
          </w:p>
        </w:tc>
        <w:tc>
          <w:tcPr>
            <w:tcW w:w="7702" w:type="dxa"/>
            <w:gridSpan w:val="5"/>
          </w:tcPr>
          <w:p>
            <w:pPr>
              <w:pStyle w:val="14"/>
              <w:rPr>
                <w:b w:val="0"/>
                <w:sz w:val="21"/>
                <w:szCs w:val="21"/>
              </w:rPr>
            </w:pPr>
            <w:r>
              <w:rPr>
                <w:b w:val="0"/>
                <w:sz w:val="21"/>
                <w:szCs w:val="21"/>
              </w:rPr>
              <w:t>华容县桥东污水处理厂技术改造项目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rPr>
                <w:b w:val="0"/>
                <w:sz w:val="21"/>
                <w:szCs w:val="21"/>
              </w:rPr>
            </w:pPr>
            <w:r>
              <w:rPr>
                <w:b w:val="0"/>
                <w:sz w:val="21"/>
                <w:szCs w:val="21"/>
              </w:rPr>
              <w:t>建设地点</w:t>
            </w:r>
          </w:p>
        </w:tc>
        <w:tc>
          <w:tcPr>
            <w:tcW w:w="1540" w:type="dxa"/>
          </w:tcPr>
          <w:p>
            <w:pPr>
              <w:pStyle w:val="14"/>
              <w:rPr>
                <w:b w:val="0"/>
                <w:sz w:val="21"/>
                <w:szCs w:val="21"/>
              </w:rPr>
            </w:pPr>
            <w:r>
              <w:rPr>
                <w:rFonts w:hint="eastAsia"/>
                <w:b w:val="0"/>
                <w:sz w:val="21"/>
                <w:szCs w:val="21"/>
              </w:rPr>
              <w:t>（湖南）省</w:t>
            </w:r>
          </w:p>
        </w:tc>
        <w:tc>
          <w:tcPr>
            <w:tcW w:w="1540" w:type="dxa"/>
          </w:tcPr>
          <w:p>
            <w:pPr>
              <w:pStyle w:val="14"/>
              <w:rPr>
                <w:b w:val="0"/>
                <w:sz w:val="21"/>
                <w:szCs w:val="21"/>
              </w:rPr>
            </w:pPr>
            <w:r>
              <w:rPr>
                <w:rFonts w:hint="eastAsia"/>
                <w:b w:val="0"/>
                <w:sz w:val="21"/>
                <w:szCs w:val="21"/>
              </w:rPr>
              <w:t>（岳阳市）市</w:t>
            </w:r>
          </w:p>
        </w:tc>
        <w:tc>
          <w:tcPr>
            <w:tcW w:w="1540" w:type="dxa"/>
          </w:tcPr>
          <w:p>
            <w:pPr>
              <w:pStyle w:val="14"/>
              <w:rPr>
                <w:b w:val="0"/>
                <w:sz w:val="21"/>
                <w:szCs w:val="21"/>
              </w:rPr>
            </w:pPr>
            <w:r>
              <w:rPr>
                <w:rFonts w:hint="eastAsia"/>
                <w:b w:val="0"/>
                <w:sz w:val="21"/>
                <w:szCs w:val="21"/>
              </w:rPr>
              <w:t>（/）区</w:t>
            </w:r>
          </w:p>
        </w:tc>
        <w:tc>
          <w:tcPr>
            <w:tcW w:w="1541" w:type="dxa"/>
          </w:tcPr>
          <w:p>
            <w:pPr>
              <w:pStyle w:val="14"/>
              <w:rPr>
                <w:b w:val="0"/>
                <w:sz w:val="21"/>
                <w:szCs w:val="21"/>
              </w:rPr>
            </w:pPr>
            <w:r>
              <w:rPr>
                <w:rFonts w:hint="eastAsia"/>
                <w:b w:val="0"/>
                <w:sz w:val="21"/>
                <w:szCs w:val="21"/>
              </w:rPr>
              <w:t>（华容县）县</w:t>
            </w:r>
          </w:p>
        </w:tc>
        <w:tc>
          <w:tcPr>
            <w:tcW w:w="1541" w:type="dxa"/>
          </w:tcPr>
          <w:p>
            <w:pPr>
              <w:pStyle w:val="14"/>
              <w:rPr>
                <w:b w:val="0"/>
                <w:sz w:val="21"/>
                <w:szCs w:val="21"/>
              </w:rPr>
            </w:pPr>
            <w:r>
              <w:rPr>
                <w:rFonts w:hint="eastAsia"/>
                <w:b w:val="0"/>
                <w:sz w:val="21"/>
                <w:szCs w:val="21"/>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rPr>
                <w:b w:val="0"/>
                <w:sz w:val="21"/>
                <w:szCs w:val="21"/>
              </w:rPr>
            </w:pPr>
            <w:r>
              <w:rPr>
                <w:b w:val="0"/>
                <w:sz w:val="21"/>
                <w:szCs w:val="21"/>
              </w:rPr>
              <w:t>地理坐标</w:t>
            </w:r>
          </w:p>
        </w:tc>
        <w:tc>
          <w:tcPr>
            <w:tcW w:w="1540" w:type="dxa"/>
          </w:tcPr>
          <w:p>
            <w:pPr>
              <w:pStyle w:val="14"/>
              <w:rPr>
                <w:b w:val="0"/>
                <w:sz w:val="21"/>
                <w:szCs w:val="21"/>
              </w:rPr>
            </w:pPr>
            <w:r>
              <w:rPr>
                <w:b w:val="0"/>
                <w:sz w:val="21"/>
                <w:szCs w:val="21"/>
              </w:rPr>
              <w:t>经度</w:t>
            </w:r>
          </w:p>
        </w:tc>
        <w:tc>
          <w:tcPr>
            <w:tcW w:w="1540" w:type="dxa"/>
          </w:tcPr>
          <w:p>
            <w:pPr>
              <w:pStyle w:val="14"/>
              <w:rPr>
                <w:b w:val="0"/>
                <w:sz w:val="21"/>
                <w:szCs w:val="21"/>
              </w:rPr>
            </w:pPr>
            <w:r>
              <w:rPr>
                <w:b w:val="0"/>
                <w:sz w:val="21"/>
                <w:szCs w:val="21"/>
              </w:rPr>
              <w:t>112°36'01.9"</w:t>
            </w:r>
          </w:p>
        </w:tc>
        <w:tc>
          <w:tcPr>
            <w:tcW w:w="1540" w:type="dxa"/>
          </w:tcPr>
          <w:p>
            <w:pPr>
              <w:pStyle w:val="14"/>
              <w:rPr>
                <w:b w:val="0"/>
                <w:sz w:val="21"/>
                <w:szCs w:val="21"/>
              </w:rPr>
            </w:pPr>
            <w:r>
              <w:rPr>
                <w:b w:val="0"/>
                <w:sz w:val="21"/>
                <w:szCs w:val="21"/>
              </w:rPr>
              <w:t>纬度</w:t>
            </w:r>
          </w:p>
        </w:tc>
        <w:tc>
          <w:tcPr>
            <w:tcW w:w="3082" w:type="dxa"/>
            <w:gridSpan w:val="2"/>
          </w:tcPr>
          <w:p>
            <w:pPr>
              <w:pStyle w:val="14"/>
              <w:rPr>
                <w:b w:val="0"/>
                <w:sz w:val="21"/>
                <w:szCs w:val="21"/>
              </w:rPr>
            </w:pPr>
            <w:r>
              <w:rPr>
                <w:b w:val="0"/>
                <w:sz w:val="21"/>
                <w:szCs w:val="21"/>
              </w:rPr>
              <w:t>29°31'43.7"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rPr>
                <w:b w:val="0"/>
                <w:sz w:val="21"/>
                <w:szCs w:val="21"/>
              </w:rPr>
            </w:pPr>
            <w:r>
              <w:rPr>
                <w:rFonts w:hint="eastAsia"/>
                <w:b w:val="0"/>
                <w:sz w:val="21"/>
                <w:szCs w:val="21"/>
              </w:rPr>
              <w:t xml:space="preserve"> 主要危险物质及分布</w:t>
            </w:r>
          </w:p>
        </w:tc>
        <w:tc>
          <w:tcPr>
            <w:tcW w:w="7702" w:type="dxa"/>
            <w:gridSpan w:val="5"/>
          </w:tcPr>
          <w:p>
            <w:pPr>
              <w:pStyle w:val="78"/>
              <w:jc w:val="both"/>
              <w:rPr>
                <w:rFonts w:eastAsia="宋体"/>
                <w:kern w:val="2"/>
                <w:sz w:val="21"/>
                <w:szCs w:val="21"/>
              </w:rPr>
            </w:pPr>
            <w:r>
              <w:rPr>
                <w:rFonts w:hint="eastAsia" w:eastAsia="宋体"/>
                <w:kern w:val="2"/>
                <w:sz w:val="21"/>
                <w:szCs w:val="21"/>
              </w:rPr>
              <w:t>主要危险物质：氯酸钠、三氯化铁、盐酸、</w:t>
            </w:r>
            <w:r>
              <w:rPr>
                <w:rFonts w:eastAsia="宋体"/>
                <w:kern w:val="2"/>
                <w:sz w:val="21"/>
                <w:szCs w:val="21"/>
              </w:rPr>
              <w:t>NH3</w:t>
            </w:r>
            <w:r>
              <w:rPr>
                <w:rFonts w:hint="eastAsia" w:eastAsia="宋体"/>
                <w:kern w:val="2"/>
                <w:sz w:val="21"/>
                <w:szCs w:val="21"/>
              </w:rPr>
              <w:t>、</w:t>
            </w:r>
            <w:r>
              <w:rPr>
                <w:rFonts w:eastAsia="宋体"/>
                <w:kern w:val="2"/>
                <w:sz w:val="21"/>
                <w:szCs w:val="21"/>
              </w:rPr>
              <w:t>H2S</w:t>
            </w:r>
            <w:r>
              <w:rPr>
                <w:rFonts w:hint="eastAsia" w:eastAsia="宋体"/>
                <w:kern w:val="2"/>
                <w:sz w:val="21"/>
                <w:szCs w:val="21"/>
              </w:rPr>
              <w:t>主要分布于污水处理系统、综合加药间、</w:t>
            </w:r>
            <w:r>
              <w:rPr>
                <w:rFonts w:eastAsia="宋体"/>
                <w:bCs/>
                <w:kern w:val="2"/>
                <w:sz w:val="21"/>
                <w:szCs w:val="21"/>
              </w:rPr>
              <w:t>原辅材料存放间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rPr>
                <w:b w:val="0"/>
                <w:sz w:val="21"/>
                <w:szCs w:val="21"/>
              </w:rPr>
            </w:pPr>
            <w:r>
              <w:rPr>
                <w:b w:val="0"/>
                <w:sz w:val="21"/>
                <w:szCs w:val="21"/>
              </w:rPr>
              <w:t>环境影响途途径及危害后果</w:t>
            </w:r>
            <w:r>
              <w:rPr>
                <w:rFonts w:hint="eastAsia"/>
                <w:b w:val="0"/>
                <w:sz w:val="21"/>
                <w:szCs w:val="21"/>
              </w:rPr>
              <w:t>（大气、地表水、地下水）</w:t>
            </w:r>
          </w:p>
        </w:tc>
        <w:tc>
          <w:tcPr>
            <w:tcW w:w="7702" w:type="dxa"/>
            <w:gridSpan w:val="5"/>
          </w:tcPr>
          <w:p>
            <w:pPr>
              <w:pStyle w:val="78"/>
              <w:jc w:val="center"/>
              <w:rPr>
                <w:rFonts w:eastAsia="宋体"/>
                <w:kern w:val="2"/>
                <w:sz w:val="21"/>
                <w:szCs w:val="21"/>
              </w:rPr>
            </w:pPr>
            <w:r>
              <w:rPr>
                <w:rFonts w:hint="eastAsia" w:eastAsia="宋体"/>
                <w:kern w:val="2"/>
                <w:sz w:val="21"/>
                <w:szCs w:val="21"/>
              </w:rPr>
              <w:t>①大气环境：危险化学品可能发生泄漏、火灾爆炸事故，污染物进入大气环境。酸钠、三氯化铁、盐酸等泄漏，其蒸汽进入大气环境造成影响；污泥膨胀导致贮泥池爆满，恶臭进入大气环境；②地表水：设备腐蚀、材质缺陷、操作失误、污泥膨胀等引发废水超标排放或直排入河，对文安驿河水质造成影响；③地下水：设备腐蚀、材质缺陷、操作失误、调节池等防渗层破裂等造成废水泄漏，进入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0" w:type="dxa"/>
          </w:tcPr>
          <w:p>
            <w:pPr>
              <w:pStyle w:val="14"/>
              <w:rPr>
                <w:b w:val="0"/>
                <w:sz w:val="21"/>
                <w:szCs w:val="21"/>
              </w:rPr>
            </w:pPr>
            <w:r>
              <w:rPr>
                <w:b w:val="0"/>
                <w:sz w:val="21"/>
                <w:szCs w:val="21"/>
              </w:rPr>
              <w:t>风险防范措施要求</w:t>
            </w:r>
          </w:p>
        </w:tc>
        <w:tc>
          <w:tcPr>
            <w:tcW w:w="7702" w:type="dxa"/>
            <w:gridSpan w:val="5"/>
          </w:tcPr>
          <w:p>
            <w:pPr>
              <w:pStyle w:val="78"/>
              <w:jc w:val="center"/>
              <w:rPr>
                <w:rFonts w:eastAsia="宋体"/>
                <w:kern w:val="2"/>
                <w:sz w:val="21"/>
                <w:szCs w:val="21"/>
              </w:rPr>
            </w:pPr>
            <w:r>
              <w:rPr>
                <w:rFonts w:hint="eastAsia" w:eastAsia="宋体"/>
                <w:kern w:val="2"/>
                <w:sz w:val="21"/>
                <w:szCs w:val="21"/>
              </w:rPr>
              <w:t>①废水管道敷设后，设立明显的警示标识，设置专用明管；②重视废水管道的维护及管理，防止沉积堵塞而影响管道的过水能力。管道衔接应防止泄漏污染地下水，淤塞应及时疏浚，保证管道通畅；③危险化学品运输、贮存及使用过程，应严格按照国家和地方有关危险化学品的法规、条例的规定和要求；④加药间</w:t>
            </w:r>
            <w:r>
              <w:rPr>
                <w:rFonts w:eastAsia="宋体"/>
                <w:kern w:val="2"/>
                <w:sz w:val="21"/>
                <w:szCs w:val="21"/>
              </w:rPr>
              <w:t>(</w:t>
            </w:r>
            <w:r>
              <w:rPr>
                <w:rFonts w:hint="eastAsia" w:eastAsia="宋体"/>
                <w:kern w:val="2"/>
                <w:sz w:val="21"/>
                <w:szCs w:val="21"/>
              </w:rPr>
              <w:t>含加药池</w:t>
            </w:r>
            <w:r>
              <w:rPr>
                <w:rFonts w:eastAsia="宋体"/>
                <w:kern w:val="2"/>
                <w:sz w:val="21"/>
                <w:szCs w:val="21"/>
              </w:rPr>
              <w:t>)</w:t>
            </w:r>
            <w:r>
              <w:rPr>
                <w:rFonts w:hint="eastAsia" w:eastAsia="宋体"/>
                <w:kern w:val="2"/>
                <w:sz w:val="21"/>
                <w:szCs w:val="21"/>
              </w:rPr>
              <w:t>和化学品储存点均采用环氧树脂进行防腐、防渗和防漏处理，定期巡检药品桶是否有破损、磨损等以防泄漏，并及时修复或更换包装桶；⑤单独设计事故应急池，当污水处理厂水处理系统发生停止运行等情况时，进口水经溢流井排入事故排水系统。⑥设置在线监测系统；⑦加强污泥管理，防止污泥膨胀；⑧编制应急预案，并与区域应急预案衔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6"/>
          </w:tcPr>
          <w:p>
            <w:pPr>
              <w:pStyle w:val="14"/>
              <w:rPr>
                <w:b w:val="0"/>
                <w:sz w:val="21"/>
                <w:szCs w:val="21"/>
              </w:rPr>
            </w:pPr>
            <w:r>
              <w:rPr>
                <w:b w:val="0"/>
                <w:sz w:val="21"/>
                <w:szCs w:val="21"/>
              </w:rPr>
              <w:t>填表说明</w:t>
            </w:r>
            <w:r>
              <w:rPr>
                <w:rFonts w:hint="eastAsia"/>
                <w:b w:val="0"/>
                <w:sz w:val="21"/>
                <w:szCs w:val="21"/>
              </w:rPr>
              <w:t>（列出项目相关信息及评价说明）</w:t>
            </w:r>
          </w:p>
        </w:tc>
      </w:tr>
    </w:tbl>
    <w:p>
      <w:pPr>
        <w:rPr>
          <w:rFonts w:eastAsia="宋体" w:cstheme="majorBidi"/>
          <w:kern w:val="44"/>
          <w:sz w:val="30"/>
          <w:szCs w:val="44"/>
        </w:rPr>
      </w:pPr>
      <w:bookmarkStart w:id="196" w:name="_Toc532376162"/>
      <w:bookmarkStart w:id="197" w:name="_Toc532763219"/>
      <w:bookmarkStart w:id="198" w:name="_Toc532497676"/>
      <w:bookmarkStart w:id="199" w:name="_Toc532498755"/>
      <w:r>
        <w:br w:type="page"/>
      </w:r>
    </w:p>
    <w:p>
      <w:pPr>
        <w:pStyle w:val="2"/>
        <w:adjustRightInd w:val="0"/>
        <w:snapToGrid w:val="0"/>
        <w:spacing w:line="360" w:lineRule="auto"/>
        <w:rPr>
          <w:color w:val="000000" w:themeColor="text1"/>
        </w:rPr>
      </w:pPr>
      <w:bookmarkStart w:id="200" w:name="_Toc16104"/>
      <w:r>
        <w:rPr>
          <w:rFonts w:hint="eastAsia"/>
          <w:color w:val="000000" w:themeColor="text1"/>
        </w:rPr>
        <w:t>环境保护措施及可行性分析</w:t>
      </w:r>
      <w:bookmarkEnd w:id="196"/>
      <w:bookmarkEnd w:id="197"/>
      <w:bookmarkEnd w:id="198"/>
      <w:bookmarkEnd w:id="199"/>
      <w:bookmarkEnd w:id="200"/>
    </w:p>
    <w:p>
      <w:pPr>
        <w:pStyle w:val="4"/>
        <w:adjustRightInd w:val="0"/>
        <w:snapToGrid w:val="0"/>
        <w:rPr>
          <w:color w:val="000000" w:themeColor="text1"/>
        </w:rPr>
      </w:pPr>
      <w:bookmarkStart w:id="201" w:name="_Toc532498757"/>
      <w:bookmarkStart w:id="202" w:name="_Toc532763221"/>
      <w:bookmarkStart w:id="203" w:name="_Toc532497683"/>
      <w:bookmarkStart w:id="204" w:name="_Toc143"/>
      <w:bookmarkStart w:id="205" w:name="_Toc532376164"/>
      <w:r>
        <w:rPr>
          <w:rFonts w:hint="eastAsia"/>
          <w:color w:val="000000" w:themeColor="text1"/>
        </w:rPr>
        <w:t>运营期污染防治措施</w:t>
      </w:r>
      <w:bookmarkEnd w:id="201"/>
      <w:bookmarkEnd w:id="202"/>
      <w:bookmarkEnd w:id="203"/>
      <w:bookmarkEnd w:id="204"/>
      <w:bookmarkEnd w:id="205"/>
    </w:p>
    <w:p>
      <w:pPr>
        <w:pStyle w:val="5"/>
        <w:rPr>
          <w:color w:val="000000" w:themeColor="text1"/>
        </w:rPr>
      </w:pPr>
      <w:bookmarkStart w:id="206" w:name="_Toc532497684"/>
      <w:r>
        <w:rPr>
          <w:rFonts w:hint="eastAsia"/>
          <w:color w:val="000000" w:themeColor="text1"/>
        </w:rPr>
        <w:t>大气污染防治措施</w:t>
      </w:r>
      <w:bookmarkEnd w:id="206"/>
    </w:p>
    <w:p>
      <w:pPr>
        <w:adjustRightInd w:val="0"/>
        <w:snapToGrid w:val="0"/>
        <w:spacing w:line="360" w:lineRule="auto"/>
        <w:ind w:firstLine="480" w:firstLineChars="200"/>
        <w:rPr>
          <w:rFonts w:cs="Times New Roman"/>
          <w:color w:val="000000"/>
        </w:rPr>
      </w:pPr>
      <w:r>
        <w:rPr>
          <w:rFonts w:hAnsi="宋体" w:cs="Times New Roman"/>
          <w:color w:val="000000"/>
        </w:rPr>
        <w:t>项目营运期主要污染源为污水处理厂恶臭和食堂油烟废气。根据项目大气污染防治措施如下。</w:t>
      </w:r>
    </w:p>
    <w:p>
      <w:pPr>
        <w:pStyle w:val="100"/>
        <w:spacing w:line="360" w:lineRule="auto"/>
        <w:ind w:firstLine="480"/>
      </w:pPr>
      <w:r>
        <w:t>1</w:t>
      </w:r>
      <w:r>
        <w:rPr>
          <w:rFonts w:hAnsi="宋体"/>
        </w:rPr>
        <w:t>、恶臭</w:t>
      </w:r>
    </w:p>
    <w:p>
      <w:pPr>
        <w:pStyle w:val="100"/>
        <w:spacing w:line="360" w:lineRule="auto"/>
        <w:ind w:firstLine="480"/>
      </w:pPr>
      <w:r>
        <w:rPr>
          <w:rFonts w:hAnsi="宋体"/>
        </w:rPr>
        <w:t>本项目的环境空气污染物主要来自生化处理过程中腐化污水及污泥散发的恶臭，主要来自于格栅、泵站、旋流沉砂池、生化池、沉淀池、贮泥池、接触消毒池、污泥脱水机房。</w:t>
      </w:r>
    </w:p>
    <w:p>
      <w:pPr>
        <w:pStyle w:val="100"/>
        <w:spacing w:line="360" w:lineRule="auto"/>
        <w:ind w:firstLine="480"/>
      </w:pPr>
      <w:r>
        <w:rPr>
          <w:rFonts w:hAnsi="宋体"/>
        </w:rPr>
        <w:t>①</w:t>
      </w:r>
      <w:r>
        <w:t>恶臭污染源特点</w:t>
      </w:r>
    </w:p>
    <w:p>
      <w:pPr>
        <w:pStyle w:val="100"/>
        <w:spacing w:line="360" w:lineRule="auto"/>
        <w:ind w:firstLine="480"/>
      </w:pPr>
      <w:r>
        <w:t>城镇污水中主要恶臭污染物有NH</w:t>
      </w:r>
      <w:r>
        <w:rPr>
          <w:vertAlign w:val="subscript"/>
        </w:rPr>
        <w:t>3</w:t>
      </w:r>
      <w:r>
        <w:t>和H</w:t>
      </w:r>
      <w:r>
        <w:rPr>
          <w:vertAlign w:val="subscript"/>
        </w:rPr>
        <w:t>2</w:t>
      </w:r>
      <w:r>
        <w:t>S等化合物，这些物质在污水输送和处理过程中会散发恶臭，而大部分恶臭物质以无组织形式排放至环境空气中，并以含菌气溶胶存在于环境空气中，对周边环境空气产生不利影响，对人群的身体及精神造成危害。因此，污水处理厂设施应考虑除臭措施。</w:t>
      </w:r>
    </w:p>
    <w:p>
      <w:pPr>
        <w:pStyle w:val="100"/>
        <w:spacing w:line="360" w:lineRule="auto"/>
        <w:ind w:firstLine="480"/>
      </w:pPr>
      <w:r>
        <w:rPr>
          <w:rFonts w:hint="eastAsia"/>
        </w:rPr>
        <w:t>②</w:t>
      </w:r>
      <w:r>
        <w:t>除臭方法的选取</w:t>
      </w:r>
    </w:p>
    <w:p>
      <w:pPr>
        <w:pStyle w:val="100"/>
        <w:spacing w:before="0" w:line="360" w:lineRule="auto"/>
        <w:ind w:firstLine="480"/>
      </w:pPr>
      <w:r>
        <w:rPr>
          <w:rFonts w:hAnsi="宋体"/>
        </w:rPr>
        <w:t>适合污水处理厂的除臭方法有水清洗和药液清洗法、活性炭吸附法、臭氧氧化法、微生物除臭法等。综合考虑经济和管理的要求，本项目拟采用生物除臭法，该方法已广泛应用于城镇污水处理厂中。</w:t>
      </w:r>
    </w:p>
    <w:p>
      <w:pPr>
        <w:pStyle w:val="100"/>
        <w:spacing w:line="360" w:lineRule="auto"/>
        <w:ind w:firstLine="480"/>
      </w:pPr>
      <w:r>
        <w:t>生物除臭法是将收集的废气先经过预处理，去除颗粒浮尘并调温调湿，然后经过气体分布器进入生物过滤器。生物过滤器中的滤床采用生物活性炭的介质，均具有较好的通气性和适度的持水能力，且具有缓冲性，构成了适合各种微生物生长的良好环境，当废气通过滤床时，废气中的恶臭物质被介质中的微生物吸附、吸收、降解。微生物以恶臭物质为营养，使自身得到生长和增殖。</w:t>
      </w:r>
    </w:p>
    <w:p>
      <w:pPr>
        <w:pStyle w:val="100"/>
        <w:spacing w:line="360" w:lineRule="auto"/>
        <w:ind w:firstLine="480"/>
      </w:pPr>
      <w:r>
        <w:t>生物除臭工艺设施主要包括污染场所密闭系统、调温调湿除尘系统和生物滤池。生物滤床为混凝土矩形池，池底为布气系统，由带有多个滤头的模压塑料滤板组成，上层为具有专利技术的无机滤料，其厚度根除处理气量的多少来确定。从各种处理构筑物收集的臭气通过鼓风机鼓入调温调湿除尘系统，利用水雾初步除臭后再鼓入生物滤池，通过滤池内滤料达到除臭目的。生物除臭法已广泛应用于污水处理厂中，其营运成本较低，除臭效果较好，除臭效率达80%以上（以80%计算）。</w:t>
      </w:r>
    </w:p>
    <w:p>
      <w:pPr>
        <w:pStyle w:val="100"/>
        <w:spacing w:line="360" w:lineRule="auto"/>
        <w:ind w:firstLine="480"/>
      </w:pPr>
      <w:r>
        <w:rPr>
          <w:rFonts w:hint="eastAsia"/>
        </w:rPr>
        <w:t>③</w:t>
      </w:r>
      <w:r>
        <w:t>除臭设备设施的设置</w:t>
      </w:r>
    </w:p>
    <w:p>
      <w:pPr>
        <w:pStyle w:val="100"/>
        <w:spacing w:line="360" w:lineRule="auto"/>
        <w:ind w:firstLine="480"/>
      </w:pPr>
      <w:r>
        <w:t>考虑除臭的构筑物有粗细格栅、进水提升泵房、沉淀池、贮泥池、生化池、污泥脱水机房。在实施时，首先将这些构筑物加盖，然后用风管收集臭气并输送至生物除臭装置进行脱臭，处理后的臭气排放浓度达到《城镇污水处理厂污染物排放标准》（GB18918-2002）中表4标准。</w:t>
      </w:r>
    </w:p>
    <w:p>
      <w:pPr>
        <w:pStyle w:val="100"/>
        <w:spacing w:line="360" w:lineRule="auto"/>
        <w:ind w:firstLine="480"/>
        <w:rPr>
          <w:rFonts w:hAnsi="宋体"/>
        </w:rPr>
      </w:pPr>
      <w:r>
        <w:rPr>
          <w:rFonts w:hint="eastAsia" w:hAnsi="宋体"/>
        </w:rPr>
        <w:t>生物除臭的工艺流程如下图。</w:t>
      </w:r>
    </w:p>
    <w:p>
      <w:pPr>
        <w:jc w:val="center"/>
      </w:pPr>
      <w:r>
        <w:drawing>
          <wp:inline distT="0" distB="0" distL="0" distR="0">
            <wp:extent cx="4417695" cy="2162175"/>
            <wp:effectExtent l="0" t="0" r="1905" b="0"/>
            <wp:docPr id="56" name="图片 56" descr="C:\Users\123\AppData\Local\Temp\ksohtml206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23\AppData\Local\Temp\ksohtml2064\wps5.png"/>
                    <pic:cNvPicPr>
                      <a:picLocks noChangeAspect="1" noChangeArrowheads="1"/>
                    </pic:cNvPicPr>
                  </pic:nvPicPr>
                  <pic:blipFill>
                    <a:blip r:embed="rId23" cstate="print"/>
                    <a:srcRect/>
                    <a:stretch>
                      <a:fillRect/>
                    </a:stretch>
                  </pic:blipFill>
                  <pic:spPr>
                    <a:xfrm>
                      <a:off x="0" y="0"/>
                      <a:ext cx="4417695" cy="2162175"/>
                    </a:xfrm>
                    <a:prstGeom prst="rect">
                      <a:avLst/>
                    </a:prstGeom>
                    <a:noFill/>
                    <a:ln w="9525">
                      <a:noFill/>
                      <a:miter lim="800000"/>
                      <a:headEnd/>
                      <a:tailEnd/>
                    </a:ln>
                  </pic:spPr>
                </pic:pic>
              </a:graphicData>
            </a:graphic>
          </wp:inline>
        </w:drawing>
      </w:r>
    </w:p>
    <w:p>
      <w:pPr>
        <w:pStyle w:val="14"/>
      </w:pPr>
      <w:r>
        <w:rPr>
          <w:rFonts w:hint="eastAsia"/>
        </w:rPr>
        <w:t>图</w:t>
      </w:r>
      <w:r>
        <w:fldChar w:fldCharType="begin"/>
      </w:r>
      <w:r>
        <w:instrText xml:space="preserve"> STYLEREF 2 \s </w:instrText>
      </w:r>
      <w:r>
        <w:fldChar w:fldCharType="separate"/>
      </w:r>
      <w:r>
        <w:t>5.1</w:t>
      </w:r>
      <w:r>
        <w:fldChar w:fldCharType="end"/>
      </w:r>
      <w:r>
        <w:noBreakHyphen/>
      </w:r>
      <w:r>
        <w:fldChar w:fldCharType="begin"/>
      </w:r>
      <w:r>
        <w:rPr>
          <w:rFonts w:hint="eastAsia"/>
        </w:rPr>
        <w:instrText xml:space="preserve">SEQ 表 \* ARABIC \s 2</w:instrText>
      </w:r>
      <w:r>
        <w:fldChar w:fldCharType="separate"/>
      </w:r>
      <w:r>
        <w:rPr>
          <w:rFonts w:hint="eastAsia"/>
        </w:rPr>
        <w:t>1</w:t>
      </w:r>
      <w:r>
        <w:fldChar w:fldCharType="end"/>
      </w:r>
      <w:r>
        <w:rPr>
          <w:rFonts w:hint="eastAsia"/>
        </w:rPr>
        <w:t xml:space="preserve">  生物除臭工艺流程图</w:t>
      </w:r>
    </w:p>
    <w:p>
      <w:pPr>
        <w:jc w:val="center"/>
      </w:pPr>
      <w:r>
        <w:drawing>
          <wp:inline distT="0" distB="0" distL="0" distR="0">
            <wp:extent cx="4663440" cy="3867150"/>
            <wp:effectExtent l="19050" t="0" r="3704" b="0"/>
            <wp:docPr id="21" name="图片 21" descr="E:\工作\2019\现场照片\IMG_20190424_15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2019\现场照片\IMG_20190424_152441.jpg"/>
                    <pic:cNvPicPr>
                      <a:picLocks noChangeAspect="1" noChangeArrowheads="1"/>
                    </pic:cNvPicPr>
                  </pic:nvPicPr>
                  <pic:blipFill>
                    <a:blip r:embed="rId24" cstate="print"/>
                    <a:srcRect l="5158" r="4496"/>
                    <a:stretch>
                      <a:fillRect/>
                    </a:stretch>
                  </pic:blipFill>
                  <pic:spPr>
                    <a:xfrm>
                      <a:off x="0" y="0"/>
                      <a:ext cx="4663546" cy="3867325"/>
                    </a:xfrm>
                    <a:prstGeom prst="rect">
                      <a:avLst/>
                    </a:prstGeom>
                    <a:noFill/>
                    <a:ln w="9525">
                      <a:noFill/>
                      <a:miter lim="800000"/>
                      <a:headEnd/>
                      <a:tailEnd/>
                    </a:ln>
                  </pic:spPr>
                </pic:pic>
              </a:graphicData>
            </a:graphic>
          </wp:inline>
        </w:drawing>
      </w:r>
    </w:p>
    <w:p>
      <w:pPr>
        <w:pStyle w:val="14"/>
      </w:pPr>
      <w:r>
        <w:rPr>
          <w:rFonts w:hint="eastAsia"/>
        </w:rPr>
        <w:t>图</w:t>
      </w:r>
      <w:r>
        <w:fldChar w:fldCharType="begin"/>
      </w:r>
      <w:r>
        <w:instrText xml:space="preserve"> STYLEREF 2 \s </w:instrText>
      </w:r>
      <w:r>
        <w:fldChar w:fldCharType="separate"/>
      </w:r>
      <w:r>
        <w:t>5.1</w:t>
      </w:r>
      <w:r>
        <w:fldChar w:fldCharType="end"/>
      </w:r>
      <w:r>
        <w:noBreakHyphen/>
      </w:r>
      <w:r>
        <w:fldChar w:fldCharType="begin"/>
      </w:r>
      <w:r>
        <w:rPr>
          <w:rFonts w:hint="eastAsia"/>
        </w:rPr>
        <w:instrText xml:space="preserve">SEQ 图 \* ARABIC \s 2</w:instrText>
      </w:r>
      <w:r>
        <w:fldChar w:fldCharType="separate"/>
      </w:r>
      <w:r>
        <w:rPr>
          <w:rFonts w:hint="eastAsia"/>
        </w:rPr>
        <w:t>1</w:t>
      </w:r>
      <w:r>
        <w:fldChar w:fldCharType="end"/>
      </w:r>
      <w:r>
        <w:rPr>
          <w:rFonts w:hint="eastAsia"/>
        </w:rPr>
        <w:t xml:space="preserve"> 生物除臭工艺实物图</w:t>
      </w:r>
    </w:p>
    <w:p>
      <w:pPr>
        <w:pStyle w:val="100"/>
        <w:spacing w:before="0" w:line="360" w:lineRule="auto"/>
        <w:ind w:firstLine="480"/>
      </w:pPr>
      <w:r>
        <w:rPr>
          <w:rFonts w:hAnsi="宋体"/>
        </w:rPr>
        <w:t>本项目采用生物滤池法对</w:t>
      </w:r>
      <w:r>
        <w:rPr>
          <w:rStyle w:val="147"/>
        </w:rPr>
        <w:t>H</w:t>
      </w:r>
      <w:r>
        <w:rPr>
          <w:rStyle w:val="147"/>
          <w:vertAlign w:val="subscript"/>
        </w:rPr>
        <w:t>2</w:t>
      </w:r>
      <w:r>
        <w:rPr>
          <w:rStyle w:val="147"/>
        </w:rPr>
        <w:t>S</w:t>
      </w:r>
      <w:r>
        <w:rPr>
          <w:rStyle w:val="147"/>
          <w:rFonts w:hAnsi="宋体"/>
        </w:rPr>
        <w:t>和</w:t>
      </w:r>
      <w:r>
        <w:rPr>
          <w:rStyle w:val="147"/>
        </w:rPr>
        <w:t>NH</w:t>
      </w:r>
      <w:r>
        <w:rPr>
          <w:rStyle w:val="147"/>
          <w:vertAlign w:val="subscript"/>
        </w:rPr>
        <w:t>3</w:t>
      </w:r>
      <w:r>
        <w:rPr>
          <w:rFonts w:hAnsi="宋体"/>
        </w:rPr>
        <w:t>进行处理可行性分析</w:t>
      </w:r>
    </w:p>
    <w:p>
      <w:pPr>
        <w:pStyle w:val="100"/>
        <w:spacing w:before="0" w:line="360" w:lineRule="auto"/>
        <w:ind w:firstLine="480"/>
      </w:pPr>
      <w:r>
        <w:rPr>
          <w:rFonts w:hAnsi="宋体"/>
        </w:rPr>
        <w:t>生物滤池法的工作原理是采用滤料作为微生物生存的载体，用微生物吞噬空气中的臭气成分。该方法采用普通滤池结构，通过气体与载体上的微生物相接触，被微生物氧化降解，完成除臭的过程。除臭过程分为三步：</w:t>
      </w:r>
      <w:r>
        <w:t>a</w:t>
      </w:r>
      <w:r>
        <w:rPr>
          <w:rFonts w:hAnsi="宋体"/>
        </w:rPr>
        <w:t>、臭气同水接触并溶解到水中；</w:t>
      </w:r>
      <w:r>
        <w:t>b</w:t>
      </w:r>
      <w:r>
        <w:rPr>
          <w:rFonts w:hAnsi="宋体"/>
        </w:rPr>
        <w:t>、水溶液中的恶臭成分被微生物吸附、吸收，恶臭成分从水中转移至微生物体内；</w:t>
      </w:r>
      <w:r>
        <w:t>c</w:t>
      </w:r>
      <w:r>
        <w:rPr>
          <w:rFonts w:hAnsi="宋体"/>
        </w:rPr>
        <w:t>、进入微生物细胞的恶臭成分作为营养物质为微生物所分解、利用，从而使污染物得以去除。滤池内的滤料选择至关重要，滤料与其运行和处理效率有关的主要因素有：持水能力、孔隙率、微生物活性、营养来源、</w:t>
      </w:r>
      <w:r>
        <w:t>pH</w:t>
      </w:r>
      <w:r>
        <w:rPr>
          <w:rFonts w:hAnsi="宋体"/>
        </w:rPr>
        <w:t>缓冲能力、比表面积和机械性能等。</w:t>
      </w:r>
    </w:p>
    <w:p>
      <w:pPr>
        <w:pStyle w:val="100"/>
        <w:spacing w:before="0" w:line="360" w:lineRule="auto"/>
        <w:ind w:firstLine="480"/>
      </w:pPr>
      <w:r>
        <w:rPr>
          <w:rFonts w:ascii="宋体" w:hAnsi="宋体"/>
        </w:rPr>
        <w:t>生物滤池除臭法的主要优点为：</w:t>
      </w:r>
    </w:p>
    <w:p>
      <w:pPr>
        <w:pStyle w:val="100"/>
        <w:spacing w:before="0" w:line="360" w:lineRule="auto"/>
        <w:ind w:firstLine="480"/>
      </w:pPr>
      <w:r>
        <w:rPr>
          <w:rFonts w:hint="eastAsia" w:ascii="宋体" w:hAnsi="宋体" w:cs="宋体"/>
        </w:rPr>
        <w:t>①</w:t>
      </w:r>
      <w:r>
        <w:rPr>
          <w:rFonts w:ascii="宋体" w:hAnsi="宋体"/>
        </w:rPr>
        <w:t>是一种固定床生物膜反应器，可将恶臭污染物彻底降解为</w:t>
      </w:r>
      <w:r>
        <w:t>H</w:t>
      </w:r>
      <w:r>
        <w:rPr>
          <w:vertAlign w:val="subscript"/>
        </w:rPr>
        <w:t>2</w:t>
      </w:r>
      <w:r>
        <w:t>O</w:t>
      </w:r>
      <w:r>
        <w:rPr>
          <w:rFonts w:ascii="宋体" w:hAnsi="宋体"/>
        </w:rPr>
        <w:t>、</w:t>
      </w:r>
      <w:r>
        <w:t>CO</w:t>
      </w:r>
      <w:r>
        <w:rPr>
          <w:vertAlign w:val="subscript"/>
        </w:rPr>
        <w:t>2</w:t>
      </w:r>
      <w:r>
        <w:rPr>
          <w:rFonts w:ascii="宋体" w:hAnsi="宋体"/>
        </w:rPr>
        <w:t>。</w:t>
      </w:r>
    </w:p>
    <w:p>
      <w:pPr>
        <w:pStyle w:val="100"/>
        <w:spacing w:before="0" w:line="360" w:lineRule="auto"/>
        <w:ind w:firstLine="480"/>
      </w:pPr>
      <w:r>
        <w:rPr>
          <w:rFonts w:hint="eastAsia" w:ascii="宋体" w:hAnsi="宋体" w:cs="宋体"/>
        </w:rPr>
        <w:t>②</w:t>
      </w:r>
      <w:r>
        <w:rPr>
          <w:rFonts w:ascii="宋体" w:hAnsi="宋体"/>
        </w:rPr>
        <w:t>所采用的滤料为无机滤料，具有压降小（</w:t>
      </w:r>
      <w:r>
        <w:t>20mm-50mm</w:t>
      </w:r>
      <w:r>
        <w:rPr>
          <w:rFonts w:ascii="宋体" w:hAnsi="宋体"/>
        </w:rPr>
        <w:t>）、比表面积大、停留时间短、占地面积小、不易老化板结等优点。</w:t>
      </w:r>
    </w:p>
    <w:p>
      <w:pPr>
        <w:pStyle w:val="100"/>
        <w:spacing w:before="0" w:line="360" w:lineRule="auto"/>
        <w:ind w:firstLine="480"/>
      </w:pPr>
      <w:r>
        <w:rPr>
          <w:rFonts w:hint="eastAsia" w:ascii="宋体" w:hAnsi="宋体" w:cs="宋体"/>
        </w:rPr>
        <w:t>③</w:t>
      </w:r>
      <w:r>
        <w:rPr>
          <w:rFonts w:ascii="宋体" w:hAnsi="宋体"/>
        </w:rPr>
        <w:t>由于滤料处理负荷高，因此滤池占地面积省。</w:t>
      </w:r>
    </w:p>
    <w:p>
      <w:pPr>
        <w:pStyle w:val="100"/>
        <w:spacing w:before="0" w:line="360" w:lineRule="auto"/>
        <w:ind w:firstLine="480"/>
      </w:pPr>
      <w:r>
        <w:rPr>
          <w:rFonts w:hint="eastAsia" w:ascii="宋体" w:hAnsi="宋体" w:cs="宋体"/>
        </w:rPr>
        <w:t>④</w:t>
      </w:r>
      <w:r>
        <w:rPr>
          <w:rFonts w:ascii="宋体" w:hAnsi="宋体"/>
        </w:rPr>
        <w:t>压降小，鼓风机扬程低，因此日常运行费用低。生物滤池除臭成套设备的臭气净化效率可达到</w:t>
      </w:r>
      <w:r>
        <w:t>95%</w:t>
      </w:r>
      <w:r>
        <w:rPr>
          <w:rFonts w:ascii="宋体" w:hAnsi="宋体"/>
        </w:rPr>
        <w:t>。</w:t>
      </w:r>
    </w:p>
    <w:p>
      <w:pPr>
        <w:pStyle w:val="100"/>
        <w:spacing w:before="0" w:line="360" w:lineRule="auto"/>
        <w:ind w:firstLine="480"/>
      </w:pPr>
      <w:r>
        <w:rPr>
          <w:rFonts w:hint="eastAsia" w:ascii="宋体" w:hAnsi="宋体"/>
        </w:rPr>
        <w:t>⑤</w:t>
      </w:r>
      <w:r>
        <w:rPr>
          <w:rFonts w:ascii="宋体" w:hAnsi="宋体"/>
        </w:rPr>
        <w:t>生物滤床除臭工艺作为一种绿色技术，它对环境冲击少，不需要化学药品（材料），不会造成二次污染，土壤基质由堆肥、废木碎屑、煤渣、泥炭块等可再循环的产品组成，具有生态可持续性。</w:t>
      </w:r>
    </w:p>
    <w:p>
      <w:pPr>
        <w:pStyle w:val="100"/>
        <w:spacing w:before="0" w:line="360" w:lineRule="auto"/>
        <w:ind w:firstLine="480"/>
        <w:rPr>
          <w:u w:val="single"/>
        </w:rPr>
      </w:pPr>
      <w:r>
        <w:rPr>
          <w:rFonts w:ascii="宋体" w:hAnsi="宋体"/>
          <w:u w:val="single"/>
        </w:rPr>
        <w:t>达标可行性</w:t>
      </w:r>
      <w:r>
        <w:rPr>
          <w:rFonts w:hint="eastAsia" w:ascii="宋体" w:hAnsi="宋体"/>
          <w:u w:val="single"/>
        </w:rPr>
        <w:t>：</w:t>
      </w:r>
    </w:p>
    <w:p>
      <w:pPr>
        <w:pStyle w:val="61"/>
        <w:keepNext/>
        <w:keepLines/>
        <w:pageBreakBefore w:val="0"/>
        <w:widowControl w:val="0"/>
        <w:numPr>
          <w:ilvl w:val="3"/>
          <w:numId w:val="0"/>
        </w:numPr>
        <w:kinsoku/>
        <w:wordWrap/>
        <w:overflowPunct/>
        <w:topLinePunct w:val="0"/>
        <w:autoSpaceDE/>
        <w:autoSpaceDN/>
        <w:bidi w:val="0"/>
        <w:adjustRightInd/>
        <w:snapToGrid/>
        <w:ind w:left="0" w:leftChars="0" w:firstLine="480" w:firstLineChars="200"/>
        <w:textAlignment w:val="auto"/>
        <w:rPr>
          <w:rFonts w:hint="eastAsia"/>
          <w:b w:val="0"/>
          <w:szCs w:val="24"/>
          <w:u w:val="single"/>
          <w:lang w:eastAsia="zh-CN"/>
        </w:rPr>
      </w:pPr>
      <w:r>
        <w:rPr>
          <w:rFonts w:hint="eastAsia" w:ascii="Times New Roman" w:hAnsi="Times New Roman"/>
          <w:b w:val="0"/>
          <w:bCs w:val="0"/>
          <w:u w:val="single"/>
          <w:lang w:eastAsia="zh-CN"/>
        </w:rPr>
        <w:t>本项目委托</w:t>
      </w:r>
      <w:r>
        <w:rPr>
          <w:rFonts w:hint="eastAsia" w:ascii="Times New Roman" w:hAnsi="Times New Roman"/>
          <w:b w:val="0"/>
          <w:bCs w:val="0"/>
          <w:u w:val="single"/>
          <w:lang w:val="en-US" w:eastAsia="zh-CN"/>
        </w:rPr>
        <w:t>湖南昌源环境科技有限公司于2019.12.26-12.27对有组织废气进行现场监测。监测数据具体见表2.5-1，由监测数据可知</w:t>
      </w:r>
      <w:r>
        <w:rPr>
          <w:rFonts w:hint="eastAsia" w:ascii="Times New Roman" w:hAnsi="Times New Roman"/>
          <w:b w:val="0"/>
          <w:bCs w:val="0"/>
          <w:u w:val="single"/>
          <w:lang w:eastAsia="zh-CN"/>
        </w:rPr>
        <w:t>NH</w:t>
      </w:r>
      <w:r>
        <w:rPr>
          <w:rFonts w:hint="eastAsia" w:ascii="Times New Roman" w:hAnsi="Times New Roman"/>
          <w:b w:val="0"/>
          <w:bCs w:val="0"/>
          <w:u w:val="single"/>
          <w:vertAlign w:val="subscript"/>
          <w:lang w:eastAsia="zh-CN"/>
        </w:rPr>
        <w:t>3</w:t>
      </w:r>
      <w:r>
        <w:rPr>
          <w:rFonts w:hint="eastAsia" w:ascii="Times New Roman" w:hAnsi="Times New Roman"/>
          <w:b w:val="0"/>
          <w:bCs w:val="0"/>
          <w:u w:val="single"/>
          <w:vertAlign w:val="baseline"/>
          <w:lang w:eastAsia="zh-CN"/>
        </w:rPr>
        <w:t>最大的排放浓度为</w:t>
      </w:r>
      <w:r>
        <w:rPr>
          <w:rFonts w:hint="eastAsia" w:ascii="Times New Roman" w:hAnsi="Times New Roman"/>
          <w:b w:val="0"/>
          <w:bCs w:val="0"/>
          <w:u w:val="single"/>
          <w:vertAlign w:val="baseline"/>
          <w:lang w:val="en-US" w:eastAsia="zh-CN"/>
        </w:rPr>
        <w:t>0.60mg/m</w:t>
      </w:r>
      <w:r>
        <w:rPr>
          <w:rFonts w:hint="eastAsia" w:ascii="Times New Roman" w:hAnsi="Times New Roman"/>
          <w:b w:val="0"/>
          <w:bCs w:val="0"/>
          <w:u w:val="single"/>
          <w:vertAlign w:val="superscript"/>
          <w:lang w:val="en-US" w:eastAsia="zh-CN"/>
        </w:rPr>
        <w:t>3</w:t>
      </w:r>
      <w:r>
        <w:rPr>
          <w:rFonts w:hint="eastAsia" w:ascii="Times New Roman" w:hAnsi="Times New Roman"/>
          <w:b w:val="0"/>
          <w:bCs w:val="0"/>
          <w:u w:val="single"/>
          <w:vertAlign w:val="baseline"/>
          <w:lang w:val="en-US" w:eastAsia="zh-CN"/>
        </w:rPr>
        <w:t>，最大的排放速率为0.197kg/h；</w:t>
      </w:r>
      <w:r>
        <w:rPr>
          <w:rFonts w:hint="eastAsia" w:ascii="Times New Roman" w:hAnsi="Times New Roman"/>
          <w:b w:val="0"/>
          <w:bCs w:val="0"/>
          <w:u w:val="single"/>
          <w:lang w:eastAsia="zh-CN"/>
        </w:rPr>
        <w:t>H</w:t>
      </w:r>
      <w:r>
        <w:rPr>
          <w:rFonts w:hint="eastAsia" w:ascii="Times New Roman" w:hAnsi="Times New Roman"/>
          <w:b w:val="0"/>
          <w:bCs w:val="0"/>
          <w:u w:val="single"/>
          <w:vertAlign w:val="subscript"/>
          <w:lang w:eastAsia="zh-CN"/>
        </w:rPr>
        <w:t>2</w:t>
      </w:r>
      <w:r>
        <w:rPr>
          <w:rFonts w:hint="eastAsia" w:ascii="Times New Roman" w:hAnsi="Times New Roman"/>
          <w:b w:val="0"/>
          <w:bCs w:val="0"/>
          <w:u w:val="single"/>
          <w:lang w:eastAsia="zh-CN"/>
        </w:rPr>
        <w:t>S</w:t>
      </w:r>
      <w:r>
        <w:rPr>
          <w:rFonts w:hint="eastAsia" w:ascii="Times New Roman" w:hAnsi="Times New Roman"/>
          <w:b w:val="0"/>
          <w:bCs w:val="0"/>
          <w:u w:val="single"/>
          <w:vertAlign w:val="baseline"/>
          <w:lang w:eastAsia="zh-CN"/>
        </w:rPr>
        <w:t>最大的排放浓度为</w:t>
      </w:r>
      <w:r>
        <w:rPr>
          <w:rFonts w:hint="eastAsia" w:ascii="Times New Roman" w:hAnsi="Times New Roman"/>
          <w:b w:val="0"/>
          <w:bCs w:val="0"/>
          <w:u w:val="single"/>
          <w:vertAlign w:val="baseline"/>
          <w:lang w:val="en-US" w:eastAsia="zh-CN"/>
        </w:rPr>
        <w:t>0.029mg/m</w:t>
      </w:r>
      <w:r>
        <w:rPr>
          <w:rFonts w:hint="eastAsia" w:ascii="Times New Roman" w:hAnsi="Times New Roman"/>
          <w:b w:val="0"/>
          <w:bCs w:val="0"/>
          <w:u w:val="single"/>
          <w:vertAlign w:val="superscript"/>
          <w:lang w:val="en-US" w:eastAsia="zh-CN"/>
        </w:rPr>
        <w:t>3</w:t>
      </w:r>
      <w:r>
        <w:rPr>
          <w:rFonts w:hint="eastAsia" w:ascii="Times New Roman" w:hAnsi="Times New Roman"/>
          <w:b w:val="0"/>
          <w:bCs w:val="0"/>
          <w:u w:val="single"/>
          <w:vertAlign w:val="baseline"/>
          <w:lang w:val="en-US" w:eastAsia="zh-CN"/>
        </w:rPr>
        <w:t>，最大的排放速率为0.0095kg/h，则本项目有组织排放废气可满足</w:t>
      </w:r>
      <w:r>
        <w:rPr>
          <w:rFonts w:hint="eastAsia"/>
          <w:b w:val="0"/>
          <w:szCs w:val="24"/>
          <w:u w:val="single"/>
          <w:lang w:eastAsia="zh-CN"/>
        </w:rPr>
        <w:t>《恶臭污染物排放标准》（GB14554-93）的标准限值的要求。</w:t>
      </w:r>
    </w:p>
    <w:p>
      <w:pPr>
        <w:pStyle w:val="100"/>
        <w:spacing w:before="0" w:line="360" w:lineRule="auto"/>
        <w:ind w:firstLine="480"/>
        <w:rPr>
          <w:rFonts w:ascii="宋体" w:hAnsi="宋体"/>
          <w:color w:val="0000FF"/>
          <w:u w:val="single"/>
        </w:rPr>
      </w:pPr>
      <w:r>
        <w:rPr>
          <w:rFonts w:hint="eastAsia" w:ascii="Times New Roman" w:hAnsi="Times New Roman"/>
          <w:b w:val="0"/>
          <w:bCs w:val="0"/>
          <w:u w:val="single"/>
          <w:vertAlign w:val="baseline"/>
          <w:lang w:val="en-US" w:eastAsia="zh-CN"/>
        </w:rPr>
        <w:t>本项目无组织排放废气委托湖南昌源环境科技有限公司于2019年5月20-21日对现场厂界进行监测，监测数据具体见表2.5-2，</w:t>
      </w:r>
      <w:r>
        <w:rPr>
          <w:rFonts w:hint="eastAsia" w:ascii="Times New Roman" w:hAnsi="Times New Roman"/>
          <w:b w:val="0"/>
          <w:bCs w:val="0"/>
          <w:u w:val="single"/>
          <w:lang w:val="en-US" w:eastAsia="zh-CN"/>
        </w:rPr>
        <w:t>由监测数据可知</w:t>
      </w:r>
      <w:r>
        <w:rPr>
          <w:rFonts w:hint="eastAsia" w:ascii="Times New Roman" w:hAnsi="Times New Roman"/>
          <w:b w:val="0"/>
          <w:bCs w:val="0"/>
          <w:u w:val="single"/>
          <w:lang w:eastAsia="zh-CN"/>
        </w:rPr>
        <w:t>NH</w:t>
      </w:r>
      <w:r>
        <w:rPr>
          <w:rFonts w:hint="eastAsia" w:ascii="Times New Roman" w:hAnsi="Times New Roman"/>
          <w:b w:val="0"/>
          <w:bCs w:val="0"/>
          <w:u w:val="single"/>
          <w:vertAlign w:val="subscript"/>
          <w:lang w:eastAsia="zh-CN"/>
        </w:rPr>
        <w:t>3</w:t>
      </w:r>
      <w:r>
        <w:rPr>
          <w:rFonts w:hint="eastAsia" w:ascii="Times New Roman" w:hAnsi="Times New Roman"/>
          <w:b w:val="0"/>
          <w:bCs w:val="0"/>
          <w:u w:val="single"/>
          <w:vertAlign w:val="baseline"/>
          <w:lang w:eastAsia="zh-CN"/>
        </w:rPr>
        <w:t>最大的排放浓度为</w:t>
      </w:r>
      <w:r>
        <w:rPr>
          <w:rFonts w:hint="eastAsia" w:ascii="Times New Roman" w:hAnsi="Times New Roman"/>
          <w:b w:val="0"/>
          <w:bCs w:val="0"/>
          <w:u w:val="single"/>
          <w:vertAlign w:val="baseline"/>
          <w:lang w:val="en-US" w:eastAsia="zh-CN"/>
        </w:rPr>
        <w:t>0.18mg/m</w:t>
      </w:r>
      <w:r>
        <w:rPr>
          <w:rFonts w:hint="eastAsia" w:ascii="Times New Roman" w:hAnsi="Times New Roman"/>
          <w:b w:val="0"/>
          <w:bCs w:val="0"/>
          <w:u w:val="single"/>
          <w:vertAlign w:val="superscript"/>
          <w:lang w:val="en-US" w:eastAsia="zh-CN"/>
        </w:rPr>
        <w:t>3</w:t>
      </w:r>
      <w:r>
        <w:rPr>
          <w:rFonts w:hint="eastAsia" w:ascii="Times New Roman" w:hAnsi="Times New Roman"/>
          <w:b w:val="0"/>
          <w:bCs w:val="0"/>
          <w:u w:val="single"/>
          <w:vertAlign w:val="baseline"/>
          <w:lang w:val="en-US" w:eastAsia="zh-CN"/>
        </w:rPr>
        <w:t>；</w:t>
      </w:r>
      <w:r>
        <w:rPr>
          <w:rFonts w:hint="eastAsia" w:ascii="Times New Roman" w:hAnsi="Times New Roman"/>
          <w:b w:val="0"/>
          <w:bCs w:val="0"/>
          <w:u w:val="single"/>
          <w:lang w:eastAsia="zh-CN"/>
        </w:rPr>
        <w:t>H</w:t>
      </w:r>
      <w:r>
        <w:rPr>
          <w:rFonts w:hint="eastAsia" w:ascii="Times New Roman" w:hAnsi="Times New Roman"/>
          <w:b w:val="0"/>
          <w:bCs w:val="0"/>
          <w:u w:val="single"/>
          <w:vertAlign w:val="subscript"/>
          <w:lang w:eastAsia="zh-CN"/>
        </w:rPr>
        <w:t>2</w:t>
      </w:r>
      <w:r>
        <w:rPr>
          <w:rFonts w:hint="eastAsia" w:ascii="Times New Roman" w:hAnsi="Times New Roman"/>
          <w:b w:val="0"/>
          <w:bCs w:val="0"/>
          <w:u w:val="single"/>
          <w:lang w:eastAsia="zh-CN"/>
        </w:rPr>
        <w:t>S</w:t>
      </w:r>
      <w:r>
        <w:rPr>
          <w:rFonts w:hint="eastAsia" w:ascii="Times New Roman" w:hAnsi="Times New Roman"/>
          <w:b w:val="0"/>
          <w:bCs w:val="0"/>
          <w:u w:val="single"/>
          <w:vertAlign w:val="baseline"/>
          <w:lang w:eastAsia="zh-CN"/>
        </w:rPr>
        <w:t>最大的排放浓度为</w:t>
      </w:r>
      <w:r>
        <w:rPr>
          <w:rFonts w:hint="eastAsia" w:ascii="Times New Roman" w:hAnsi="Times New Roman"/>
          <w:b w:val="0"/>
          <w:bCs w:val="0"/>
          <w:u w:val="single"/>
          <w:vertAlign w:val="baseline"/>
          <w:lang w:val="en-US" w:eastAsia="zh-CN"/>
        </w:rPr>
        <w:t>0.007mg/m</w:t>
      </w:r>
      <w:r>
        <w:rPr>
          <w:rFonts w:hint="eastAsia" w:ascii="Times New Roman" w:hAnsi="Times New Roman"/>
          <w:b w:val="0"/>
          <w:bCs w:val="0"/>
          <w:u w:val="single"/>
          <w:vertAlign w:val="superscript"/>
          <w:lang w:val="en-US" w:eastAsia="zh-CN"/>
        </w:rPr>
        <w:t>3</w:t>
      </w:r>
      <w:r>
        <w:rPr>
          <w:rFonts w:hint="eastAsia" w:ascii="Times New Roman" w:hAnsi="Times New Roman"/>
          <w:b w:val="0"/>
          <w:bCs w:val="0"/>
          <w:u w:val="single"/>
          <w:vertAlign w:val="baseline"/>
          <w:lang w:val="en-US" w:eastAsia="zh-CN"/>
        </w:rPr>
        <w:t>，则本项目无组织排放的硫化氢和氨气可满足</w:t>
      </w:r>
      <w:r>
        <w:rPr>
          <w:rFonts w:cs="Times New Roman"/>
          <w:b w:val="0"/>
          <w:szCs w:val="24"/>
          <w:u w:val="single"/>
        </w:rPr>
        <w:t>《城镇污水处理厂污染物排放标准》（GB18918-2002）中的厂界标准值</w:t>
      </w:r>
      <w:r>
        <w:rPr>
          <w:rFonts w:hint="eastAsia" w:cs="Times New Roman"/>
          <w:b w:val="0"/>
          <w:szCs w:val="24"/>
          <w:u w:val="single"/>
          <w:lang w:eastAsia="zh-CN"/>
        </w:rPr>
        <w:t>。</w:t>
      </w:r>
    </w:p>
    <w:p>
      <w:pPr>
        <w:pStyle w:val="100"/>
        <w:spacing w:before="0" w:line="360" w:lineRule="auto"/>
        <w:ind w:firstLine="480"/>
        <w:rPr>
          <w:color w:val="000000" w:themeColor="text1"/>
        </w:rPr>
      </w:pPr>
      <w:r>
        <w:rPr>
          <w:color w:val="000000" w:themeColor="text1"/>
        </w:rPr>
        <w:t>2</w:t>
      </w:r>
      <w:r>
        <w:rPr>
          <w:rFonts w:hAnsi="宋体"/>
          <w:color w:val="000000" w:themeColor="text1"/>
        </w:rPr>
        <w:t>、</w:t>
      </w:r>
      <w:r>
        <w:rPr>
          <w:color w:val="000000" w:themeColor="text1"/>
        </w:rPr>
        <w:t>非正常排放恶臭污染防治措施</w:t>
      </w:r>
    </w:p>
    <w:p>
      <w:pPr>
        <w:pStyle w:val="100"/>
        <w:spacing w:before="0" w:line="360" w:lineRule="auto"/>
        <w:ind w:firstLine="480"/>
        <w:rPr>
          <w:rFonts w:ascii="宋体" w:hAnsi="宋体"/>
        </w:rPr>
      </w:pPr>
      <w:r>
        <w:rPr>
          <w:rFonts w:hint="eastAsia" w:ascii="宋体" w:hAnsi="宋体"/>
        </w:rPr>
        <w:t>非正常排放将对本项目周边环境空气产生直接影响，必须进一步强化恶臭污染控制措施，提高恶臭气体收集率和净化率，生物除臭装置避免非正常排放，确保污水处理厂恶臭污染控制设施及厂界恶臭污染物达标排放，建设单位还应加强厂区绿化、强化生物滤池除臭装置运行操作管理，保障设备正常运行。另外，本项目还需采取如下恶臭防治措施：</w:t>
      </w:r>
    </w:p>
    <w:p>
      <w:pPr>
        <w:pStyle w:val="100"/>
        <w:spacing w:before="0" w:line="360" w:lineRule="auto"/>
        <w:ind w:firstLine="480"/>
        <w:rPr>
          <w:rFonts w:ascii="宋体" w:hAnsi="宋体"/>
        </w:rPr>
      </w:pPr>
      <w:r>
        <w:rPr>
          <w:rFonts w:hint="eastAsia" w:asciiTheme="minorEastAsia" w:hAnsiTheme="minorEastAsia" w:eastAsiaTheme="minorEastAsia"/>
        </w:rPr>
        <w:t>①</w:t>
      </w:r>
      <w:r>
        <w:rPr>
          <w:rFonts w:hint="eastAsia" w:ascii="宋体" w:hAnsi="宋体"/>
        </w:rPr>
        <w:t>厂区绿化设计应与施工图设计同时完成，厂内道路两边种植乔灌木，如杜英、松树等，厂界边缘地带种植杨、槐等高大树种形成多层防护林带，在厂区内，利用构筑物孔隙进行绿化，特别是恶臭源构筑物周边应多种植花草树木，形成乔、灌、草的立体多层防护绿化带，以降低恶臭气体对环境的影响。</w:t>
      </w:r>
    </w:p>
    <w:p>
      <w:pPr>
        <w:pStyle w:val="100"/>
        <w:spacing w:before="0" w:line="360" w:lineRule="auto"/>
        <w:ind w:firstLine="480"/>
        <w:rPr>
          <w:rFonts w:ascii="宋体" w:hAnsi="宋体"/>
        </w:rPr>
      </w:pPr>
      <w:r>
        <w:rPr>
          <w:rFonts w:hint="eastAsia"/>
        </w:rPr>
        <w:t>②</w:t>
      </w:r>
      <w:r>
        <w:rPr>
          <w:rFonts w:hint="eastAsia" w:ascii="宋体" w:hAnsi="宋体"/>
        </w:rPr>
        <w:t>建立健全岗位责任制和监督机制，加强生产管理，严格加强生物除臭装置的运行控制。</w:t>
      </w:r>
    </w:p>
    <w:p>
      <w:pPr>
        <w:pStyle w:val="100"/>
        <w:spacing w:before="0" w:line="360" w:lineRule="auto"/>
        <w:ind w:firstLine="480"/>
        <w:rPr>
          <w:rFonts w:ascii="宋体" w:hAnsi="宋体"/>
        </w:rPr>
      </w:pPr>
      <w:r>
        <w:rPr>
          <w:rFonts w:hint="eastAsia"/>
        </w:rPr>
        <w:t>③</w:t>
      </w:r>
      <w:r>
        <w:rPr>
          <w:rFonts w:hint="eastAsia" w:ascii="宋体" w:hAnsi="宋体"/>
        </w:rPr>
        <w:t>加强职工操作技能及事故处置培训，定期维护生物除臭装置，确保设备正常运行，使恶臭污染得到有效控制。</w:t>
      </w:r>
    </w:p>
    <w:p>
      <w:pPr>
        <w:pStyle w:val="100"/>
        <w:spacing w:before="0" w:line="360" w:lineRule="auto"/>
        <w:ind w:firstLine="480"/>
        <w:rPr>
          <w:rFonts w:asciiTheme="minorEastAsia" w:hAnsiTheme="minorEastAsia" w:eastAsiaTheme="minorEastAsia"/>
        </w:rPr>
      </w:pPr>
      <w:r>
        <w:rPr>
          <w:rFonts w:hint="eastAsia" w:asciiTheme="minorEastAsia" w:hAnsiTheme="minorEastAsia" w:eastAsiaTheme="minorEastAsia"/>
        </w:rPr>
        <w:t>④污泥脱水后及时清运，减少污泥对存量及堆存时间。</w:t>
      </w:r>
    </w:p>
    <w:p>
      <w:pPr>
        <w:pStyle w:val="100"/>
        <w:spacing w:before="0" w:line="360" w:lineRule="auto"/>
        <w:ind w:firstLine="480"/>
        <w:rPr>
          <w:rFonts w:asciiTheme="minorEastAsia" w:hAnsiTheme="minorEastAsia" w:eastAsiaTheme="minorEastAsia"/>
        </w:rPr>
      </w:pPr>
      <w:r>
        <w:rPr>
          <w:rFonts w:hint="eastAsia" w:asciiTheme="minorEastAsia" w:hAnsiTheme="minorEastAsia" w:eastAsiaTheme="minorEastAsia"/>
        </w:rPr>
        <w:t>⑤定期进行恶臭气体的环境监测，搞好环境卫生，做好灭蚊、灭蝇、灭蟑螂、灭鼠等工作，防止传染疾病。</w:t>
      </w:r>
    </w:p>
    <w:p>
      <w:pPr>
        <w:pStyle w:val="100"/>
        <w:spacing w:before="0" w:line="360" w:lineRule="auto"/>
        <w:ind w:firstLine="480"/>
      </w:pPr>
      <w:r>
        <w:rPr>
          <w:rFonts w:hint="eastAsia"/>
        </w:rPr>
        <w:t>通过采取上述措施后，项目污水处理厂恶臭污染物排放可满足《城镇污水处理厂污染物排放标准》（GB18918-2002）中表4厂界（防护带边缘）废气排放最高允许浓度标准，项目采取的臭气防治措施已广泛应用于城镇污水处理厂，且处理效果较好。因此，项目采取的恶臭防治措施可行、可靠。</w:t>
      </w:r>
    </w:p>
    <w:p>
      <w:pPr>
        <w:pStyle w:val="5"/>
        <w:rPr>
          <w:color w:val="000000" w:themeColor="text1"/>
        </w:rPr>
      </w:pPr>
      <w:bookmarkStart w:id="207" w:name="_Toc532497685"/>
      <w:r>
        <w:rPr>
          <w:rFonts w:hint="eastAsia"/>
          <w:color w:val="000000" w:themeColor="text1"/>
        </w:rPr>
        <w:t>水</w:t>
      </w:r>
      <w:r>
        <w:rPr>
          <w:color w:val="000000" w:themeColor="text1"/>
        </w:rPr>
        <w:t>环境污染防治措施</w:t>
      </w:r>
      <w:bookmarkEnd w:id="207"/>
    </w:p>
    <w:p>
      <w:pPr>
        <w:pStyle w:val="61"/>
        <w:adjustRightInd w:val="0"/>
        <w:snapToGrid w:val="0"/>
        <w:rPr>
          <w:color w:val="000000" w:themeColor="text1"/>
        </w:rPr>
      </w:pPr>
      <w:r>
        <w:rPr>
          <w:rFonts w:hint="eastAsia"/>
          <w:color w:val="000000" w:themeColor="text1"/>
        </w:rPr>
        <w:t>地表水污染防治措施</w:t>
      </w:r>
    </w:p>
    <w:p>
      <w:pPr>
        <w:adjustRightInd w:val="0"/>
        <w:snapToGrid w:val="0"/>
        <w:spacing w:line="360" w:lineRule="auto"/>
        <w:ind w:firstLine="480" w:firstLineChars="200"/>
        <w:rPr>
          <w:rFonts w:ascii="宋体" w:eastAsia="宋体" w:cs="宋体" w:hAnsiTheme="minorHAnsi"/>
          <w:color w:val="000000" w:themeColor="text1"/>
          <w:kern w:val="0"/>
          <w:szCs w:val="24"/>
        </w:rPr>
      </w:pPr>
      <w:r>
        <w:rPr>
          <w:rFonts w:hint="eastAsia" w:ascii="宋体" w:eastAsia="宋体" w:cs="宋体" w:hAnsiTheme="minorHAnsi"/>
          <w:color w:val="000000" w:themeColor="text1"/>
          <w:kern w:val="0"/>
          <w:szCs w:val="24"/>
        </w:rPr>
        <w:t>（1）项目污水处理可行性分析</w:t>
      </w:r>
    </w:p>
    <w:p>
      <w:pPr>
        <w:adjustRightInd w:val="0"/>
        <w:snapToGrid w:val="0"/>
        <w:spacing w:line="360" w:lineRule="auto"/>
        <w:ind w:firstLine="480" w:firstLineChars="200"/>
        <w:rPr>
          <w:rFonts w:cs="Times New Roman"/>
          <w:szCs w:val="24"/>
        </w:rPr>
      </w:pPr>
      <w:r>
        <w:rPr>
          <w:rFonts w:eastAsia="宋体" w:cs="Times New Roman"/>
          <w:color w:val="000000" w:themeColor="text1"/>
          <w:kern w:val="0"/>
          <w:szCs w:val="24"/>
        </w:rPr>
        <w:t>根据《华容桥东污水处理厂及配套管网设施工程初步设计》，考虑石伏工业园工业污水和桥东片区生活污水，污水水质可生化性姣好，不含重金属、难降解污染物等实际情况，本项目采用“预处理+组合池（水解酸化池+AAO生物池+二沉池）+深度处理”作为本工程污水处理工艺。该工艺处理效果高，占地面积不大，工艺流程简单，抗冲击负荷能力强，自控能力强，环境影响小。本项目运营期间对本项目排污口水质进行监测，其监测数据详见</w:t>
      </w:r>
      <w:r>
        <w:fldChar w:fldCharType="begin"/>
      </w:r>
      <w:r>
        <w:instrText xml:space="preserve"> REF _Ref19613309 \h  \* MERGEFORMAT </w:instrText>
      </w:r>
      <w:r>
        <w:fldChar w:fldCharType="separate"/>
      </w:r>
      <w:r>
        <w:rPr>
          <w:rFonts w:cs="Times New Roman"/>
          <w:szCs w:val="24"/>
        </w:rPr>
        <w:t>表3.5</w:t>
      </w:r>
      <w:r>
        <w:rPr>
          <w:rFonts w:cs="Times New Roman"/>
          <w:szCs w:val="24"/>
        </w:rPr>
        <w:noBreakHyphen/>
      </w:r>
      <w:r>
        <w:rPr>
          <w:rFonts w:cs="Times New Roman"/>
          <w:szCs w:val="24"/>
        </w:rPr>
        <w:t>2</w:t>
      </w:r>
      <w:r>
        <w:rPr>
          <w:rFonts w:cs="Times New Roman"/>
          <w:szCs w:val="24"/>
        </w:rPr>
        <w:fldChar w:fldCharType="end"/>
      </w:r>
      <w:r>
        <w:rPr>
          <w:rFonts w:eastAsia="宋体" w:cs="Times New Roman"/>
          <w:color w:val="000000" w:themeColor="text1"/>
          <w:kern w:val="0"/>
          <w:szCs w:val="24"/>
        </w:rPr>
        <w:t>。监测结果表明经处理后的废水可满足</w:t>
      </w:r>
      <w:r>
        <w:rPr>
          <w:rFonts w:cs="Times New Roman"/>
          <w:szCs w:val="24"/>
        </w:rPr>
        <w:t>《城镇污水处理厂污染物排放标准》（GB18918-2002）表1中一级A标准要求。</w:t>
      </w:r>
    </w:p>
    <w:p>
      <w:pPr>
        <w:adjustRightInd w:val="0"/>
        <w:snapToGrid w:val="0"/>
        <w:spacing w:line="360" w:lineRule="auto"/>
        <w:ind w:firstLine="480" w:firstLineChars="200"/>
        <w:rPr>
          <w:szCs w:val="24"/>
        </w:rPr>
      </w:pPr>
      <w:r>
        <w:rPr>
          <w:rFonts w:hint="eastAsia"/>
          <w:szCs w:val="24"/>
        </w:rPr>
        <w:t>为保证污水处理厂正常的运行，还应采取以下控制措施：</w:t>
      </w:r>
    </w:p>
    <w:p>
      <w:pPr>
        <w:adjustRightInd w:val="0"/>
        <w:snapToGrid w:val="0"/>
        <w:spacing w:line="360" w:lineRule="auto"/>
        <w:ind w:firstLine="480" w:firstLineChars="200"/>
        <w:rPr>
          <w:szCs w:val="24"/>
        </w:rPr>
      </w:pPr>
      <w:r>
        <w:rPr>
          <w:rFonts w:hint="eastAsia"/>
          <w:szCs w:val="24"/>
        </w:rPr>
        <w:t>（1）污染源控制措施</w:t>
      </w:r>
    </w:p>
    <w:p>
      <w:pPr>
        <w:adjustRightInd w:val="0"/>
        <w:snapToGrid w:val="0"/>
        <w:spacing w:line="360" w:lineRule="auto"/>
        <w:ind w:firstLine="480" w:firstLineChars="200"/>
        <w:rPr>
          <w:szCs w:val="24"/>
        </w:rPr>
      </w:pPr>
      <w:r>
        <w:rPr>
          <w:rFonts w:hint="eastAsia"/>
          <w:szCs w:val="24"/>
        </w:rPr>
        <w:t>①工业集中区严格执行企业准入制度，不符合工业集中区的产业禁止入园，禁止发展排水涉及重金属及持久性污染物企业。</w:t>
      </w:r>
    </w:p>
    <w:p>
      <w:pPr>
        <w:adjustRightInd w:val="0"/>
        <w:snapToGrid w:val="0"/>
        <w:spacing w:line="360" w:lineRule="auto"/>
        <w:ind w:firstLine="480" w:firstLineChars="200"/>
        <w:rPr>
          <w:szCs w:val="24"/>
        </w:rPr>
      </w:pPr>
      <w:r>
        <w:rPr>
          <w:rFonts w:hint="eastAsia"/>
          <w:szCs w:val="24"/>
        </w:rPr>
        <w:t>②工业集中区内所有达不到接管要求的废污水必须在源头处进行预处理，使之达到接管要求后才能接入污水管网。</w:t>
      </w:r>
    </w:p>
    <w:p>
      <w:pPr>
        <w:adjustRightInd w:val="0"/>
        <w:snapToGrid w:val="0"/>
        <w:spacing w:line="360" w:lineRule="auto"/>
        <w:ind w:firstLine="480" w:firstLineChars="200"/>
        <w:rPr>
          <w:szCs w:val="24"/>
        </w:rPr>
      </w:pPr>
      <w:r>
        <w:rPr>
          <w:rFonts w:hint="eastAsia"/>
          <w:szCs w:val="24"/>
        </w:rPr>
        <w:t>③排放废水企业须建设足够容量的污水调节池，确保排水水质稳定。同时，应在企业内部建立事故应急池，避免企业事故废水排入集中区污水处理厂或集中区污水处理厂突发环境事故废水无排放去向情况发生。</w:t>
      </w:r>
    </w:p>
    <w:p>
      <w:pPr>
        <w:adjustRightInd w:val="0"/>
        <w:snapToGrid w:val="0"/>
        <w:spacing w:line="360" w:lineRule="auto"/>
        <w:ind w:firstLine="480" w:firstLineChars="200"/>
        <w:rPr>
          <w:szCs w:val="24"/>
        </w:rPr>
      </w:pPr>
      <w:r>
        <w:rPr>
          <w:rFonts w:hint="eastAsia"/>
          <w:szCs w:val="24"/>
        </w:rPr>
        <w:t>④污水处理厂需与主要的污水排放企业之间要有畅通的信息交流通道，建立的事故报告制度及应急预案。</w:t>
      </w:r>
    </w:p>
    <w:p>
      <w:pPr>
        <w:adjustRightInd w:val="0"/>
        <w:snapToGrid w:val="0"/>
        <w:spacing w:line="360" w:lineRule="auto"/>
        <w:ind w:firstLine="480" w:firstLineChars="200"/>
        <w:rPr>
          <w:szCs w:val="24"/>
        </w:rPr>
      </w:pPr>
      <w:r>
        <w:rPr>
          <w:rFonts w:hint="eastAsia"/>
          <w:szCs w:val="24"/>
        </w:rPr>
        <w:t>（2）厂内运行管理</w:t>
      </w:r>
    </w:p>
    <w:p>
      <w:pPr>
        <w:autoSpaceDE w:val="0"/>
        <w:autoSpaceDN w:val="0"/>
        <w:adjustRightInd w:val="0"/>
        <w:snapToGrid w:val="0"/>
        <w:spacing w:line="360" w:lineRule="auto"/>
        <w:ind w:firstLine="480" w:firstLineChars="200"/>
        <w:jc w:val="left"/>
        <w:rPr>
          <w:rFonts w:ascii="宋体" w:eastAsia="宋体" w:cs="宋体" w:hAnsiTheme="minorHAnsi"/>
          <w:color w:val="000000"/>
          <w:kern w:val="0"/>
          <w:szCs w:val="24"/>
        </w:rPr>
      </w:pPr>
      <w:r>
        <w:rPr>
          <w:rFonts w:hint="eastAsia"/>
          <w:szCs w:val="24"/>
        </w:rPr>
        <w:t>①加强培训及完善管理制度。污水处理厂投入运行前，对操作人员的专业化培训和考核是重要的一环，应作为污水处理厂运行准备工作的必要条件，特别是对主要操作人员进行理论和实际操作的培训。同时，建立完善的管理制度，员工遵循制度工作，减少操</w:t>
      </w:r>
      <w:r>
        <w:rPr>
          <w:rFonts w:hint="eastAsia" w:ascii="宋体" w:eastAsia="宋体" w:cs="宋体" w:hAnsiTheme="minorHAnsi"/>
          <w:color w:val="000000"/>
          <w:kern w:val="0"/>
          <w:szCs w:val="24"/>
        </w:rPr>
        <w:t>作引发突发环境风险事故。</w:t>
      </w:r>
    </w:p>
    <w:p>
      <w:pPr>
        <w:autoSpaceDE w:val="0"/>
        <w:autoSpaceDN w:val="0"/>
        <w:adjustRightInd w:val="0"/>
        <w:snapToGrid w:val="0"/>
        <w:spacing w:line="360" w:lineRule="auto"/>
        <w:ind w:firstLine="480" w:firstLineChars="200"/>
        <w:jc w:val="left"/>
        <w:rPr>
          <w:szCs w:val="24"/>
        </w:rPr>
      </w:pPr>
      <w:r>
        <w:rPr>
          <w:rFonts w:hint="eastAsia"/>
          <w:szCs w:val="24"/>
        </w:rPr>
        <w:t>②建立先进的自动控制系统。自动控制系统是实现污水厂现代化管理的重要标志，也是提高操作水平，及时发现事故隐患的重要手段。但同时应加强自动化仪器仪表的维护管理。</w:t>
      </w:r>
    </w:p>
    <w:p>
      <w:pPr>
        <w:adjustRightInd w:val="0"/>
        <w:snapToGrid w:val="0"/>
        <w:spacing w:line="360" w:lineRule="auto"/>
        <w:ind w:firstLine="480" w:firstLineChars="200"/>
        <w:rPr>
          <w:rFonts w:ascii="宋体" w:eastAsia="宋体" w:cs="宋体" w:hAnsiTheme="minorHAnsi"/>
          <w:color w:val="000000"/>
          <w:kern w:val="0"/>
          <w:szCs w:val="24"/>
        </w:rPr>
      </w:pPr>
      <w:r>
        <w:rPr>
          <w:rFonts w:hint="eastAsia" w:ascii="宋体" w:eastAsia="宋体" w:cs="宋体" w:hAnsiTheme="minorHAnsi"/>
          <w:color w:val="000000"/>
          <w:kern w:val="0"/>
          <w:szCs w:val="24"/>
        </w:rPr>
        <w:t>③安装在线监测系统。为确保本项目能正常运行，不发生事故排放或偷排，污水处理厂在出水口安装自动在线监控装置，并与环保部门监测网络联接，使污水厂的运营处在环保部门实时监管范围内。</w:t>
      </w:r>
    </w:p>
    <w:p>
      <w:pPr>
        <w:adjustRightInd w:val="0"/>
        <w:snapToGrid w:val="0"/>
        <w:spacing w:line="360" w:lineRule="auto"/>
        <w:ind w:firstLine="480" w:firstLineChars="200"/>
        <w:rPr>
          <w:sz w:val="23"/>
          <w:szCs w:val="23"/>
        </w:rPr>
      </w:pPr>
      <w:r>
        <w:rPr>
          <w:rFonts w:hint="eastAsia"/>
          <w:szCs w:val="24"/>
        </w:rPr>
        <w:t>采取上述措施后，保证了污水处理厂正常的运行，使污水处理厂出水水质稳定，本项目废水处理措施可行。</w:t>
      </w:r>
    </w:p>
    <w:p>
      <w:pPr>
        <w:pStyle w:val="61"/>
        <w:adjustRightInd w:val="0"/>
        <w:snapToGrid w:val="0"/>
        <w:rPr>
          <w:color w:val="000000" w:themeColor="text1"/>
        </w:rPr>
      </w:pPr>
      <w:r>
        <w:rPr>
          <w:color w:val="000000" w:themeColor="text1"/>
        </w:rPr>
        <w:t>地下水污染防治措施</w:t>
      </w:r>
    </w:p>
    <w:p>
      <w:pPr>
        <w:pStyle w:val="100"/>
        <w:spacing w:line="360" w:lineRule="auto"/>
        <w:ind w:firstLine="480"/>
        <w:rPr>
          <w:szCs w:val="24"/>
        </w:rPr>
      </w:pPr>
      <w:r>
        <w:rPr>
          <w:szCs w:val="24"/>
        </w:rPr>
        <w:t>（1）源头控制措施</w:t>
      </w:r>
    </w:p>
    <w:p>
      <w:pPr>
        <w:pStyle w:val="100"/>
        <w:spacing w:line="360" w:lineRule="auto"/>
        <w:ind w:firstLine="480"/>
        <w:rPr>
          <w:szCs w:val="24"/>
        </w:rPr>
      </w:pPr>
      <w:r>
        <w:rPr>
          <w:szCs w:val="24"/>
        </w:rPr>
        <w:t>污水处理构筑物、污泥脱水间、废水输送管网等采取相应的防渗措施。并严格按照国家相关规范施工建设。</w:t>
      </w:r>
      <w:r>
        <w:rPr>
          <w:color w:val="000000" w:themeColor="text1"/>
          <w:szCs w:val="24"/>
        </w:rPr>
        <w:t>本项目废水输送管网中有压管道采用U-PVC管。废</w:t>
      </w:r>
      <w:r>
        <w:rPr>
          <w:szCs w:val="24"/>
        </w:rPr>
        <w:t>水处理构筑物中格栅池、污泥池、调节池、水解酸化池采用防渗混凝土现场修建，均在设备出厂做渗水实验，设备不渗水方可出厂；项目污泥脱水间地面将进行防渗处置，并设有排水措施。同时，建议建设单位建立检漏工作制度，安排专人定期对厂区的防渗措施进行检查及维护。</w:t>
      </w:r>
    </w:p>
    <w:p>
      <w:pPr>
        <w:pStyle w:val="100"/>
        <w:spacing w:line="360" w:lineRule="auto"/>
        <w:ind w:firstLine="480"/>
        <w:rPr>
          <w:szCs w:val="24"/>
        </w:rPr>
      </w:pPr>
      <w:r>
        <w:rPr>
          <w:szCs w:val="24"/>
        </w:rPr>
        <w:t>（2）分区防渗措施</w:t>
      </w:r>
    </w:p>
    <w:p>
      <w:pPr>
        <w:pStyle w:val="100"/>
        <w:spacing w:line="360" w:lineRule="auto"/>
        <w:ind w:firstLine="480"/>
        <w:rPr>
          <w:szCs w:val="24"/>
        </w:rPr>
      </w:pPr>
      <w:r>
        <w:rPr>
          <w:szCs w:val="24"/>
        </w:rPr>
        <w:t>根据《环境影响评价技术导则－地下水环境》（HJ610-2016）要求，结合地下水环境影响评价结果，本项目以水平防渗为主，采取整体分区防渗，防渗分析见下表所示。</w:t>
      </w:r>
    </w:p>
    <w:p>
      <w:pPr>
        <w:pStyle w:val="14"/>
        <w:spacing w:line="240" w:lineRule="auto"/>
      </w:pPr>
      <w:r>
        <w:rPr>
          <w:rFonts w:hint="eastAsia"/>
          <w:sz w:val="23"/>
          <w:szCs w:val="23"/>
        </w:rPr>
        <w:t>表</w:t>
      </w:r>
      <w:r>
        <w:rPr>
          <w:sz w:val="23"/>
          <w:szCs w:val="23"/>
        </w:rPr>
        <w:fldChar w:fldCharType="begin"/>
      </w:r>
      <w:r>
        <w:rPr>
          <w:rFonts w:hint="eastAsia"/>
          <w:sz w:val="23"/>
          <w:szCs w:val="23"/>
        </w:rPr>
        <w:instrText xml:space="preserve">STYLEREF 2 \s</w:instrText>
      </w:r>
      <w:r>
        <w:rPr>
          <w:sz w:val="23"/>
          <w:szCs w:val="23"/>
        </w:rPr>
        <w:fldChar w:fldCharType="separate"/>
      </w:r>
      <w:r>
        <w:rPr>
          <w:sz w:val="23"/>
          <w:szCs w:val="23"/>
        </w:rPr>
        <w:t>5.1</w:t>
      </w:r>
      <w:r>
        <w:rPr>
          <w:sz w:val="23"/>
          <w:szCs w:val="23"/>
        </w:rPr>
        <w:fldChar w:fldCharType="end"/>
      </w:r>
      <w:r>
        <w:rPr>
          <w:sz w:val="23"/>
          <w:szCs w:val="23"/>
        </w:rPr>
        <w:noBreakHyphen/>
      </w:r>
      <w:r>
        <w:rPr>
          <w:sz w:val="23"/>
          <w:szCs w:val="23"/>
        </w:rPr>
        <w:fldChar w:fldCharType="begin"/>
      </w:r>
      <w:r>
        <w:rPr>
          <w:rFonts w:hint="eastAsia"/>
          <w:sz w:val="23"/>
          <w:szCs w:val="23"/>
        </w:rPr>
        <w:instrText xml:space="preserve">SEQ 表 \* ARABIC \s 2</w:instrText>
      </w:r>
      <w:r>
        <w:rPr>
          <w:sz w:val="23"/>
          <w:szCs w:val="23"/>
        </w:rPr>
        <w:fldChar w:fldCharType="separate"/>
      </w:r>
      <w:r>
        <w:rPr>
          <w:rFonts w:hint="eastAsia"/>
          <w:sz w:val="23"/>
          <w:szCs w:val="23"/>
        </w:rPr>
        <w:t>2</w:t>
      </w:r>
      <w:r>
        <w:rPr>
          <w:sz w:val="23"/>
          <w:szCs w:val="23"/>
        </w:rPr>
        <w:fldChar w:fldCharType="end"/>
      </w:r>
      <w:r>
        <w:rPr>
          <w:rFonts w:hint="eastAsia"/>
        </w:rPr>
        <w:t xml:space="preserve">  厂区防渗分区一览表</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418"/>
        <w:gridCol w:w="1294"/>
        <w:gridCol w:w="922"/>
        <w:gridCol w:w="922"/>
        <w:gridCol w:w="3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pStyle w:val="14"/>
              <w:adjustRightInd w:val="0"/>
              <w:snapToGrid w:val="0"/>
              <w:spacing w:line="240" w:lineRule="auto"/>
              <w:rPr>
                <w:rFonts w:ascii="宋体" w:hAnsi="宋体"/>
                <w:b w:val="0"/>
                <w:sz w:val="21"/>
                <w:szCs w:val="21"/>
              </w:rPr>
            </w:pPr>
            <w:r>
              <w:rPr>
                <w:rFonts w:ascii="宋体" w:hAnsi="宋体"/>
                <w:b w:val="0"/>
                <w:sz w:val="21"/>
                <w:szCs w:val="21"/>
              </w:rPr>
              <w:t>厂区装置</w:t>
            </w:r>
          </w:p>
        </w:tc>
        <w:tc>
          <w:tcPr>
            <w:tcW w:w="1418" w:type="dxa"/>
            <w:vAlign w:val="center"/>
          </w:tcPr>
          <w:p>
            <w:pPr>
              <w:pStyle w:val="14"/>
              <w:adjustRightInd w:val="0"/>
              <w:snapToGrid w:val="0"/>
              <w:spacing w:line="240" w:lineRule="auto"/>
              <w:rPr>
                <w:rFonts w:ascii="宋体" w:hAnsi="宋体"/>
                <w:b w:val="0"/>
                <w:sz w:val="21"/>
                <w:szCs w:val="21"/>
              </w:rPr>
            </w:pPr>
            <w:r>
              <w:rPr>
                <w:rFonts w:ascii="宋体" w:hAnsi="宋体"/>
                <w:b w:val="0"/>
                <w:sz w:val="21"/>
                <w:szCs w:val="21"/>
              </w:rPr>
              <w:t>天然包气带防污性能</w:t>
            </w:r>
          </w:p>
        </w:tc>
        <w:tc>
          <w:tcPr>
            <w:tcW w:w="1294" w:type="dxa"/>
            <w:vAlign w:val="center"/>
          </w:tcPr>
          <w:p>
            <w:pPr>
              <w:pStyle w:val="14"/>
              <w:adjustRightInd w:val="0"/>
              <w:snapToGrid w:val="0"/>
              <w:spacing w:line="240" w:lineRule="auto"/>
              <w:rPr>
                <w:rFonts w:ascii="宋体" w:hAnsi="宋体"/>
                <w:b w:val="0"/>
                <w:sz w:val="21"/>
                <w:szCs w:val="21"/>
              </w:rPr>
            </w:pPr>
            <w:r>
              <w:rPr>
                <w:rFonts w:ascii="宋体" w:hAnsi="宋体"/>
                <w:b w:val="0"/>
                <w:sz w:val="21"/>
                <w:szCs w:val="21"/>
              </w:rPr>
              <w:t>污染控制难易程度</w:t>
            </w:r>
          </w:p>
        </w:tc>
        <w:tc>
          <w:tcPr>
            <w:tcW w:w="922" w:type="dxa"/>
            <w:vAlign w:val="center"/>
          </w:tcPr>
          <w:p>
            <w:pPr>
              <w:pStyle w:val="14"/>
              <w:adjustRightInd w:val="0"/>
              <w:snapToGrid w:val="0"/>
              <w:spacing w:line="240" w:lineRule="auto"/>
              <w:rPr>
                <w:rFonts w:ascii="宋体" w:hAnsi="宋体"/>
                <w:b w:val="0"/>
                <w:sz w:val="21"/>
                <w:szCs w:val="21"/>
              </w:rPr>
            </w:pPr>
            <w:r>
              <w:rPr>
                <w:rFonts w:ascii="宋体" w:hAnsi="宋体"/>
                <w:b w:val="0"/>
                <w:sz w:val="21"/>
                <w:szCs w:val="21"/>
              </w:rPr>
              <w:t>污染物类型</w:t>
            </w:r>
          </w:p>
        </w:tc>
        <w:tc>
          <w:tcPr>
            <w:tcW w:w="922" w:type="dxa"/>
            <w:vAlign w:val="center"/>
          </w:tcPr>
          <w:p>
            <w:pPr>
              <w:pStyle w:val="14"/>
              <w:adjustRightInd w:val="0"/>
              <w:snapToGrid w:val="0"/>
              <w:spacing w:line="240" w:lineRule="auto"/>
              <w:rPr>
                <w:rFonts w:ascii="宋体" w:hAnsi="宋体"/>
                <w:b w:val="0"/>
                <w:sz w:val="21"/>
                <w:szCs w:val="21"/>
              </w:rPr>
            </w:pPr>
            <w:r>
              <w:rPr>
                <w:rFonts w:ascii="宋体" w:hAnsi="宋体"/>
                <w:b w:val="0"/>
                <w:sz w:val="21"/>
                <w:szCs w:val="21"/>
              </w:rPr>
              <w:t>防渗分区</w:t>
            </w:r>
          </w:p>
        </w:tc>
        <w:tc>
          <w:tcPr>
            <w:tcW w:w="3429" w:type="dxa"/>
            <w:vAlign w:val="center"/>
          </w:tcPr>
          <w:p>
            <w:pPr>
              <w:pStyle w:val="14"/>
              <w:adjustRightInd w:val="0"/>
              <w:snapToGrid w:val="0"/>
              <w:spacing w:line="240" w:lineRule="auto"/>
              <w:rPr>
                <w:rFonts w:ascii="宋体" w:hAnsi="宋体"/>
                <w:b w:val="0"/>
                <w:sz w:val="21"/>
                <w:szCs w:val="21"/>
              </w:rPr>
            </w:pPr>
            <w:r>
              <w:rPr>
                <w:rFonts w:ascii="宋体" w:hAnsi="宋体"/>
                <w:b w:val="0"/>
                <w:sz w:val="21"/>
                <w:szCs w:val="21"/>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污水输送管网</w:t>
            </w:r>
          </w:p>
        </w:tc>
        <w:tc>
          <w:tcPr>
            <w:tcW w:w="1418"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中</w:t>
            </w:r>
          </w:p>
        </w:tc>
        <w:tc>
          <w:tcPr>
            <w:tcW w:w="1294"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难</w:t>
            </w:r>
          </w:p>
        </w:tc>
        <w:tc>
          <w:tcPr>
            <w:tcW w:w="922"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其他类型</w:t>
            </w:r>
          </w:p>
        </w:tc>
        <w:tc>
          <w:tcPr>
            <w:tcW w:w="922" w:type="dxa"/>
            <w:vMerge w:val="restart"/>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重点防渗区</w:t>
            </w:r>
          </w:p>
        </w:tc>
        <w:tc>
          <w:tcPr>
            <w:tcW w:w="3429" w:type="dxa"/>
            <w:vMerge w:val="restart"/>
            <w:vAlign w:val="center"/>
          </w:tcPr>
          <w:p>
            <w:pPr>
              <w:pStyle w:val="78"/>
              <w:snapToGrid w:val="0"/>
              <w:jc w:val="center"/>
              <w:rPr>
                <w:rFonts w:eastAsia="宋体"/>
                <w:kern w:val="2"/>
                <w:sz w:val="21"/>
                <w:szCs w:val="21"/>
              </w:rPr>
            </w:pPr>
            <w:r>
              <w:rPr>
                <w:rFonts w:hint="eastAsia" w:eastAsia="宋体"/>
                <w:kern w:val="2"/>
                <w:sz w:val="21"/>
                <w:szCs w:val="21"/>
              </w:rPr>
              <w:t>等效黏土防渗层</w:t>
            </w:r>
            <w:r>
              <w:rPr>
                <w:rFonts w:eastAsia="宋体"/>
                <w:kern w:val="2"/>
                <w:sz w:val="21"/>
                <w:szCs w:val="21"/>
              </w:rPr>
              <w:t>Mb≥1.5m</w:t>
            </w:r>
            <w:r>
              <w:rPr>
                <w:rFonts w:hint="eastAsia" w:eastAsia="宋体"/>
                <w:kern w:val="2"/>
                <w:sz w:val="21"/>
                <w:szCs w:val="21"/>
              </w:rPr>
              <w:t>，渗透系数</w:t>
            </w:r>
            <w:r>
              <w:rPr>
                <w:rFonts w:eastAsia="宋体"/>
                <w:kern w:val="2"/>
                <w:sz w:val="21"/>
                <w:szCs w:val="21"/>
              </w:rPr>
              <w:t>K≤1</w:t>
            </w:r>
            <w:r>
              <w:rPr>
                <w:rFonts w:hint="eastAsia" w:eastAsia="宋体"/>
                <w:kern w:val="2"/>
                <w:sz w:val="21"/>
                <w:szCs w:val="21"/>
              </w:rPr>
              <w:t>×</w:t>
            </w:r>
            <w:r>
              <w:rPr>
                <w:rFonts w:eastAsia="宋体"/>
                <w:kern w:val="2"/>
                <w:sz w:val="21"/>
                <w:szCs w:val="21"/>
              </w:rPr>
              <w:t>10-7cm/s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污水处理构筑物</w:t>
            </w:r>
          </w:p>
        </w:tc>
        <w:tc>
          <w:tcPr>
            <w:tcW w:w="1418"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中</w:t>
            </w:r>
          </w:p>
        </w:tc>
        <w:tc>
          <w:tcPr>
            <w:tcW w:w="1294"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难</w:t>
            </w:r>
          </w:p>
        </w:tc>
        <w:tc>
          <w:tcPr>
            <w:tcW w:w="922"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其他类型</w:t>
            </w:r>
          </w:p>
        </w:tc>
        <w:tc>
          <w:tcPr>
            <w:tcW w:w="922" w:type="dxa"/>
            <w:vMerge w:val="continue"/>
            <w:vAlign w:val="center"/>
          </w:tcPr>
          <w:p>
            <w:pPr>
              <w:pStyle w:val="14"/>
              <w:adjustRightInd w:val="0"/>
              <w:snapToGrid w:val="0"/>
              <w:spacing w:line="240" w:lineRule="auto"/>
              <w:rPr>
                <w:rFonts w:ascii="宋体" w:hAnsi="宋体"/>
                <w:b w:val="0"/>
                <w:sz w:val="21"/>
                <w:szCs w:val="21"/>
              </w:rPr>
            </w:pPr>
          </w:p>
        </w:tc>
        <w:tc>
          <w:tcPr>
            <w:tcW w:w="3429" w:type="dxa"/>
            <w:vMerge w:val="continue"/>
            <w:vAlign w:val="center"/>
          </w:tcPr>
          <w:p>
            <w:pPr>
              <w:pStyle w:val="14"/>
              <w:adjustRightInd w:val="0"/>
              <w:snapToGrid w:val="0"/>
              <w:spacing w:line="240" w:lineRule="auto"/>
              <w:rPr>
                <w:rFonts w:ascii="宋体" w:hAnsi="宋体"/>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事故应急池</w:t>
            </w:r>
          </w:p>
        </w:tc>
        <w:tc>
          <w:tcPr>
            <w:tcW w:w="1418"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中</w:t>
            </w:r>
          </w:p>
        </w:tc>
        <w:tc>
          <w:tcPr>
            <w:tcW w:w="1294"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难</w:t>
            </w:r>
          </w:p>
        </w:tc>
        <w:tc>
          <w:tcPr>
            <w:tcW w:w="922"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其他类型</w:t>
            </w:r>
          </w:p>
        </w:tc>
        <w:tc>
          <w:tcPr>
            <w:tcW w:w="922" w:type="dxa"/>
            <w:vMerge w:val="continue"/>
            <w:vAlign w:val="center"/>
          </w:tcPr>
          <w:p>
            <w:pPr>
              <w:pStyle w:val="14"/>
              <w:adjustRightInd w:val="0"/>
              <w:snapToGrid w:val="0"/>
              <w:spacing w:line="240" w:lineRule="auto"/>
              <w:rPr>
                <w:rFonts w:ascii="宋体" w:hAnsi="宋体"/>
                <w:b w:val="0"/>
                <w:sz w:val="21"/>
                <w:szCs w:val="21"/>
              </w:rPr>
            </w:pPr>
          </w:p>
        </w:tc>
        <w:tc>
          <w:tcPr>
            <w:tcW w:w="3429" w:type="dxa"/>
            <w:vMerge w:val="continue"/>
            <w:vAlign w:val="center"/>
          </w:tcPr>
          <w:p>
            <w:pPr>
              <w:pStyle w:val="14"/>
              <w:adjustRightInd w:val="0"/>
              <w:snapToGrid w:val="0"/>
              <w:spacing w:line="240" w:lineRule="auto"/>
              <w:rPr>
                <w:rFonts w:ascii="宋体" w:hAnsi="宋体"/>
                <w:b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污泥脱水间</w:t>
            </w:r>
          </w:p>
        </w:tc>
        <w:tc>
          <w:tcPr>
            <w:tcW w:w="1418"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中</w:t>
            </w:r>
          </w:p>
        </w:tc>
        <w:tc>
          <w:tcPr>
            <w:tcW w:w="1294"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易</w:t>
            </w:r>
          </w:p>
        </w:tc>
        <w:tc>
          <w:tcPr>
            <w:tcW w:w="922"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其他类型</w:t>
            </w:r>
          </w:p>
        </w:tc>
        <w:tc>
          <w:tcPr>
            <w:tcW w:w="922" w:type="dxa"/>
            <w:vMerge w:val="restart"/>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简单防渗区</w:t>
            </w:r>
          </w:p>
        </w:tc>
        <w:tc>
          <w:tcPr>
            <w:tcW w:w="3429" w:type="dxa"/>
            <w:vMerge w:val="restart"/>
            <w:vAlign w:val="center"/>
          </w:tcPr>
          <w:p>
            <w:pPr>
              <w:pStyle w:val="78"/>
              <w:snapToGrid w:val="0"/>
              <w:jc w:val="center"/>
              <w:rPr>
                <w:rFonts w:eastAsia="宋体"/>
                <w:kern w:val="2"/>
                <w:sz w:val="21"/>
                <w:szCs w:val="21"/>
              </w:rPr>
            </w:pPr>
            <w:r>
              <w:rPr>
                <w:rFonts w:hint="eastAsia" w:eastAsia="宋体"/>
                <w:kern w:val="2"/>
                <w:sz w:val="21"/>
                <w:szCs w:val="21"/>
              </w:rPr>
              <w:t>一般地面硬化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辅助用房、道路</w:t>
            </w:r>
          </w:p>
        </w:tc>
        <w:tc>
          <w:tcPr>
            <w:tcW w:w="1418"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中</w:t>
            </w:r>
          </w:p>
        </w:tc>
        <w:tc>
          <w:tcPr>
            <w:tcW w:w="1294" w:type="dxa"/>
            <w:vAlign w:val="center"/>
          </w:tcPr>
          <w:p>
            <w:pPr>
              <w:pStyle w:val="78"/>
              <w:snapToGrid w:val="0"/>
              <w:jc w:val="center"/>
              <w:rPr>
                <w:rFonts w:ascii="宋体" w:hAnsi="宋体" w:eastAsia="宋体"/>
                <w:kern w:val="2"/>
                <w:sz w:val="21"/>
                <w:szCs w:val="21"/>
              </w:rPr>
            </w:pPr>
            <w:r>
              <w:rPr>
                <w:rFonts w:hint="eastAsia" w:ascii="宋体" w:hAnsi="宋体" w:eastAsia="宋体"/>
                <w:kern w:val="2"/>
                <w:sz w:val="21"/>
                <w:szCs w:val="21"/>
              </w:rPr>
              <w:t>易</w:t>
            </w:r>
          </w:p>
        </w:tc>
        <w:tc>
          <w:tcPr>
            <w:tcW w:w="922" w:type="dxa"/>
            <w:vAlign w:val="center"/>
          </w:tcPr>
          <w:p>
            <w:pPr>
              <w:pStyle w:val="78"/>
              <w:snapToGrid w:val="0"/>
              <w:jc w:val="center"/>
              <w:rPr>
                <w:rFonts w:ascii="宋体" w:hAnsi="宋体" w:eastAsia="宋体"/>
                <w:kern w:val="2"/>
                <w:sz w:val="21"/>
                <w:szCs w:val="21"/>
              </w:rPr>
            </w:pPr>
            <w:r>
              <w:rPr>
                <w:rFonts w:ascii="宋体" w:hAnsi="宋体" w:eastAsia="宋体"/>
                <w:kern w:val="2"/>
                <w:sz w:val="21"/>
                <w:szCs w:val="21"/>
              </w:rPr>
              <w:t>—</w:t>
            </w:r>
          </w:p>
        </w:tc>
        <w:tc>
          <w:tcPr>
            <w:tcW w:w="922" w:type="dxa"/>
            <w:vMerge w:val="continue"/>
            <w:vAlign w:val="center"/>
          </w:tcPr>
          <w:p>
            <w:pPr>
              <w:pStyle w:val="14"/>
              <w:adjustRightInd w:val="0"/>
              <w:snapToGrid w:val="0"/>
              <w:spacing w:line="240" w:lineRule="auto"/>
              <w:rPr>
                <w:rFonts w:ascii="宋体" w:hAnsi="宋体"/>
                <w:b w:val="0"/>
                <w:sz w:val="21"/>
                <w:szCs w:val="21"/>
              </w:rPr>
            </w:pPr>
          </w:p>
        </w:tc>
        <w:tc>
          <w:tcPr>
            <w:tcW w:w="3429" w:type="dxa"/>
            <w:vMerge w:val="continue"/>
            <w:vAlign w:val="center"/>
          </w:tcPr>
          <w:p>
            <w:pPr>
              <w:pStyle w:val="14"/>
              <w:adjustRightInd w:val="0"/>
              <w:snapToGrid w:val="0"/>
              <w:spacing w:line="240" w:lineRule="auto"/>
              <w:rPr>
                <w:rFonts w:ascii="宋体" w:hAnsi="宋体"/>
                <w:b w:val="0"/>
                <w:sz w:val="21"/>
                <w:szCs w:val="21"/>
              </w:rPr>
            </w:pPr>
          </w:p>
        </w:tc>
      </w:tr>
    </w:tbl>
    <w:p>
      <w:pPr>
        <w:pStyle w:val="14"/>
        <w:adjustRightInd w:val="0"/>
        <w:snapToGrid w:val="0"/>
        <w:ind w:firstLine="480" w:firstLineChars="200"/>
        <w:jc w:val="both"/>
        <w:rPr>
          <w:rFonts w:cs="Times New Roman"/>
          <w:b w:val="0"/>
          <w:szCs w:val="24"/>
        </w:rPr>
      </w:pPr>
      <w:r>
        <w:rPr>
          <w:rFonts w:cs="Times New Roman"/>
          <w:b w:val="0"/>
          <w:szCs w:val="24"/>
        </w:rPr>
        <w:t>根据《地下水导则》要求，场区上覆地层为第四系人工填土层，厚度大于1m，渗透系数为5.4×10-4cm/s~1.8×10-6cm/s，且分布连续稳定，天然包气带防污性能为“中”。</w:t>
      </w:r>
    </w:p>
    <w:p>
      <w:pPr>
        <w:autoSpaceDE w:val="0"/>
        <w:autoSpaceDN w:val="0"/>
        <w:adjustRightInd w:val="0"/>
        <w:snapToGrid w:val="0"/>
        <w:spacing w:line="360" w:lineRule="auto"/>
        <w:ind w:firstLine="480" w:firstLineChars="200"/>
        <w:jc w:val="left"/>
        <w:rPr>
          <w:rFonts w:eastAsia="宋体" w:cs="Times New Roman"/>
          <w:color w:val="000000"/>
          <w:kern w:val="0"/>
          <w:szCs w:val="24"/>
        </w:rPr>
      </w:pPr>
      <w:r>
        <w:rPr>
          <w:rFonts w:eastAsia="宋体" w:cs="Times New Roman"/>
          <w:color w:val="000000"/>
          <w:kern w:val="0"/>
          <w:szCs w:val="24"/>
        </w:rPr>
        <w:t>本项目在厂区范围内设置</w:t>
      </w:r>
      <w:r>
        <w:rPr>
          <w:rFonts w:hint="eastAsia" w:eastAsia="宋体" w:cs="Times New Roman"/>
          <w:color w:val="000000"/>
          <w:kern w:val="0"/>
          <w:szCs w:val="24"/>
        </w:rPr>
        <w:t>重点</w:t>
      </w:r>
      <w:r>
        <w:rPr>
          <w:rFonts w:eastAsia="宋体" w:cs="Times New Roman"/>
          <w:color w:val="000000"/>
          <w:kern w:val="0"/>
          <w:szCs w:val="24"/>
        </w:rPr>
        <w:t xml:space="preserve">防渗区和一般地面硬化区。将污水输送管网、污水处理构筑物及事故应急池设为一般防渗区；污泥脱水间及厂区内其他区域设有一般地面硬化区。 </w:t>
      </w:r>
    </w:p>
    <w:p>
      <w:pPr>
        <w:autoSpaceDE w:val="0"/>
        <w:autoSpaceDN w:val="0"/>
        <w:adjustRightInd w:val="0"/>
        <w:snapToGrid w:val="0"/>
        <w:spacing w:line="360" w:lineRule="auto"/>
        <w:ind w:firstLine="480" w:firstLineChars="200"/>
        <w:jc w:val="left"/>
        <w:rPr>
          <w:rFonts w:eastAsia="宋体" w:cs="Times New Roman"/>
          <w:color w:val="000000"/>
          <w:kern w:val="0"/>
          <w:szCs w:val="24"/>
        </w:rPr>
      </w:pPr>
      <w:r>
        <w:rPr>
          <w:rFonts w:eastAsia="宋体" w:cs="Times New Roman"/>
          <w:color w:val="000000"/>
          <w:kern w:val="0"/>
          <w:szCs w:val="24"/>
        </w:rPr>
        <w:t xml:space="preserve">污水输送管网采用U-PVC管；废水处理构筑物中格栅池、污泥池、调节池、水解酸化池、二沉池、事故应急池采用防渗混凝土现场修建，池体内表面刷涂水泥基渗透结晶型防渗涂料或采用玻璃钢树脂涂层；一般防渗区的防渗措施防渗效果可达到表8.2-1中防渗技术要求，同时要求防渗工程的设计使用年限不低于相应的设计使用年限。污泥脱水间虽然为简单防渗区，但本评价要求其采用防渗混凝土进行地埋硬化。 </w:t>
      </w:r>
    </w:p>
    <w:p>
      <w:pPr>
        <w:adjustRightInd w:val="0"/>
        <w:snapToGrid w:val="0"/>
        <w:spacing w:line="360" w:lineRule="auto"/>
        <w:ind w:firstLine="480" w:firstLineChars="200"/>
        <w:rPr>
          <w:rFonts w:eastAsia="宋体" w:cs="Times New Roman"/>
          <w:szCs w:val="24"/>
        </w:rPr>
      </w:pPr>
      <w:r>
        <w:rPr>
          <w:rFonts w:eastAsia="宋体" w:cs="Times New Roman"/>
          <w:szCs w:val="24"/>
        </w:rPr>
        <w:t>此外，污水输送管网应避开厂区内道路，无法避免时应采用对应抗压措施，避免管道沉降破损引发泄露污染。</w:t>
      </w:r>
    </w:p>
    <w:p>
      <w:pPr>
        <w:adjustRightInd w:val="0"/>
        <w:snapToGrid w:val="0"/>
        <w:spacing w:line="360" w:lineRule="auto"/>
        <w:ind w:firstLine="480" w:firstLineChars="200"/>
        <w:rPr>
          <w:rFonts w:cs="Times New Roman"/>
          <w:szCs w:val="24"/>
        </w:rPr>
      </w:pPr>
      <w:r>
        <w:rPr>
          <w:rFonts w:cs="Times New Roman"/>
          <w:szCs w:val="24"/>
        </w:rPr>
        <w:t>（3）其他措施</w:t>
      </w:r>
    </w:p>
    <w:p>
      <w:pPr>
        <w:adjustRightInd w:val="0"/>
        <w:snapToGrid w:val="0"/>
        <w:spacing w:line="360" w:lineRule="auto"/>
        <w:ind w:firstLine="480" w:firstLineChars="200"/>
        <w:rPr>
          <w:sz w:val="23"/>
          <w:szCs w:val="23"/>
        </w:rPr>
      </w:pPr>
      <w:r>
        <w:rPr>
          <w:rFonts w:cs="Times New Roman"/>
          <w:szCs w:val="24"/>
        </w:rPr>
        <w:t>如果防渗层破裂或废水渗漏，发现后，将废水排入应急事故池，进行修复，同时，如果存在污染的少量土壤，则应尽快通过挖出进行处置。混凝土水池、污水沟和井的混凝土耐久性符合现行国家标准《混凝土结构设计规范》GB50010 的有关规定，且混凝土强度等级不低于C30。按一般污染设防的水池和污水沟，还符合下列规定：结构厚度：水池不小于250mm，污水沟不小于150mm；混凝土抗渗等级不低于P8。水池、污水沟和井的内表面涂刷抗渗混凝土，厚度不小于1.0mm或在混凝土内掺加水泥基渗透结晶型防水剂，掺量不小于混凝土胶凝材料总量的0.8%。管道设计壁厚的腐蚀余量不小于2mm。污染雨水系统当设有雨水口时选用预制混凝土装配式雨水口，混凝土的抗渗等级≥S8；</w:t>
      </w:r>
    </w:p>
    <w:p>
      <w:pPr>
        <w:pStyle w:val="5"/>
        <w:rPr>
          <w:color w:val="000000" w:themeColor="text1"/>
        </w:rPr>
      </w:pPr>
      <w:bookmarkStart w:id="208" w:name="_Toc532497686"/>
      <w:r>
        <w:rPr>
          <w:rFonts w:hint="eastAsia"/>
          <w:color w:val="000000" w:themeColor="text1"/>
        </w:rPr>
        <w:t>噪声污染防治措施</w:t>
      </w:r>
      <w:bookmarkEnd w:id="208"/>
    </w:p>
    <w:p>
      <w:pPr>
        <w:pStyle w:val="153"/>
        <w:adjustRightInd w:val="0"/>
        <w:snapToGrid w:val="0"/>
        <w:spacing w:line="360" w:lineRule="auto"/>
        <w:ind w:firstLine="480" w:firstLineChars="200"/>
        <w:rPr>
          <w:sz w:val="24"/>
          <w:szCs w:val="24"/>
        </w:rPr>
      </w:pPr>
      <w:r>
        <w:rPr>
          <w:sz w:val="24"/>
          <w:szCs w:val="24"/>
        </w:rPr>
        <w:t>本项目所有设备均按照工业设备安装的有关规范安装，采取减振隔声措施，且大多数噪声源设置在室内。对于室外噪声源等安装时尽可能的安装在远离厂界的位置，采用隔声房或隔声罩等隔声措施进行处理；另外在厂区四周设置绿化带，以降低噪声对环境的影响，使厂界噪声达到《工业企业厂界环境噪声排放标准》（GB12348－2008）</w:t>
      </w:r>
      <w:r>
        <w:rPr>
          <w:rFonts w:hint="eastAsia"/>
          <w:sz w:val="24"/>
          <w:szCs w:val="24"/>
        </w:rPr>
        <w:t>3</w:t>
      </w:r>
      <w:r>
        <w:rPr>
          <w:sz w:val="24"/>
          <w:szCs w:val="24"/>
        </w:rPr>
        <w:t>类标准。</w:t>
      </w:r>
    </w:p>
    <w:p>
      <w:pPr>
        <w:pStyle w:val="100"/>
        <w:spacing w:line="360" w:lineRule="auto"/>
        <w:ind w:firstLine="480"/>
        <w:rPr>
          <w:szCs w:val="24"/>
        </w:rPr>
      </w:pPr>
      <w:r>
        <w:rPr>
          <w:szCs w:val="24"/>
        </w:rPr>
        <w:t>为进一步防止项目生产产生的噪声对周边环境的影响，确保厂界噪声达标排放，本环评建议：</w:t>
      </w:r>
    </w:p>
    <w:p>
      <w:pPr>
        <w:pStyle w:val="100"/>
        <w:spacing w:line="360" w:lineRule="auto"/>
        <w:ind w:firstLine="480"/>
        <w:rPr>
          <w:szCs w:val="24"/>
        </w:rPr>
      </w:pPr>
      <w:r>
        <w:rPr>
          <w:szCs w:val="24"/>
        </w:rPr>
        <w:t>（1）在设备选型时，除考虑满足处理工艺要求外，还必须考虑设备的声学特性（选用高效低噪设备），对于噪声较高的设备应与设备出售厂方协商提供配套的降噪措施。</w:t>
      </w:r>
    </w:p>
    <w:p>
      <w:pPr>
        <w:pStyle w:val="100"/>
        <w:spacing w:line="360" w:lineRule="auto"/>
        <w:ind w:firstLine="480"/>
        <w:rPr>
          <w:szCs w:val="24"/>
        </w:rPr>
      </w:pPr>
      <w:r>
        <w:rPr>
          <w:szCs w:val="24"/>
        </w:rPr>
        <w:t>（2）将各设备均安装于生产车间内，进行墙体隔声，并且在设备安装时加减振垫。</w:t>
      </w:r>
    </w:p>
    <w:p>
      <w:pPr>
        <w:pStyle w:val="100"/>
        <w:spacing w:line="360" w:lineRule="auto"/>
        <w:ind w:firstLine="480"/>
        <w:rPr>
          <w:szCs w:val="24"/>
        </w:rPr>
      </w:pPr>
      <w:r>
        <w:rPr>
          <w:szCs w:val="24"/>
        </w:rPr>
        <w:t>（3）应加强设备的保养和维修，使设备随时处于良好的运行状态，避免偶发强噪声产生。高噪声设备操作人员，操作时应佩戴防护头盔或耳套。</w:t>
      </w:r>
    </w:p>
    <w:p>
      <w:pPr>
        <w:pStyle w:val="100"/>
        <w:spacing w:line="360" w:lineRule="auto"/>
        <w:ind w:firstLine="480"/>
        <w:rPr>
          <w:szCs w:val="24"/>
        </w:rPr>
      </w:pPr>
      <w:r>
        <w:rPr>
          <w:szCs w:val="24"/>
        </w:rPr>
        <w:t>（4）声屏障的存在使声波不能直达受声点，从而使受声点噪声降低。声屏障通常指墙、建筑物、土坡、树丛等。建议结合项目周边防护绿地，种植树木或加建围墙，以达到声屏障降噪的目的。</w:t>
      </w:r>
    </w:p>
    <w:p>
      <w:pPr>
        <w:pStyle w:val="100"/>
        <w:spacing w:line="360" w:lineRule="auto"/>
        <w:ind w:firstLine="480"/>
      </w:pPr>
      <w:r>
        <w:rPr>
          <w:szCs w:val="24"/>
        </w:rPr>
        <w:t>综上所述，在落实各项噪声污染防治措施的情况下，项目整治投产后对周围声环境影响较小。</w:t>
      </w:r>
    </w:p>
    <w:p>
      <w:pPr>
        <w:pStyle w:val="5"/>
        <w:rPr>
          <w:color w:val="000000" w:themeColor="text1"/>
        </w:rPr>
      </w:pPr>
      <w:bookmarkStart w:id="209" w:name="_Toc532497687"/>
      <w:r>
        <w:rPr>
          <w:rFonts w:hint="eastAsia"/>
          <w:color w:val="000000" w:themeColor="text1"/>
        </w:rPr>
        <w:t>固体废物污染防治措施</w:t>
      </w:r>
      <w:bookmarkEnd w:id="209"/>
    </w:p>
    <w:p>
      <w:pPr>
        <w:pStyle w:val="100"/>
        <w:spacing w:before="0" w:line="360" w:lineRule="auto"/>
        <w:ind w:firstLine="480"/>
      </w:pPr>
      <w:r>
        <w:t>（1）处置方式</w:t>
      </w:r>
    </w:p>
    <w:p>
      <w:pPr>
        <w:pStyle w:val="100"/>
        <w:spacing w:before="0" w:line="360" w:lineRule="auto"/>
        <w:ind w:firstLine="480"/>
      </w:pPr>
      <w:r>
        <w:t>本项目营运期废物有生活垃圾和污水处理产生的栅渣、沉砂、脱水污泥等一般工业固体废物。</w:t>
      </w:r>
    </w:p>
    <w:p>
      <w:pPr>
        <w:pStyle w:val="100"/>
        <w:spacing w:before="0" w:line="360" w:lineRule="auto"/>
        <w:ind w:firstLine="480"/>
      </w:pPr>
      <w:r>
        <w:t>本项目设置一般固体废物，一般固体废物需作好防风、防雨措施，地面进行硬化处理。项目一般固体废物的种类较多，收集的固废可分类暂存于暂存区。</w:t>
      </w:r>
    </w:p>
    <w:p>
      <w:pPr>
        <w:pStyle w:val="100"/>
        <w:spacing w:before="0" w:line="360" w:lineRule="auto"/>
        <w:ind w:firstLine="480"/>
      </w:pPr>
      <w:r>
        <w:t>一般工业固废包括生活垃圾和污水处理产生的栅渣、沉砂、脱水污泥等。项目栅渣、沉砂和脱水污泥满足垃圾填埋场填埋废物入场要求（含水率≤60%），经收集后直接运往城市垃圾填埋场，对项目周围环境影响较小。项目一般固体废物的暂存需按照《一般工业固体废物贮存、处置场污染控制标准（GB18599-2001）》的相关要求建设、管理规范暂存库，通过加强管理，不与危险废物和生活垃圾相混。</w:t>
      </w:r>
    </w:p>
    <w:p>
      <w:pPr>
        <w:pStyle w:val="100"/>
        <w:spacing w:before="0" w:line="360" w:lineRule="auto"/>
        <w:ind w:firstLine="480"/>
      </w:pPr>
      <w:r>
        <w:t>（2）暂存措施</w:t>
      </w:r>
    </w:p>
    <w:p>
      <w:pPr>
        <w:pStyle w:val="100"/>
        <w:spacing w:before="0" w:line="360" w:lineRule="auto"/>
        <w:ind w:firstLine="480"/>
      </w:pPr>
      <w:r>
        <w:t>为了预防固废清理后未得到及时处理，环评要求公司在厂区设置一般工业固体废物的暂存场，并严格按照《一般工业固体废物贮存、处置场污染控制标准》（GB18599-2001）及其2013年修改单中相关要求建设工业固废暂存处。要求建立固体废物临时堆放场地（厂区内设置固废储存区），不得到处堆放。临时堆放场的地面基础必须防渗，应设计建造径流疏导系统，保证能防止暴雨不会流到临时堆放场。</w:t>
      </w:r>
    </w:p>
    <w:p>
      <w:pPr>
        <w:pStyle w:val="100"/>
        <w:spacing w:before="0" w:line="360" w:lineRule="auto"/>
        <w:ind w:firstLine="480"/>
      </w:pPr>
      <w:r>
        <w:t>在固体废物的日常管理中，要做到以下几点：</w:t>
      </w:r>
    </w:p>
    <w:p>
      <w:pPr>
        <w:pStyle w:val="100"/>
        <w:spacing w:before="0" w:line="360" w:lineRule="auto"/>
        <w:ind w:firstLine="480"/>
      </w:pPr>
      <w:r>
        <w:rPr>
          <w:rFonts w:hAnsi="宋体"/>
        </w:rPr>
        <w:t>①</w:t>
      </w:r>
      <w:r>
        <w:t>杜绝工业垃圾，特别是有毒有害废物混入生活垃圾，以避免造成污染物泄漏、扩散。</w:t>
      </w:r>
    </w:p>
    <w:p>
      <w:pPr>
        <w:pStyle w:val="100"/>
        <w:spacing w:before="0" w:line="360" w:lineRule="auto"/>
        <w:ind w:firstLine="480"/>
      </w:pPr>
      <w:r>
        <w:rPr>
          <w:rFonts w:hAnsi="宋体"/>
        </w:rPr>
        <w:t>②</w:t>
      </w:r>
      <w:r>
        <w:t>严格管理各种废物的存放，厂区内不得乱堆乱放各类固废，其存储应堆放至专用暂存场所。空置或废弃原料包装物，须设专门的仓库进行暂存。污水处理系统产生的压滤污泥具有回收价值，定期清理后，采用专门容器盛装，再交由相应的回收单位运走前暂存于仓库内，不得任意倾倒弃置。</w:t>
      </w:r>
    </w:p>
    <w:p>
      <w:pPr>
        <w:pStyle w:val="100"/>
        <w:spacing w:before="0" w:line="360" w:lineRule="auto"/>
        <w:ind w:firstLine="480"/>
      </w:pPr>
      <w:r>
        <w:t>经采取以上各项相应的处置措施后，项目产生固体废物直接排放量为零，符合固体废物处理处置的无害化、资源化、减量化的基本要求，是可行的。其不会对环境产生大的影响。</w:t>
      </w:r>
    </w:p>
    <w:p>
      <w:pPr>
        <w:pStyle w:val="5"/>
      </w:pPr>
      <w:r>
        <w:t>土壤污染防治措施</w:t>
      </w:r>
    </w:p>
    <w:p>
      <w:pPr>
        <w:spacing w:line="360" w:lineRule="auto"/>
        <w:ind w:firstLine="480" w:firstLineChars="200"/>
        <w:rPr>
          <w:rFonts w:cs="Times New Roman"/>
          <w:szCs w:val="24"/>
        </w:rPr>
      </w:pPr>
      <w:r>
        <w:rPr>
          <w:rFonts w:cs="Times New Roman"/>
          <w:szCs w:val="24"/>
        </w:rPr>
        <w:t>（1）调节池、污泥池、AAO池等严格按照设计规范要求采取防渗措施和事故应急措施，一旦发生渗漏等非正常情况，立即采取应急措施，切断污染源。</w:t>
      </w:r>
    </w:p>
    <w:p>
      <w:pPr>
        <w:spacing w:line="360" w:lineRule="auto"/>
        <w:ind w:firstLine="480" w:firstLineChars="200"/>
        <w:rPr>
          <w:rFonts w:cs="Times New Roman"/>
          <w:szCs w:val="24"/>
        </w:rPr>
      </w:pPr>
      <w:r>
        <w:rPr>
          <w:rFonts w:cs="Times New Roman"/>
          <w:szCs w:val="24"/>
        </w:rPr>
        <w:t>（2）污泥暂存间应符合《一般工业废弃贮存、处置场污染控制标准》（GB18599-2001）要求，采取防渗措施，避免有毒有害物质渗入土壤，同时做好厂区绿化。</w:t>
      </w:r>
    </w:p>
    <w:p>
      <w:pPr>
        <w:pStyle w:val="5"/>
        <w:rPr>
          <w:kern w:val="0"/>
        </w:rPr>
      </w:pPr>
      <w:bookmarkStart w:id="210" w:name="_Toc532497688"/>
      <w:r>
        <w:rPr>
          <w:rFonts w:hint="eastAsia"/>
          <w:kern w:val="0"/>
        </w:rPr>
        <w:t>环保投资估算</w:t>
      </w:r>
      <w:bookmarkEnd w:id="210"/>
    </w:p>
    <w:p>
      <w:pPr>
        <w:autoSpaceDE w:val="0"/>
        <w:autoSpaceDN w:val="0"/>
        <w:adjustRightInd w:val="0"/>
        <w:spacing w:line="360" w:lineRule="auto"/>
        <w:ind w:firstLine="480" w:firstLineChars="200"/>
        <w:jc w:val="left"/>
        <w:rPr>
          <w:rFonts w:eastAsia="宋体" w:cs="Times New Roman"/>
          <w:color w:val="000000" w:themeColor="text1"/>
          <w:kern w:val="0"/>
          <w:szCs w:val="24"/>
        </w:rPr>
      </w:pPr>
      <w:r>
        <w:rPr>
          <w:rFonts w:eastAsia="宋体" w:cs="Times New Roman"/>
          <w:kern w:val="0"/>
          <w:szCs w:val="24"/>
        </w:rPr>
        <w:t>环保投资是实现各项环保措施的重要保证，为了使该项目的发展与环境保护相协调，企业应该在废水、废气、噪声、固废防治等环境保护工作上投入一定资金，以确保环境污染防治工程措施到位，使环保</w:t>
      </w:r>
      <w:r>
        <w:rPr>
          <w:rFonts w:eastAsia="TimesNewRoman" w:cs="Times New Roman"/>
          <w:kern w:val="0"/>
          <w:szCs w:val="24"/>
        </w:rPr>
        <w:t>“</w:t>
      </w:r>
      <w:r>
        <w:rPr>
          <w:rFonts w:eastAsia="宋体" w:cs="Times New Roman"/>
          <w:kern w:val="0"/>
          <w:szCs w:val="24"/>
        </w:rPr>
        <w:t>三同时</w:t>
      </w:r>
      <w:r>
        <w:rPr>
          <w:rFonts w:eastAsia="TimesNewRoman" w:cs="Times New Roman"/>
          <w:kern w:val="0"/>
          <w:szCs w:val="24"/>
        </w:rPr>
        <w:t>”</w:t>
      </w:r>
      <w:r>
        <w:rPr>
          <w:rFonts w:eastAsia="宋体" w:cs="Times New Roman"/>
          <w:kern w:val="0"/>
          <w:szCs w:val="24"/>
        </w:rPr>
        <w:t>工作得到落实，</w:t>
      </w:r>
      <w:r>
        <w:rPr>
          <w:rFonts w:eastAsia="宋体" w:cs="Times New Roman"/>
          <w:color w:val="000000" w:themeColor="text1"/>
          <w:kern w:val="0"/>
          <w:szCs w:val="24"/>
        </w:rPr>
        <w:t>本项目总投资</w:t>
      </w:r>
      <w:r>
        <w:rPr>
          <w:rFonts w:hint="eastAsia" w:cs="Times New Roman"/>
          <w:color w:val="000000" w:themeColor="text1"/>
        </w:rPr>
        <w:t>14270</w:t>
      </w:r>
      <w:r>
        <w:rPr>
          <w:rFonts w:hint="eastAsia" w:eastAsia="宋体" w:cs="Times New Roman"/>
          <w:color w:val="000000" w:themeColor="text1"/>
          <w:kern w:val="0"/>
          <w:szCs w:val="24"/>
        </w:rPr>
        <w:t>万元，环保投资</w:t>
      </w:r>
      <w:r>
        <w:rPr>
          <w:rFonts w:hint="eastAsia" w:cs="Times New Roman"/>
          <w:color w:val="000000" w:themeColor="text1"/>
        </w:rPr>
        <w:t>14270</w:t>
      </w:r>
      <w:r>
        <w:rPr>
          <w:rFonts w:hint="eastAsia" w:eastAsia="宋体" w:cs="Times New Roman"/>
          <w:color w:val="000000" w:themeColor="text1"/>
          <w:kern w:val="0"/>
          <w:szCs w:val="24"/>
        </w:rPr>
        <w:t>万元，占总投资的100%</w:t>
      </w:r>
      <w:r>
        <w:rPr>
          <w:rFonts w:eastAsia="宋体" w:cs="Times New Roman"/>
          <w:color w:val="000000" w:themeColor="text1"/>
          <w:kern w:val="0"/>
          <w:szCs w:val="24"/>
        </w:rPr>
        <w:t>，具体见</w:t>
      </w:r>
      <w:r>
        <w:fldChar w:fldCharType="begin"/>
      </w:r>
      <w:r>
        <w:instrText xml:space="preserve"> REF _Ref531984124 \h  \* MERGEFORMAT </w:instrText>
      </w:r>
      <w:r>
        <w:fldChar w:fldCharType="separate"/>
      </w:r>
      <w:r>
        <w:rPr>
          <w:rFonts w:eastAsia="宋体" w:cs="Times New Roman"/>
          <w:color w:val="000000" w:themeColor="text1"/>
          <w:kern w:val="0"/>
          <w:szCs w:val="24"/>
        </w:rPr>
        <w:t>表6.1</w:t>
      </w:r>
      <w:r>
        <w:rPr>
          <w:rFonts w:eastAsia="宋体" w:cs="Times New Roman"/>
          <w:color w:val="000000" w:themeColor="text1"/>
          <w:kern w:val="0"/>
          <w:szCs w:val="24"/>
        </w:rPr>
        <w:noBreakHyphen/>
      </w:r>
      <w:r>
        <w:rPr>
          <w:rFonts w:eastAsia="宋体" w:cs="Times New Roman"/>
          <w:color w:val="000000" w:themeColor="text1"/>
          <w:kern w:val="0"/>
          <w:szCs w:val="24"/>
        </w:rPr>
        <w:t>3</w:t>
      </w:r>
      <w:r>
        <w:rPr>
          <w:rFonts w:eastAsia="宋体" w:cs="Times New Roman"/>
          <w:color w:val="000000" w:themeColor="text1"/>
          <w:kern w:val="0"/>
          <w:szCs w:val="24"/>
        </w:rPr>
        <w:fldChar w:fldCharType="end"/>
      </w:r>
      <w:r>
        <w:rPr>
          <w:rFonts w:eastAsia="宋体" w:cs="Times New Roman"/>
          <w:color w:val="000000" w:themeColor="text1"/>
          <w:kern w:val="0"/>
          <w:szCs w:val="24"/>
        </w:rPr>
        <w:t>。</w:t>
      </w:r>
    </w:p>
    <w:p>
      <w:pPr>
        <w:pStyle w:val="14"/>
        <w:spacing w:line="240" w:lineRule="auto"/>
        <w:rPr>
          <w:rFonts w:cs="Times New Roman"/>
          <w:color w:val="000000" w:themeColor="text1"/>
          <w:kern w:val="0"/>
          <w:szCs w:val="24"/>
          <w:u w:val="single"/>
        </w:rPr>
      </w:pPr>
      <w:bookmarkStart w:id="211" w:name="_Ref531984124"/>
      <w:r>
        <w:rPr>
          <w:rFonts w:cs="Times New Roman"/>
          <w:color w:val="000000" w:themeColor="text1"/>
          <w:kern w:val="0"/>
          <w:szCs w:val="24"/>
          <w:u w:val="single"/>
        </w:rPr>
        <w:t>表</w:t>
      </w:r>
      <w:r>
        <w:rPr>
          <w:rFonts w:cs="Times New Roman"/>
          <w:color w:val="000000" w:themeColor="text1"/>
          <w:kern w:val="0"/>
          <w:szCs w:val="24"/>
          <w:u w:val="single"/>
        </w:rPr>
        <w:fldChar w:fldCharType="begin"/>
      </w:r>
      <w:r>
        <w:rPr>
          <w:rFonts w:cs="Times New Roman"/>
          <w:color w:val="000000" w:themeColor="text1"/>
          <w:kern w:val="0"/>
          <w:szCs w:val="24"/>
          <w:u w:val="single"/>
        </w:rPr>
        <w:instrText xml:space="preserve"> STYLEREF 2 \s </w:instrText>
      </w:r>
      <w:r>
        <w:rPr>
          <w:rFonts w:cs="Times New Roman"/>
          <w:color w:val="000000" w:themeColor="text1"/>
          <w:kern w:val="0"/>
          <w:szCs w:val="24"/>
          <w:u w:val="single"/>
        </w:rPr>
        <w:fldChar w:fldCharType="separate"/>
      </w:r>
      <w:r>
        <w:rPr>
          <w:rFonts w:cs="Times New Roman"/>
          <w:color w:val="000000" w:themeColor="text1"/>
          <w:kern w:val="0"/>
          <w:szCs w:val="24"/>
          <w:u w:val="single"/>
        </w:rPr>
        <w:t>5.1</w:t>
      </w:r>
      <w:r>
        <w:rPr>
          <w:rFonts w:cs="Times New Roman"/>
          <w:color w:val="000000" w:themeColor="text1"/>
          <w:kern w:val="0"/>
          <w:szCs w:val="24"/>
          <w:u w:val="single"/>
        </w:rPr>
        <w:fldChar w:fldCharType="end"/>
      </w:r>
      <w:r>
        <w:rPr>
          <w:rFonts w:cs="Times New Roman"/>
          <w:color w:val="000000" w:themeColor="text1"/>
          <w:kern w:val="0"/>
          <w:szCs w:val="24"/>
          <w:u w:val="single"/>
        </w:rPr>
        <w:noBreakHyphen/>
      </w:r>
      <w:r>
        <w:rPr>
          <w:rFonts w:cs="Times New Roman"/>
          <w:color w:val="000000" w:themeColor="text1"/>
          <w:kern w:val="0"/>
          <w:szCs w:val="24"/>
          <w:u w:val="single"/>
        </w:rPr>
        <w:fldChar w:fldCharType="begin"/>
      </w:r>
      <w:r>
        <w:rPr>
          <w:rFonts w:cs="Times New Roman"/>
          <w:color w:val="000000" w:themeColor="text1"/>
          <w:kern w:val="0"/>
          <w:szCs w:val="24"/>
          <w:u w:val="single"/>
        </w:rPr>
        <w:instrText xml:space="preserve"> SEQ 表 \* ARABIC \s 2 </w:instrText>
      </w:r>
      <w:r>
        <w:rPr>
          <w:rFonts w:cs="Times New Roman"/>
          <w:color w:val="000000" w:themeColor="text1"/>
          <w:kern w:val="0"/>
          <w:szCs w:val="24"/>
          <w:u w:val="single"/>
        </w:rPr>
        <w:fldChar w:fldCharType="separate"/>
      </w:r>
      <w:r>
        <w:rPr>
          <w:rFonts w:cs="Times New Roman"/>
          <w:color w:val="000000" w:themeColor="text1"/>
          <w:kern w:val="0"/>
          <w:szCs w:val="24"/>
          <w:u w:val="single"/>
        </w:rPr>
        <w:t>3</w:t>
      </w:r>
      <w:r>
        <w:rPr>
          <w:rFonts w:cs="Times New Roman"/>
          <w:color w:val="000000" w:themeColor="text1"/>
          <w:kern w:val="0"/>
          <w:szCs w:val="24"/>
          <w:u w:val="single"/>
        </w:rPr>
        <w:fldChar w:fldCharType="end"/>
      </w:r>
      <w:bookmarkEnd w:id="211"/>
      <w:r>
        <w:rPr>
          <w:rFonts w:hint="eastAsia" w:cs="Times New Roman"/>
          <w:color w:val="000000" w:themeColor="text1"/>
          <w:kern w:val="0"/>
          <w:szCs w:val="24"/>
          <w:u w:val="single"/>
        </w:rPr>
        <w:t>环境</w:t>
      </w:r>
      <w:r>
        <w:rPr>
          <w:rFonts w:cs="Times New Roman"/>
          <w:color w:val="000000" w:themeColor="text1"/>
          <w:kern w:val="0"/>
          <w:szCs w:val="24"/>
          <w:u w:val="single"/>
        </w:rPr>
        <w:t>治理投资估算</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95"/>
        <w:gridCol w:w="2181"/>
        <w:gridCol w:w="2311"/>
        <w:gridCol w:w="2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0" w:type="dxa"/>
            <w:gridSpan w:val="3"/>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类别</w:t>
            </w:r>
          </w:p>
        </w:tc>
        <w:tc>
          <w:tcPr>
            <w:tcW w:w="2311"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治理内容</w:t>
            </w:r>
          </w:p>
        </w:tc>
        <w:tc>
          <w:tcPr>
            <w:tcW w:w="2311" w:type="dxa"/>
            <w:vAlign w:val="center"/>
          </w:tcPr>
          <w:p>
            <w:pPr>
              <w:autoSpaceDE w:val="0"/>
              <w:autoSpaceDN w:val="0"/>
              <w:adjustRightInd w:val="0"/>
              <w:jc w:val="center"/>
              <w:rPr>
                <w:rFonts w:eastAsia="宋体" w:cs="Times New Roman"/>
                <w:color w:val="000000" w:themeColor="text1"/>
                <w:kern w:val="0"/>
                <w:sz w:val="21"/>
                <w:u w:val="single"/>
              </w:rPr>
            </w:pPr>
            <w:r>
              <w:rPr>
                <w:rFonts w:eastAsia="宋体" w:cs="Times New Roman"/>
                <w:color w:val="000000" w:themeColor="text1"/>
                <w:kern w:val="0"/>
                <w:sz w:val="21"/>
                <w:u w:val="single"/>
              </w:rPr>
              <w:t>环保投资</w:t>
            </w:r>
          </w:p>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44" w:type="dxa"/>
            <w:vMerge w:val="restart"/>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废水</w:t>
            </w:r>
          </w:p>
        </w:tc>
        <w:tc>
          <w:tcPr>
            <w:tcW w:w="1595" w:type="dxa"/>
            <w:tcBorders>
              <w:bottom w:val="single" w:color="auto" w:sz="4" w:space="0"/>
            </w:tcBorders>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废水排放口</w:t>
            </w:r>
          </w:p>
        </w:tc>
        <w:tc>
          <w:tcPr>
            <w:tcW w:w="4492" w:type="dxa"/>
            <w:gridSpan w:val="2"/>
            <w:tcBorders>
              <w:bottom w:val="single" w:color="auto" w:sz="4" w:space="0"/>
            </w:tcBorders>
            <w:vAlign w:val="center"/>
          </w:tcPr>
          <w:p>
            <w:pPr>
              <w:autoSpaceDE w:val="0"/>
              <w:autoSpaceDN w:val="0"/>
              <w:adjustRightInd w:val="0"/>
              <w:jc w:val="center"/>
              <w:rPr>
                <w:rFonts w:eastAsia="宋体" w:cs="Times New Roman"/>
                <w:color w:val="000000" w:themeColor="text1"/>
                <w:kern w:val="0"/>
                <w:sz w:val="21"/>
                <w:u w:val="single"/>
              </w:rPr>
            </w:pPr>
            <w:r>
              <w:rPr>
                <w:rFonts w:eastAsia="宋体" w:cs="Times New Roman"/>
                <w:color w:val="000000" w:themeColor="text1"/>
                <w:kern w:val="0"/>
                <w:sz w:val="21"/>
                <w:u w:val="single"/>
              </w:rPr>
              <w:t>废水排放在线监测系统</w:t>
            </w:r>
          </w:p>
        </w:tc>
        <w:tc>
          <w:tcPr>
            <w:tcW w:w="2311" w:type="dxa"/>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44" w:type="dxa"/>
            <w:vMerge w:val="continue"/>
            <w:vAlign w:val="center"/>
          </w:tcPr>
          <w:p>
            <w:pPr>
              <w:pStyle w:val="14"/>
              <w:spacing w:line="240" w:lineRule="auto"/>
              <w:rPr>
                <w:rFonts w:cs="Times New Roman"/>
                <w:b w:val="0"/>
                <w:color w:val="000000" w:themeColor="text1"/>
                <w:kern w:val="0"/>
                <w:sz w:val="21"/>
                <w:szCs w:val="21"/>
                <w:u w:val="single"/>
              </w:rPr>
            </w:pPr>
          </w:p>
        </w:tc>
        <w:tc>
          <w:tcPr>
            <w:tcW w:w="1595" w:type="dxa"/>
            <w:tcBorders>
              <w:top w:val="single" w:color="auto" w:sz="4" w:space="0"/>
            </w:tcBorders>
            <w:vAlign w:val="center"/>
          </w:tcPr>
          <w:p>
            <w:pPr>
              <w:pStyle w:val="14"/>
              <w:rPr>
                <w:rFonts w:cs="Times New Roman"/>
                <w:b w:val="0"/>
                <w:color w:val="000000" w:themeColor="text1"/>
                <w:kern w:val="0"/>
                <w:sz w:val="21"/>
                <w:szCs w:val="21"/>
                <w:u w:val="single"/>
              </w:rPr>
            </w:pPr>
            <w:r>
              <w:rPr>
                <w:rFonts w:cs="Times New Roman"/>
                <w:b w:val="0"/>
                <w:color w:val="000000" w:themeColor="text1"/>
                <w:kern w:val="0"/>
                <w:sz w:val="21"/>
                <w:szCs w:val="21"/>
                <w:u w:val="single"/>
              </w:rPr>
              <w:t>生活污水</w:t>
            </w:r>
          </w:p>
        </w:tc>
        <w:tc>
          <w:tcPr>
            <w:tcW w:w="4492" w:type="dxa"/>
            <w:gridSpan w:val="2"/>
            <w:tcBorders>
              <w:top w:val="single" w:color="auto" w:sz="4" w:space="0"/>
            </w:tcBorders>
            <w:vAlign w:val="center"/>
          </w:tcPr>
          <w:p>
            <w:pPr>
              <w:autoSpaceDE w:val="0"/>
              <w:autoSpaceDN w:val="0"/>
              <w:adjustRightInd w:val="0"/>
              <w:jc w:val="center"/>
              <w:rPr>
                <w:rFonts w:eastAsia="宋体" w:cs="Times New Roman"/>
                <w:color w:val="000000" w:themeColor="text1"/>
                <w:kern w:val="0"/>
                <w:sz w:val="21"/>
                <w:u w:val="single"/>
              </w:rPr>
            </w:pPr>
            <w:r>
              <w:rPr>
                <w:rFonts w:eastAsia="宋体" w:cs="Times New Roman"/>
                <w:color w:val="000000" w:themeColor="text1"/>
                <w:kern w:val="0"/>
                <w:sz w:val="21"/>
                <w:u w:val="single"/>
              </w:rPr>
              <w:t>化粪池</w:t>
            </w:r>
          </w:p>
        </w:tc>
        <w:tc>
          <w:tcPr>
            <w:tcW w:w="2311" w:type="dxa"/>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44" w:type="dxa"/>
            <w:vMerge w:val="continue"/>
            <w:vAlign w:val="center"/>
          </w:tcPr>
          <w:p>
            <w:pPr>
              <w:pStyle w:val="14"/>
              <w:spacing w:line="240" w:lineRule="auto"/>
              <w:rPr>
                <w:rFonts w:cs="Times New Roman"/>
                <w:b w:val="0"/>
                <w:color w:val="000000" w:themeColor="text1"/>
                <w:kern w:val="0"/>
                <w:sz w:val="21"/>
                <w:szCs w:val="21"/>
                <w:u w:val="single"/>
              </w:rPr>
            </w:pPr>
          </w:p>
        </w:tc>
        <w:tc>
          <w:tcPr>
            <w:tcW w:w="1595" w:type="dxa"/>
            <w:tcBorders>
              <w:top w:val="single" w:color="auto" w:sz="4" w:space="0"/>
            </w:tcBorders>
            <w:vAlign w:val="center"/>
          </w:tcPr>
          <w:p>
            <w:pPr>
              <w:pStyle w:val="14"/>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废水处理系统</w:t>
            </w:r>
          </w:p>
        </w:tc>
        <w:tc>
          <w:tcPr>
            <w:tcW w:w="4492" w:type="dxa"/>
            <w:gridSpan w:val="2"/>
            <w:tcBorders>
              <w:top w:val="single" w:color="auto" w:sz="4" w:space="0"/>
            </w:tcBorders>
            <w:vAlign w:val="center"/>
          </w:tcPr>
          <w:p>
            <w:pPr>
              <w:autoSpaceDE w:val="0"/>
              <w:autoSpaceDN w:val="0"/>
              <w:adjustRightInd w:val="0"/>
              <w:jc w:val="center"/>
              <w:rPr>
                <w:rFonts w:eastAsia="宋体" w:cs="Times New Roman"/>
                <w:color w:val="000000" w:themeColor="text1"/>
                <w:kern w:val="0"/>
                <w:sz w:val="21"/>
                <w:u w:val="single"/>
              </w:rPr>
            </w:pPr>
            <w:r>
              <w:rPr>
                <w:rFonts w:hint="eastAsia" w:eastAsia="宋体" w:cs="Times New Roman"/>
                <w:color w:val="000000" w:themeColor="text1"/>
                <w:kern w:val="0"/>
                <w:sz w:val="21"/>
                <w:u w:val="single"/>
              </w:rPr>
              <w:t>污水处理厂整个废水处理系统</w:t>
            </w:r>
          </w:p>
        </w:tc>
        <w:tc>
          <w:tcPr>
            <w:tcW w:w="2311" w:type="dxa"/>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13980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44"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地下水</w:t>
            </w:r>
          </w:p>
        </w:tc>
        <w:tc>
          <w:tcPr>
            <w:tcW w:w="1595"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污水处理区和污泥脱水区</w:t>
            </w:r>
          </w:p>
        </w:tc>
        <w:tc>
          <w:tcPr>
            <w:tcW w:w="4492" w:type="dxa"/>
            <w:gridSpan w:val="2"/>
            <w:vAlign w:val="center"/>
          </w:tcPr>
          <w:p>
            <w:pPr>
              <w:autoSpaceDE w:val="0"/>
              <w:autoSpaceDN w:val="0"/>
              <w:adjustRightInd w:val="0"/>
              <w:jc w:val="center"/>
              <w:rPr>
                <w:rFonts w:eastAsia="宋体" w:cs="Times New Roman"/>
                <w:color w:val="000000" w:themeColor="text1"/>
                <w:kern w:val="0"/>
                <w:sz w:val="21"/>
                <w:u w:val="single"/>
              </w:rPr>
            </w:pPr>
            <w:r>
              <w:rPr>
                <w:rFonts w:eastAsia="宋体" w:cs="Times New Roman"/>
                <w:color w:val="000000" w:themeColor="text1"/>
                <w:kern w:val="0"/>
                <w:sz w:val="21"/>
                <w:u w:val="single"/>
              </w:rPr>
              <w:t>对污水处理构筑物</w:t>
            </w:r>
            <w:r>
              <w:rPr>
                <w:rFonts w:hint="eastAsia" w:eastAsia="宋体" w:cs="Times New Roman"/>
                <w:color w:val="000000" w:themeColor="text1"/>
                <w:kern w:val="0"/>
                <w:sz w:val="21"/>
                <w:u w:val="single"/>
              </w:rPr>
              <w:t>、</w:t>
            </w:r>
            <w:r>
              <w:rPr>
                <w:rFonts w:eastAsia="宋体" w:cs="Times New Roman"/>
                <w:color w:val="000000" w:themeColor="text1"/>
                <w:kern w:val="0"/>
                <w:sz w:val="21"/>
                <w:u w:val="single"/>
              </w:rPr>
              <w:t>污泥暂存处按要求进行防腐防渗处理</w:t>
            </w:r>
          </w:p>
        </w:tc>
        <w:tc>
          <w:tcPr>
            <w:tcW w:w="2311" w:type="dxa"/>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844"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废气</w:t>
            </w:r>
          </w:p>
        </w:tc>
        <w:tc>
          <w:tcPr>
            <w:tcW w:w="1595"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废气处理</w:t>
            </w:r>
          </w:p>
        </w:tc>
        <w:tc>
          <w:tcPr>
            <w:tcW w:w="4492" w:type="dxa"/>
            <w:gridSpan w:val="2"/>
            <w:vAlign w:val="center"/>
          </w:tcPr>
          <w:p>
            <w:pPr>
              <w:autoSpaceDE w:val="0"/>
              <w:autoSpaceDN w:val="0"/>
              <w:adjustRightInd w:val="0"/>
              <w:jc w:val="center"/>
              <w:rPr>
                <w:rFonts w:eastAsia="宋体" w:cs="Times New Roman"/>
                <w:color w:val="000000" w:themeColor="text1"/>
                <w:kern w:val="0"/>
                <w:sz w:val="21"/>
                <w:u w:val="single"/>
              </w:rPr>
            </w:pPr>
            <w:r>
              <w:rPr>
                <w:rFonts w:hint="eastAsia" w:eastAsia="宋体" w:cs="Times New Roman"/>
                <w:color w:val="000000" w:themeColor="text1"/>
                <w:kern w:val="0"/>
                <w:sz w:val="21"/>
                <w:u w:val="single"/>
              </w:rPr>
              <w:t>臭气收集装置+臭气处理装置</w:t>
            </w:r>
          </w:p>
        </w:tc>
        <w:tc>
          <w:tcPr>
            <w:tcW w:w="2311" w:type="dxa"/>
            <w:vAlign w:val="center"/>
          </w:tcPr>
          <w:p>
            <w:pPr>
              <w:pStyle w:val="14"/>
              <w:spacing w:line="240" w:lineRule="auto"/>
              <w:rPr>
                <w:rFonts w:hint="eastAsia" w:eastAsia="宋体" w:cs="Times New Roman"/>
                <w:b w:val="0"/>
                <w:color w:val="000000" w:themeColor="text1"/>
                <w:kern w:val="0"/>
                <w:sz w:val="21"/>
                <w:szCs w:val="21"/>
                <w:u w:val="single"/>
                <w:lang w:eastAsia="zh-CN"/>
              </w:rPr>
            </w:pPr>
            <w:r>
              <w:rPr>
                <w:rFonts w:hint="eastAsia" w:cs="Times New Roman"/>
                <w:b w:val="0"/>
                <w:color w:val="000000" w:themeColor="text1"/>
                <w:kern w:val="0"/>
                <w:sz w:val="21"/>
                <w:szCs w:val="21"/>
                <w:u w:val="single"/>
              </w:rPr>
              <w:t>8</w:t>
            </w:r>
            <w:r>
              <w:rPr>
                <w:rFonts w:hint="eastAsia" w:cs="Times New Roman"/>
                <w:b w:val="0"/>
                <w:color w:val="000000" w:themeColor="text1"/>
                <w:kern w:val="0"/>
                <w:sz w:val="21"/>
                <w:szCs w:val="21"/>
                <w:u w:val="singl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噪声</w:t>
            </w:r>
          </w:p>
        </w:tc>
        <w:tc>
          <w:tcPr>
            <w:tcW w:w="1595"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噪声防治</w:t>
            </w:r>
          </w:p>
        </w:tc>
        <w:tc>
          <w:tcPr>
            <w:tcW w:w="4492" w:type="dxa"/>
            <w:gridSpan w:val="2"/>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隔声减震措施</w:t>
            </w:r>
          </w:p>
        </w:tc>
        <w:tc>
          <w:tcPr>
            <w:tcW w:w="2311" w:type="dxa"/>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44"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固废</w:t>
            </w:r>
          </w:p>
        </w:tc>
        <w:tc>
          <w:tcPr>
            <w:tcW w:w="1595"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固废处置</w:t>
            </w:r>
          </w:p>
        </w:tc>
        <w:tc>
          <w:tcPr>
            <w:tcW w:w="4492" w:type="dxa"/>
            <w:gridSpan w:val="2"/>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垃圾桶收集</w:t>
            </w:r>
          </w:p>
        </w:tc>
        <w:tc>
          <w:tcPr>
            <w:tcW w:w="2311" w:type="dxa"/>
            <w:vAlign w:val="center"/>
          </w:tcPr>
          <w:p>
            <w:pPr>
              <w:pStyle w:val="14"/>
              <w:spacing w:line="240" w:lineRule="auto"/>
              <w:rPr>
                <w:rFonts w:cs="Times New Roman"/>
                <w:b w:val="0"/>
                <w:color w:val="000000" w:themeColor="text1"/>
                <w:kern w:val="0"/>
                <w:sz w:val="21"/>
                <w:szCs w:val="21"/>
                <w:u w:val="single"/>
              </w:rPr>
            </w:pPr>
            <w:r>
              <w:rPr>
                <w:rFonts w:hint="eastAsia" w:cs="Times New Roman"/>
                <w:b w:val="0"/>
                <w:color w:val="000000" w:themeColor="text1"/>
                <w:kern w:val="0"/>
                <w:sz w:val="21"/>
                <w:szCs w:val="21"/>
                <w:u w:val="singl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1" w:type="dxa"/>
            <w:gridSpan w:val="4"/>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合计</w:t>
            </w:r>
          </w:p>
        </w:tc>
        <w:tc>
          <w:tcPr>
            <w:tcW w:w="2311" w:type="dxa"/>
            <w:vAlign w:val="center"/>
          </w:tcPr>
          <w:p>
            <w:pPr>
              <w:pStyle w:val="14"/>
              <w:spacing w:line="240" w:lineRule="auto"/>
              <w:rPr>
                <w:rFonts w:cs="Times New Roman"/>
                <w:b w:val="0"/>
                <w:color w:val="000000" w:themeColor="text1"/>
                <w:kern w:val="0"/>
                <w:sz w:val="21"/>
                <w:szCs w:val="21"/>
                <w:u w:val="single"/>
              </w:rPr>
            </w:pPr>
            <w:r>
              <w:rPr>
                <w:rFonts w:cs="Times New Roman"/>
                <w:b w:val="0"/>
                <w:color w:val="000000" w:themeColor="text1"/>
                <w:kern w:val="0"/>
                <w:sz w:val="21"/>
                <w:szCs w:val="21"/>
                <w:u w:val="single"/>
              </w:rPr>
              <w:t>14270</w:t>
            </w:r>
          </w:p>
        </w:tc>
      </w:tr>
    </w:tbl>
    <w:p>
      <w:pPr>
        <w:widowControl/>
        <w:jc w:val="left"/>
      </w:pPr>
      <w:r>
        <w:br w:type="page"/>
      </w:r>
    </w:p>
    <w:p>
      <w:pPr>
        <w:pStyle w:val="2"/>
        <w:adjustRightInd w:val="0"/>
        <w:snapToGrid w:val="0"/>
        <w:spacing w:line="360" w:lineRule="auto"/>
        <w:rPr>
          <w:color w:val="000000" w:themeColor="text1"/>
        </w:rPr>
      </w:pPr>
      <w:bookmarkStart w:id="212" w:name="_Toc532498758"/>
      <w:bookmarkStart w:id="213" w:name="_Toc532497689"/>
      <w:bookmarkStart w:id="214" w:name="_Toc532763222"/>
      <w:bookmarkStart w:id="215" w:name="_Toc29394"/>
      <w:bookmarkStart w:id="216" w:name="_Toc532376165"/>
      <w:r>
        <w:rPr>
          <w:rFonts w:hint="eastAsia"/>
          <w:color w:val="000000" w:themeColor="text1"/>
        </w:rPr>
        <w:t>环境影响经济损益分析</w:t>
      </w:r>
      <w:bookmarkEnd w:id="212"/>
      <w:bookmarkEnd w:id="213"/>
      <w:bookmarkEnd w:id="214"/>
      <w:bookmarkEnd w:id="215"/>
      <w:bookmarkEnd w:id="216"/>
    </w:p>
    <w:p>
      <w:pPr>
        <w:pStyle w:val="4"/>
        <w:adjustRightInd w:val="0"/>
        <w:snapToGrid w:val="0"/>
        <w:rPr>
          <w:color w:val="000000" w:themeColor="text1"/>
        </w:rPr>
      </w:pPr>
      <w:bookmarkStart w:id="217" w:name="_Toc27471"/>
      <w:r>
        <w:rPr>
          <w:rFonts w:hint="eastAsia"/>
          <w:color w:val="000000" w:themeColor="text1"/>
          <w:lang w:eastAsia="zh-CN"/>
        </w:rPr>
        <w:t>环境正效益分析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lang w:eastAsia="zh-CN"/>
        </w:rPr>
      </w:pPr>
      <w:r>
        <w:rPr>
          <w:rFonts w:hint="eastAsia"/>
          <w:color w:val="000000" w:themeColor="text1"/>
          <w:lang w:eastAsia="zh-CN"/>
        </w:rPr>
        <w:t>本项目位于华容县石伏工业园，作为区域污水集中处理措施，是一个环境效益、社会效益俱佳的建设项目。</w:t>
      </w:r>
    </w:p>
    <w:p>
      <w:pPr>
        <w:pStyle w:val="3"/>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val="0"/>
          <w:color w:val="000000" w:themeColor="text1"/>
          <w:kern w:val="2"/>
          <w:sz w:val="24"/>
          <w:szCs w:val="21"/>
          <w:u w:val="single"/>
          <w:lang w:val="en-US" w:eastAsia="zh-CN" w:bidi="ar-SA"/>
        </w:rPr>
      </w:pPr>
      <w:r>
        <w:rPr>
          <w:rFonts w:hint="eastAsia" w:ascii="Times New Roman" w:hAnsi="Times New Roman" w:cs="Times New Roman"/>
          <w:b w:val="0"/>
          <w:bCs w:val="0"/>
          <w:color w:val="000000" w:themeColor="text1"/>
          <w:kern w:val="2"/>
          <w:sz w:val="24"/>
          <w:szCs w:val="21"/>
          <w:u w:val="single"/>
          <w:lang w:val="en-US" w:eastAsia="zh-CN" w:bidi="ar-SA"/>
        </w:rPr>
        <w:t>服务范围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u w:val="single"/>
          <w:lang w:val="en-US" w:eastAsia="zh-CN"/>
        </w:rPr>
      </w:pPr>
      <w:r>
        <w:rPr>
          <w:rFonts w:hint="eastAsia"/>
          <w:u w:val="single"/>
          <w:lang w:val="en-US" w:eastAsia="zh-CN"/>
        </w:rPr>
        <w:t>本项目主要收集服务范围为桥东片区的生活污水和石伏工业园的污水</w:t>
      </w:r>
      <w:r>
        <w:rPr>
          <w:rFonts w:eastAsia="宋体" w:cs="Times New Roman"/>
          <w:u w:val="single"/>
        </w:rPr>
        <w:t>污水收集范</w:t>
      </w:r>
      <w:r>
        <w:rPr>
          <w:rFonts w:hint="eastAsia"/>
          <w:u w:val="single"/>
          <w:lang w:val="en-US" w:eastAsia="zh-CN"/>
        </w:rPr>
        <w:t>围为8.5km2，服务人口8.5万人。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u w:val="single"/>
          <w:lang w:val="en-US" w:eastAsia="zh-CN"/>
        </w:rPr>
      </w:pPr>
      <w:r>
        <w:rPr>
          <w:rFonts w:hint="eastAsia"/>
          <w:u w:val="single"/>
          <w:lang w:val="en-US" w:eastAsia="zh-CN"/>
        </w:rPr>
        <w:t>污水处理流程：收集进水+粗格栅及提升泵房+细格栅+水解酸化池+AAO生物质+矩形二沉池+高效混凝沉淀池+滤布滤池+接触消毒池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u w:val="single"/>
          <w:lang w:eastAsia="zh-CN"/>
        </w:rPr>
      </w:pPr>
      <w:r>
        <w:rPr>
          <w:rFonts w:hint="eastAsia"/>
          <w:u w:val="single"/>
          <w:lang w:val="en-US" w:eastAsia="zh-CN"/>
        </w:rPr>
        <w:t>本项目出水主要执行</w:t>
      </w:r>
      <w:r>
        <w:rPr>
          <w:rFonts w:hint="eastAsia"/>
          <w:u w:val="single"/>
        </w:rPr>
        <w:t>《城镇污水处理厂污染物排放标准》（GB18918-2002）一级A标准，处理后的尾水排入华容河</w:t>
      </w:r>
      <w:r>
        <w:rPr>
          <w:rFonts w:hint="eastAsia"/>
          <w:u w:val="singl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u w:val="single"/>
          <w:lang w:val="en-US" w:eastAsia="zh-CN"/>
        </w:rPr>
      </w:pPr>
      <w:r>
        <w:rPr>
          <w:rFonts w:hint="eastAsia"/>
          <w:u w:val="single"/>
          <w:lang w:eastAsia="zh-CN"/>
        </w:rPr>
        <w:t>本项目污水处理厂的属于环保工程，设计的处理能力为</w:t>
      </w:r>
      <w:r>
        <w:rPr>
          <w:rFonts w:hint="eastAsia"/>
          <w:u w:val="single"/>
          <w:lang w:val="en-US" w:eastAsia="zh-CN"/>
        </w:rPr>
        <w:t>2万m</w:t>
      </w:r>
      <w:r>
        <w:rPr>
          <w:rFonts w:hint="eastAsia"/>
          <w:u w:val="single"/>
          <w:vertAlign w:val="superscript"/>
          <w:lang w:val="en-US" w:eastAsia="zh-CN"/>
        </w:rPr>
        <w:t>3</w:t>
      </w:r>
      <w:r>
        <w:rPr>
          <w:rFonts w:hint="eastAsia"/>
          <w:u w:val="single"/>
          <w:lang w:val="en-US" w:eastAsia="zh-CN"/>
        </w:rPr>
        <w:t>/d，本项目主要用于服务范围内现有企业、在建企业以及拟驻项目外排废水集中处理，减少废水污染的排放。另外，本工程对设施、管道和仪表都选用的核实的材料，防止物料对设备、管道的腐蚀而造成泄露；加强设备、管道、管件的巡查和维护，防止跑、冒、滴、漏现象的发生等，可使工程恶臭污染物的无组织排放得到有效控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u w:val="single"/>
          <w:lang w:val="en-US" w:eastAsia="zh-CN"/>
        </w:rPr>
      </w:pPr>
      <w:r>
        <w:rPr>
          <w:rFonts w:hint="eastAsia"/>
          <w:u w:val="single"/>
          <w:lang w:val="en-US" w:eastAsia="zh-CN"/>
        </w:rPr>
        <w:t>本项目对恶臭源的有效治理，大大削弱各厂污水产生的大气污染。 本项目噪声源经采取隔声减振等消声、降噪处理措施后，生产噪声对外环境的影响将减轻到较低水平。项目建设可使项目废水经过治理达到排放，对水体污染得以控制，水体环境质量得到改善，有效的改善了华容河的水质，具有较高的环境正效益。</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u w:val="single"/>
          <w:lang w:val="en-US" w:eastAsia="zh-CN"/>
        </w:rPr>
      </w:pPr>
      <w:r>
        <w:rPr>
          <w:rFonts w:hint="eastAsia"/>
          <w:u w:val="single"/>
          <w:lang w:val="en-US" w:eastAsia="zh-CN"/>
        </w:rPr>
        <w:t>效益分析</w:t>
      </w:r>
      <w:r>
        <w:rPr>
          <w:rFonts w:hint="eastAsia"/>
          <w:u w:val="single"/>
          <w:lang w:val="en-US" w:eastAsia="zh-CN"/>
        </w:rPr>
        <w:br w:type="textWrapping"/>
      </w:r>
      <w:r>
        <w:rPr>
          <w:rFonts w:hint="eastAsia"/>
          <w:u w:val="single"/>
          <w:lang w:val="en-US" w:eastAsia="zh-CN"/>
        </w:rPr>
        <w:t>本项目污水处理厂，将服务区的污水全部收集后进行处理，有效的减少污染改善了服务区的水环境，尤其对流域水环境的改善起到了促进作用。</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u w:val="single"/>
          <w:vertAlign w:val="baseline"/>
          <w:lang w:val="en-US" w:eastAsia="zh-CN"/>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6</w:t>
      </w:r>
      <w:r>
        <w:rPr>
          <w:rFonts w:hint="eastAsia"/>
          <w:u w:val="single"/>
          <w:lang w:val="en-US" w:eastAsia="zh-CN"/>
        </w:rPr>
        <w:t>.</w:t>
      </w:r>
      <w:r>
        <w:rPr>
          <w:u w:val="single"/>
        </w:rPr>
        <w:t>1</w:t>
      </w:r>
      <w:r>
        <w:rPr>
          <w:u w:val="single"/>
        </w:rPr>
        <w:fldChar w:fldCharType="end"/>
      </w:r>
      <w:r>
        <w:rPr>
          <w:rFonts w:hint="eastAsia"/>
          <w:u w:val="single"/>
          <w:lang w:eastAsia="zh-CN"/>
        </w:rPr>
        <w:t>-</w:t>
      </w:r>
      <w:r>
        <w:rPr>
          <w:u w:val="single"/>
        </w:rPr>
        <w:fldChar w:fldCharType="begin"/>
      </w:r>
      <w:r>
        <w:rPr>
          <w:u w:val="single"/>
        </w:rPr>
        <w:instrText xml:space="preserve"> SEQ 表 \* ARABIC \s 2 </w:instrText>
      </w:r>
      <w:r>
        <w:rPr>
          <w:u w:val="single"/>
        </w:rPr>
        <w:fldChar w:fldCharType="separate"/>
      </w:r>
      <w:r>
        <w:rPr>
          <w:u w:val="single"/>
        </w:rPr>
        <w:t>1</w:t>
      </w:r>
      <w:r>
        <w:rPr>
          <w:u w:val="single"/>
        </w:rPr>
        <w:fldChar w:fldCharType="end"/>
      </w:r>
      <w:r>
        <w:rPr>
          <w:rFonts w:hint="eastAsia"/>
          <w:u w:val="single"/>
          <w:lang w:val="en-US" w:eastAsia="zh-CN"/>
        </w:rPr>
        <w:t xml:space="preserve">  本工程污染物排放及污染削减负荷</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532"/>
        <w:gridCol w:w="832"/>
        <w:gridCol w:w="823"/>
        <w:gridCol w:w="759"/>
        <w:gridCol w:w="759"/>
        <w:gridCol w:w="828"/>
        <w:gridCol w:w="75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处理对象</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水污染物</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水量</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CODcr</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BOD</w:t>
            </w:r>
            <w:r>
              <w:rPr>
                <w:rFonts w:hint="eastAsia"/>
                <w:b w:val="0"/>
                <w:bCs/>
                <w:sz w:val="21"/>
                <w:szCs w:val="21"/>
                <w:u w:val="single"/>
                <w:vertAlign w:val="subscript"/>
                <w:lang w:val="en-US" w:eastAsia="zh-CN"/>
              </w:rPr>
              <w:t>5</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SS</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NH</w:t>
            </w:r>
            <w:r>
              <w:rPr>
                <w:rFonts w:hint="default" w:eastAsia="宋体"/>
                <w:b w:val="0"/>
                <w:bCs/>
                <w:sz w:val="21"/>
                <w:szCs w:val="21"/>
                <w:u w:val="single"/>
                <w:vertAlign w:val="subscript"/>
                <w:lang w:val="en-US" w:eastAsia="zh-CN"/>
              </w:rPr>
              <w:t>3</w:t>
            </w:r>
            <w:r>
              <w:rPr>
                <w:rFonts w:hint="default" w:eastAsia="宋体"/>
                <w:b w:val="0"/>
                <w:bCs/>
                <w:sz w:val="21"/>
                <w:szCs w:val="21"/>
                <w:u w:val="single"/>
                <w:vertAlign w:val="baseline"/>
                <w:lang w:val="en-US" w:eastAsia="zh-CN"/>
              </w:rPr>
              <w:t>-N</w:t>
            </w:r>
          </w:p>
        </w:tc>
        <w:tc>
          <w:tcPr>
            <w:tcW w:w="0" w:type="auto"/>
            <w:tcBorders>
              <w:top w:val="single" w:color="auto" w:sz="12" w:space="0"/>
            </w:tcBorders>
            <w:vAlign w:val="center"/>
          </w:tcPr>
          <w:p>
            <w:pPr>
              <w:pStyle w:val="14"/>
              <w:jc w:val="center"/>
              <w:rPr>
                <w:rFonts w:hint="default" w:eastAsia="宋体"/>
                <w:b w:val="0"/>
                <w:bCs/>
                <w:sz w:val="21"/>
                <w:szCs w:val="21"/>
                <w:u w:val="single"/>
                <w:vertAlign w:val="baseline"/>
                <w:lang w:val="en-US" w:eastAsia="zh-CN"/>
              </w:rPr>
            </w:pPr>
            <w:r>
              <w:rPr>
                <w:b w:val="0"/>
                <w:bCs/>
                <w:sz w:val="21"/>
                <w:szCs w:val="21"/>
                <w:u w:val="single"/>
              </w:rPr>
              <w:t>TN</w:t>
            </w:r>
          </w:p>
        </w:tc>
        <w:tc>
          <w:tcPr>
            <w:tcW w:w="0" w:type="auto"/>
            <w:tcBorders>
              <w:top w:val="single" w:color="auto" w:sz="12" w:space="0"/>
              <w:right w:val="nil"/>
            </w:tcBorders>
            <w:vAlign w:val="center"/>
          </w:tcPr>
          <w:p>
            <w:pPr>
              <w:pStyle w:val="14"/>
              <w:jc w:val="center"/>
              <w:rPr>
                <w:rFonts w:hint="eastAsia" w:eastAsia="宋体"/>
                <w:b w:val="0"/>
                <w:bCs/>
                <w:sz w:val="21"/>
                <w:szCs w:val="21"/>
                <w:u w:val="single"/>
                <w:vertAlign w:val="baseline"/>
                <w:lang w:val="en-US" w:eastAsia="zh-CN"/>
              </w:rPr>
            </w:pPr>
            <w:r>
              <w:rPr>
                <w:b w:val="0"/>
                <w:bCs/>
                <w:sz w:val="21"/>
                <w:szCs w:val="21"/>
                <w:u w:val="single"/>
              </w:rPr>
              <w:t>T</w:t>
            </w:r>
            <w:r>
              <w:rPr>
                <w:rFonts w:hint="eastAsia"/>
                <w:b w:val="0"/>
                <w:bCs/>
                <w:sz w:val="21"/>
                <w:szCs w:val="21"/>
                <w:u w:val="single"/>
                <w:lang w:val="en-US" w:eastAsia="zh-C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lef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石伏工业园污水和桥东片区的生活污水</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进水浓度（mg/L）</w:t>
            </w:r>
          </w:p>
        </w:tc>
        <w:tc>
          <w:tcPr>
            <w:tcW w:w="0" w:type="auto"/>
            <w:vMerge w:val="restart"/>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2万m</w:t>
            </w:r>
            <w:r>
              <w:rPr>
                <w:rFonts w:hint="eastAsia"/>
                <w:b w:val="0"/>
                <w:bCs/>
                <w:sz w:val="21"/>
                <w:szCs w:val="21"/>
                <w:u w:val="single"/>
                <w:vertAlign w:val="superscript"/>
                <w:lang w:val="en-US" w:eastAsia="zh-CN"/>
              </w:rPr>
              <w:t>3</w:t>
            </w:r>
            <w:r>
              <w:rPr>
                <w:rFonts w:hint="eastAsia"/>
                <w:b w:val="0"/>
                <w:bCs/>
                <w:sz w:val="21"/>
                <w:szCs w:val="21"/>
                <w:u w:val="single"/>
                <w:vertAlign w:val="baseline"/>
                <w:lang w:val="en-US" w:eastAsia="zh-CN"/>
              </w:rPr>
              <w:t>/d</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420</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150</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240</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36</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46</w:t>
            </w:r>
          </w:p>
        </w:tc>
        <w:tc>
          <w:tcPr>
            <w:tcW w:w="0" w:type="auto"/>
            <w:tcBorders>
              <w:righ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产生量（t/a）</w:t>
            </w:r>
          </w:p>
        </w:tc>
        <w:tc>
          <w:tcPr>
            <w:tcW w:w="0" w:type="auto"/>
            <w:vMerge w:val="continue"/>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8.4</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3</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4.79</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0.72</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0.92</w:t>
            </w:r>
          </w:p>
        </w:tc>
        <w:tc>
          <w:tcPr>
            <w:tcW w:w="0" w:type="auto"/>
            <w:tcBorders>
              <w:righ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出水浓度（mg/L）</w:t>
            </w:r>
          </w:p>
        </w:tc>
        <w:tc>
          <w:tcPr>
            <w:tcW w:w="0" w:type="auto"/>
            <w:vMerge w:val="continue"/>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50</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10</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5（8）</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15</w:t>
            </w:r>
          </w:p>
        </w:tc>
        <w:tc>
          <w:tcPr>
            <w:tcW w:w="0" w:type="auto"/>
            <w:tcBorders>
              <w:righ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排放量（t/a）</w:t>
            </w:r>
          </w:p>
        </w:tc>
        <w:tc>
          <w:tcPr>
            <w:tcW w:w="0" w:type="auto"/>
            <w:vMerge w:val="continue"/>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0.95</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0.19</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0.19</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0.15</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0.28</w:t>
            </w:r>
          </w:p>
        </w:tc>
        <w:tc>
          <w:tcPr>
            <w:tcW w:w="0" w:type="auto"/>
            <w:tcBorders>
              <w:righ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vAlign w:val="center"/>
          </w:tcPr>
          <w:p>
            <w:pPr>
              <w:pStyle w:val="14"/>
              <w:jc w:val="center"/>
              <w:rPr>
                <w:rFonts w:hint="default" w:eastAsia="宋体"/>
                <w:b w:val="0"/>
                <w:bCs/>
                <w:sz w:val="21"/>
                <w:szCs w:val="21"/>
                <w:u w:val="single"/>
                <w:vertAlign w:val="baseline"/>
                <w:lang w:val="en-US" w:eastAsia="zh-CN"/>
              </w:rPr>
            </w:pP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削减量（t/a）</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7.45</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2.81</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4.6</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0.57</w:t>
            </w:r>
          </w:p>
        </w:tc>
        <w:tc>
          <w:tcPr>
            <w:tcW w:w="0" w:type="auto"/>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0.64</w:t>
            </w:r>
          </w:p>
        </w:tc>
        <w:tc>
          <w:tcPr>
            <w:tcW w:w="0" w:type="auto"/>
            <w:tcBorders>
              <w:right w:val="nil"/>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Borders>
              <w:left w:val="nil"/>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削减率%</w:t>
            </w:r>
          </w:p>
        </w:tc>
        <w:tc>
          <w:tcPr>
            <w:tcW w:w="0" w:type="auto"/>
            <w:tcBorders>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eastAsia"/>
                <w:b w:val="0"/>
                <w:bCs/>
                <w:sz w:val="21"/>
                <w:szCs w:val="21"/>
                <w:u w:val="single"/>
                <w:vertAlign w:val="baseline"/>
                <w:lang w:val="en-US" w:eastAsia="zh-CN"/>
              </w:rPr>
              <w:t>/</w:t>
            </w:r>
          </w:p>
        </w:tc>
        <w:tc>
          <w:tcPr>
            <w:tcW w:w="0" w:type="auto"/>
            <w:tcBorders>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88.9%</w:t>
            </w:r>
          </w:p>
        </w:tc>
        <w:tc>
          <w:tcPr>
            <w:tcW w:w="0" w:type="auto"/>
            <w:tcBorders>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95.5%</w:t>
            </w:r>
          </w:p>
        </w:tc>
        <w:tc>
          <w:tcPr>
            <w:tcW w:w="0" w:type="auto"/>
            <w:tcBorders>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96.7%</w:t>
            </w:r>
          </w:p>
        </w:tc>
        <w:tc>
          <w:tcPr>
            <w:tcW w:w="0" w:type="auto"/>
            <w:tcBorders>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86.1%</w:t>
            </w:r>
          </w:p>
        </w:tc>
        <w:tc>
          <w:tcPr>
            <w:tcW w:w="0" w:type="auto"/>
            <w:tcBorders>
              <w:bottom w:val="single" w:color="auto" w:sz="12" w:space="0"/>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71.2%</w:t>
            </w:r>
          </w:p>
        </w:tc>
        <w:tc>
          <w:tcPr>
            <w:tcW w:w="0" w:type="auto"/>
            <w:tcBorders>
              <w:bottom w:val="single" w:color="auto" w:sz="12" w:space="0"/>
              <w:right w:val="nil"/>
            </w:tcBorders>
            <w:vAlign w:val="center"/>
          </w:tcPr>
          <w:p>
            <w:pPr>
              <w:pStyle w:val="14"/>
              <w:jc w:val="center"/>
              <w:rPr>
                <w:rFonts w:hint="default" w:eastAsia="宋体"/>
                <w:b w:val="0"/>
                <w:bCs/>
                <w:sz w:val="21"/>
                <w:szCs w:val="21"/>
                <w:u w:val="single"/>
                <w:vertAlign w:val="baseline"/>
                <w:lang w:val="en-US" w:eastAsia="zh-CN"/>
              </w:rPr>
            </w:pPr>
            <w:r>
              <w:rPr>
                <w:rFonts w:hint="default" w:eastAsia="宋体"/>
                <w:b w:val="0"/>
                <w:bCs/>
                <w:sz w:val="21"/>
                <w:szCs w:val="21"/>
                <w:u w:val="single"/>
                <w:vertAlign w:val="baseline"/>
                <w:lang w:val="en-US" w:eastAsia="zh-CN"/>
              </w:rPr>
              <w:t>90.4%</w:t>
            </w:r>
          </w:p>
        </w:tc>
      </w:tr>
    </w:tbl>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u w:val="single"/>
          <w:lang w:eastAsia="zh-CN"/>
        </w:rPr>
      </w:pPr>
      <w:r>
        <w:rPr>
          <w:rFonts w:hint="eastAsia"/>
          <w:b w:val="0"/>
          <w:bCs/>
          <w:u w:val="single"/>
          <w:lang w:val="en-US" w:eastAsia="zh-CN"/>
        </w:rPr>
        <w:t>由上表可知，本项目纳污范围内的废水经相应的污水预处理措施处理达到污水处理厂进水水质相关要求后，进入桥东污水处理厂处理，出水水质达到</w:t>
      </w:r>
      <w:r>
        <w:rPr>
          <w:rFonts w:hint="eastAsia"/>
          <w:b w:val="0"/>
          <w:bCs/>
          <w:u w:val="single"/>
        </w:rPr>
        <w:t>《城镇污水处理厂污染物排放标准》（GB18918-2002）一级A标准，处理后的尾水排入华容河</w:t>
      </w:r>
      <w:r>
        <w:rPr>
          <w:rFonts w:hint="eastAsia"/>
          <w:b w:val="0"/>
          <w:bCs/>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u w:val="single"/>
          <w:lang w:val="en-US" w:eastAsia="zh-CN"/>
        </w:rPr>
      </w:pPr>
      <w:r>
        <w:rPr>
          <w:rFonts w:hint="eastAsia"/>
          <w:b w:val="0"/>
          <w:bCs/>
          <w:u w:val="single"/>
          <w:lang w:eastAsia="zh-CN"/>
        </w:rPr>
        <w:t>对于区域地表水来说，本项目满足了社会、经济的发展对环境保护的要求，比起无序的排水现状仍然有削减的空间，项目的实施对地表水的影响不会因为区域社会、经济的发展而恶化，反而</w:t>
      </w:r>
      <w:r>
        <w:rPr>
          <w:rFonts w:hint="eastAsia"/>
          <w:b w:val="0"/>
          <w:bCs/>
          <w:u w:val="single"/>
          <w:lang w:val="en-US" w:eastAsia="zh-CN"/>
        </w:rPr>
        <w:t>现状有改善。</w:t>
      </w:r>
    </w:p>
    <w:p>
      <w:pPr>
        <w:pStyle w:val="4"/>
        <w:adjustRightInd w:val="0"/>
        <w:snapToGrid w:val="0"/>
        <w:rPr>
          <w:color w:val="000000" w:themeColor="text1"/>
        </w:rPr>
      </w:pPr>
      <w:r>
        <w:rPr>
          <w:rFonts w:hint="eastAsia"/>
          <w:color w:val="000000" w:themeColor="text1"/>
        </w:rPr>
        <w:t>环境效益分析</w:t>
      </w:r>
      <w:bookmarkEnd w:id="217"/>
    </w:p>
    <w:p>
      <w:pPr>
        <w:autoSpaceDE w:val="0"/>
        <w:autoSpaceDN w:val="0"/>
        <w:adjustRightInd w:val="0"/>
        <w:snapToGrid w:val="0"/>
        <w:spacing w:line="360" w:lineRule="auto"/>
        <w:ind w:firstLine="480" w:firstLineChars="200"/>
        <w:jc w:val="left"/>
        <w:rPr>
          <w:rFonts w:eastAsia="宋体" w:cs="Times New Roman"/>
          <w:color w:val="000000" w:themeColor="text1"/>
        </w:rPr>
      </w:pPr>
      <w:r>
        <w:rPr>
          <w:rFonts w:hint="eastAsia" w:ascii="宋体" w:eastAsia="宋体" w:cs="宋体" w:hAnsiTheme="minorHAnsi"/>
          <w:color w:val="000000" w:themeColor="text1"/>
          <w:kern w:val="0"/>
          <w:szCs w:val="24"/>
        </w:rPr>
        <w:t>本项目即是一项基础设施建设工程，又是一项城市综合整治和水环境综合整治的公益性环保工程。它即可改善华容市基础设施建设不完善的状况，改善华容河水体的水质，有着姣好的社会、经济和环境效益。本项目特有的环保工程特征决定了其投资效益具有三个特点</w:t>
      </w:r>
      <w:r>
        <w:rPr>
          <w:rFonts w:hint="eastAsia" w:eastAsia="宋体" w:cs="Times New Roman"/>
          <w:color w:val="000000" w:themeColor="text1"/>
        </w:rPr>
        <w:t>：（1）间接性。本项目带来的效益更多的是使其他部门提高效率、减少损失，所以投资的直接收益率低，污水处理厂的运转需要一定的财政补贴；（2）隐蔽性。本项目投资产生的最大效益是防治水体污染，保证生活生产用水质量，社会效益显著；（3）分散性。由于水污染的危害涉及到社会各方面，包括生活、生产、旅游、人身健康等，使得工程投资的效益较分散。污水处理工程的这些特征使它产生的经济效益很难用准确数据表示出来。</w:t>
      </w:r>
      <w:r>
        <w:rPr>
          <w:rFonts w:eastAsia="宋体" w:cs="Times New Roman"/>
          <w:color w:val="000000" w:themeColor="text1"/>
        </w:rPr>
        <w:t>从项目性质可视为全部用于环境改善的环保投资。</w:t>
      </w:r>
    </w:p>
    <w:p>
      <w:pPr>
        <w:pStyle w:val="4"/>
        <w:adjustRightInd w:val="0"/>
        <w:snapToGrid w:val="0"/>
        <w:rPr>
          <w:color w:val="000000" w:themeColor="text1"/>
        </w:rPr>
      </w:pPr>
      <w:bookmarkStart w:id="218" w:name="_Toc532498760"/>
      <w:bookmarkStart w:id="219" w:name="_Toc532763224"/>
      <w:bookmarkStart w:id="220" w:name="_Toc532376167"/>
      <w:bookmarkStart w:id="221" w:name="_Toc30005"/>
      <w:bookmarkStart w:id="222" w:name="_Toc532497691"/>
      <w:r>
        <w:rPr>
          <w:rFonts w:hint="eastAsia"/>
          <w:color w:val="000000" w:themeColor="text1"/>
        </w:rPr>
        <w:t>经济效益分析</w:t>
      </w:r>
      <w:bookmarkEnd w:id="218"/>
      <w:bookmarkEnd w:id="219"/>
      <w:bookmarkEnd w:id="220"/>
      <w:bookmarkEnd w:id="221"/>
      <w:bookmarkEnd w:id="222"/>
    </w:p>
    <w:p>
      <w:pPr>
        <w:autoSpaceDE w:val="0"/>
        <w:autoSpaceDN w:val="0"/>
        <w:adjustRightInd w:val="0"/>
        <w:snapToGrid w:val="0"/>
        <w:spacing w:line="360" w:lineRule="auto"/>
        <w:ind w:firstLine="480" w:firstLineChars="200"/>
        <w:jc w:val="left"/>
        <w:rPr>
          <w:rFonts w:ascii="宋体" w:eastAsia="宋体" w:cs="宋体" w:hAnsiTheme="minorHAnsi"/>
          <w:color w:val="000000" w:themeColor="text1"/>
          <w:kern w:val="0"/>
          <w:szCs w:val="24"/>
        </w:rPr>
      </w:pPr>
      <w:r>
        <w:rPr>
          <w:rFonts w:ascii="宋体" w:eastAsia="宋体" w:cs="宋体" w:hAnsiTheme="minorHAnsi"/>
          <w:color w:val="000000" w:themeColor="text1"/>
          <w:kern w:val="0"/>
          <w:szCs w:val="24"/>
        </w:rPr>
        <w:t>污水处理厂作为华容县桥东城区和石伏工业园区基础设施的重要组成部分</w:t>
      </w:r>
      <w:r>
        <w:rPr>
          <w:rFonts w:hint="eastAsia" w:ascii="宋体" w:eastAsia="宋体" w:cs="宋体" w:hAnsiTheme="minorHAnsi"/>
          <w:color w:val="000000" w:themeColor="text1"/>
          <w:kern w:val="0"/>
          <w:szCs w:val="24"/>
        </w:rPr>
        <w:t>，</w:t>
      </w:r>
      <w:r>
        <w:rPr>
          <w:rFonts w:ascii="宋体" w:eastAsia="宋体" w:cs="宋体" w:hAnsiTheme="minorHAnsi"/>
          <w:color w:val="000000" w:themeColor="text1"/>
          <w:kern w:val="0"/>
          <w:szCs w:val="24"/>
        </w:rPr>
        <w:t>其本身并不产生直接的经济效益</w:t>
      </w:r>
      <w:r>
        <w:rPr>
          <w:rFonts w:hint="eastAsia" w:ascii="宋体" w:eastAsia="宋体" w:cs="宋体" w:hAnsiTheme="minorHAnsi"/>
          <w:color w:val="000000" w:themeColor="text1"/>
          <w:kern w:val="0"/>
          <w:szCs w:val="24"/>
        </w:rPr>
        <w:t>，</w:t>
      </w:r>
      <w:r>
        <w:rPr>
          <w:rFonts w:ascii="宋体" w:eastAsia="宋体" w:cs="宋体" w:hAnsiTheme="minorHAnsi"/>
          <w:color w:val="000000" w:themeColor="text1"/>
          <w:kern w:val="0"/>
          <w:szCs w:val="24"/>
        </w:rPr>
        <w:t>其效益主要体现在环境效益和社会效益</w:t>
      </w:r>
      <w:r>
        <w:rPr>
          <w:rFonts w:hint="eastAsia" w:ascii="宋体" w:eastAsia="宋体" w:cs="宋体" w:hAnsiTheme="minorHAnsi"/>
          <w:color w:val="000000" w:themeColor="text1"/>
          <w:kern w:val="0"/>
          <w:szCs w:val="24"/>
        </w:rPr>
        <w:t>。</w:t>
      </w:r>
    </w:p>
    <w:p>
      <w:pPr>
        <w:autoSpaceDE w:val="0"/>
        <w:autoSpaceDN w:val="0"/>
        <w:adjustRightInd w:val="0"/>
        <w:snapToGrid w:val="0"/>
        <w:spacing w:line="360" w:lineRule="auto"/>
        <w:ind w:firstLine="480" w:firstLineChars="200"/>
        <w:jc w:val="left"/>
        <w:rPr>
          <w:rFonts w:ascii="宋体" w:eastAsia="宋体" w:cs="宋体" w:hAnsiTheme="minorHAnsi"/>
          <w:color w:val="000000" w:themeColor="text1"/>
          <w:kern w:val="0"/>
          <w:szCs w:val="24"/>
        </w:rPr>
      </w:pPr>
      <w:r>
        <w:rPr>
          <w:rFonts w:hint="eastAsia" w:ascii="宋体" w:eastAsia="宋体" w:cs="宋体" w:hAnsiTheme="minorHAnsi"/>
          <w:color w:val="000000" w:themeColor="text1"/>
          <w:kern w:val="0"/>
          <w:szCs w:val="24"/>
        </w:rPr>
        <w:t>本项目的实施将有效的预防工业集中区生产企业外排废水对受纳水体华容河的污染，保证工农业的正常产生，避免污水排放对水体环境的污染以及由此产生的经济损失，保证工农的正常生产，避免污染排放对水体环境的污染以及由此产生的经济损失，减轻污水对地下水源的污染，使城市人民生活环境和城市生态环境都得以大幅度改观，这些都将对改善华容的投资环境，吸引外资，开发资源，发展工业经济，增加农、渔业的产量，提高农副产品和工艺产品质量等起到了积极、有效的作用。因此，本项目所产生的间接经济效益将是巨大的。</w:t>
      </w:r>
    </w:p>
    <w:p>
      <w:pPr>
        <w:autoSpaceDE w:val="0"/>
        <w:autoSpaceDN w:val="0"/>
        <w:adjustRightInd w:val="0"/>
        <w:snapToGrid w:val="0"/>
        <w:spacing w:line="360" w:lineRule="auto"/>
        <w:ind w:firstLine="480" w:firstLineChars="200"/>
        <w:jc w:val="left"/>
        <w:rPr>
          <w:rFonts w:ascii="宋体" w:eastAsia="宋体" w:cs="宋体" w:hAnsiTheme="minorHAnsi"/>
          <w:color w:val="000000" w:themeColor="text1"/>
          <w:kern w:val="0"/>
          <w:szCs w:val="24"/>
        </w:rPr>
      </w:pPr>
      <w:r>
        <w:rPr>
          <w:rFonts w:hint="eastAsia" w:ascii="宋体" w:eastAsia="宋体" w:cs="宋体" w:hAnsiTheme="minorHAnsi"/>
          <w:color w:val="000000" w:themeColor="text1"/>
          <w:kern w:val="0"/>
          <w:szCs w:val="24"/>
        </w:rPr>
        <w:t>污水处理运行期间，通过收取排污费可获得一定的直接经济效益。</w:t>
      </w:r>
    </w:p>
    <w:p>
      <w:pPr>
        <w:pStyle w:val="4"/>
        <w:adjustRightInd w:val="0"/>
        <w:snapToGrid w:val="0"/>
        <w:rPr>
          <w:color w:val="000000" w:themeColor="text1"/>
        </w:rPr>
      </w:pPr>
      <w:bookmarkStart w:id="223" w:name="_Toc532498761"/>
      <w:bookmarkStart w:id="224" w:name="_Toc532376168"/>
      <w:bookmarkStart w:id="225" w:name="_Toc532763225"/>
      <w:bookmarkStart w:id="226" w:name="_Toc532497692"/>
      <w:bookmarkStart w:id="227" w:name="_Toc6624"/>
      <w:r>
        <w:rPr>
          <w:rFonts w:hint="eastAsia"/>
          <w:color w:val="000000" w:themeColor="text1"/>
        </w:rPr>
        <w:t>社会效益分析</w:t>
      </w:r>
      <w:bookmarkEnd w:id="223"/>
      <w:bookmarkEnd w:id="224"/>
      <w:bookmarkEnd w:id="225"/>
      <w:bookmarkEnd w:id="226"/>
      <w:bookmarkEnd w:id="227"/>
    </w:p>
    <w:p>
      <w:pPr>
        <w:autoSpaceDE w:val="0"/>
        <w:autoSpaceDN w:val="0"/>
        <w:adjustRightInd w:val="0"/>
        <w:snapToGrid w:val="0"/>
        <w:spacing w:line="360" w:lineRule="auto"/>
        <w:ind w:firstLine="480" w:firstLineChars="200"/>
        <w:jc w:val="left"/>
        <w:rPr>
          <w:rFonts w:eastAsia="宋体" w:cs="Times New Roman"/>
          <w:kern w:val="0"/>
          <w:szCs w:val="24"/>
        </w:rPr>
      </w:pPr>
      <w:r>
        <w:rPr>
          <w:rFonts w:eastAsia="宋体" w:cs="Times New Roman"/>
          <w:kern w:val="0"/>
          <w:szCs w:val="24"/>
        </w:rPr>
        <w:t>华容县桥东污水处理厂技术改造项目投产运行，产生了显著的环境效益和一定的社会经济效益，有利于人民生活质量的提高，给人民带来了实惠，从而提高了党和政府的威信，有利于安定团结，为社会经济的可持续发展打下了坚实的基础。</w:t>
      </w:r>
    </w:p>
    <w:p>
      <w:pPr>
        <w:autoSpaceDE w:val="0"/>
        <w:autoSpaceDN w:val="0"/>
        <w:adjustRightInd w:val="0"/>
        <w:snapToGrid w:val="0"/>
        <w:spacing w:line="360" w:lineRule="auto"/>
        <w:ind w:firstLine="480" w:firstLineChars="200"/>
        <w:jc w:val="left"/>
        <w:rPr>
          <w:rFonts w:ascii="宋体" w:eastAsia="宋体" w:cs="宋体" w:hAnsiTheme="minorHAnsi"/>
          <w:kern w:val="0"/>
          <w:szCs w:val="24"/>
        </w:rPr>
      </w:pPr>
      <w:r>
        <w:rPr>
          <w:rFonts w:eastAsia="宋体" w:cs="Times New Roman"/>
          <w:kern w:val="0"/>
          <w:szCs w:val="24"/>
        </w:rPr>
        <w:t>随着华容县不断发展，该地区的用水量将大幅度增加，这部分用水若无组织，未经处理直接进入华容河，将会使其水质恶化，污染加剧，甚至出现水体富营养化现象。项目的污水处理厂建厂后，达到《城镇污水处理厂污染物排放标准》（GB18918-2002）中一级A标准后排入华容河 ，将改善区域排水条件，降低污水对华容河水质污染的威信。</w:t>
      </w:r>
    </w:p>
    <w:p>
      <w:pPr>
        <w:pStyle w:val="4"/>
        <w:adjustRightInd w:val="0"/>
        <w:snapToGrid w:val="0"/>
        <w:rPr>
          <w:kern w:val="0"/>
        </w:rPr>
      </w:pPr>
      <w:bookmarkStart w:id="228" w:name="_Toc532497694"/>
      <w:bookmarkStart w:id="229" w:name="_Toc532763227"/>
      <w:bookmarkStart w:id="230" w:name="_Toc20349"/>
      <w:bookmarkStart w:id="231" w:name="_Toc532498763"/>
      <w:bookmarkStart w:id="232" w:name="_Toc532376170"/>
      <w:r>
        <w:rPr>
          <w:rFonts w:hint="eastAsia"/>
          <w:kern w:val="0"/>
        </w:rPr>
        <w:t>小结</w:t>
      </w:r>
      <w:bookmarkEnd w:id="228"/>
      <w:bookmarkEnd w:id="229"/>
      <w:bookmarkEnd w:id="230"/>
      <w:bookmarkEnd w:id="231"/>
      <w:bookmarkEnd w:id="232"/>
    </w:p>
    <w:p>
      <w:pPr>
        <w:autoSpaceDE w:val="0"/>
        <w:autoSpaceDN w:val="0"/>
        <w:adjustRightInd w:val="0"/>
        <w:snapToGrid w:val="0"/>
        <w:spacing w:line="360" w:lineRule="auto"/>
        <w:ind w:firstLine="480" w:firstLineChars="200"/>
        <w:jc w:val="left"/>
        <w:rPr>
          <w:rFonts w:ascii="宋体" w:eastAsia="宋体" w:cs="宋体" w:hAnsiTheme="minorHAnsi"/>
          <w:kern w:val="0"/>
          <w:szCs w:val="24"/>
        </w:rPr>
      </w:pPr>
      <w:r>
        <w:rPr>
          <w:rFonts w:hint="eastAsia" w:ascii="宋体" w:eastAsia="宋体" w:cs="宋体" w:hAnsiTheme="minorHAnsi"/>
          <w:kern w:val="0"/>
          <w:szCs w:val="24"/>
        </w:rPr>
        <w:t>综上所述，本项目的实施具有良好的经济、社会效益，虽然对当地环境产生一定影响，但污染经治理后影响不大，效益远远大于项目的环境成本，因此本项目具有一定的环境经济可行性。</w:t>
      </w:r>
    </w:p>
    <w:p>
      <w:pPr>
        <w:pStyle w:val="5"/>
        <w:rPr>
          <w:color w:val="000000" w:themeColor="text1"/>
        </w:rPr>
      </w:pPr>
      <w:r>
        <w:rPr>
          <w:color w:val="000000" w:themeColor="text1"/>
        </w:rPr>
        <w:t>环境效益</w:t>
      </w:r>
    </w:p>
    <w:p>
      <w:pPr>
        <w:spacing w:line="360" w:lineRule="auto"/>
        <w:ind w:firstLine="480" w:firstLineChars="200"/>
        <w:rPr>
          <w:color w:val="000000" w:themeColor="text1"/>
        </w:rPr>
      </w:pPr>
      <w:r>
        <w:rPr>
          <w:rFonts w:hint="eastAsia"/>
          <w:color w:val="000000" w:themeColor="text1"/>
        </w:rPr>
        <w:t>（1）优化资源环境，增强总体竞争力</w:t>
      </w:r>
    </w:p>
    <w:p>
      <w:pPr>
        <w:spacing w:line="360" w:lineRule="auto"/>
        <w:ind w:firstLine="480" w:firstLineChars="200"/>
        <w:rPr>
          <w:color w:val="000000" w:themeColor="text1"/>
        </w:rPr>
      </w:pPr>
      <w:r>
        <w:rPr>
          <w:rFonts w:hint="eastAsia"/>
          <w:color w:val="000000" w:themeColor="text1"/>
        </w:rPr>
        <w:t>（2）保护华容河水质环境质量不受破坏</w:t>
      </w:r>
    </w:p>
    <w:p>
      <w:pPr>
        <w:spacing w:line="360" w:lineRule="auto"/>
        <w:ind w:firstLine="480" w:firstLineChars="200"/>
        <w:rPr>
          <w:color w:val="000000" w:themeColor="text1"/>
        </w:rPr>
      </w:pPr>
      <w:r>
        <w:rPr>
          <w:rFonts w:hint="eastAsia"/>
          <w:color w:val="000000" w:themeColor="text1"/>
        </w:rPr>
        <w:t>污水处理厂建成运营，确保华容县城东片区生活污水和石伏工业园园区废水均处理达标，污染物得到大幅度削减，尾水外排后对华容河水质环境影响较小。</w:t>
      </w:r>
    </w:p>
    <w:p>
      <w:pPr>
        <w:spacing w:line="360" w:lineRule="auto"/>
        <w:ind w:firstLine="480" w:firstLineChars="200"/>
        <w:rPr>
          <w:color w:val="000000" w:themeColor="text1"/>
        </w:rPr>
      </w:pPr>
      <w:r>
        <w:rPr>
          <w:rFonts w:hint="eastAsia"/>
          <w:color w:val="000000" w:themeColor="text1"/>
        </w:rPr>
        <w:t>（3）提高区域环境卫生水平</w:t>
      </w:r>
    </w:p>
    <w:p>
      <w:pPr>
        <w:spacing w:line="360" w:lineRule="auto"/>
        <w:ind w:firstLine="480" w:firstLineChars="200"/>
        <w:rPr>
          <w:color w:val="000000" w:themeColor="text1"/>
        </w:rPr>
      </w:pPr>
      <w:r>
        <w:rPr>
          <w:rFonts w:hint="eastAsia"/>
          <w:color w:val="000000" w:themeColor="text1"/>
        </w:rPr>
        <w:t>项目建成后将改善收纳水体的环境质量状况，减少服务区范围内的细菌滋生，减少疾病的传播，提高工业园及石伏村环境卫生水平。</w:t>
      </w:r>
    </w:p>
    <w:p>
      <w:pPr>
        <w:spacing w:line="360" w:lineRule="auto"/>
        <w:ind w:firstLine="480" w:firstLineChars="200"/>
        <w:rPr>
          <w:color w:val="000000" w:themeColor="text1"/>
        </w:rPr>
      </w:pPr>
      <w:r>
        <w:rPr>
          <w:rFonts w:hint="eastAsia"/>
          <w:color w:val="000000" w:themeColor="text1"/>
        </w:rPr>
        <w:t>综上所述，项目的建设将改善石伏村居民生活环境和工业园基础设施条件，有效地控制了水污染，有利于保证污水受纳水体华容河的环境质量状况基本不变。本工程社会效益和经济效益远大于环境损失。</w:t>
      </w:r>
    </w:p>
    <w:p>
      <w:pPr>
        <w:autoSpaceDE w:val="0"/>
        <w:autoSpaceDN w:val="0"/>
        <w:adjustRightInd w:val="0"/>
        <w:snapToGrid w:val="0"/>
        <w:spacing w:line="360" w:lineRule="auto"/>
        <w:ind w:firstLine="480" w:firstLineChars="200"/>
        <w:jc w:val="left"/>
        <w:rPr>
          <w:rFonts w:ascii="宋体" w:eastAsia="宋体" w:cs="宋体" w:hAnsiTheme="minorHAnsi"/>
          <w:kern w:val="0"/>
          <w:szCs w:val="24"/>
        </w:rPr>
      </w:pPr>
    </w:p>
    <w:p>
      <w:pPr>
        <w:widowControl/>
        <w:jc w:val="left"/>
        <w:rPr>
          <w:rFonts w:ascii="宋体" w:eastAsia="宋体" w:cs="宋体" w:hAnsiTheme="minorHAnsi"/>
          <w:kern w:val="0"/>
          <w:szCs w:val="24"/>
        </w:rPr>
      </w:pPr>
      <w:r>
        <w:rPr>
          <w:rFonts w:ascii="宋体" w:eastAsia="宋体" w:cs="宋体" w:hAnsiTheme="minorHAnsi"/>
          <w:kern w:val="0"/>
          <w:szCs w:val="24"/>
        </w:rPr>
        <w:br w:type="page"/>
      </w:r>
    </w:p>
    <w:p>
      <w:pPr>
        <w:pStyle w:val="2"/>
        <w:adjustRightInd w:val="0"/>
        <w:snapToGrid w:val="0"/>
        <w:spacing w:line="360" w:lineRule="auto"/>
        <w:rPr>
          <w:color w:val="000000" w:themeColor="text1"/>
        </w:rPr>
      </w:pPr>
      <w:bookmarkStart w:id="233" w:name="_Toc17337"/>
      <w:bookmarkStart w:id="234" w:name="_Toc532763228"/>
      <w:bookmarkStart w:id="235" w:name="_Toc532497695"/>
      <w:bookmarkStart w:id="236" w:name="_Toc532376171"/>
      <w:bookmarkStart w:id="237" w:name="_Toc532498764"/>
      <w:r>
        <w:rPr>
          <w:rFonts w:hint="eastAsia"/>
          <w:color w:val="000000" w:themeColor="text1"/>
        </w:rPr>
        <w:t>环境管理与环境监测</w:t>
      </w:r>
      <w:bookmarkEnd w:id="233"/>
      <w:bookmarkEnd w:id="234"/>
      <w:bookmarkEnd w:id="235"/>
      <w:bookmarkEnd w:id="236"/>
      <w:bookmarkEnd w:id="237"/>
    </w:p>
    <w:p>
      <w:pPr>
        <w:adjustRightInd w:val="0"/>
        <w:snapToGrid w:val="0"/>
        <w:spacing w:line="360" w:lineRule="auto"/>
        <w:ind w:firstLine="480" w:firstLineChars="200"/>
        <w:rPr>
          <w:color w:val="000000" w:themeColor="text1"/>
        </w:rPr>
      </w:pPr>
      <w:bookmarkStart w:id="238" w:name="_Toc12812"/>
      <w:bookmarkStart w:id="239" w:name="_Toc23483"/>
      <w:r>
        <w:rPr>
          <w:color w:val="000000" w:themeColor="text1"/>
        </w:rPr>
        <w:t>项目在运行期对周围环境会造成一定的影响，建设单位应在加强环境管理的同时定期进行环境监测，以便及时了解工程在不同时期的环境影响，采取相应措施，消除不利因素，减轻环境污染，以实现预定的各项环境目标。</w:t>
      </w:r>
      <w:bookmarkEnd w:id="238"/>
      <w:bookmarkEnd w:id="239"/>
    </w:p>
    <w:p>
      <w:pPr>
        <w:pStyle w:val="4"/>
        <w:adjustRightInd w:val="0"/>
        <w:snapToGrid w:val="0"/>
        <w:rPr>
          <w:color w:val="000000" w:themeColor="text1"/>
        </w:rPr>
      </w:pPr>
      <w:bookmarkStart w:id="240" w:name="_Toc532498765"/>
      <w:bookmarkStart w:id="241" w:name="_Toc26621"/>
      <w:bookmarkStart w:id="242" w:name="_Toc532497696"/>
      <w:bookmarkStart w:id="243" w:name="_Toc532376172"/>
      <w:bookmarkStart w:id="244" w:name="_Toc532763229"/>
      <w:r>
        <w:rPr>
          <w:rFonts w:hint="eastAsia"/>
          <w:color w:val="000000" w:themeColor="text1"/>
        </w:rPr>
        <w:t>环境管理</w:t>
      </w:r>
      <w:bookmarkEnd w:id="240"/>
      <w:bookmarkEnd w:id="241"/>
      <w:bookmarkEnd w:id="242"/>
      <w:bookmarkEnd w:id="243"/>
      <w:bookmarkEnd w:id="244"/>
    </w:p>
    <w:p>
      <w:pPr>
        <w:adjustRightInd w:val="0"/>
        <w:snapToGrid w:val="0"/>
        <w:spacing w:line="360" w:lineRule="auto"/>
        <w:ind w:firstLine="480"/>
        <w:rPr>
          <w:color w:val="000000" w:themeColor="text1"/>
        </w:rPr>
      </w:pPr>
      <w:r>
        <w:rPr>
          <w:rFonts w:hint="eastAsia"/>
          <w:color w:val="000000" w:themeColor="text1"/>
        </w:rPr>
        <w:t>环境管理即以管理工程和环境科学的理论为基础，运用技术、经济、法律、行政和教育手段，对损害环境质量的生产经营活动加以限制，协调发展生产与保护环境的关系，使生产目标与环境目标统一，经济效益与环境效益统一。</w:t>
      </w:r>
    </w:p>
    <w:p>
      <w:pPr>
        <w:adjustRightInd w:val="0"/>
        <w:snapToGrid w:val="0"/>
        <w:spacing w:line="360" w:lineRule="auto"/>
        <w:ind w:firstLine="480"/>
        <w:rPr>
          <w:color w:val="000000" w:themeColor="text1"/>
        </w:rPr>
      </w:pPr>
      <w:r>
        <w:rPr>
          <w:rFonts w:hint="eastAsia"/>
          <w:color w:val="000000" w:themeColor="text1"/>
        </w:rPr>
        <w:t>有效的环境管理工作，是贯彻评价提出的清洁生产措施，实行“生产全过程污染控制”的重要手段，是工程建设满足环境目标的基本保障，是最大限度减小工程运行后对环境带来的不利影响的有效措施。只有加强环境管理工作，将环境管理和环境监控纳入整个管理体系中，时刻掌握工程运行过程对环境的影响，才能保证企业以最小的代价取得最大的环境和经济效益，使企业沿着高效、增产、减污的可持续发展道路健康发展，实现生产与环境保护协调发展。</w:t>
      </w:r>
    </w:p>
    <w:p>
      <w:pPr>
        <w:pStyle w:val="5"/>
        <w:rPr>
          <w:color w:val="000000" w:themeColor="text1"/>
        </w:rPr>
      </w:pPr>
      <w:bookmarkStart w:id="245" w:name="_Toc532497697"/>
      <w:r>
        <w:rPr>
          <w:rFonts w:hint="eastAsia"/>
          <w:color w:val="000000" w:themeColor="text1"/>
        </w:rPr>
        <w:t>环境管理机构</w:t>
      </w:r>
      <w:bookmarkEnd w:id="245"/>
    </w:p>
    <w:p>
      <w:pPr>
        <w:adjustRightInd w:val="0"/>
        <w:snapToGrid w:val="0"/>
        <w:spacing w:line="360" w:lineRule="auto"/>
        <w:ind w:firstLine="480" w:firstLineChars="200"/>
        <w:rPr>
          <w:rFonts w:cs="Times New Roman"/>
          <w:color w:val="000000" w:themeColor="text1"/>
          <w:szCs w:val="24"/>
        </w:rPr>
      </w:pPr>
      <w:r>
        <w:rPr>
          <w:rFonts w:cs="Times New Roman" w:hAnsiTheme="minorEastAsia"/>
          <w:color w:val="000000" w:themeColor="text1"/>
          <w:szCs w:val="24"/>
        </w:rPr>
        <w:t>根据国家有关环境保护法规的要求和本项目生产的实际需要，建议该企业在设置组织机构时，考虑设置专门的环保管理机构：环保处（科），配备专职环保管理人员</w:t>
      </w:r>
      <w:r>
        <w:rPr>
          <w:rFonts w:cs="Times New Roman"/>
          <w:color w:val="000000" w:themeColor="text1"/>
          <w:szCs w:val="24"/>
        </w:rPr>
        <w:t>1~2</w:t>
      </w:r>
      <w:r>
        <w:rPr>
          <w:rFonts w:cs="Times New Roman" w:hAnsiTheme="minorEastAsia"/>
          <w:color w:val="000000" w:themeColor="text1"/>
          <w:szCs w:val="24"/>
        </w:rPr>
        <w:t>名。环保管理人员应有熟悉企业排污状况、具备一定清洁生产知识、责任心强和组织协调能力强的人员担任，以利于监督管理，负责全场的环境保护管理工作，发现问题能及时解决并向上级环保主管部门报告，其主要职责如下：</w:t>
      </w:r>
    </w:p>
    <w:p>
      <w:pPr>
        <w:adjustRightInd w:val="0"/>
        <w:snapToGrid w:val="0"/>
        <w:spacing w:line="360" w:lineRule="auto"/>
        <w:ind w:firstLine="480" w:firstLineChars="200"/>
        <w:rPr>
          <w:rFonts w:cs="Times New Roman"/>
          <w:color w:val="000000" w:themeColor="text1"/>
          <w:szCs w:val="24"/>
        </w:rPr>
      </w:pPr>
      <w:r>
        <w:rPr>
          <w:rFonts w:hint="eastAsia" w:cs="Times New Roman"/>
          <w:color w:val="000000" w:themeColor="text1"/>
          <w:szCs w:val="24"/>
        </w:rPr>
        <w:t>（1）</w:t>
      </w:r>
      <w:r>
        <w:rPr>
          <w:rFonts w:cs="Times New Roman" w:hAnsiTheme="minorEastAsia"/>
          <w:color w:val="000000" w:themeColor="text1"/>
          <w:szCs w:val="24"/>
        </w:rPr>
        <w:t>宣传、贯彻和执行环境保护政策、法律法规及环境保护标准。开展环境保护宣传、教育、培训等专业知识普及工作；</w:t>
      </w:r>
    </w:p>
    <w:p>
      <w:pPr>
        <w:adjustRightInd w:val="0"/>
        <w:snapToGrid w:val="0"/>
        <w:spacing w:line="360" w:lineRule="auto"/>
        <w:ind w:firstLine="480" w:firstLineChars="200"/>
        <w:rPr>
          <w:rFonts w:cs="Times New Roman"/>
          <w:color w:val="000000" w:themeColor="text1"/>
          <w:szCs w:val="24"/>
        </w:rPr>
      </w:pPr>
      <w:r>
        <w:rPr>
          <w:rFonts w:hint="eastAsia" w:cs="Times New Roman"/>
          <w:color w:val="000000" w:themeColor="text1"/>
          <w:szCs w:val="24"/>
        </w:rPr>
        <w:t>（2）</w:t>
      </w:r>
      <w:r>
        <w:rPr>
          <w:rFonts w:cs="Times New Roman" w:hAnsiTheme="minorEastAsia"/>
          <w:color w:val="000000" w:themeColor="text1"/>
          <w:szCs w:val="24"/>
        </w:rPr>
        <w:t>编制并组织实施环境保护规划和计划，并监督执行，负责日常环境保护的管理工作；</w:t>
      </w:r>
    </w:p>
    <w:p>
      <w:pPr>
        <w:adjustRightInd w:val="0"/>
        <w:snapToGrid w:val="0"/>
        <w:spacing w:line="360" w:lineRule="auto"/>
        <w:ind w:firstLine="480" w:firstLineChars="200"/>
        <w:rPr>
          <w:rFonts w:cs="Times New Roman"/>
          <w:color w:val="000000" w:themeColor="text1"/>
          <w:szCs w:val="24"/>
        </w:rPr>
      </w:pPr>
      <w:r>
        <w:rPr>
          <w:rFonts w:hint="eastAsia" w:cs="Times New Roman"/>
          <w:color w:val="000000" w:themeColor="text1"/>
          <w:szCs w:val="24"/>
        </w:rPr>
        <w:t>（3）</w:t>
      </w:r>
      <w:r>
        <w:rPr>
          <w:rFonts w:cs="Times New Roman" w:hAnsiTheme="minorEastAsia"/>
          <w:color w:val="000000" w:themeColor="text1"/>
          <w:szCs w:val="24"/>
        </w:rPr>
        <w:t>领导并组织企业的环境监测工作，建立监测台帐和档案，编写环保简报，做好环境统计，使企业领导、上级部门及时掌握污染治理动态；</w:t>
      </w:r>
    </w:p>
    <w:p>
      <w:pPr>
        <w:adjustRightInd w:val="0"/>
        <w:snapToGrid w:val="0"/>
        <w:spacing w:line="360" w:lineRule="auto"/>
        <w:ind w:firstLine="480" w:firstLineChars="200"/>
        <w:rPr>
          <w:rFonts w:cs="Times New Roman"/>
          <w:color w:val="000000" w:themeColor="text1"/>
          <w:szCs w:val="24"/>
        </w:rPr>
      </w:pPr>
      <w:r>
        <w:rPr>
          <w:rFonts w:hint="eastAsia" w:cs="Times New Roman"/>
          <w:color w:val="000000" w:themeColor="text1"/>
          <w:szCs w:val="24"/>
        </w:rPr>
        <w:t>（4）</w:t>
      </w:r>
      <w:r>
        <w:rPr>
          <w:rFonts w:cs="Times New Roman" w:hAnsiTheme="minorEastAsia"/>
          <w:color w:val="000000" w:themeColor="text1"/>
          <w:szCs w:val="24"/>
        </w:rPr>
        <w:t>建立建全环境保护与劳动安全管理制度，监督工程施工期、运行期和服务期满后环保措施的有效实施；</w:t>
      </w:r>
    </w:p>
    <w:p>
      <w:pPr>
        <w:adjustRightInd w:val="0"/>
        <w:snapToGrid w:val="0"/>
        <w:spacing w:line="360" w:lineRule="auto"/>
        <w:ind w:firstLine="480" w:firstLineChars="200"/>
        <w:rPr>
          <w:rFonts w:cs="Times New Roman"/>
          <w:color w:val="000000" w:themeColor="text1"/>
          <w:szCs w:val="24"/>
        </w:rPr>
      </w:pPr>
      <w:r>
        <w:rPr>
          <w:rFonts w:hint="eastAsia" w:cs="Times New Roman"/>
          <w:color w:val="000000" w:themeColor="text1"/>
          <w:szCs w:val="24"/>
        </w:rPr>
        <w:t>（5）</w:t>
      </w:r>
      <w:r>
        <w:rPr>
          <w:rFonts w:cs="Times New Roman" w:hAnsiTheme="minorEastAsia"/>
          <w:color w:val="000000" w:themeColor="text1"/>
          <w:szCs w:val="24"/>
        </w:rPr>
        <w:t>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pPr>
        <w:adjustRightInd w:val="0"/>
        <w:snapToGrid w:val="0"/>
        <w:spacing w:line="360" w:lineRule="auto"/>
        <w:ind w:firstLine="480" w:firstLineChars="200"/>
        <w:rPr>
          <w:rFonts w:cs="Times New Roman" w:hAnsiTheme="minorEastAsia"/>
          <w:color w:val="000000" w:themeColor="text1"/>
          <w:szCs w:val="24"/>
        </w:rPr>
      </w:pPr>
      <w:r>
        <w:rPr>
          <w:rFonts w:hint="eastAsia" w:cs="Times New Roman"/>
          <w:color w:val="000000" w:themeColor="text1"/>
          <w:szCs w:val="24"/>
        </w:rPr>
        <w:t>（6）</w:t>
      </w:r>
      <w:r>
        <w:rPr>
          <w:rFonts w:cs="Times New Roman" w:hAnsiTheme="minorEastAsia"/>
          <w:color w:val="000000" w:themeColor="text1"/>
          <w:szCs w:val="24"/>
        </w:rPr>
        <w:t>检查各环境保护设施的运行情况、负责污染性事故排放的处理和调查。</w:t>
      </w:r>
    </w:p>
    <w:p>
      <w:pPr>
        <w:pStyle w:val="5"/>
        <w:rPr>
          <w:color w:val="000000" w:themeColor="text1"/>
        </w:rPr>
      </w:pPr>
      <w:bookmarkStart w:id="246" w:name="_Toc532497698"/>
      <w:r>
        <w:rPr>
          <w:rFonts w:hint="eastAsia"/>
          <w:color w:val="000000" w:themeColor="text1"/>
        </w:rPr>
        <w:t>环境管理要求</w:t>
      </w:r>
      <w:bookmarkEnd w:id="246"/>
    </w:p>
    <w:p>
      <w:pPr>
        <w:spacing w:line="360" w:lineRule="auto"/>
        <w:ind w:firstLine="480" w:firstLineChars="200"/>
        <w:rPr>
          <w:color w:val="000000" w:themeColor="text1"/>
        </w:rPr>
      </w:pPr>
      <w:r>
        <w:rPr>
          <w:rFonts w:hint="eastAsia"/>
          <w:color w:val="000000" w:themeColor="text1"/>
        </w:rPr>
        <w:t>（</w:t>
      </w:r>
      <w:r>
        <w:rPr>
          <w:color w:val="000000" w:themeColor="text1"/>
        </w:rPr>
        <w:t>1</w:t>
      </w:r>
      <w:r>
        <w:rPr>
          <w:rFonts w:hint="eastAsia"/>
          <w:color w:val="000000" w:themeColor="text1"/>
        </w:rPr>
        <w:t>）建立健全环境管理制度；</w:t>
      </w:r>
    </w:p>
    <w:p>
      <w:pPr>
        <w:spacing w:line="360" w:lineRule="auto"/>
        <w:ind w:firstLine="480" w:firstLineChars="200"/>
        <w:rPr>
          <w:color w:val="000000" w:themeColor="text1"/>
        </w:rPr>
      </w:pPr>
      <w:r>
        <w:rPr>
          <w:rFonts w:hint="eastAsia"/>
          <w:color w:val="000000" w:themeColor="text1"/>
        </w:rPr>
        <w:t>（</w:t>
      </w:r>
      <w:r>
        <w:rPr>
          <w:color w:val="000000" w:themeColor="text1"/>
        </w:rPr>
        <w:t>2</w:t>
      </w:r>
      <w:r>
        <w:rPr>
          <w:rFonts w:hint="eastAsia"/>
          <w:color w:val="000000" w:themeColor="text1"/>
        </w:rPr>
        <w:t>）要加强环保宣传，提高全体员工的清洁生产意识。加强职业技术培训，提高环境管理人员的技术水平，以适应现代化生产管理的需要；</w:t>
      </w:r>
    </w:p>
    <w:p>
      <w:pPr>
        <w:spacing w:line="360" w:lineRule="auto"/>
        <w:ind w:firstLine="480" w:firstLineChars="200"/>
        <w:rPr>
          <w:color w:val="000000" w:themeColor="text1"/>
        </w:rPr>
      </w:pPr>
      <w:r>
        <w:rPr>
          <w:rFonts w:hint="eastAsia"/>
          <w:color w:val="000000" w:themeColor="text1"/>
        </w:rPr>
        <w:t>（</w:t>
      </w:r>
      <w:r>
        <w:rPr>
          <w:color w:val="000000" w:themeColor="text1"/>
        </w:rPr>
        <w:t>3</w:t>
      </w:r>
      <w:r>
        <w:rPr>
          <w:rFonts w:hint="eastAsia"/>
          <w:color w:val="000000" w:themeColor="text1"/>
        </w:rPr>
        <w:t>）加强监测数据的统计管理，建立完善的污染源及污染物排放档案、数据记录台帐，制定总量控制指标，并纳入各级生产组织的经济考核体系，严格控制污染物排放总量。</w:t>
      </w:r>
    </w:p>
    <w:p>
      <w:pPr>
        <w:pStyle w:val="5"/>
        <w:rPr>
          <w:color w:val="000000" w:themeColor="text1"/>
        </w:rPr>
      </w:pPr>
      <w:bookmarkStart w:id="247" w:name="_Toc532497699"/>
      <w:r>
        <w:rPr>
          <w:rFonts w:hint="eastAsia"/>
          <w:color w:val="000000" w:themeColor="text1"/>
        </w:rPr>
        <w:t>竣工验收</w:t>
      </w:r>
      <w:bookmarkEnd w:id="247"/>
    </w:p>
    <w:p>
      <w:pPr>
        <w:spacing w:line="360" w:lineRule="auto"/>
        <w:ind w:firstLine="480" w:firstLineChars="200"/>
      </w:pPr>
      <w:r>
        <w:rPr>
          <w:rFonts w:hint="eastAsia"/>
        </w:rPr>
        <w:t>根据国务院第682号令《建设项目环境保护管理条例》（2017.10.1起施行）：编制环境影响报告书、环境影响报告表的建设项目竣工后，建设单位应当按照国务院环境保护行政主管部门规定的标准和程序，对配套建设的环境保护设施进行验收，编制验收报告。</w:t>
      </w:r>
    </w:p>
    <w:p>
      <w:pPr>
        <w:pStyle w:val="5"/>
        <w:rPr>
          <w:color w:val="000000" w:themeColor="text1"/>
        </w:rPr>
      </w:pPr>
      <w:bookmarkStart w:id="248" w:name="_Toc532497700"/>
      <w:r>
        <w:rPr>
          <w:rFonts w:hint="eastAsia"/>
          <w:color w:val="000000" w:themeColor="text1"/>
        </w:rPr>
        <w:t>环境管理措施</w:t>
      </w:r>
      <w:bookmarkEnd w:id="248"/>
    </w:p>
    <w:p>
      <w:pPr>
        <w:pStyle w:val="61"/>
        <w:rPr>
          <w:color w:val="000000" w:themeColor="text1"/>
        </w:rPr>
      </w:pPr>
      <w:r>
        <w:rPr>
          <w:rFonts w:hint="eastAsia"/>
          <w:color w:val="000000" w:themeColor="text1"/>
        </w:rPr>
        <w:t>营运期环境管理计划</w:t>
      </w:r>
    </w:p>
    <w:p>
      <w:pPr>
        <w:adjustRightInd w:val="0"/>
        <w:snapToGrid w:val="0"/>
        <w:spacing w:line="360" w:lineRule="auto"/>
        <w:ind w:firstLine="480" w:firstLineChars="200"/>
        <w:rPr>
          <w:color w:val="000000" w:themeColor="text1"/>
        </w:rPr>
      </w:pPr>
      <w:r>
        <w:rPr>
          <w:rFonts w:hint="eastAsia"/>
          <w:color w:val="000000" w:themeColor="text1"/>
        </w:rPr>
        <w:t>（</w:t>
      </w:r>
      <w:r>
        <w:rPr>
          <w:color w:val="000000" w:themeColor="text1"/>
        </w:rPr>
        <w:t>1</w:t>
      </w:r>
      <w:r>
        <w:rPr>
          <w:rFonts w:hint="eastAsia"/>
          <w:color w:val="000000" w:themeColor="text1"/>
        </w:rPr>
        <w:t>）设置专业管理人员，把营运期的环境管理工作纳入每天的日常工作管理范围，要全面统筹、合理部署；</w:t>
      </w:r>
    </w:p>
    <w:p>
      <w:pPr>
        <w:adjustRightInd w:val="0"/>
        <w:snapToGrid w:val="0"/>
        <w:spacing w:line="360" w:lineRule="auto"/>
        <w:ind w:firstLine="480" w:firstLineChars="200"/>
        <w:rPr>
          <w:color w:val="000000" w:themeColor="text1"/>
        </w:rPr>
      </w:pPr>
      <w:r>
        <w:rPr>
          <w:rFonts w:hint="eastAsia"/>
          <w:color w:val="000000" w:themeColor="text1"/>
        </w:rPr>
        <w:t>（</w:t>
      </w:r>
      <w:r>
        <w:rPr>
          <w:color w:val="000000" w:themeColor="text1"/>
        </w:rPr>
        <w:t>2</w:t>
      </w:r>
      <w:r>
        <w:rPr>
          <w:rFonts w:hint="eastAsia"/>
          <w:color w:val="000000" w:themeColor="text1"/>
        </w:rPr>
        <w:t>）根据国家环保政策、标准及环境监测要求，制定该项目运行期环境管理规章制度、各种污染物排放指标；</w:t>
      </w:r>
    </w:p>
    <w:p>
      <w:pPr>
        <w:adjustRightInd w:val="0"/>
        <w:snapToGrid w:val="0"/>
        <w:spacing w:line="360" w:lineRule="auto"/>
        <w:ind w:firstLine="480" w:firstLineChars="200"/>
        <w:rPr>
          <w:color w:val="000000" w:themeColor="text1"/>
        </w:rPr>
      </w:pPr>
      <w:r>
        <w:rPr>
          <w:rFonts w:hint="eastAsia"/>
          <w:color w:val="000000" w:themeColor="text1"/>
        </w:rPr>
        <w:t>（</w:t>
      </w:r>
      <w:r>
        <w:rPr>
          <w:color w:val="000000" w:themeColor="text1"/>
        </w:rPr>
        <w:t>3</w:t>
      </w:r>
      <w:r>
        <w:rPr>
          <w:rFonts w:hint="eastAsia"/>
          <w:color w:val="000000" w:themeColor="text1"/>
        </w:rPr>
        <w:t>）对场内各设施管道等进行定期维护和检修，确保设施的正常运行及畅通；</w:t>
      </w:r>
    </w:p>
    <w:p>
      <w:pPr>
        <w:adjustRightInd w:val="0"/>
        <w:snapToGrid w:val="0"/>
        <w:spacing w:line="360" w:lineRule="auto"/>
        <w:ind w:firstLine="480" w:firstLineChars="200"/>
        <w:rPr>
          <w:color w:val="000000" w:themeColor="text1"/>
        </w:rPr>
      </w:pPr>
      <w:r>
        <w:rPr>
          <w:rFonts w:hint="eastAsia"/>
          <w:color w:val="000000" w:themeColor="text1"/>
        </w:rPr>
        <w:t>（</w:t>
      </w:r>
      <w:r>
        <w:rPr>
          <w:color w:val="000000" w:themeColor="text1"/>
        </w:rPr>
        <w:t>4</w:t>
      </w:r>
      <w:r>
        <w:rPr>
          <w:rFonts w:hint="eastAsia"/>
          <w:color w:val="000000" w:themeColor="text1"/>
        </w:rPr>
        <w:t>）设置专业人员，对工场内各种废物进行收集处理；</w:t>
      </w:r>
    </w:p>
    <w:p>
      <w:pPr>
        <w:adjustRightInd w:val="0"/>
        <w:snapToGrid w:val="0"/>
        <w:spacing w:line="360" w:lineRule="auto"/>
        <w:ind w:firstLine="480" w:firstLineChars="200"/>
        <w:rPr>
          <w:color w:val="000000" w:themeColor="text1"/>
        </w:rPr>
      </w:pPr>
      <w:r>
        <w:rPr>
          <w:rFonts w:hint="eastAsia"/>
          <w:color w:val="000000" w:themeColor="text1"/>
        </w:rPr>
        <w:t>（5）绿化能改善区域气候和起到降噪除尘的作用，对场内的绿化必须有专人管理、养护。</w:t>
      </w:r>
    </w:p>
    <w:p>
      <w:pPr>
        <w:pStyle w:val="4"/>
        <w:adjustRightInd w:val="0"/>
        <w:snapToGrid w:val="0"/>
        <w:rPr>
          <w:color w:val="000000" w:themeColor="text1"/>
        </w:rPr>
      </w:pPr>
      <w:bookmarkStart w:id="249" w:name="_Toc532498766"/>
      <w:bookmarkStart w:id="250" w:name="_Toc30646"/>
      <w:bookmarkStart w:id="251" w:name="_Toc532497701"/>
      <w:bookmarkStart w:id="252" w:name="_Toc532763230"/>
      <w:bookmarkStart w:id="253" w:name="_Toc532376173"/>
      <w:r>
        <w:rPr>
          <w:rFonts w:hint="eastAsia"/>
          <w:color w:val="000000" w:themeColor="text1"/>
        </w:rPr>
        <w:t>环境监测</w:t>
      </w:r>
      <w:bookmarkEnd w:id="249"/>
      <w:bookmarkEnd w:id="250"/>
      <w:bookmarkEnd w:id="251"/>
      <w:bookmarkEnd w:id="252"/>
      <w:bookmarkEnd w:id="253"/>
    </w:p>
    <w:p>
      <w:pPr>
        <w:pStyle w:val="5"/>
        <w:rPr>
          <w:color w:val="000000" w:themeColor="text1"/>
        </w:rPr>
      </w:pPr>
      <w:bookmarkStart w:id="254" w:name="_Toc532497702"/>
      <w:r>
        <w:rPr>
          <w:rFonts w:hint="eastAsia"/>
          <w:color w:val="000000" w:themeColor="text1"/>
        </w:rPr>
        <w:t>环境监测目的</w:t>
      </w:r>
      <w:bookmarkEnd w:id="254"/>
    </w:p>
    <w:p>
      <w:pPr>
        <w:adjustRightInd w:val="0"/>
        <w:snapToGrid w:val="0"/>
        <w:spacing w:line="360" w:lineRule="auto"/>
        <w:ind w:firstLine="480" w:firstLineChars="200"/>
        <w:rPr>
          <w:color w:val="000000" w:themeColor="text1"/>
        </w:rPr>
      </w:pPr>
      <w:r>
        <w:rPr>
          <w:color w:val="000000" w:themeColor="text1"/>
        </w:rPr>
        <w:t>环境监测是一项政府行为，也是环境管理的技术支持。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pPr>
        <w:pStyle w:val="5"/>
        <w:rPr>
          <w:color w:val="000000" w:themeColor="text1"/>
        </w:rPr>
      </w:pPr>
      <w:bookmarkStart w:id="255" w:name="_Toc532497703"/>
      <w:r>
        <w:rPr>
          <w:rFonts w:hint="eastAsia"/>
          <w:color w:val="000000" w:themeColor="text1"/>
        </w:rPr>
        <w:t>环境监测机构</w:t>
      </w:r>
      <w:bookmarkEnd w:id="255"/>
    </w:p>
    <w:p>
      <w:pPr>
        <w:spacing w:line="360" w:lineRule="auto"/>
        <w:ind w:firstLine="480" w:firstLineChars="200"/>
        <w:rPr>
          <w:color w:val="000000" w:themeColor="text1"/>
        </w:rPr>
      </w:pPr>
      <w:r>
        <w:rPr>
          <w:color w:val="000000" w:themeColor="text1"/>
        </w:rPr>
        <w:t>建议本项营运期的环境监测工作委托</w:t>
      </w:r>
      <w:r>
        <w:rPr>
          <w:rFonts w:hint="eastAsia"/>
          <w:color w:val="000000" w:themeColor="text1"/>
        </w:rPr>
        <w:t>环境监测站或社会检测机构</w:t>
      </w:r>
      <w:r>
        <w:rPr>
          <w:color w:val="000000" w:themeColor="text1"/>
        </w:rPr>
        <w:t>承担。</w:t>
      </w:r>
    </w:p>
    <w:p>
      <w:pPr>
        <w:pStyle w:val="5"/>
        <w:rPr>
          <w:color w:val="000000" w:themeColor="text1"/>
        </w:rPr>
      </w:pPr>
      <w:bookmarkStart w:id="256" w:name="_Toc532497704"/>
      <w:r>
        <w:rPr>
          <w:rFonts w:hint="eastAsia"/>
          <w:color w:val="000000" w:themeColor="text1"/>
        </w:rPr>
        <w:t>监测项目及监测计划</w:t>
      </w:r>
      <w:bookmarkEnd w:id="256"/>
    </w:p>
    <w:p>
      <w:pPr>
        <w:pStyle w:val="100"/>
        <w:ind w:firstLine="480"/>
        <w:rPr>
          <w:color w:val="FF0000"/>
        </w:rPr>
      </w:pPr>
      <w:r>
        <w:rPr>
          <w:rFonts w:hint="eastAsia"/>
          <w:color w:val="000000" w:themeColor="text1"/>
        </w:rPr>
        <w:t>根据《排污许可证申请与核发技术规范  水处理</w:t>
      </w:r>
      <w:r>
        <w:rPr>
          <w:rFonts w:hint="eastAsia"/>
          <w:color w:val="000000"/>
        </w:rPr>
        <w:t>（试行）</w:t>
      </w:r>
      <w:r>
        <w:rPr>
          <w:rFonts w:hint="eastAsia"/>
          <w:color w:val="000000" w:themeColor="text1"/>
        </w:rPr>
        <w:t>》</w:t>
      </w:r>
      <w:r>
        <w:rPr>
          <w:rFonts w:hint="eastAsia"/>
          <w:color w:val="000000"/>
        </w:rPr>
        <w:t>（HJ978-2018）</w:t>
      </w:r>
      <w:r>
        <w:rPr>
          <w:rFonts w:hint="eastAsia"/>
          <w:color w:val="000000" w:themeColor="text1"/>
        </w:rPr>
        <w:t>，污水</w:t>
      </w:r>
      <w:r>
        <w:rPr>
          <w:rFonts w:hint="eastAsia"/>
          <w:color w:val="000000" w:themeColor="text1"/>
          <w:lang w:val="en-US" w:eastAsia="zh-CN"/>
        </w:rPr>
        <w:t>处理</w:t>
      </w:r>
      <w:r>
        <w:rPr>
          <w:rFonts w:hint="eastAsia"/>
          <w:color w:val="000000" w:themeColor="text1"/>
        </w:rPr>
        <w:t>厂的环境管理机构在当地环保主管部门和环境监测站的指导下，对污水处理系统的营运期的环境进行定期的监测。</w:t>
      </w:r>
      <w:r>
        <w:rPr>
          <w:color w:val="000000"/>
        </w:rPr>
        <w:t>营运期主要对企业入管污水水质，处理后污水排放口水质进行日常常规检测，对污水处理厂各运行单元内部水质进行定期监测，对厂界周围下风向的环境空气H</w:t>
      </w:r>
      <w:r>
        <w:rPr>
          <w:color w:val="000000"/>
          <w:vertAlign w:val="subscript"/>
        </w:rPr>
        <w:t>2</w:t>
      </w:r>
      <w:r>
        <w:rPr>
          <w:color w:val="000000"/>
        </w:rPr>
        <w:t>S、NH</w:t>
      </w:r>
      <w:r>
        <w:rPr>
          <w:color w:val="000000"/>
          <w:vertAlign w:val="subscript"/>
        </w:rPr>
        <w:t>3</w:t>
      </w:r>
      <w:r>
        <w:rPr>
          <w:color w:val="000000"/>
        </w:rPr>
        <w:t>和厂界噪声进行定期监测，同时还应对污水排放口下游的</w:t>
      </w:r>
      <w:r>
        <w:rPr>
          <w:rFonts w:hint="eastAsia"/>
          <w:color w:val="000000" w:themeColor="text1"/>
        </w:rPr>
        <w:t>华容河</w:t>
      </w:r>
      <w:r>
        <w:rPr>
          <w:color w:val="000000"/>
        </w:rPr>
        <w:t>进行定期监测。</w:t>
      </w:r>
    </w:p>
    <w:p>
      <w:pPr>
        <w:pStyle w:val="100"/>
        <w:ind w:firstLine="480"/>
        <w:rPr>
          <w:color w:val="000000" w:themeColor="text1"/>
        </w:rPr>
      </w:pPr>
      <w:r>
        <w:rPr>
          <w:color w:val="000000" w:themeColor="text1"/>
        </w:rPr>
        <w:t>为了使地方环保管理部门对污水处理厂运行的管理，要求在排污口设置在线监测装置，监测因子包括流量、pH、COD、NH</w:t>
      </w:r>
      <w:r>
        <w:rPr>
          <w:color w:val="000000" w:themeColor="text1"/>
          <w:vertAlign w:val="subscript"/>
        </w:rPr>
        <w:t>3</w:t>
      </w:r>
      <w:r>
        <w:rPr>
          <w:color w:val="000000" w:themeColor="text1"/>
        </w:rPr>
        <w:t>-N等</w:t>
      </w:r>
      <w:r>
        <w:rPr>
          <w:rFonts w:hint="eastAsia"/>
          <w:color w:val="000000" w:themeColor="text1"/>
        </w:rPr>
        <w:t>。在线监测装置的终端与华容县</w:t>
      </w:r>
      <w:r>
        <w:rPr>
          <w:color w:val="000000" w:themeColor="text1"/>
        </w:rPr>
        <w:t>环保局电脑监控装置相连接。确保当地环保管理部门对污水处理厂正常运转的管理。</w:t>
      </w:r>
    </w:p>
    <w:p>
      <w:pPr>
        <w:spacing w:line="360" w:lineRule="auto"/>
        <w:ind w:firstLine="480" w:firstLineChars="200"/>
        <w:rPr>
          <w:color w:val="000000" w:themeColor="text1"/>
        </w:rPr>
      </w:pPr>
      <w:r>
        <w:rPr>
          <w:rFonts w:hint="eastAsia" w:eastAsia="宋体" w:cs="Times New Roman"/>
          <w:color w:val="000000" w:themeColor="text1"/>
        </w:rPr>
        <w:t>本工程</w:t>
      </w:r>
      <w:r>
        <w:rPr>
          <w:rFonts w:eastAsia="宋体" w:cs="Times New Roman"/>
          <w:color w:val="000000" w:themeColor="text1"/>
        </w:rPr>
        <w:t>的环境管理机构在当地环保主管部门的指导下，</w:t>
      </w:r>
      <w:r>
        <w:rPr>
          <w:rFonts w:hint="eastAsia" w:eastAsia="宋体" w:cs="Times New Roman"/>
          <w:color w:val="000000" w:themeColor="text1"/>
        </w:rPr>
        <w:t>环境监测工作可委托有资质的检测公司监测。</w:t>
      </w:r>
      <w:r>
        <w:rPr>
          <w:rFonts w:eastAsia="宋体" w:cs="Times New Roman"/>
          <w:color w:val="000000" w:themeColor="text1"/>
        </w:rPr>
        <w:t>对</w:t>
      </w:r>
      <w:r>
        <w:rPr>
          <w:rFonts w:hint="eastAsia" w:eastAsia="宋体" w:cs="Times New Roman"/>
          <w:color w:val="000000" w:themeColor="text1"/>
        </w:rPr>
        <w:t>本工程</w:t>
      </w:r>
      <w:r>
        <w:rPr>
          <w:rFonts w:eastAsia="宋体" w:cs="Times New Roman"/>
          <w:color w:val="000000" w:themeColor="text1"/>
        </w:rPr>
        <w:t>营运期的环境进行定期的监测。营运期环境监测的要求见下表所示。</w:t>
      </w:r>
    </w:p>
    <w:p>
      <w:pPr>
        <w:pStyle w:val="14"/>
        <w:spacing w:line="240" w:lineRule="auto"/>
        <w:rPr>
          <w:color w:val="000000" w:themeColor="text1"/>
        </w:rPr>
      </w:pPr>
      <w:bookmarkStart w:id="257" w:name="_Ref494276312"/>
      <w:r>
        <w:rPr>
          <w:rFonts w:hint="eastAsia"/>
          <w:color w:val="000000" w:themeColor="text1"/>
        </w:rPr>
        <w:t>表</w:t>
      </w:r>
      <w:r>
        <w:rPr>
          <w:color w:val="000000" w:themeColor="text1"/>
        </w:rPr>
        <w:fldChar w:fldCharType="begin"/>
      </w:r>
      <w:r>
        <w:rPr>
          <w:rFonts w:hint="eastAsia"/>
          <w:color w:val="000000" w:themeColor="text1"/>
        </w:rPr>
        <w:instrText xml:space="preserve">STYLEREF 2 \s</w:instrText>
      </w:r>
      <w:r>
        <w:rPr>
          <w:color w:val="000000" w:themeColor="text1"/>
        </w:rPr>
        <w:fldChar w:fldCharType="separate"/>
      </w:r>
      <w:r>
        <w:rPr>
          <w:color w:val="000000" w:themeColor="text1"/>
        </w:rPr>
        <w:t>7.2</w:t>
      </w:r>
      <w:r>
        <w:rPr>
          <w:color w:val="000000" w:themeColor="text1"/>
        </w:rPr>
        <w:fldChar w:fldCharType="end"/>
      </w:r>
      <w:r>
        <w:rPr>
          <w:color w:val="000000" w:themeColor="text1"/>
        </w:rPr>
        <w:noBreakHyphen/>
      </w:r>
      <w:r>
        <w:rPr>
          <w:color w:val="000000" w:themeColor="text1"/>
        </w:rPr>
        <w:fldChar w:fldCharType="begin"/>
      </w:r>
      <w:r>
        <w:rPr>
          <w:rFonts w:hint="eastAsia"/>
          <w:color w:val="000000" w:themeColor="text1"/>
        </w:rPr>
        <w:instrText xml:space="preserve">SEQ 表 \* ARABIC \s 2</w:instrText>
      </w:r>
      <w:r>
        <w:rPr>
          <w:color w:val="000000" w:themeColor="text1"/>
        </w:rPr>
        <w:fldChar w:fldCharType="separate"/>
      </w:r>
      <w:r>
        <w:rPr>
          <w:rFonts w:hint="eastAsia"/>
          <w:color w:val="000000" w:themeColor="text1"/>
        </w:rPr>
        <w:t>1</w:t>
      </w:r>
      <w:r>
        <w:rPr>
          <w:color w:val="000000" w:themeColor="text1"/>
        </w:rPr>
        <w:fldChar w:fldCharType="end"/>
      </w:r>
      <w:bookmarkEnd w:id="257"/>
      <w:r>
        <w:rPr>
          <w:rFonts w:hint="eastAsia"/>
          <w:color w:val="000000" w:themeColor="text1"/>
        </w:rPr>
        <w:t xml:space="preserve"> 营运期 环境监测计划</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819"/>
        <w:gridCol w:w="4368"/>
        <w:gridCol w:w="1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dxa"/>
            <w:vAlign w:val="center"/>
          </w:tcPr>
          <w:p>
            <w:pPr>
              <w:pStyle w:val="122"/>
              <w:jc w:val="both"/>
              <w:rPr>
                <w:rFonts w:cs="Times New Roman"/>
                <w:color w:val="000000"/>
              </w:rPr>
            </w:pPr>
            <w:r>
              <w:rPr>
                <w:rFonts w:cs="Times New Roman"/>
                <w:color w:val="000000"/>
              </w:rPr>
              <w:t>监测项目</w:t>
            </w:r>
          </w:p>
        </w:tc>
        <w:tc>
          <w:tcPr>
            <w:tcW w:w="1819" w:type="dxa"/>
            <w:vAlign w:val="center"/>
          </w:tcPr>
          <w:p>
            <w:pPr>
              <w:pStyle w:val="122"/>
              <w:rPr>
                <w:rFonts w:cs="Times New Roman"/>
                <w:color w:val="000000"/>
              </w:rPr>
            </w:pPr>
            <w:r>
              <w:rPr>
                <w:rFonts w:cs="Times New Roman"/>
                <w:color w:val="000000"/>
              </w:rPr>
              <w:t>监测点位</w:t>
            </w:r>
          </w:p>
        </w:tc>
        <w:tc>
          <w:tcPr>
            <w:tcW w:w="4368" w:type="dxa"/>
            <w:vAlign w:val="center"/>
          </w:tcPr>
          <w:p>
            <w:pPr>
              <w:pStyle w:val="122"/>
              <w:rPr>
                <w:rFonts w:cs="Times New Roman"/>
                <w:color w:val="000000"/>
              </w:rPr>
            </w:pPr>
            <w:r>
              <w:rPr>
                <w:rFonts w:cs="Times New Roman"/>
                <w:color w:val="000000"/>
              </w:rPr>
              <w:t>监测因子</w:t>
            </w:r>
          </w:p>
        </w:tc>
        <w:tc>
          <w:tcPr>
            <w:tcW w:w="1623" w:type="dxa"/>
            <w:vAlign w:val="center"/>
          </w:tcPr>
          <w:p>
            <w:pPr>
              <w:pStyle w:val="122"/>
              <w:rPr>
                <w:rFonts w:cs="Times New Roman"/>
                <w:color w:val="000000"/>
              </w:rPr>
            </w:pPr>
            <w:r>
              <w:rPr>
                <w:rFonts w:cs="Times New Roman"/>
                <w:color w:val="000000"/>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dxa"/>
            <w:vAlign w:val="center"/>
          </w:tcPr>
          <w:p>
            <w:pPr>
              <w:pStyle w:val="122"/>
              <w:rPr>
                <w:rFonts w:cs="Times New Roman"/>
                <w:color w:val="000000"/>
              </w:rPr>
            </w:pPr>
            <w:r>
              <w:rPr>
                <w:rFonts w:cs="Times New Roman"/>
                <w:color w:val="000000"/>
              </w:rPr>
              <w:t>大气</w:t>
            </w:r>
          </w:p>
        </w:tc>
        <w:tc>
          <w:tcPr>
            <w:tcW w:w="1819" w:type="dxa"/>
            <w:vAlign w:val="center"/>
          </w:tcPr>
          <w:p>
            <w:pPr>
              <w:pStyle w:val="122"/>
              <w:rPr>
                <w:rFonts w:cs="Times New Roman"/>
                <w:color w:val="000000"/>
              </w:rPr>
            </w:pPr>
            <w:r>
              <w:rPr>
                <w:rFonts w:hint="eastAsia" w:cs="Times New Roman"/>
                <w:color w:val="000000"/>
              </w:rPr>
              <w:t>排气筒、厂界</w:t>
            </w:r>
          </w:p>
        </w:tc>
        <w:tc>
          <w:tcPr>
            <w:tcW w:w="4368" w:type="dxa"/>
            <w:vAlign w:val="center"/>
          </w:tcPr>
          <w:p>
            <w:pPr>
              <w:pStyle w:val="122"/>
              <w:rPr>
                <w:rFonts w:cs="Times New Roman"/>
                <w:color w:val="000000"/>
              </w:rPr>
            </w:pPr>
            <w:r>
              <w:rPr>
                <w:rFonts w:cs="Times New Roman"/>
                <w:color w:val="000000"/>
              </w:rPr>
              <w:t>H</w:t>
            </w:r>
            <w:r>
              <w:rPr>
                <w:rFonts w:cs="Times New Roman"/>
                <w:color w:val="000000"/>
                <w:vertAlign w:val="subscript"/>
              </w:rPr>
              <w:t>2</w:t>
            </w:r>
            <w:r>
              <w:rPr>
                <w:rFonts w:cs="Times New Roman"/>
                <w:color w:val="000000"/>
              </w:rPr>
              <w:t>S、NH</w:t>
            </w:r>
            <w:r>
              <w:rPr>
                <w:rFonts w:cs="Times New Roman"/>
                <w:color w:val="000000"/>
                <w:vertAlign w:val="subscript"/>
              </w:rPr>
              <w:t>3</w:t>
            </w:r>
            <w:r>
              <w:rPr>
                <w:rFonts w:hint="eastAsia" w:cs="Times New Roman"/>
                <w:color w:val="000000"/>
              </w:rPr>
              <w:t>、臭气浓度</w:t>
            </w:r>
          </w:p>
        </w:tc>
        <w:tc>
          <w:tcPr>
            <w:tcW w:w="1623" w:type="dxa"/>
            <w:vAlign w:val="center"/>
          </w:tcPr>
          <w:p>
            <w:pPr>
              <w:pStyle w:val="122"/>
              <w:rPr>
                <w:rFonts w:cs="Times New Roman"/>
                <w:color w:val="000000"/>
              </w:rPr>
            </w:pPr>
            <w:r>
              <w:rPr>
                <w:rFonts w:cs="Times New Roman"/>
                <w:color w:val="000000"/>
                <w:szCs w:val="21"/>
              </w:rPr>
              <w:t>每半年一次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32" w:type="dxa"/>
            <w:vMerge w:val="restart"/>
            <w:vAlign w:val="center"/>
          </w:tcPr>
          <w:p>
            <w:pPr>
              <w:pStyle w:val="122"/>
              <w:rPr>
                <w:rFonts w:cs="Times New Roman"/>
                <w:color w:val="000000"/>
              </w:rPr>
            </w:pPr>
            <w:r>
              <w:rPr>
                <w:rFonts w:hint="eastAsia" w:cs="Times New Roman"/>
                <w:color w:val="000000"/>
              </w:rPr>
              <w:t>废水</w:t>
            </w:r>
          </w:p>
        </w:tc>
        <w:tc>
          <w:tcPr>
            <w:tcW w:w="1819" w:type="dxa"/>
            <w:vMerge w:val="restart"/>
            <w:vAlign w:val="center"/>
          </w:tcPr>
          <w:p>
            <w:pPr>
              <w:pStyle w:val="122"/>
              <w:rPr>
                <w:rFonts w:cs="Times New Roman"/>
                <w:color w:val="000000"/>
              </w:rPr>
            </w:pPr>
            <w:r>
              <w:rPr>
                <w:rFonts w:cs="Times New Roman"/>
                <w:color w:val="000000"/>
              </w:rPr>
              <w:t>污水处理厂进水口</w:t>
            </w:r>
          </w:p>
        </w:tc>
        <w:tc>
          <w:tcPr>
            <w:tcW w:w="4368" w:type="dxa"/>
            <w:vAlign w:val="center"/>
          </w:tcPr>
          <w:p>
            <w:pPr>
              <w:pStyle w:val="122"/>
              <w:rPr>
                <w:rFonts w:cs="Times New Roman"/>
                <w:color w:val="000000"/>
              </w:rPr>
            </w:pPr>
            <w:r>
              <w:rPr>
                <w:rFonts w:cs="Times New Roman"/>
                <w:color w:val="000000"/>
              </w:rPr>
              <w:t>水量、pH</w:t>
            </w:r>
            <w:r>
              <w:rPr>
                <w:rFonts w:hint="eastAsia" w:cs="Times New Roman"/>
                <w:color w:val="000000"/>
              </w:rPr>
              <w:t>、</w:t>
            </w:r>
            <w:r>
              <w:rPr>
                <w:rFonts w:cs="Times New Roman"/>
                <w:color w:val="000000"/>
              </w:rPr>
              <w:t>COD</w:t>
            </w:r>
            <w:r>
              <w:rPr>
                <w:rFonts w:hint="eastAsia" w:cs="Times New Roman"/>
                <w:color w:val="000000"/>
              </w:rPr>
              <w:t>cr</w:t>
            </w:r>
            <w:r>
              <w:rPr>
                <w:rFonts w:cs="Times New Roman"/>
                <w:color w:val="000000"/>
              </w:rPr>
              <w:t>、氨氮、</w:t>
            </w:r>
            <w:r>
              <w:rPr>
                <w:rFonts w:hint="eastAsia" w:cs="Times New Roman"/>
                <w:color w:val="000000"/>
              </w:rPr>
              <w:t>水温</w:t>
            </w:r>
          </w:p>
        </w:tc>
        <w:tc>
          <w:tcPr>
            <w:tcW w:w="1623" w:type="dxa"/>
            <w:vAlign w:val="center"/>
          </w:tcPr>
          <w:p>
            <w:pPr>
              <w:pStyle w:val="122"/>
              <w:rPr>
                <w:rFonts w:cs="Times New Roman"/>
                <w:color w:val="000000"/>
              </w:rPr>
            </w:pPr>
            <w:r>
              <w:rPr>
                <w:rFonts w:hint="eastAsia" w:cs="Times New Roman"/>
                <w:color w:val="000000"/>
              </w:rPr>
              <w:t>进水</w:t>
            </w:r>
            <w:r>
              <w:rPr>
                <w:rFonts w:cs="Times New Roman"/>
                <w:color w:val="000000"/>
              </w:rPr>
              <w:t>在线监测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32" w:type="dxa"/>
            <w:vMerge w:val="continue"/>
            <w:vAlign w:val="center"/>
          </w:tcPr>
          <w:p>
            <w:pPr>
              <w:pStyle w:val="122"/>
              <w:rPr>
                <w:rFonts w:cs="Times New Roman"/>
                <w:color w:val="000000"/>
              </w:rPr>
            </w:pPr>
          </w:p>
        </w:tc>
        <w:tc>
          <w:tcPr>
            <w:tcW w:w="1819" w:type="dxa"/>
            <w:vMerge w:val="continue"/>
            <w:vAlign w:val="center"/>
          </w:tcPr>
          <w:p>
            <w:pPr>
              <w:pStyle w:val="122"/>
              <w:rPr>
                <w:rFonts w:cs="Times New Roman"/>
                <w:color w:val="000000"/>
              </w:rPr>
            </w:pPr>
          </w:p>
        </w:tc>
        <w:tc>
          <w:tcPr>
            <w:tcW w:w="4368" w:type="dxa"/>
            <w:vAlign w:val="center"/>
          </w:tcPr>
          <w:p>
            <w:pPr>
              <w:pStyle w:val="122"/>
              <w:rPr>
                <w:rFonts w:cs="Times New Roman"/>
                <w:color w:val="000000"/>
              </w:rPr>
            </w:pPr>
            <w:r>
              <w:rPr>
                <w:rFonts w:hint="eastAsia" w:cs="Times New Roman"/>
                <w:color w:val="000000"/>
              </w:rPr>
              <w:t>悬浮物、</w:t>
            </w:r>
            <w:r>
              <w:rPr>
                <w:rFonts w:cs="Times New Roman"/>
                <w:color w:val="000000"/>
              </w:rPr>
              <w:t>色度</w:t>
            </w:r>
            <w:r>
              <w:rPr>
                <w:rFonts w:hint="eastAsia" w:cs="Times New Roman"/>
                <w:color w:val="000000"/>
              </w:rPr>
              <w:t>、BOD</w:t>
            </w:r>
            <w:r>
              <w:rPr>
                <w:rFonts w:hint="eastAsia" w:cs="Times New Roman"/>
                <w:color w:val="000000"/>
                <w:vertAlign w:val="subscript"/>
              </w:rPr>
              <w:t>5</w:t>
            </w:r>
            <w:r>
              <w:rPr>
                <w:rFonts w:hint="eastAsia" w:cs="Times New Roman"/>
                <w:color w:val="000000"/>
              </w:rPr>
              <w:t>、</w:t>
            </w:r>
            <w:r>
              <w:rPr>
                <w:rFonts w:cs="Times New Roman"/>
                <w:color w:val="000000"/>
              </w:rPr>
              <w:t>动植物油、</w:t>
            </w:r>
            <w:r>
              <w:rPr>
                <w:rFonts w:hint="eastAsia" w:cs="Times New Roman"/>
                <w:color w:val="000000"/>
              </w:rPr>
              <w:t>阴离子表面活性剂、</w:t>
            </w:r>
            <w:r>
              <w:rPr>
                <w:rFonts w:cs="Times New Roman"/>
                <w:color w:val="000000"/>
              </w:rPr>
              <w:t>粪大肠菌群</w:t>
            </w:r>
            <w:r>
              <w:rPr>
                <w:rFonts w:hint="eastAsia" w:cs="Times New Roman"/>
                <w:color w:val="000000"/>
              </w:rPr>
              <w:t>、</w:t>
            </w:r>
            <w:r>
              <w:rPr>
                <w:rFonts w:cs="Times New Roman"/>
                <w:color w:val="000000"/>
              </w:rPr>
              <w:t>总磷</w:t>
            </w:r>
            <w:r>
              <w:rPr>
                <w:rFonts w:hint="eastAsia" w:cs="Times New Roman"/>
                <w:color w:val="000000"/>
              </w:rPr>
              <w:t>、总氮</w:t>
            </w:r>
          </w:p>
        </w:tc>
        <w:tc>
          <w:tcPr>
            <w:tcW w:w="1623" w:type="dxa"/>
            <w:vAlign w:val="center"/>
          </w:tcPr>
          <w:p>
            <w:pPr>
              <w:pStyle w:val="122"/>
              <w:rPr>
                <w:rFonts w:cs="Times New Roman"/>
                <w:color w:val="000000"/>
              </w:rPr>
            </w:pPr>
            <w:r>
              <w:rPr>
                <w:rFonts w:cs="Times New Roman"/>
                <w:color w:val="000000"/>
                <w:szCs w:val="21"/>
              </w:rPr>
              <w:t>每</w:t>
            </w:r>
            <w:r>
              <w:rPr>
                <w:rFonts w:hint="eastAsia" w:cs="Times New Roman"/>
                <w:color w:val="000000"/>
                <w:szCs w:val="21"/>
              </w:rPr>
              <w:t>月</w:t>
            </w:r>
            <w:r>
              <w:rPr>
                <w:rFonts w:cs="Times New Roman"/>
                <w:color w:val="000000"/>
                <w:szCs w:val="21"/>
              </w:rPr>
              <w:t>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32" w:type="dxa"/>
            <w:vMerge w:val="continue"/>
            <w:vAlign w:val="center"/>
          </w:tcPr>
          <w:p>
            <w:pPr>
              <w:pStyle w:val="122"/>
              <w:rPr>
                <w:rFonts w:cs="Times New Roman"/>
                <w:color w:val="000000"/>
              </w:rPr>
            </w:pPr>
          </w:p>
        </w:tc>
        <w:tc>
          <w:tcPr>
            <w:tcW w:w="1819" w:type="dxa"/>
            <w:vMerge w:val="restart"/>
            <w:vAlign w:val="center"/>
          </w:tcPr>
          <w:p>
            <w:pPr>
              <w:pStyle w:val="122"/>
              <w:rPr>
                <w:rFonts w:cs="Times New Roman"/>
                <w:color w:val="000000"/>
              </w:rPr>
            </w:pPr>
            <w:r>
              <w:rPr>
                <w:rFonts w:cs="Times New Roman"/>
                <w:color w:val="000000"/>
              </w:rPr>
              <w:t>污水处理厂排放口</w:t>
            </w:r>
          </w:p>
        </w:tc>
        <w:tc>
          <w:tcPr>
            <w:tcW w:w="4368" w:type="dxa"/>
            <w:vAlign w:val="center"/>
          </w:tcPr>
          <w:p>
            <w:pPr>
              <w:pStyle w:val="122"/>
              <w:rPr>
                <w:rFonts w:cs="Times New Roman"/>
                <w:color w:val="000000"/>
              </w:rPr>
            </w:pPr>
            <w:r>
              <w:rPr>
                <w:rFonts w:cs="Times New Roman"/>
                <w:color w:val="000000"/>
              </w:rPr>
              <w:t>水量、pH</w:t>
            </w:r>
            <w:r>
              <w:rPr>
                <w:rFonts w:hint="eastAsia" w:cs="Times New Roman"/>
                <w:color w:val="000000"/>
              </w:rPr>
              <w:t>、</w:t>
            </w:r>
            <w:r>
              <w:rPr>
                <w:rFonts w:cs="Times New Roman"/>
                <w:color w:val="000000"/>
              </w:rPr>
              <w:t>COD</w:t>
            </w:r>
            <w:r>
              <w:rPr>
                <w:rFonts w:hint="eastAsia" w:cs="Times New Roman"/>
                <w:color w:val="000000"/>
              </w:rPr>
              <w:t>cr</w:t>
            </w:r>
            <w:r>
              <w:rPr>
                <w:rFonts w:cs="Times New Roman"/>
                <w:color w:val="000000"/>
              </w:rPr>
              <w:t>、氨氮、总磷</w:t>
            </w:r>
            <w:r>
              <w:rPr>
                <w:rFonts w:hint="eastAsia" w:cs="Times New Roman"/>
                <w:color w:val="000000"/>
              </w:rPr>
              <w:t>、总氮、水温</w:t>
            </w:r>
          </w:p>
        </w:tc>
        <w:tc>
          <w:tcPr>
            <w:tcW w:w="1623" w:type="dxa"/>
            <w:vAlign w:val="center"/>
          </w:tcPr>
          <w:p>
            <w:pPr>
              <w:pStyle w:val="122"/>
              <w:rPr>
                <w:rFonts w:cs="Times New Roman"/>
                <w:color w:val="000000"/>
              </w:rPr>
            </w:pPr>
            <w:r>
              <w:rPr>
                <w:rFonts w:hint="eastAsia" w:cs="Times New Roman"/>
                <w:color w:val="000000"/>
              </w:rPr>
              <w:t>出水</w:t>
            </w:r>
            <w:r>
              <w:rPr>
                <w:rFonts w:cs="Times New Roman"/>
                <w:color w:val="000000"/>
              </w:rPr>
              <w:t>在线监测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2" w:type="dxa"/>
            <w:vMerge w:val="continue"/>
            <w:vAlign w:val="center"/>
          </w:tcPr>
          <w:p>
            <w:pPr>
              <w:pStyle w:val="122"/>
              <w:rPr>
                <w:rFonts w:cs="Times New Roman"/>
                <w:color w:val="000000"/>
              </w:rPr>
            </w:pPr>
          </w:p>
        </w:tc>
        <w:tc>
          <w:tcPr>
            <w:tcW w:w="1819" w:type="dxa"/>
            <w:vMerge w:val="continue"/>
            <w:vAlign w:val="center"/>
          </w:tcPr>
          <w:p>
            <w:pPr>
              <w:pStyle w:val="122"/>
              <w:rPr>
                <w:rFonts w:cs="Times New Roman"/>
                <w:color w:val="000000"/>
              </w:rPr>
            </w:pPr>
          </w:p>
        </w:tc>
        <w:tc>
          <w:tcPr>
            <w:tcW w:w="4368" w:type="dxa"/>
            <w:vAlign w:val="center"/>
          </w:tcPr>
          <w:p>
            <w:pPr>
              <w:pStyle w:val="122"/>
              <w:rPr>
                <w:rFonts w:cs="Times New Roman"/>
                <w:color w:val="000000"/>
              </w:rPr>
            </w:pPr>
            <w:r>
              <w:rPr>
                <w:rFonts w:hint="eastAsia" w:cs="Times New Roman"/>
                <w:color w:val="000000"/>
              </w:rPr>
              <w:t>悬浮物、</w:t>
            </w:r>
            <w:r>
              <w:rPr>
                <w:rFonts w:cs="Times New Roman"/>
                <w:color w:val="000000"/>
              </w:rPr>
              <w:t>色度</w:t>
            </w:r>
            <w:r>
              <w:rPr>
                <w:rFonts w:hint="eastAsia" w:cs="Times New Roman"/>
                <w:color w:val="000000"/>
              </w:rPr>
              <w:t>、BOD</w:t>
            </w:r>
            <w:r>
              <w:rPr>
                <w:rFonts w:hint="eastAsia" w:cs="Times New Roman"/>
                <w:color w:val="000000"/>
                <w:vertAlign w:val="subscript"/>
              </w:rPr>
              <w:t>5</w:t>
            </w:r>
            <w:r>
              <w:rPr>
                <w:rFonts w:hint="eastAsia" w:cs="Times New Roman"/>
                <w:color w:val="000000"/>
              </w:rPr>
              <w:t>、</w:t>
            </w:r>
            <w:r>
              <w:rPr>
                <w:rFonts w:cs="Times New Roman"/>
                <w:color w:val="000000"/>
              </w:rPr>
              <w:t>动植物油、</w:t>
            </w:r>
            <w:r>
              <w:rPr>
                <w:rFonts w:hint="eastAsia" w:cs="Times New Roman"/>
                <w:color w:val="000000"/>
              </w:rPr>
              <w:t>阴离子表面活性剂、</w:t>
            </w:r>
            <w:r>
              <w:rPr>
                <w:rFonts w:cs="Times New Roman"/>
                <w:color w:val="000000"/>
              </w:rPr>
              <w:t>粪大肠菌群</w:t>
            </w:r>
          </w:p>
        </w:tc>
        <w:tc>
          <w:tcPr>
            <w:tcW w:w="1623" w:type="dxa"/>
            <w:vAlign w:val="center"/>
          </w:tcPr>
          <w:p>
            <w:pPr>
              <w:pStyle w:val="122"/>
              <w:rPr>
                <w:rFonts w:cs="Times New Roman"/>
                <w:color w:val="000000"/>
              </w:rPr>
            </w:pPr>
            <w:r>
              <w:rPr>
                <w:rFonts w:cs="Times New Roman"/>
                <w:color w:val="000000"/>
                <w:szCs w:val="21"/>
              </w:rPr>
              <w:t>每</w:t>
            </w:r>
            <w:r>
              <w:rPr>
                <w:rFonts w:hint="eastAsia" w:cs="Times New Roman"/>
                <w:color w:val="000000"/>
                <w:szCs w:val="21"/>
              </w:rPr>
              <w:t>月</w:t>
            </w:r>
            <w:r>
              <w:rPr>
                <w:rFonts w:cs="Times New Roman"/>
                <w:color w:val="000000"/>
                <w:szCs w:val="21"/>
              </w:rPr>
              <w:t>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32" w:type="dxa"/>
            <w:vMerge w:val="continue"/>
            <w:vAlign w:val="center"/>
          </w:tcPr>
          <w:p>
            <w:pPr>
              <w:pStyle w:val="122"/>
              <w:rPr>
                <w:rFonts w:cs="Times New Roman"/>
                <w:color w:val="000000"/>
              </w:rPr>
            </w:pPr>
          </w:p>
        </w:tc>
        <w:tc>
          <w:tcPr>
            <w:tcW w:w="1819" w:type="dxa"/>
            <w:vMerge w:val="continue"/>
            <w:vAlign w:val="center"/>
          </w:tcPr>
          <w:p>
            <w:pPr>
              <w:pStyle w:val="122"/>
              <w:rPr>
                <w:rFonts w:cs="Times New Roman"/>
                <w:color w:val="000000"/>
              </w:rPr>
            </w:pPr>
          </w:p>
        </w:tc>
        <w:tc>
          <w:tcPr>
            <w:tcW w:w="4368" w:type="dxa"/>
            <w:vAlign w:val="center"/>
          </w:tcPr>
          <w:p>
            <w:pPr>
              <w:pStyle w:val="122"/>
              <w:rPr>
                <w:rFonts w:cs="Times New Roman"/>
                <w:color w:val="000000"/>
              </w:rPr>
            </w:pPr>
            <w:r>
              <w:rPr>
                <w:rFonts w:hint="eastAsia" w:cs="Times New Roman"/>
                <w:color w:val="000000"/>
              </w:rPr>
              <w:t>总铅</w:t>
            </w:r>
            <w:r>
              <w:rPr>
                <w:rFonts w:cs="Times New Roman"/>
                <w:color w:val="000000"/>
              </w:rPr>
              <w:t>、</w:t>
            </w:r>
            <w:r>
              <w:rPr>
                <w:rFonts w:hint="eastAsia" w:cs="Times New Roman"/>
                <w:color w:val="000000"/>
              </w:rPr>
              <w:t>总</w:t>
            </w:r>
            <w:r>
              <w:rPr>
                <w:rFonts w:cs="Times New Roman"/>
                <w:color w:val="000000"/>
              </w:rPr>
              <w:t>汞、</w:t>
            </w:r>
            <w:r>
              <w:rPr>
                <w:rFonts w:hint="eastAsia" w:cs="Times New Roman"/>
                <w:color w:val="000000"/>
              </w:rPr>
              <w:t>总</w:t>
            </w:r>
            <w:r>
              <w:rPr>
                <w:rFonts w:cs="Times New Roman"/>
                <w:color w:val="000000"/>
              </w:rPr>
              <w:t>镉、</w:t>
            </w:r>
            <w:r>
              <w:rPr>
                <w:rFonts w:hint="eastAsia" w:cs="Times New Roman"/>
                <w:color w:val="000000"/>
              </w:rPr>
              <w:t>总铬</w:t>
            </w:r>
            <w:r>
              <w:rPr>
                <w:rFonts w:cs="Times New Roman"/>
                <w:color w:val="000000"/>
              </w:rPr>
              <w:t>、</w:t>
            </w:r>
            <w:r>
              <w:rPr>
                <w:rFonts w:hint="eastAsia" w:cs="Times New Roman"/>
                <w:color w:val="000000"/>
              </w:rPr>
              <w:t>总</w:t>
            </w:r>
            <w:r>
              <w:rPr>
                <w:rFonts w:cs="Times New Roman"/>
                <w:color w:val="000000"/>
              </w:rPr>
              <w:t>砷</w:t>
            </w:r>
            <w:r>
              <w:rPr>
                <w:rFonts w:hint="eastAsia" w:cs="Times New Roman"/>
                <w:color w:val="000000"/>
              </w:rPr>
              <w:t>、总六价铬</w:t>
            </w:r>
          </w:p>
        </w:tc>
        <w:tc>
          <w:tcPr>
            <w:tcW w:w="1623" w:type="dxa"/>
            <w:vAlign w:val="center"/>
          </w:tcPr>
          <w:p>
            <w:pPr>
              <w:pStyle w:val="122"/>
              <w:rPr>
                <w:rFonts w:cs="Times New Roman"/>
                <w:color w:val="000000"/>
                <w:szCs w:val="21"/>
              </w:rPr>
            </w:pPr>
            <w:r>
              <w:rPr>
                <w:rFonts w:cs="Times New Roman"/>
                <w:color w:val="000000"/>
              </w:rPr>
              <w:t>每</w:t>
            </w:r>
            <w:r>
              <w:rPr>
                <w:rFonts w:hint="eastAsia" w:cs="Times New Roman"/>
                <w:color w:val="000000"/>
              </w:rPr>
              <w:t>季度</w:t>
            </w:r>
            <w:r>
              <w:rPr>
                <w:rFonts w:cs="Times New Roman"/>
                <w:color w:val="000000"/>
              </w:rPr>
              <w:t>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dxa"/>
            <w:vAlign w:val="center"/>
          </w:tcPr>
          <w:p>
            <w:pPr>
              <w:spacing w:line="400" w:lineRule="exact"/>
              <w:jc w:val="center"/>
              <w:rPr>
                <w:rFonts w:eastAsia="宋体" w:cs="Times New Roman"/>
                <w:color w:val="000000"/>
                <w:sz w:val="21"/>
              </w:rPr>
            </w:pPr>
            <w:r>
              <w:rPr>
                <w:rFonts w:hint="eastAsia" w:eastAsia="宋体" w:cs="Times New Roman"/>
                <w:color w:val="000000"/>
                <w:sz w:val="21"/>
              </w:rPr>
              <w:t>地表</w:t>
            </w:r>
          </w:p>
          <w:p>
            <w:pPr>
              <w:pStyle w:val="122"/>
              <w:rPr>
                <w:rFonts w:cs="Times New Roman"/>
                <w:color w:val="000000"/>
              </w:rPr>
            </w:pPr>
            <w:r>
              <w:rPr>
                <w:rFonts w:cs="Times New Roman"/>
                <w:color w:val="000000"/>
                <w:szCs w:val="21"/>
              </w:rPr>
              <w:t>水环境</w:t>
            </w:r>
          </w:p>
        </w:tc>
        <w:tc>
          <w:tcPr>
            <w:tcW w:w="1819" w:type="dxa"/>
            <w:vAlign w:val="center"/>
          </w:tcPr>
          <w:p>
            <w:pPr>
              <w:pStyle w:val="122"/>
              <w:rPr>
                <w:rFonts w:cs="Times New Roman"/>
                <w:color w:val="000000"/>
              </w:rPr>
            </w:pPr>
            <w:r>
              <w:rPr>
                <w:rFonts w:hint="eastAsia"/>
                <w:color w:val="000000" w:themeColor="text1"/>
              </w:rPr>
              <w:t>华容河</w:t>
            </w:r>
          </w:p>
        </w:tc>
        <w:tc>
          <w:tcPr>
            <w:tcW w:w="4368" w:type="dxa"/>
            <w:vAlign w:val="center"/>
          </w:tcPr>
          <w:p>
            <w:pPr>
              <w:pStyle w:val="122"/>
              <w:rPr>
                <w:rFonts w:cs="Times New Roman"/>
                <w:color w:val="000000"/>
              </w:rPr>
            </w:pPr>
            <w:r>
              <w:rPr>
                <w:rFonts w:cs="Times New Roman"/>
                <w:color w:val="000000"/>
              </w:rPr>
              <w:t>水量、pH、悬浮物、COD</w:t>
            </w:r>
            <w:r>
              <w:rPr>
                <w:rFonts w:hint="eastAsia" w:cs="Times New Roman"/>
                <w:color w:val="000000"/>
              </w:rPr>
              <w:t>cr</w:t>
            </w:r>
            <w:r>
              <w:rPr>
                <w:rFonts w:cs="Times New Roman"/>
                <w:color w:val="000000"/>
              </w:rPr>
              <w:t>、BOD</w:t>
            </w:r>
            <w:r>
              <w:rPr>
                <w:rFonts w:cs="Times New Roman"/>
                <w:color w:val="000000"/>
                <w:vertAlign w:val="subscript"/>
              </w:rPr>
              <w:t>5</w:t>
            </w:r>
            <w:r>
              <w:rPr>
                <w:rFonts w:cs="Times New Roman"/>
                <w:color w:val="000000"/>
              </w:rPr>
              <w:t>、氨氮、总磷、动植物油、石油类、</w:t>
            </w:r>
            <w:r>
              <w:rPr>
                <w:rFonts w:hint="eastAsia" w:cs="Times New Roman"/>
                <w:color w:val="000000"/>
              </w:rPr>
              <w:t>L</w:t>
            </w:r>
            <w:r>
              <w:rPr>
                <w:rFonts w:cs="Times New Roman"/>
                <w:color w:val="000000"/>
              </w:rPr>
              <w:t>AS、色度、粪大肠菌群</w:t>
            </w:r>
          </w:p>
        </w:tc>
        <w:tc>
          <w:tcPr>
            <w:tcW w:w="1623" w:type="dxa"/>
            <w:vAlign w:val="center"/>
          </w:tcPr>
          <w:p>
            <w:pPr>
              <w:pStyle w:val="122"/>
              <w:rPr>
                <w:rFonts w:cs="Times New Roman"/>
                <w:color w:val="000000"/>
              </w:rPr>
            </w:pPr>
            <w:r>
              <w:rPr>
                <w:rFonts w:cs="Times New Roman"/>
                <w:color w:val="000000"/>
                <w:szCs w:val="21"/>
              </w:rPr>
              <w:t>每半年一次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dxa"/>
            <w:vAlign w:val="center"/>
          </w:tcPr>
          <w:p>
            <w:pPr>
              <w:pStyle w:val="122"/>
              <w:rPr>
                <w:rFonts w:cs="Times New Roman"/>
                <w:color w:val="000000"/>
              </w:rPr>
            </w:pPr>
            <w:r>
              <w:rPr>
                <w:rFonts w:cs="Times New Roman"/>
                <w:color w:val="000000"/>
              </w:rPr>
              <w:t>噪声</w:t>
            </w:r>
          </w:p>
        </w:tc>
        <w:tc>
          <w:tcPr>
            <w:tcW w:w="1819" w:type="dxa"/>
            <w:vAlign w:val="center"/>
          </w:tcPr>
          <w:p>
            <w:pPr>
              <w:pStyle w:val="122"/>
              <w:rPr>
                <w:rFonts w:cs="Times New Roman"/>
                <w:color w:val="000000"/>
              </w:rPr>
            </w:pPr>
            <w:r>
              <w:rPr>
                <w:rFonts w:cs="Times New Roman"/>
                <w:color w:val="000000"/>
              </w:rPr>
              <w:t>厂界</w:t>
            </w:r>
          </w:p>
        </w:tc>
        <w:tc>
          <w:tcPr>
            <w:tcW w:w="4368" w:type="dxa"/>
            <w:vAlign w:val="center"/>
          </w:tcPr>
          <w:p>
            <w:pPr>
              <w:pStyle w:val="122"/>
              <w:rPr>
                <w:rFonts w:cs="Times New Roman"/>
                <w:color w:val="000000"/>
              </w:rPr>
            </w:pPr>
            <w:r>
              <w:rPr>
                <w:rFonts w:cs="Times New Roman"/>
                <w:color w:val="000000"/>
              </w:rPr>
              <w:t>连续等效A声级</w:t>
            </w:r>
          </w:p>
        </w:tc>
        <w:tc>
          <w:tcPr>
            <w:tcW w:w="1623" w:type="dxa"/>
            <w:vAlign w:val="center"/>
          </w:tcPr>
          <w:p>
            <w:pPr>
              <w:pStyle w:val="122"/>
              <w:rPr>
                <w:rFonts w:cs="Times New Roman"/>
                <w:color w:val="000000"/>
              </w:rPr>
            </w:pPr>
            <w:r>
              <w:rPr>
                <w:rFonts w:cs="Times New Roman"/>
                <w:color w:val="000000"/>
              </w:rPr>
              <w:t>每</w:t>
            </w:r>
            <w:r>
              <w:rPr>
                <w:rFonts w:hint="eastAsia" w:cs="Times New Roman"/>
                <w:color w:val="000000"/>
              </w:rPr>
              <w:t>季度</w:t>
            </w:r>
            <w:r>
              <w:rPr>
                <w:rFonts w:cs="Times New Roman"/>
                <w:color w:val="000000"/>
              </w:rPr>
              <w:t>一次</w:t>
            </w:r>
          </w:p>
        </w:tc>
      </w:tr>
    </w:tbl>
    <w:p>
      <w:pPr>
        <w:pStyle w:val="14"/>
        <w:rPr>
          <w:color w:val="000000" w:themeColor="text1"/>
        </w:rPr>
      </w:pPr>
    </w:p>
    <w:p>
      <w:pPr>
        <w:sectPr>
          <w:pgSz w:w="11906" w:h="16838"/>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pPr>
      <w:r>
        <w:br w:type="page"/>
      </w:r>
    </w:p>
    <w:p>
      <w:pPr>
        <w:pStyle w:val="4"/>
        <w:adjustRightInd w:val="0"/>
        <w:snapToGrid w:val="0"/>
        <w:rPr>
          <w:color w:val="000000" w:themeColor="text1"/>
        </w:rPr>
      </w:pPr>
      <w:bookmarkStart w:id="258" w:name="_Toc532498767"/>
      <w:bookmarkStart w:id="259" w:name="_Toc532497705"/>
      <w:bookmarkStart w:id="260" w:name="_Toc532376174"/>
      <w:bookmarkStart w:id="261" w:name="_Toc5295"/>
      <w:bookmarkStart w:id="262" w:name="_Toc532763231"/>
      <w:r>
        <w:rPr>
          <w:rFonts w:hint="eastAsia"/>
          <w:color w:val="000000" w:themeColor="text1"/>
        </w:rPr>
        <w:t>排污口规范化</w:t>
      </w:r>
      <w:bookmarkEnd w:id="258"/>
      <w:bookmarkEnd w:id="259"/>
      <w:bookmarkEnd w:id="260"/>
      <w:bookmarkEnd w:id="261"/>
      <w:bookmarkEnd w:id="262"/>
    </w:p>
    <w:p>
      <w:pPr>
        <w:adjustRightInd w:val="0"/>
        <w:snapToGrid w:val="0"/>
        <w:spacing w:line="360" w:lineRule="auto"/>
        <w:ind w:firstLine="480" w:firstLineChars="200"/>
        <w:rPr>
          <w:color w:val="000000" w:themeColor="text1"/>
        </w:rPr>
      </w:pPr>
      <w:r>
        <w:rPr>
          <w:color w:val="000000" w:themeColor="text1"/>
        </w:rPr>
        <w:t>根据国家及省市环境保护主管部门的有关文件精神</w:t>
      </w:r>
      <w:r>
        <w:rPr>
          <w:rFonts w:hint="eastAsia"/>
          <w:color w:val="000000" w:themeColor="text1"/>
        </w:rPr>
        <w:t>，</w:t>
      </w:r>
      <w:r>
        <w:rPr>
          <w:color w:val="000000" w:themeColor="text1"/>
        </w:rPr>
        <w:t>本项目污染物排放口必须实行排污口规范化建设</w:t>
      </w:r>
      <w:r>
        <w:rPr>
          <w:rFonts w:hint="eastAsia"/>
          <w:color w:val="000000" w:themeColor="text1"/>
        </w:rPr>
        <w:t>，</w:t>
      </w:r>
      <w:r>
        <w:rPr>
          <w:color w:val="000000" w:themeColor="text1"/>
        </w:rPr>
        <w:t>该项工作是实施污染物总量控制的基础性工作之一</w:t>
      </w:r>
      <w:r>
        <w:rPr>
          <w:rFonts w:hint="eastAsia"/>
          <w:color w:val="000000" w:themeColor="text1"/>
        </w:rPr>
        <w:t>。</w:t>
      </w:r>
      <w:r>
        <w:rPr>
          <w:color w:val="000000" w:themeColor="text1"/>
        </w:rPr>
        <w:t>通过对排污口规范化建设</w:t>
      </w:r>
      <w:r>
        <w:rPr>
          <w:rFonts w:hint="eastAsia"/>
          <w:color w:val="000000" w:themeColor="text1"/>
        </w:rPr>
        <w:t>，</w:t>
      </w:r>
      <w:r>
        <w:rPr>
          <w:color w:val="000000" w:themeColor="text1"/>
        </w:rPr>
        <w:t>能够促进企业加强环境管理和污染治理</w:t>
      </w:r>
      <w:r>
        <w:rPr>
          <w:rFonts w:hint="eastAsia"/>
          <w:color w:val="000000" w:themeColor="text1"/>
        </w:rPr>
        <w:t>，</w:t>
      </w:r>
      <w:r>
        <w:rPr>
          <w:color w:val="000000" w:themeColor="text1"/>
        </w:rPr>
        <w:t>有利于加强对污染源的监管管理</w:t>
      </w:r>
      <w:r>
        <w:rPr>
          <w:rFonts w:hint="eastAsia"/>
          <w:color w:val="000000" w:themeColor="text1"/>
        </w:rPr>
        <w:t>，</w:t>
      </w:r>
      <w:r>
        <w:rPr>
          <w:color w:val="000000" w:themeColor="text1"/>
        </w:rPr>
        <w:t>逐步实现污染物排放的科学化</w:t>
      </w:r>
      <w:r>
        <w:rPr>
          <w:rFonts w:hint="eastAsia"/>
          <w:color w:val="000000" w:themeColor="text1"/>
        </w:rPr>
        <w:t>、</w:t>
      </w:r>
      <w:r>
        <w:rPr>
          <w:color w:val="000000" w:themeColor="text1"/>
        </w:rPr>
        <w:t>定量化管理</w:t>
      </w:r>
      <w:r>
        <w:rPr>
          <w:rFonts w:hint="eastAsia"/>
          <w:color w:val="000000" w:themeColor="text1"/>
        </w:rPr>
        <w:t>，</w:t>
      </w:r>
      <w:r>
        <w:rPr>
          <w:color w:val="000000" w:themeColor="text1"/>
        </w:rPr>
        <w:t>提高人们的环境意识</w:t>
      </w:r>
      <w:r>
        <w:rPr>
          <w:rFonts w:hint="eastAsia"/>
          <w:color w:val="000000" w:themeColor="text1"/>
        </w:rPr>
        <w:t>，</w:t>
      </w:r>
      <w:r>
        <w:rPr>
          <w:color w:val="000000" w:themeColor="text1"/>
        </w:rPr>
        <w:t>保护和改善环境质量</w:t>
      </w:r>
      <w:r>
        <w:rPr>
          <w:rFonts w:hint="eastAsia"/>
          <w:color w:val="000000" w:themeColor="text1"/>
        </w:rPr>
        <w:t>。</w:t>
      </w:r>
    </w:p>
    <w:p>
      <w:pPr>
        <w:autoSpaceDE w:val="0"/>
        <w:autoSpaceDN w:val="0"/>
        <w:adjustRightInd w:val="0"/>
        <w:spacing w:line="360" w:lineRule="auto"/>
        <w:ind w:firstLine="480" w:firstLineChars="200"/>
        <w:jc w:val="left"/>
        <w:rPr>
          <w:rFonts w:ascii="宋体" w:eastAsia="宋体" w:cs="宋体" w:hAnsiTheme="minorHAnsi"/>
          <w:color w:val="000000"/>
          <w:kern w:val="0"/>
          <w:szCs w:val="24"/>
        </w:rPr>
      </w:pPr>
      <w:r>
        <w:rPr>
          <w:rFonts w:hint="eastAsia" w:ascii="宋体" w:eastAsia="宋体" w:cs="宋体" w:hAnsiTheme="minorHAnsi"/>
          <w:color w:val="000000"/>
          <w:kern w:val="0"/>
          <w:szCs w:val="24"/>
        </w:rPr>
        <w:t>排污口规范化建设技术要求：</w:t>
      </w:r>
    </w:p>
    <w:p>
      <w:pPr>
        <w:adjustRightInd w:val="0"/>
        <w:snapToGrid w:val="0"/>
        <w:spacing w:line="360" w:lineRule="auto"/>
        <w:ind w:firstLine="480" w:firstLineChars="200"/>
        <w:rPr>
          <w:rFonts w:eastAsia="宋体" w:cs="Times New Roman"/>
          <w:color w:val="000000"/>
          <w:kern w:val="0"/>
          <w:szCs w:val="24"/>
        </w:rPr>
      </w:pPr>
      <w:r>
        <w:rPr>
          <w:rFonts w:eastAsia="宋体" w:cs="Times New Roman"/>
          <w:color w:val="000000"/>
          <w:kern w:val="0"/>
          <w:szCs w:val="24"/>
        </w:rPr>
        <w:t>（1）按照《环境保护图形标志 排放口（源）》（GB15562.1-1995）及《环境保护图形标志 固体废物贮存（处置）场》（GB15562.2-1995）的规定，规范化的排污口应设置相应的环境保护图形标志牌</w:t>
      </w:r>
      <w:r>
        <w:rPr>
          <w:rFonts w:hint="eastAsia" w:eastAsia="宋体" w:cs="Times New Roman"/>
          <w:color w:val="000000"/>
          <w:kern w:val="0"/>
          <w:szCs w:val="24"/>
        </w:rPr>
        <w:t>，</w:t>
      </w:r>
      <w:r>
        <w:rPr>
          <w:rFonts w:eastAsia="宋体" w:cs="Times New Roman"/>
          <w:color w:val="000000"/>
          <w:kern w:val="0"/>
          <w:szCs w:val="24"/>
        </w:rPr>
        <w:t>排污口图形标志牌见</w:t>
      </w:r>
      <w:r>
        <w:fldChar w:fldCharType="begin"/>
      </w:r>
      <w:r>
        <w:instrText xml:space="preserve"> REF _Ref19533990 \h  \* MERGEFORMAT </w:instrText>
      </w:r>
      <w:r>
        <w:fldChar w:fldCharType="separate"/>
      </w:r>
      <w:r>
        <w:rPr>
          <w:rFonts w:cs="Times New Roman"/>
          <w:color w:val="000000" w:themeColor="text1"/>
          <w:szCs w:val="24"/>
        </w:rPr>
        <w:t>图8.3</w:t>
      </w:r>
      <w:r>
        <w:rPr>
          <w:rFonts w:cs="Times New Roman"/>
          <w:color w:val="000000" w:themeColor="text1"/>
          <w:szCs w:val="24"/>
        </w:rPr>
        <w:noBreakHyphen/>
      </w:r>
      <w:r>
        <w:rPr>
          <w:rFonts w:cs="Times New Roman"/>
          <w:color w:val="000000" w:themeColor="text1"/>
          <w:szCs w:val="24"/>
        </w:rPr>
        <w:t>1</w:t>
      </w:r>
      <w:r>
        <w:rPr>
          <w:rFonts w:cs="Times New Roman"/>
          <w:color w:val="000000" w:themeColor="text1"/>
          <w:szCs w:val="24"/>
        </w:rPr>
        <w:fldChar w:fldCharType="end"/>
      </w:r>
      <w:r>
        <w:rPr>
          <w:rFonts w:eastAsia="宋体" w:cs="Times New Roman"/>
          <w:color w:val="000000"/>
          <w:kern w:val="0"/>
          <w:szCs w:val="24"/>
        </w:rPr>
        <w:t>。</w:t>
      </w:r>
    </w:p>
    <w:p>
      <w:pPr>
        <w:adjustRightInd w:val="0"/>
        <w:snapToGrid w:val="0"/>
        <w:spacing w:line="360" w:lineRule="auto"/>
        <w:ind w:firstLine="480" w:firstLineChars="200"/>
        <w:rPr>
          <w:rFonts w:cs="Times New Roman"/>
          <w:szCs w:val="24"/>
        </w:rPr>
      </w:pPr>
      <w:r>
        <w:rPr>
          <w:rFonts w:eastAsia="宋体" w:cs="Times New Roman"/>
          <w:color w:val="000000"/>
          <w:kern w:val="0"/>
          <w:szCs w:val="24"/>
        </w:rPr>
        <w:t>（2）</w:t>
      </w:r>
      <w:r>
        <w:rPr>
          <w:rFonts w:cs="Times New Roman"/>
          <w:szCs w:val="24"/>
        </w:rPr>
        <w:t>按要求填写由国家生态环境部统一印制的《中华人民共和国规范化排污口标志登记证》并根据登记证的内容建立排污口档案。</w:t>
      </w:r>
    </w:p>
    <w:p>
      <w:pPr>
        <w:adjustRightInd w:val="0"/>
        <w:snapToGrid w:val="0"/>
        <w:spacing w:line="360" w:lineRule="auto"/>
        <w:ind w:firstLine="480" w:firstLineChars="200"/>
        <w:rPr>
          <w:rFonts w:cs="Times New Roman"/>
          <w:szCs w:val="24"/>
        </w:rPr>
      </w:pPr>
      <w:r>
        <w:rPr>
          <w:rFonts w:cs="Times New Roman"/>
          <w:szCs w:val="24"/>
        </w:rPr>
        <w:t>（3）规范化整治排污口有关设施属于环境保护设施，公司应将其纳入其设备管理，并选派责任心强、有专业知识和技能的专、兼职人员对排污口进行管理。</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478"/>
        <w:gridCol w:w="2255"/>
        <w:gridCol w:w="2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t>排放口</w:t>
            </w:r>
          </w:p>
        </w:tc>
        <w:tc>
          <w:tcPr>
            <w:tcW w:w="2478"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t>图形符号</w:t>
            </w:r>
          </w:p>
        </w:tc>
        <w:tc>
          <w:tcPr>
            <w:tcW w:w="2255"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t>背景颜色</w:t>
            </w:r>
          </w:p>
        </w:tc>
        <w:tc>
          <w:tcPr>
            <w:tcW w:w="2255"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pStyle w:val="78"/>
              <w:jc w:val="center"/>
              <w:rPr>
                <w:rFonts w:eastAsia="宋体"/>
                <w:kern w:val="2"/>
                <w:sz w:val="21"/>
                <w:szCs w:val="21"/>
              </w:rPr>
            </w:pPr>
            <w:r>
              <w:rPr>
                <w:rFonts w:hint="eastAsia" w:eastAsia="宋体"/>
                <w:kern w:val="2"/>
                <w:sz w:val="21"/>
                <w:szCs w:val="21"/>
              </w:rPr>
              <w:t>废水排放口</w:t>
            </w:r>
          </w:p>
        </w:tc>
        <w:tc>
          <w:tcPr>
            <w:tcW w:w="2478"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drawing>
                <wp:inline distT="0" distB="0" distL="0" distR="0">
                  <wp:extent cx="1352550" cy="1191895"/>
                  <wp:effectExtent l="19050" t="0" r="0" b="0"/>
                  <wp:docPr id="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1"/>
                          <pic:cNvPicPr>
                            <a:picLocks noChangeAspect="1" noChangeArrowheads="1"/>
                          </pic:cNvPicPr>
                        </pic:nvPicPr>
                        <pic:blipFill>
                          <a:blip r:embed="rId25" cstate="print"/>
                          <a:srcRect/>
                          <a:stretch>
                            <a:fillRect/>
                          </a:stretch>
                        </pic:blipFill>
                        <pic:spPr>
                          <a:xfrm>
                            <a:off x="0" y="0"/>
                            <a:ext cx="1353667" cy="1193189"/>
                          </a:xfrm>
                          <a:prstGeom prst="rect">
                            <a:avLst/>
                          </a:prstGeom>
                          <a:noFill/>
                          <a:ln w="9525">
                            <a:noFill/>
                            <a:miter lim="800000"/>
                            <a:headEnd/>
                            <a:tailEnd/>
                          </a:ln>
                        </pic:spPr>
                      </pic:pic>
                    </a:graphicData>
                  </a:graphic>
                </wp:inline>
              </w:drawing>
            </w:r>
          </w:p>
        </w:tc>
        <w:tc>
          <w:tcPr>
            <w:tcW w:w="2255" w:type="dxa"/>
            <w:vAlign w:val="center"/>
          </w:tcPr>
          <w:p>
            <w:pPr>
              <w:pStyle w:val="78"/>
              <w:jc w:val="center"/>
              <w:rPr>
                <w:rFonts w:eastAsia="宋体"/>
                <w:kern w:val="2"/>
                <w:sz w:val="21"/>
                <w:szCs w:val="21"/>
              </w:rPr>
            </w:pPr>
            <w:r>
              <w:rPr>
                <w:rFonts w:hint="eastAsia" w:eastAsia="宋体"/>
                <w:kern w:val="2"/>
                <w:sz w:val="21"/>
                <w:szCs w:val="21"/>
              </w:rPr>
              <w:t>黄色</w:t>
            </w:r>
          </w:p>
        </w:tc>
        <w:tc>
          <w:tcPr>
            <w:tcW w:w="2255" w:type="dxa"/>
            <w:vAlign w:val="center"/>
          </w:tcPr>
          <w:p>
            <w:pPr>
              <w:pStyle w:val="78"/>
              <w:jc w:val="center"/>
              <w:rPr>
                <w:rFonts w:eastAsia="宋体"/>
                <w:kern w:val="2"/>
                <w:sz w:val="21"/>
                <w:szCs w:val="21"/>
              </w:rPr>
            </w:pPr>
            <w:r>
              <w:rPr>
                <w:rFonts w:hint="eastAsia" w:eastAsia="宋体"/>
                <w:kern w:val="2"/>
                <w:sz w:val="21"/>
                <w:szCs w:val="21"/>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pStyle w:val="78"/>
              <w:jc w:val="center"/>
              <w:rPr>
                <w:rFonts w:eastAsia="宋体"/>
                <w:kern w:val="2"/>
                <w:sz w:val="21"/>
                <w:szCs w:val="21"/>
              </w:rPr>
            </w:pPr>
            <w:r>
              <w:rPr>
                <w:rFonts w:hint="eastAsia" w:eastAsia="宋体"/>
                <w:kern w:val="2"/>
                <w:sz w:val="21"/>
                <w:szCs w:val="21"/>
              </w:rPr>
              <w:t>废气排放口</w:t>
            </w:r>
          </w:p>
        </w:tc>
        <w:tc>
          <w:tcPr>
            <w:tcW w:w="2478"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drawing>
                <wp:inline distT="0" distB="0" distL="0" distR="0">
                  <wp:extent cx="1395730" cy="1221105"/>
                  <wp:effectExtent l="19050" t="0" r="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noChangeArrowheads="1"/>
                          </pic:cNvPicPr>
                        </pic:nvPicPr>
                        <pic:blipFill>
                          <a:blip r:embed="rId26" cstate="print"/>
                          <a:srcRect/>
                          <a:stretch>
                            <a:fillRect/>
                          </a:stretch>
                        </pic:blipFill>
                        <pic:spPr>
                          <a:xfrm>
                            <a:off x="0" y="0"/>
                            <a:ext cx="1396508" cy="1222293"/>
                          </a:xfrm>
                          <a:prstGeom prst="rect">
                            <a:avLst/>
                          </a:prstGeom>
                          <a:noFill/>
                          <a:ln w="9525">
                            <a:noFill/>
                            <a:miter lim="800000"/>
                            <a:headEnd/>
                            <a:tailEnd/>
                          </a:ln>
                        </pic:spPr>
                      </pic:pic>
                    </a:graphicData>
                  </a:graphic>
                </wp:inline>
              </w:drawing>
            </w:r>
          </w:p>
        </w:tc>
        <w:tc>
          <w:tcPr>
            <w:tcW w:w="2255" w:type="dxa"/>
            <w:vAlign w:val="center"/>
          </w:tcPr>
          <w:p>
            <w:pPr>
              <w:pStyle w:val="78"/>
              <w:jc w:val="center"/>
              <w:rPr>
                <w:rFonts w:eastAsia="宋体"/>
                <w:kern w:val="2"/>
                <w:sz w:val="21"/>
                <w:szCs w:val="21"/>
              </w:rPr>
            </w:pPr>
            <w:r>
              <w:rPr>
                <w:rFonts w:hint="eastAsia" w:eastAsia="宋体"/>
                <w:kern w:val="2"/>
                <w:sz w:val="21"/>
                <w:szCs w:val="21"/>
              </w:rPr>
              <w:t>黄色</w:t>
            </w:r>
          </w:p>
        </w:tc>
        <w:tc>
          <w:tcPr>
            <w:tcW w:w="2255" w:type="dxa"/>
            <w:vAlign w:val="center"/>
          </w:tcPr>
          <w:p>
            <w:pPr>
              <w:pStyle w:val="78"/>
              <w:jc w:val="center"/>
              <w:rPr>
                <w:rFonts w:eastAsia="宋体"/>
                <w:kern w:val="2"/>
                <w:sz w:val="21"/>
                <w:szCs w:val="21"/>
              </w:rPr>
            </w:pPr>
            <w:r>
              <w:rPr>
                <w:rFonts w:hint="eastAsia" w:eastAsia="宋体"/>
                <w:kern w:val="2"/>
                <w:sz w:val="21"/>
                <w:szCs w:val="21"/>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pStyle w:val="78"/>
              <w:jc w:val="center"/>
              <w:rPr>
                <w:rFonts w:eastAsia="宋体"/>
                <w:kern w:val="2"/>
                <w:sz w:val="21"/>
                <w:szCs w:val="21"/>
              </w:rPr>
            </w:pPr>
            <w:r>
              <w:rPr>
                <w:rFonts w:hint="eastAsia" w:eastAsia="宋体"/>
                <w:kern w:val="2"/>
                <w:sz w:val="21"/>
                <w:szCs w:val="21"/>
              </w:rPr>
              <w:t>噪声源</w:t>
            </w:r>
          </w:p>
        </w:tc>
        <w:tc>
          <w:tcPr>
            <w:tcW w:w="2478"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drawing>
                <wp:inline distT="0" distB="0" distL="0" distR="0">
                  <wp:extent cx="1416685" cy="1223010"/>
                  <wp:effectExtent l="19050" t="0" r="0" b="0"/>
                  <wp:docPr id="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6"/>
                          <pic:cNvPicPr>
                            <a:picLocks noChangeAspect="1" noChangeArrowheads="1"/>
                          </pic:cNvPicPr>
                        </pic:nvPicPr>
                        <pic:blipFill>
                          <a:blip r:embed="rId27" cstate="print"/>
                          <a:srcRect/>
                          <a:stretch>
                            <a:fillRect/>
                          </a:stretch>
                        </pic:blipFill>
                        <pic:spPr>
                          <a:xfrm>
                            <a:off x="0" y="0"/>
                            <a:ext cx="1418251" cy="1224477"/>
                          </a:xfrm>
                          <a:prstGeom prst="rect">
                            <a:avLst/>
                          </a:prstGeom>
                          <a:noFill/>
                          <a:ln w="9525">
                            <a:noFill/>
                            <a:miter lim="800000"/>
                            <a:headEnd/>
                            <a:tailEnd/>
                          </a:ln>
                        </pic:spPr>
                      </pic:pic>
                    </a:graphicData>
                  </a:graphic>
                </wp:inline>
              </w:drawing>
            </w:r>
          </w:p>
        </w:tc>
        <w:tc>
          <w:tcPr>
            <w:tcW w:w="2255" w:type="dxa"/>
            <w:vAlign w:val="center"/>
          </w:tcPr>
          <w:p>
            <w:pPr>
              <w:pStyle w:val="78"/>
              <w:jc w:val="center"/>
              <w:rPr>
                <w:rFonts w:eastAsia="宋体"/>
                <w:kern w:val="2"/>
                <w:sz w:val="21"/>
                <w:szCs w:val="21"/>
              </w:rPr>
            </w:pPr>
            <w:r>
              <w:rPr>
                <w:rFonts w:hint="eastAsia" w:eastAsia="宋体"/>
                <w:kern w:val="2"/>
                <w:sz w:val="21"/>
                <w:szCs w:val="21"/>
              </w:rPr>
              <w:t>黄色</w:t>
            </w:r>
          </w:p>
        </w:tc>
        <w:tc>
          <w:tcPr>
            <w:tcW w:w="2255" w:type="dxa"/>
            <w:vAlign w:val="center"/>
          </w:tcPr>
          <w:p>
            <w:pPr>
              <w:pStyle w:val="78"/>
              <w:jc w:val="center"/>
              <w:rPr>
                <w:rFonts w:eastAsia="宋体"/>
                <w:kern w:val="2"/>
                <w:sz w:val="21"/>
                <w:szCs w:val="21"/>
              </w:rPr>
            </w:pPr>
            <w:r>
              <w:rPr>
                <w:rFonts w:hint="eastAsia" w:eastAsia="宋体"/>
                <w:kern w:val="2"/>
                <w:sz w:val="21"/>
                <w:szCs w:val="21"/>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adjustRightInd w:val="0"/>
              <w:snapToGrid w:val="0"/>
              <w:spacing w:line="360" w:lineRule="auto"/>
              <w:jc w:val="center"/>
              <w:rPr>
                <w:rFonts w:eastAsia="宋体" w:cs="Times New Roman"/>
                <w:color w:val="000000" w:themeColor="text1"/>
                <w:sz w:val="21"/>
              </w:rPr>
            </w:pPr>
            <w:r>
              <w:rPr>
                <w:rFonts w:hint="eastAsia" w:eastAsia="宋体" w:cs="Times New Roman"/>
                <w:color w:val="000000" w:themeColor="text1"/>
                <w:sz w:val="21"/>
              </w:rPr>
              <w:t>一般固废堆场</w:t>
            </w:r>
          </w:p>
        </w:tc>
        <w:tc>
          <w:tcPr>
            <w:tcW w:w="2478" w:type="dxa"/>
            <w:vAlign w:val="center"/>
          </w:tcPr>
          <w:p>
            <w:pPr>
              <w:adjustRightInd w:val="0"/>
              <w:snapToGrid w:val="0"/>
              <w:spacing w:line="360" w:lineRule="auto"/>
              <w:jc w:val="center"/>
              <w:rPr>
                <w:rFonts w:eastAsia="宋体" w:cs="Times New Roman"/>
                <w:color w:val="000000" w:themeColor="text1"/>
                <w:sz w:val="21"/>
              </w:rPr>
            </w:pPr>
            <w:r>
              <w:rPr>
                <w:rFonts w:eastAsia="宋体" w:cs="Times New Roman"/>
                <w:color w:val="000000" w:themeColor="text1"/>
                <w:sz w:val="21"/>
              </w:rPr>
              <w:drawing>
                <wp:inline distT="0" distB="0" distL="0" distR="0">
                  <wp:extent cx="1358265" cy="1187450"/>
                  <wp:effectExtent l="19050" t="0" r="0" b="0"/>
                  <wp:docPr id="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7"/>
                          <pic:cNvPicPr>
                            <a:picLocks noChangeAspect="1" noChangeArrowheads="1"/>
                          </pic:cNvPicPr>
                        </pic:nvPicPr>
                        <pic:blipFill>
                          <a:blip r:embed="rId28" cstate="print"/>
                          <a:srcRect/>
                          <a:stretch>
                            <a:fillRect/>
                          </a:stretch>
                        </pic:blipFill>
                        <pic:spPr>
                          <a:xfrm>
                            <a:off x="0" y="0"/>
                            <a:ext cx="1359698" cy="1188685"/>
                          </a:xfrm>
                          <a:prstGeom prst="rect">
                            <a:avLst/>
                          </a:prstGeom>
                          <a:noFill/>
                          <a:ln w="9525">
                            <a:noFill/>
                            <a:miter lim="800000"/>
                            <a:headEnd/>
                            <a:tailEnd/>
                          </a:ln>
                        </pic:spPr>
                      </pic:pic>
                    </a:graphicData>
                  </a:graphic>
                </wp:inline>
              </w:drawing>
            </w:r>
          </w:p>
        </w:tc>
        <w:tc>
          <w:tcPr>
            <w:tcW w:w="2255" w:type="dxa"/>
            <w:vAlign w:val="center"/>
          </w:tcPr>
          <w:p>
            <w:pPr>
              <w:pStyle w:val="78"/>
              <w:jc w:val="center"/>
              <w:rPr>
                <w:rFonts w:eastAsia="宋体"/>
                <w:kern w:val="2"/>
                <w:sz w:val="21"/>
                <w:szCs w:val="21"/>
              </w:rPr>
            </w:pPr>
            <w:r>
              <w:rPr>
                <w:rFonts w:hint="eastAsia" w:eastAsia="宋体"/>
                <w:kern w:val="2"/>
                <w:sz w:val="21"/>
                <w:szCs w:val="21"/>
              </w:rPr>
              <w:t>黄色</w:t>
            </w:r>
          </w:p>
        </w:tc>
        <w:tc>
          <w:tcPr>
            <w:tcW w:w="2255" w:type="dxa"/>
            <w:vAlign w:val="center"/>
          </w:tcPr>
          <w:p>
            <w:pPr>
              <w:pStyle w:val="78"/>
              <w:jc w:val="center"/>
              <w:rPr>
                <w:rFonts w:eastAsia="宋体"/>
                <w:kern w:val="2"/>
                <w:sz w:val="21"/>
                <w:szCs w:val="21"/>
              </w:rPr>
            </w:pPr>
            <w:r>
              <w:rPr>
                <w:rFonts w:hint="eastAsia" w:eastAsia="宋体"/>
                <w:kern w:val="2"/>
                <w:sz w:val="21"/>
                <w:szCs w:val="21"/>
              </w:rPr>
              <w:t>黑色</w:t>
            </w:r>
          </w:p>
        </w:tc>
      </w:tr>
    </w:tbl>
    <w:p>
      <w:pPr>
        <w:pStyle w:val="14"/>
        <w:rPr>
          <w:color w:val="000000" w:themeColor="text1"/>
          <w:szCs w:val="24"/>
        </w:rPr>
      </w:pPr>
      <w:bookmarkStart w:id="263" w:name="_Ref19533990"/>
      <w:r>
        <w:rPr>
          <w:color w:val="000000" w:themeColor="text1"/>
          <w:szCs w:val="24"/>
        </w:rPr>
        <w:t>图</w:t>
      </w:r>
      <w:r>
        <w:rPr>
          <w:color w:val="000000" w:themeColor="text1"/>
          <w:szCs w:val="24"/>
        </w:rPr>
        <w:fldChar w:fldCharType="begin"/>
      </w:r>
      <w:r>
        <w:rPr>
          <w:color w:val="000000" w:themeColor="text1"/>
          <w:szCs w:val="24"/>
        </w:rPr>
        <w:instrText xml:space="preserve"> STYLEREF 2 \s </w:instrText>
      </w:r>
      <w:r>
        <w:rPr>
          <w:color w:val="000000" w:themeColor="text1"/>
          <w:szCs w:val="24"/>
        </w:rPr>
        <w:fldChar w:fldCharType="separate"/>
      </w:r>
      <w:r>
        <w:rPr>
          <w:color w:val="000000" w:themeColor="text1"/>
          <w:szCs w:val="24"/>
        </w:rPr>
        <w:t>7.3</w:t>
      </w:r>
      <w:r>
        <w:rPr>
          <w:color w:val="000000" w:themeColor="text1"/>
          <w:szCs w:val="24"/>
        </w:rPr>
        <w:fldChar w:fldCharType="end"/>
      </w:r>
      <w:r>
        <w:rPr>
          <w:color w:val="000000" w:themeColor="text1"/>
          <w:szCs w:val="24"/>
        </w:rPr>
        <w:noBreakHyphen/>
      </w:r>
      <w:r>
        <w:rPr>
          <w:color w:val="000000" w:themeColor="text1"/>
          <w:szCs w:val="24"/>
        </w:rPr>
        <w:fldChar w:fldCharType="begin"/>
      </w:r>
      <w:r>
        <w:rPr>
          <w:color w:val="000000" w:themeColor="text1"/>
          <w:szCs w:val="24"/>
        </w:rPr>
        <w:instrText xml:space="preserve"> SEQ 图 \* ARABIC \s 2 </w:instrText>
      </w:r>
      <w:r>
        <w:rPr>
          <w:color w:val="000000" w:themeColor="text1"/>
          <w:szCs w:val="24"/>
        </w:rPr>
        <w:fldChar w:fldCharType="separate"/>
      </w:r>
      <w:r>
        <w:rPr>
          <w:color w:val="000000" w:themeColor="text1"/>
          <w:szCs w:val="24"/>
        </w:rPr>
        <w:t>1</w:t>
      </w:r>
      <w:r>
        <w:rPr>
          <w:color w:val="000000" w:themeColor="text1"/>
          <w:szCs w:val="24"/>
        </w:rPr>
        <w:fldChar w:fldCharType="end"/>
      </w:r>
      <w:bookmarkEnd w:id="263"/>
      <w:r>
        <w:rPr>
          <w:rFonts w:hint="eastAsia"/>
          <w:color w:val="000000" w:themeColor="text1"/>
          <w:szCs w:val="24"/>
        </w:rPr>
        <w:t xml:space="preserve">  排污口图形标志</w:t>
      </w:r>
    </w:p>
    <w:p>
      <w:pPr>
        <w:pStyle w:val="4"/>
        <w:adjustRightInd w:val="0"/>
        <w:snapToGrid w:val="0"/>
        <w:rPr>
          <w:color w:val="000000" w:themeColor="text1"/>
        </w:rPr>
      </w:pPr>
      <w:bookmarkStart w:id="264" w:name="_Toc532498768"/>
      <w:bookmarkStart w:id="265" w:name="_Toc532497706"/>
      <w:bookmarkStart w:id="266" w:name="_Toc532376175"/>
      <w:bookmarkStart w:id="267" w:name="_Toc532763232"/>
      <w:bookmarkStart w:id="268" w:name="_Toc21581"/>
      <w:r>
        <w:rPr>
          <w:rFonts w:hint="eastAsia"/>
          <w:color w:val="000000" w:themeColor="text1"/>
        </w:rPr>
        <w:t>达标排放与总量控制</w:t>
      </w:r>
      <w:bookmarkEnd w:id="264"/>
      <w:bookmarkEnd w:id="265"/>
      <w:bookmarkEnd w:id="266"/>
      <w:bookmarkEnd w:id="267"/>
      <w:bookmarkEnd w:id="268"/>
    </w:p>
    <w:p>
      <w:pPr>
        <w:pStyle w:val="100"/>
        <w:spacing w:line="360" w:lineRule="auto"/>
        <w:ind w:firstLine="480"/>
        <w:rPr>
          <w:color w:val="FF0000"/>
        </w:rPr>
      </w:pPr>
      <w:r>
        <w:rPr>
          <w:rFonts w:hAnsi="宋体"/>
        </w:rPr>
        <w:t>根据国家环境保护部对实施污染物排放总量控制的要求、《中华人民共和国国民经济和社会发展第十三个五年规划纲要》环保规划要求和《湖南省</w:t>
      </w:r>
      <w:r>
        <w:t>“</w:t>
      </w:r>
      <w:r>
        <w:rPr>
          <w:rFonts w:hAnsi="宋体"/>
        </w:rPr>
        <w:t>十三五</w:t>
      </w:r>
      <w:r>
        <w:t>”</w:t>
      </w:r>
      <w:r>
        <w:rPr>
          <w:rFonts w:hAnsi="宋体"/>
        </w:rPr>
        <w:t>主要污染物减排规划》，根据本工程的污染特点和环保部门的要求，根据国家总量控制有关规定，结合公司生产实际情况，确定本工程总量控制因子为：水污染物建议总量控制因子：</w:t>
      </w:r>
      <w:r>
        <w:t>COD</w:t>
      </w:r>
      <w:r>
        <w:rPr>
          <w:rFonts w:hAnsi="宋体"/>
        </w:rPr>
        <w:t>、氨氮</w:t>
      </w:r>
      <w:r>
        <w:rPr>
          <w:rFonts w:hAnsi="宋体"/>
          <w:color w:val="000000" w:themeColor="text1"/>
        </w:rPr>
        <w:t>。</w:t>
      </w:r>
    </w:p>
    <w:p>
      <w:pPr>
        <w:pStyle w:val="100"/>
        <w:spacing w:line="360" w:lineRule="auto"/>
        <w:ind w:firstLine="480"/>
        <w:rPr>
          <w:rFonts w:ascii="宋体" w:hAnsi="宋体"/>
          <w:color w:val="000000" w:themeColor="text1"/>
        </w:rPr>
      </w:pPr>
      <w:r>
        <w:rPr>
          <w:rFonts w:hint="eastAsia" w:ascii="宋体" w:hAnsi="宋体"/>
          <w:color w:val="000000" w:themeColor="text1"/>
        </w:rPr>
        <w:t>本工程师一项环保工程，本项目将华容县桥东片区生活污水及石伏工业园工业污水一并纳入处理，污染物总量有了较大的削减，具体污染物变化情况见下表所示。</w:t>
      </w:r>
    </w:p>
    <w:p>
      <w:pPr>
        <w:pStyle w:val="14"/>
        <w:spacing w:line="240" w:lineRule="auto"/>
        <w:rPr>
          <w:rFonts w:cs="Times New Roman"/>
          <w:color w:val="000000" w:themeColor="text1"/>
        </w:rPr>
      </w:pPr>
      <w:r>
        <w:rPr>
          <w:rFonts w:cs="Times New Roman"/>
          <w:color w:val="000000" w:themeColor="text1"/>
        </w:rPr>
        <w:t>表</w:t>
      </w:r>
      <w:r>
        <w:rPr>
          <w:rFonts w:cs="Times New Roman"/>
          <w:color w:val="000000" w:themeColor="text1"/>
        </w:rPr>
        <w:fldChar w:fldCharType="begin"/>
      </w:r>
      <w:r>
        <w:rPr>
          <w:rFonts w:cs="Times New Roman"/>
          <w:color w:val="000000" w:themeColor="text1"/>
        </w:rPr>
        <w:instrText xml:space="preserve"> STYLEREF 2 \s </w:instrText>
      </w:r>
      <w:r>
        <w:rPr>
          <w:rFonts w:cs="Times New Roman"/>
          <w:color w:val="000000" w:themeColor="text1"/>
        </w:rPr>
        <w:fldChar w:fldCharType="separate"/>
      </w:r>
      <w:r>
        <w:rPr>
          <w:rFonts w:cs="Times New Roman"/>
          <w:color w:val="000000" w:themeColor="text1"/>
        </w:rPr>
        <w:t>7.4</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cs="Times New Roman"/>
          <w:color w:val="000000" w:themeColor="text1"/>
        </w:rPr>
        <w:instrText xml:space="preserve"> SEQ 表 \* ARABIC \s 2 </w:instrText>
      </w:r>
      <w:r>
        <w:rPr>
          <w:rFonts w:cs="Times New Roman"/>
          <w:color w:val="000000" w:themeColor="text1"/>
        </w:rPr>
        <w:fldChar w:fldCharType="separate"/>
      </w:r>
      <w:r>
        <w:rPr>
          <w:rFonts w:cs="Times New Roman"/>
          <w:color w:val="000000" w:themeColor="text1"/>
        </w:rPr>
        <w:t>1</w:t>
      </w:r>
      <w:r>
        <w:rPr>
          <w:rFonts w:cs="Times New Roman"/>
          <w:color w:val="000000" w:themeColor="text1"/>
        </w:rPr>
        <w:fldChar w:fldCharType="end"/>
      </w:r>
      <w:r>
        <w:rPr>
          <w:rFonts w:cs="Times New Roman"/>
          <w:color w:val="000000" w:themeColor="text1"/>
        </w:rPr>
        <w:t xml:space="preserve">  项目污染物总量变化统计表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2290"/>
        <w:gridCol w:w="1793"/>
        <w:gridCol w:w="2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pct"/>
            <w:vAlign w:val="center"/>
          </w:tcPr>
          <w:p>
            <w:pPr>
              <w:pStyle w:val="122"/>
              <w:rPr>
                <w:rFonts w:cs="Times New Roman"/>
                <w:color w:val="000000" w:themeColor="text1"/>
                <w:szCs w:val="21"/>
                <w:u w:val="single"/>
              </w:rPr>
            </w:pPr>
            <w:r>
              <w:rPr>
                <w:rFonts w:hAnsi="宋体" w:cs="Times New Roman"/>
                <w:color w:val="000000" w:themeColor="text1"/>
                <w:u w:val="single"/>
              </w:rPr>
              <w:t>总量控制</w:t>
            </w:r>
          </w:p>
          <w:p>
            <w:pPr>
              <w:pStyle w:val="122"/>
              <w:rPr>
                <w:rFonts w:cs="Times New Roman"/>
                <w:color w:val="000000" w:themeColor="text1"/>
                <w:u w:val="single"/>
              </w:rPr>
            </w:pPr>
            <w:r>
              <w:rPr>
                <w:rFonts w:hAnsi="宋体" w:cs="Times New Roman"/>
                <w:color w:val="000000" w:themeColor="text1"/>
                <w:u w:val="single"/>
              </w:rPr>
              <w:t>因子</w:t>
            </w:r>
          </w:p>
        </w:tc>
        <w:tc>
          <w:tcPr>
            <w:tcW w:w="1239" w:type="pct"/>
            <w:vAlign w:val="center"/>
          </w:tcPr>
          <w:p>
            <w:pPr>
              <w:pStyle w:val="122"/>
              <w:rPr>
                <w:rFonts w:cs="Times New Roman"/>
                <w:color w:val="000000" w:themeColor="text1"/>
                <w:u w:val="single"/>
              </w:rPr>
            </w:pPr>
            <w:r>
              <w:rPr>
                <w:rFonts w:hAnsi="宋体" w:cs="Times New Roman"/>
                <w:color w:val="000000" w:themeColor="text1"/>
                <w:u w:val="single"/>
              </w:rPr>
              <w:t>出水水质</w:t>
            </w:r>
            <w:r>
              <w:rPr>
                <w:rFonts w:cs="Times New Roman"/>
                <w:color w:val="000000" w:themeColor="text1"/>
                <w:u w:val="single"/>
              </w:rPr>
              <w:t>mg/L</w:t>
            </w:r>
          </w:p>
        </w:tc>
        <w:tc>
          <w:tcPr>
            <w:tcW w:w="970" w:type="pct"/>
            <w:vAlign w:val="center"/>
          </w:tcPr>
          <w:p>
            <w:pPr>
              <w:pStyle w:val="122"/>
              <w:rPr>
                <w:rFonts w:cs="Times New Roman"/>
                <w:color w:val="000000" w:themeColor="text1"/>
                <w:szCs w:val="21"/>
                <w:u w:val="single"/>
              </w:rPr>
            </w:pPr>
            <w:r>
              <w:rPr>
                <w:rFonts w:cs="Times New Roman"/>
                <w:color w:val="000000" w:themeColor="text1"/>
                <w:u w:val="single"/>
              </w:rPr>
              <w:t>产生量</w:t>
            </w:r>
          </w:p>
          <w:p>
            <w:pPr>
              <w:pStyle w:val="122"/>
              <w:rPr>
                <w:rFonts w:cs="Times New Roman"/>
                <w:color w:val="000000" w:themeColor="text1"/>
                <w:u w:val="single"/>
              </w:rPr>
            </w:pPr>
            <w:r>
              <w:rPr>
                <w:rFonts w:cs="Times New Roman"/>
                <w:color w:val="000000" w:themeColor="text1"/>
                <w:u w:val="single"/>
              </w:rPr>
              <w:t>t/a</w:t>
            </w:r>
          </w:p>
        </w:tc>
        <w:tc>
          <w:tcPr>
            <w:tcW w:w="1492" w:type="pct"/>
            <w:vAlign w:val="center"/>
          </w:tcPr>
          <w:p>
            <w:pPr>
              <w:pStyle w:val="122"/>
              <w:rPr>
                <w:rFonts w:cs="Times New Roman"/>
                <w:color w:val="000000" w:themeColor="text1"/>
                <w:szCs w:val="21"/>
                <w:u w:val="single"/>
              </w:rPr>
            </w:pPr>
            <w:r>
              <w:rPr>
                <w:rFonts w:hAnsi="宋体" w:cs="Times New Roman"/>
                <w:color w:val="000000" w:themeColor="text1"/>
                <w:u w:val="single"/>
              </w:rPr>
              <w:t>总量控制</w:t>
            </w:r>
          </w:p>
          <w:p>
            <w:pPr>
              <w:pStyle w:val="122"/>
              <w:rPr>
                <w:rFonts w:cs="Times New Roman"/>
                <w:color w:val="000000" w:themeColor="text1"/>
                <w:u w:val="single"/>
              </w:rPr>
            </w:pPr>
            <w:r>
              <w:rPr>
                <w:rFonts w:hAnsi="宋体" w:cs="Times New Roman"/>
                <w:color w:val="000000" w:themeColor="text1"/>
                <w:u w:val="single"/>
              </w:rPr>
              <w:t>建议指标</w:t>
            </w:r>
            <w:r>
              <w:rPr>
                <w:rFonts w:cs="Times New Roman"/>
                <w:color w:val="000000" w:themeColor="text1"/>
                <w:u w:val="singl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97" w:type="pct"/>
            <w:vAlign w:val="center"/>
          </w:tcPr>
          <w:p>
            <w:pPr>
              <w:pStyle w:val="122"/>
              <w:rPr>
                <w:rFonts w:cs="Times New Roman"/>
                <w:color w:val="000000" w:themeColor="text1"/>
                <w:u w:val="single"/>
              </w:rPr>
            </w:pPr>
            <w:r>
              <w:rPr>
                <w:rFonts w:cs="Times New Roman"/>
                <w:color w:val="000000" w:themeColor="text1"/>
                <w:u w:val="single"/>
              </w:rPr>
              <w:t>COD</w:t>
            </w:r>
          </w:p>
        </w:tc>
        <w:tc>
          <w:tcPr>
            <w:tcW w:w="1239" w:type="pct"/>
            <w:vAlign w:val="center"/>
          </w:tcPr>
          <w:p>
            <w:pPr>
              <w:pStyle w:val="122"/>
              <w:rPr>
                <w:rFonts w:cs="Times New Roman"/>
                <w:color w:val="000000" w:themeColor="text1"/>
                <w:szCs w:val="21"/>
                <w:u w:val="single"/>
              </w:rPr>
            </w:pPr>
            <w:r>
              <w:rPr>
                <w:rFonts w:cs="Times New Roman"/>
                <w:color w:val="000000" w:themeColor="text1"/>
                <w:szCs w:val="21"/>
                <w:u w:val="single"/>
              </w:rPr>
              <w:t>50</w:t>
            </w:r>
          </w:p>
        </w:tc>
        <w:tc>
          <w:tcPr>
            <w:tcW w:w="970" w:type="pct"/>
            <w:vAlign w:val="center"/>
          </w:tcPr>
          <w:p>
            <w:pPr>
              <w:pStyle w:val="122"/>
              <w:rPr>
                <w:rFonts w:cs="Times New Roman"/>
                <w:color w:val="000000" w:themeColor="text1"/>
                <w:szCs w:val="21"/>
                <w:u w:val="single"/>
              </w:rPr>
            </w:pPr>
            <w:r>
              <w:rPr>
                <w:rFonts w:hint="eastAsia" w:cs="Times New Roman"/>
                <w:color w:val="000000" w:themeColor="text1"/>
                <w:szCs w:val="21"/>
                <w:u w:val="single"/>
              </w:rPr>
              <w:t>365</w:t>
            </w:r>
          </w:p>
        </w:tc>
        <w:tc>
          <w:tcPr>
            <w:tcW w:w="1492" w:type="pct"/>
            <w:vAlign w:val="center"/>
          </w:tcPr>
          <w:p>
            <w:pPr>
              <w:pStyle w:val="122"/>
              <w:rPr>
                <w:rFonts w:cs="Times New Roman"/>
                <w:color w:val="000000" w:themeColor="text1"/>
                <w:u w:val="single"/>
              </w:rPr>
            </w:pPr>
            <w:r>
              <w:rPr>
                <w:rFonts w:hint="eastAsia" w:cs="Times New Roman"/>
                <w:color w:val="000000" w:themeColor="text1"/>
                <w:u w:val="single"/>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pct"/>
            <w:vAlign w:val="center"/>
          </w:tcPr>
          <w:p>
            <w:pPr>
              <w:pStyle w:val="122"/>
              <w:rPr>
                <w:rFonts w:cs="Times New Roman"/>
                <w:color w:val="000000" w:themeColor="text1"/>
                <w:u w:val="single"/>
              </w:rPr>
            </w:pPr>
            <w:r>
              <w:rPr>
                <w:rFonts w:cs="Times New Roman"/>
                <w:color w:val="000000" w:themeColor="text1"/>
                <w:u w:val="single"/>
              </w:rPr>
              <w:t>NH</w:t>
            </w:r>
            <w:r>
              <w:rPr>
                <w:rFonts w:cs="Times New Roman"/>
                <w:color w:val="000000" w:themeColor="text1"/>
                <w:u w:val="single"/>
                <w:vertAlign w:val="subscript"/>
              </w:rPr>
              <w:t>3</w:t>
            </w:r>
            <w:r>
              <w:rPr>
                <w:rFonts w:cs="Times New Roman"/>
                <w:color w:val="000000" w:themeColor="text1"/>
                <w:u w:val="single"/>
              </w:rPr>
              <w:t>-N</w:t>
            </w:r>
          </w:p>
        </w:tc>
        <w:tc>
          <w:tcPr>
            <w:tcW w:w="1239" w:type="pct"/>
            <w:vAlign w:val="center"/>
          </w:tcPr>
          <w:p>
            <w:pPr>
              <w:pStyle w:val="122"/>
              <w:rPr>
                <w:rFonts w:cs="Times New Roman"/>
                <w:color w:val="000000" w:themeColor="text1"/>
                <w:szCs w:val="21"/>
                <w:u w:val="single"/>
              </w:rPr>
            </w:pPr>
            <w:r>
              <w:rPr>
                <w:rFonts w:cs="Times New Roman"/>
                <w:color w:val="000000" w:themeColor="text1"/>
                <w:szCs w:val="21"/>
                <w:u w:val="single"/>
              </w:rPr>
              <w:t>8</w:t>
            </w:r>
          </w:p>
        </w:tc>
        <w:tc>
          <w:tcPr>
            <w:tcW w:w="970" w:type="pct"/>
            <w:vAlign w:val="center"/>
          </w:tcPr>
          <w:p>
            <w:pPr>
              <w:pStyle w:val="122"/>
              <w:rPr>
                <w:rFonts w:cs="Times New Roman"/>
                <w:color w:val="000000" w:themeColor="text1"/>
                <w:szCs w:val="21"/>
                <w:u w:val="single"/>
              </w:rPr>
            </w:pPr>
            <w:r>
              <w:rPr>
                <w:rFonts w:hint="eastAsia" w:cs="Times New Roman"/>
                <w:color w:val="000000" w:themeColor="text1"/>
                <w:szCs w:val="21"/>
                <w:u w:val="single"/>
              </w:rPr>
              <w:t>58.4</w:t>
            </w:r>
          </w:p>
        </w:tc>
        <w:tc>
          <w:tcPr>
            <w:tcW w:w="1492" w:type="pct"/>
            <w:vAlign w:val="center"/>
          </w:tcPr>
          <w:p>
            <w:pPr>
              <w:pStyle w:val="122"/>
              <w:rPr>
                <w:rFonts w:cs="Times New Roman"/>
                <w:color w:val="000000" w:themeColor="text1"/>
                <w:u w:val="single"/>
              </w:rPr>
            </w:pPr>
            <w:r>
              <w:rPr>
                <w:rFonts w:hint="eastAsia" w:cs="Times New Roman"/>
                <w:color w:val="000000" w:themeColor="text1"/>
                <w:u w:val="single"/>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pct"/>
            <w:vAlign w:val="center"/>
          </w:tcPr>
          <w:p>
            <w:pPr>
              <w:pStyle w:val="122"/>
              <w:rPr>
                <w:rFonts w:cs="Times New Roman"/>
                <w:color w:val="000000" w:themeColor="text1"/>
                <w:u w:val="single"/>
              </w:rPr>
            </w:pPr>
            <w:r>
              <w:rPr>
                <w:rFonts w:hint="eastAsia" w:cs="Times New Roman"/>
                <w:color w:val="000000" w:themeColor="text1"/>
                <w:u w:val="single"/>
              </w:rPr>
              <w:t>TP</w:t>
            </w:r>
          </w:p>
        </w:tc>
        <w:tc>
          <w:tcPr>
            <w:tcW w:w="1239" w:type="pct"/>
            <w:vAlign w:val="center"/>
          </w:tcPr>
          <w:p>
            <w:pPr>
              <w:pStyle w:val="122"/>
              <w:rPr>
                <w:rFonts w:cs="Times New Roman"/>
                <w:color w:val="000000" w:themeColor="text1"/>
                <w:szCs w:val="21"/>
                <w:u w:val="single"/>
              </w:rPr>
            </w:pPr>
            <w:r>
              <w:rPr>
                <w:rFonts w:cs="Times New Roman"/>
                <w:color w:val="000000" w:themeColor="text1"/>
                <w:szCs w:val="21"/>
                <w:u w:val="single"/>
              </w:rPr>
              <w:t>15</w:t>
            </w:r>
          </w:p>
        </w:tc>
        <w:tc>
          <w:tcPr>
            <w:tcW w:w="970" w:type="pct"/>
            <w:vAlign w:val="center"/>
          </w:tcPr>
          <w:p>
            <w:pPr>
              <w:pStyle w:val="122"/>
              <w:rPr>
                <w:rFonts w:cs="Times New Roman"/>
                <w:color w:val="000000" w:themeColor="text1"/>
                <w:szCs w:val="21"/>
                <w:u w:val="single"/>
              </w:rPr>
            </w:pPr>
            <w:r>
              <w:rPr>
                <w:rFonts w:hint="eastAsia" w:cs="Times New Roman"/>
                <w:color w:val="000000" w:themeColor="text1"/>
                <w:szCs w:val="21"/>
                <w:u w:val="single"/>
              </w:rPr>
              <w:t>109.5</w:t>
            </w:r>
          </w:p>
        </w:tc>
        <w:tc>
          <w:tcPr>
            <w:tcW w:w="1492" w:type="pct"/>
            <w:vAlign w:val="center"/>
          </w:tcPr>
          <w:p>
            <w:pPr>
              <w:pStyle w:val="122"/>
              <w:rPr>
                <w:rFonts w:cs="Times New Roman"/>
                <w:color w:val="000000" w:themeColor="text1"/>
                <w:szCs w:val="21"/>
                <w:u w:val="single"/>
              </w:rPr>
            </w:pPr>
            <w:r>
              <w:rPr>
                <w:rFonts w:hint="eastAsia" w:cs="Times New Roman"/>
                <w:color w:val="000000" w:themeColor="text1"/>
                <w:szCs w:val="21"/>
                <w:u w:val="single"/>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pct"/>
            <w:vAlign w:val="center"/>
          </w:tcPr>
          <w:p>
            <w:pPr>
              <w:pStyle w:val="122"/>
              <w:rPr>
                <w:rFonts w:cs="Times New Roman"/>
                <w:color w:val="000000" w:themeColor="text1"/>
                <w:u w:val="single"/>
              </w:rPr>
            </w:pPr>
            <w:r>
              <w:rPr>
                <w:rFonts w:hint="eastAsia" w:cs="Times New Roman"/>
                <w:color w:val="000000" w:themeColor="text1"/>
                <w:u w:val="single"/>
              </w:rPr>
              <w:t>TN</w:t>
            </w:r>
          </w:p>
        </w:tc>
        <w:tc>
          <w:tcPr>
            <w:tcW w:w="1239" w:type="pct"/>
            <w:vAlign w:val="center"/>
          </w:tcPr>
          <w:p>
            <w:pPr>
              <w:pStyle w:val="122"/>
              <w:rPr>
                <w:rFonts w:cs="Times New Roman"/>
                <w:color w:val="000000" w:themeColor="text1"/>
                <w:szCs w:val="21"/>
                <w:u w:val="single"/>
              </w:rPr>
            </w:pPr>
            <w:r>
              <w:rPr>
                <w:rFonts w:cs="Times New Roman"/>
                <w:color w:val="000000" w:themeColor="text1"/>
                <w:szCs w:val="21"/>
                <w:u w:val="single"/>
              </w:rPr>
              <w:t>0.5</w:t>
            </w:r>
          </w:p>
        </w:tc>
        <w:tc>
          <w:tcPr>
            <w:tcW w:w="970" w:type="pct"/>
            <w:vAlign w:val="center"/>
          </w:tcPr>
          <w:p>
            <w:pPr>
              <w:pStyle w:val="122"/>
              <w:rPr>
                <w:rFonts w:cs="Times New Roman"/>
                <w:color w:val="000000" w:themeColor="text1"/>
                <w:szCs w:val="21"/>
                <w:u w:val="single"/>
              </w:rPr>
            </w:pPr>
            <w:r>
              <w:rPr>
                <w:rFonts w:hint="eastAsia" w:cs="Times New Roman"/>
                <w:color w:val="000000" w:themeColor="text1"/>
                <w:szCs w:val="21"/>
                <w:u w:val="single"/>
              </w:rPr>
              <w:t>3.65</w:t>
            </w:r>
          </w:p>
        </w:tc>
        <w:tc>
          <w:tcPr>
            <w:tcW w:w="1492" w:type="pct"/>
            <w:vAlign w:val="center"/>
          </w:tcPr>
          <w:p>
            <w:pPr>
              <w:pStyle w:val="122"/>
              <w:rPr>
                <w:rFonts w:cs="Times New Roman"/>
                <w:color w:val="000000" w:themeColor="text1"/>
                <w:szCs w:val="21"/>
                <w:u w:val="single"/>
              </w:rPr>
            </w:pPr>
            <w:r>
              <w:rPr>
                <w:rFonts w:hint="eastAsia" w:cs="Times New Roman"/>
                <w:color w:val="000000" w:themeColor="text1"/>
                <w:szCs w:val="21"/>
                <w:u w:val="single"/>
              </w:rPr>
              <w:t>4</w:t>
            </w:r>
          </w:p>
        </w:tc>
      </w:tr>
    </w:tbl>
    <w:p>
      <w:pPr>
        <w:pStyle w:val="154"/>
        <w:spacing w:line="360" w:lineRule="auto"/>
        <w:ind w:firstLine="480" w:firstLineChars="200"/>
        <w:rPr>
          <w:color w:val="000000" w:themeColor="text1"/>
          <w:sz w:val="24"/>
          <w:szCs w:val="24"/>
        </w:rPr>
      </w:pPr>
      <w:r>
        <w:rPr>
          <w:color w:val="000000" w:themeColor="text1"/>
          <w:sz w:val="24"/>
          <w:szCs w:val="24"/>
          <w:u w:val="single"/>
        </w:rPr>
        <w:t>由上表可知，华容县桥东污水处理厂总量控制指标为：COD</w:t>
      </w:r>
      <w:r>
        <w:rPr>
          <w:rFonts w:hAnsi="宋体"/>
          <w:color w:val="000000" w:themeColor="text1"/>
          <w:sz w:val="24"/>
          <w:szCs w:val="24"/>
          <w:u w:val="single"/>
        </w:rPr>
        <w:t>：</w:t>
      </w:r>
      <w:r>
        <w:rPr>
          <w:rFonts w:hint="eastAsia"/>
          <w:color w:val="000000" w:themeColor="text1"/>
          <w:sz w:val="24"/>
          <w:szCs w:val="24"/>
          <w:u w:val="single"/>
        </w:rPr>
        <w:t>365</w:t>
      </w:r>
      <w:r>
        <w:rPr>
          <w:color w:val="000000" w:themeColor="text1"/>
          <w:sz w:val="24"/>
          <w:szCs w:val="24"/>
          <w:u w:val="single"/>
        </w:rPr>
        <w:t>t/a</w:t>
      </w:r>
      <w:r>
        <w:rPr>
          <w:rFonts w:hAnsi="宋体"/>
          <w:color w:val="000000" w:themeColor="text1"/>
          <w:sz w:val="24"/>
          <w:szCs w:val="24"/>
          <w:u w:val="single"/>
        </w:rPr>
        <w:t>，</w:t>
      </w:r>
      <w:r>
        <w:rPr>
          <w:color w:val="000000" w:themeColor="text1"/>
          <w:sz w:val="24"/>
          <w:szCs w:val="24"/>
          <w:u w:val="single"/>
        </w:rPr>
        <w:t>NH</w:t>
      </w:r>
      <w:r>
        <w:rPr>
          <w:color w:val="000000" w:themeColor="text1"/>
          <w:sz w:val="24"/>
          <w:szCs w:val="24"/>
          <w:u w:val="single"/>
          <w:vertAlign w:val="subscript"/>
        </w:rPr>
        <w:t>3</w:t>
      </w:r>
      <w:r>
        <w:rPr>
          <w:color w:val="000000" w:themeColor="text1"/>
          <w:sz w:val="24"/>
          <w:szCs w:val="24"/>
          <w:u w:val="single"/>
        </w:rPr>
        <w:t>-N</w:t>
      </w:r>
      <w:r>
        <w:rPr>
          <w:rFonts w:hint="eastAsia"/>
          <w:color w:val="000000" w:themeColor="text1"/>
          <w:sz w:val="24"/>
          <w:szCs w:val="24"/>
          <w:u w:val="single"/>
        </w:rPr>
        <w:t>:</w:t>
      </w:r>
      <w:r>
        <w:rPr>
          <w:rFonts w:hint="eastAsia" w:hAnsi="宋体"/>
          <w:color w:val="000000" w:themeColor="text1"/>
          <w:sz w:val="24"/>
          <w:szCs w:val="24"/>
          <w:u w:val="single"/>
        </w:rPr>
        <w:t>59</w:t>
      </w:r>
      <w:r>
        <w:rPr>
          <w:color w:val="000000" w:themeColor="text1"/>
          <w:sz w:val="24"/>
          <w:szCs w:val="24"/>
          <w:u w:val="single"/>
        </w:rPr>
        <w:t>t/a</w:t>
      </w:r>
      <w:r>
        <w:rPr>
          <w:rFonts w:hint="eastAsia"/>
          <w:color w:val="000000" w:themeColor="text1"/>
          <w:sz w:val="24"/>
          <w:szCs w:val="24"/>
          <w:u w:val="single"/>
        </w:rPr>
        <w:t>，TP</w:t>
      </w:r>
      <w:r>
        <w:rPr>
          <w:rFonts w:hAnsi="宋体"/>
          <w:color w:val="000000" w:themeColor="text1"/>
          <w:sz w:val="24"/>
          <w:szCs w:val="24"/>
          <w:u w:val="single"/>
        </w:rPr>
        <w:t>：</w:t>
      </w:r>
      <w:r>
        <w:rPr>
          <w:rFonts w:hint="eastAsia" w:hAnsi="宋体"/>
          <w:color w:val="000000" w:themeColor="text1"/>
          <w:sz w:val="24"/>
          <w:szCs w:val="24"/>
          <w:u w:val="single"/>
        </w:rPr>
        <w:t>110</w:t>
      </w:r>
      <w:r>
        <w:rPr>
          <w:color w:val="000000" w:themeColor="text1"/>
          <w:sz w:val="24"/>
          <w:szCs w:val="24"/>
          <w:u w:val="single"/>
        </w:rPr>
        <w:t>t/a</w:t>
      </w:r>
      <w:r>
        <w:rPr>
          <w:rFonts w:hAnsi="宋体"/>
          <w:color w:val="000000" w:themeColor="text1"/>
          <w:sz w:val="24"/>
          <w:szCs w:val="24"/>
          <w:u w:val="single"/>
        </w:rPr>
        <w:t>，</w:t>
      </w:r>
      <w:r>
        <w:rPr>
          <w:rFonts w:hint="eastAsia" w:hAnsi="宋体"/>
          <w:color w:val="000000" w:themeColor="text1"/>
          <w:sz w:val="24"/>
          <w:szCs w:val="24"/>
          <w:u w:val="single"/>
        </w:rPr>
        <w:t>TN</w:t>
      </w:r>
      <w:r>
        <w:rPr>
          <w:rFonts w:hAnsi="宋体"/>
          <w:color w:val="000000" w:themeColor="text1"/>
          <w:sz w:val="24"/>
          <w:szCs w:val="24"/>
          <w:u w:val="single"/>
        </w:rPr>
        <w:t>：</w:t>
      </w:r>
      <w:r>
        <w:rPr>
          <w:rFonts w:hint="eastAsia"/>
          <w:color w:val="000000" w:themeColor="text1"/>
          <w:sz w:val="24"/>
          <w:szCs w:val="24"/>
          <w:u w:val="single"/>
        </w:rPr>
        <w:t>4</w:t>
      </w:r>
      <w:r>
        <w:rPr>
          <w:color w:val="000000" w:themeColor="text1"/>
          <w:sz w:val="24"/>
          <w:szCs w:val="24"/>
          <w:u w:val="single"/>
        </w:rPr>
        <w:t>t/a</w:t>
      </w:r>
      <w:r>
        <w:rPr>
          <w:rFonts w:hAnsi="宋体"/>
          <w:color w:val="000000" w:themeColor="text1"/>
          <w:sz w:val="24"/>
          <w:szCs w:val="24"/>
          <w:u w:val="single"/>
        </w:rPr>
        <w:t>。</w:t>
      </w:r>
    </w:p>
    <w:p>
      <w:pPr>
        <w:pStyle w:val="4"/>
        <w:adjustRightInd w:val="0"/>
        <w:snapToGrid w:val="0"/>
        <w:rPr>
          <w:color w:val="000000" w:themeColor="text1"/>
        </w:rPr>
      </w:pPr>
      <w:bookmarkStart w:id="269" w:name="_Toc8451"/>
      <w:bookmarkStart w:id="270" w:name="_Toc532763233"/>
      <w:bookmarkStart w:id="271" w:name="_Toc532376176"/>
      <w:bookmarkStart w:id="272" w:name="_Toc532497707"/>
      <w:bookmarkStart w:id="273" w:name="_Toc532498769"/>
      <w:r>
        <w:rPr>
          <w:rFonts w:hint="eastAsia"/>
          <w:color w:val="000000" w:themeColor="text1"/>
        </w:rPr>
        <w:t>项目竣工环保验收要求</w:t>
      </w:r>
      <w:bookmarkEnd w:id="269"/>
      <w:bookmarkEnd w:id="270"/>
      <w:bookmarkEnd w:id="271"/>
      <w:bookmarkEnd w:id="272"/>
      <w:bookmarkEnd w:id="273"/>
    </w:p>
    <w:p>
      <w:pPr>
        <w:adjustRightInd w:val="0"/>
        <w:snapToGrid w:val="0"/>
        <w:spacing w:line="360" w:lineRule="auto"/>
        <w:ind w:firstLine="480" w:firstLineChars="200"/>
        <w:rPr>
          <w:rFonts w:cs="Times New Roman"/>
          <w:color w:val="000000" w:themeColor="text1"/>
        </w:rPr>
      </w:pPr>
      <w:bookmarkStart w:id="274" w:name="_Toc13672"/>
      <w:bookmarkStart w:id="275" w:name="_Toc10762"/>
      <w:r>
        <w:rPr>
          <w:rFonts w:cs="Times New Roman"/>
          <w:color w:val="000000" w:themeColor="text1"/>
        </w:rPr>
        <w:t>建设单位应在项目建成运行后6个月内，委托有资质的监测机构对环保设施的运行情况进行验收监测，自行开展项目竣工环境保护验收。建设单位在环保设施验收过程中，应如实查验、监测、记载建设项目环保设施的建设和调试情况，不得弄虚作假，除按照国家规定需要保密的情形外，应当依法向社会公开验收监测报告。项目三同时竣工验收一览表见</w:t>
      </w:r>
      <w:r>
        <w:fldChar w:fldCharType="begin"/>
      </w:r>
      <w:r>
        <w:instrText xml:space="preserve"> REF _Ref494276713 \h  \* MERGEFORMAT </w:instrText>
      </w:r>
      <w:r>
        <w:fldChar w:fldCharType="separate"/>
      </w:r>
      <w:r>
        <w:rPr>
          <w:rFonts w:hint="eastAsia" w:cs="Times New Roman"/>
          <w:color w:val="000000" w:themeColor="text1"/>
        </w:rPr>
        <w:t>表</w:t>
      </w:r>
      <w:r>
        <w:rPr>
          <w:rFonts w:cs="Times New Roman"/>
          <w:color w:val="000000" w:themeColor="text1"/>
        </w:rPr>
        <w:t>8.5</w:t>
      </w:r>
      <w:r>
        <w:rPr>
          <w:rFonts w:cs="Times New Roman"/>
          <w:color w:val="000000" w:themeColor="text1"/>
        </w:rPr>
        <w:noBreakHyphen/>
      </w:r>
      <w:r>
        <w:rPr>
          <w:rFonts w:cs="Times New Roman"/>
          <w:color w:val="000000" w:themeColor="text1"/>
        </w:rPr>
        <w:t>1</w:t>
      </w:r>
      <w:r>
        <w:rPr>
          <w:rFonts w:cs="Times New Roman"/>
          <w:color w:val="000000" w:themeColor="text1"/>
        </w:rPr>
        <w:fldChar w:fldCharType="end"/>
      </w:r>
      <w:r>
        <w:rPr>
          <w:rFonts w:cs="Times New Roman"/>
          <w:color w:val="000000" w:themeColor="text1"/>
        </w:rPr>
        <w:t>。</w:t>
      </w:r>
      <w:bookmarkEnd w:id="274"/>
      <w:bookmarkEnd w:id="275"/>
      <w:bookmarkStart w:id="276" w:name="_Ref494276713"/>
    </w:p>
    <w:p>
      <w:pPr>
        <w:keepNext/>
        <w:adjustRightInd w:val="0"/>
        <w:snapToGrid w:val="0"/>
        <w:ind w:firstLine="482" w:firstLineChars="200"/>
        <w:jc w:val="center"/>
        <w:rPr>
          <w:b/>
          <w:color w:val="000000" w:themeColor="text1"/>
        </w:rPr>
      </w:pPr>
      <w:r>
        <w:rPr>
          <w:rFonts w:hint="eastAsia"/>
          <w:b/>
          <w:color w:val="000000" w:themeColor="text1"/>
        </w:rPr>
        <w:t>表</w:t>
      </w:r>
      <w:r>
        <w:rPr>
          <w:b/>
          <w:color w:val="000000" w:themeColor="text1"/>
        </w:rPr>
        <w:fldChar w:fldCharType="begin"/>
      </w:r>
      <w:r>
        <w:rPr>
          <w:rFonts w:hint="eastAsia"/>
          <w:b/>
          <w:color w:val="000000" w:themeColor="text1"/>
        </w:rPr>
        <w:instrText xml:space="preserve">STYLEREF 2 \s</w:instrText>
      </w:r>
      <w:r>
        <w:rPr>
          <w:b/>
          <w:color w:val="000000" w:themeColor="text1"/>
        </w:rPr>
        <w:fldChar w:fldCharType="separate"/>
      </w:r>
      <w:r>
        <w:rPr>
          <w:b/>
          <w:color w:val="000000" w:themeColor="text1"/>
        </w:rPr>
        <w:t>7.5</w:t>
      </w:r>
      <w:r>
        <w:rPr>
          <w:b/>
          <w:color w:val="000000" w:themeColor="text1"/>
        </w:rPr>
        <w:fldChar w:fldCharType="end"/>
      </w:r>
      <w:r>
        <w:rPr>
          <w:b/>
          <w:color w:val="000000" w:themeColor="text1"/>
        </w:rPr>
        <w:noBreakHyphen/>
      </w:r>
      <w:r>
        <w:rPr>
          <w:b/>
          <w:color w:val="000000" w:themeColor="text1"/>
        </w:rPr>
        <w:fldChar w:fldCharType="begin"/>
      </w:r>
      <w:r>
        <w:rPr>
          <w:rFonts w:hint="eastAsia"/>
          <w:b/>
          <w:color w:val="000000" w:themeColor="text1"/>
        </w:rPr>
        <w:instrText xml:space="preserve">SEQ 表 \* ARABIC \s 2</w:instrText>
      </w:r>
      <w:r>
        <w:rPr>
          <w:b/>
          <w:color w:val="000000" w:themeColor="text1"/>
        </w:rPr>
        <w:fldChar w:fldCharType="separate"/>
      </w:r>
      <w:r>
        <w:rPr>
          <w:rFonts w:hint="eastAsia"/>
          <w:b/>
          <w:color w:val="000000" w:themeColor="text1"/>
        </w:rPr>
        <w:t>1</w:t>
      </w:r>
      <w:r>
        <w:rPr>
          <w:b/>
          <w:color w:val="000000" w:themeColor="text1"/>
        </w:rPr>
        <w:fldChar w:fldCharType="end"/>
      </w:r>
      <w:bookmarkEnd w:id="276"/>
      <w:r>
        <w:rPr>
          <w:rFonts w:hint="eastAsia"/>
          <w:b/>
          <w:color w:val="000000" w:themeColor="text1"/>
          <w:szCs w:val="24"/>
        </w:rPr>
        <w:t>项目三同时竣工验收一览表</w:t>
      </w:r>
    </w:p>
    <w:tbl>
      <w:tblPr>
        <w:tblStyle w:val="38"/>
        <w:tblW w:w="92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846"/>
        <w:gridCol w:w="1468"/>
        <w:gridCol w:w="949"/>
        <w:gridCol w:w="2693"/>
        <w:gridCol w:w="27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Align w:val="center"/>
          </w:tcPr>
          <w:p>
            <w:pPr>
              <w:pStyle w:val="122"/>
              <w:jc w:val="both"/>
              <w:rPr>
                <w:rFonts w:cs="Times New Roman"/>
                <w:color w:val="000000" w:themeColor="text1"/>
                <w:u w:val="single"/>
              </w:rPr>
            </w:pPr>
            <w:r>
              <w:rPr>
                <w:rFonts w:cs="Times New Roman"/>
                <w:color w:val="000000" w:themeColor="text1"/>
                <w:u w:val="single"/>
              </w:rPr>
              <w:t>污染类型</w:t>
            </w:r>
          </w:p>
        </w:tc>
        <w:tc>
          <w:tcPr>
            <w:tcW w:w="846" w:type="dxa"/>
            <w:vAlign w:val="center"/>
          </w:tcPr>
          <w:p>
            <w:pPr>
              <w:pStyle w:val="122"/>
              <w:rPr>
                <w:rFonts w:cs="Times New Roman"/>
                <w:color w:val="000000" w:themeColor="text1"/>
                <w:u w:val="single"/>
              </w:rPr>
            </w:pPr>
            <w:r>
              <w:rPr>
                <w:rFonts w:cs="Times New Roman"/>
                <w:color w:val="000000" w:themeColor="text1"/>
                <w:u w:val="single"/>
              </w:rPr>
              <w:t>排放源</w:t>
            </w:r>
          </w:p>
        </w:tc>
        <w:tc>
          <w:tcPr>
            <w:tcW w:w="1468" w:type="dxa"/>
            <w:vAlign w:val="center"/>
          </w:tcPr>
          <w:p>
            <w:pPr>
              <w:pStyle w:val="122"/>
              <w:rPr>
                <w:rFonts w:cs="Times New Roman"/>
                <w:color w:val="000000" w:themeColor="text1"/>
                <w:u w:val="single"/>
              </w:rPr>
            </w:pPr>
            <w:r>
              <w:rPr>
                <w:rFonts w:cs="Times New Roman"/>
                <w:color w:val="000000" w:themeColor="text1"/>
                <w:u w:val="single"/>
              </w:rPr>
              <w:t>监测因子</w:t>
            </w:r>
          </w:p>
        </w:tc>
        <w:tc>
          <w:tcPr>
            <w:tcW w:w="3642" w:type="dxa"/>
            <w:gridSpan w:val="2"/>
            <w:vAlign w:val="center"/>
          </w:tcPr>
          <w:p>
            <w:pPr>
              <w:pStyle w:val="122"/>
              <w:rPr>
                <w:rFonts w:cs="Times New Roman"/>
                <w:color w:val="000000" w:themeColor="text1"/>
                <w:u w:val="single"/>
              </w:rPr>
            </w:pPr>
            <w:r>
              <w:rPr>
                <w:rFonts w:cs="Times New Roman"/>
                <w:color w:val="000000" w:themeColor="text1"/>
                <w:u w:val="single"/>
              </w:rPr>
              <w:t>防治措施</w:t>
            </w:r>
          </w:p>
        </w:tc>
        <w:tc>
          <w:tcPr>
            <w:tcW w:w="2755" w:type="dxa"/>
            <w:vAlign w:val="center"/>
          </w:tcPr>
          <w:p>
            <w:pPr>
              <w:pStyle w:val="122"/>
              <w:rPr>
                <w:rFonts w:cs="Times New Roman"/>
                <w:color w:val="000000" w:themeColor="text1"/>
                <w:u w:val="single"/>
              </w:rPr>
            </w:pPr>
            <w:r>
              <w:rPr>
                <w:rFonts w:cs="Times New Roman"/>
                <w:color w:val="000000" w:themeColor="text1"/>
                <w:u w:val="single"/>
              </w:rPr>
              <w:t>验收执行标准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Merge w:val="restart"/>
            <w:vAlign w:val="center"/>
          </w:tcPr>
          <w:p>
            <w:pPr>
              <w:pStyle w:val="122"/>
              <w:rPr>
                <w:rFonts w:cs="Times New Roman"/>
                <w:color w:val="000000" w:themeColor="text1"/>
                <w:u w:val="single"/>
              </w:rPr>
            </w:pPr>
            <w:r>
              <w:rPr>
                <w:rFonts w:cs="Times New Roman"/>
                <w:color w:val="000000" w:themeColor="text1"/>
                <w:u w:val="single"/>
              </w:rPr>
              <w:t>大气</w:t>
            </w:r>
          </w:p>
        </w:tc>
        <w:tc>
          <w:tcPr>
            <w:tcW w:w="846" w:type="dxa"/>
            <w:vMerge w:val="restart"/>
            <w:vAlign w:val="center"/>
          </w:tcPr>
          <w:p>
            <w:pPr>
              <w:pStyle w:val="122"/>
              <w:rPr>
                <w:rFonts w:cs="Times New Roman"/>
                <w:color w:val="000000" w:themeColor="text1"/>
                <w:u w:val="single"/>
              </w:rPr>
            </w:pPr>
            <w:r>
              <w:rPr>
                <w:rFonts w:cs="Times New Roman"/>
                <w:color w:val="000000" w:themeColor="text1"/>
                <w:u w:val="single"/>
              </w:rPr>
              <w:t>污水处理区和污泥脱水区恶臭</w:t>
            </w:r>
          </w:p>
        </w:tc>
        <w:tc>
          <w:tcPr>
            <w:tcW w:w="1468" w:type="dxa"/>
            <w:vMerge w:val="restart"/>
            <w:vAlign w:val="center"/>
          </w:tcPr>
          <w:p>
            <w:pPr>
              <w:pStyle w:val="122"/>
              <w:rPr>
                <w:rFonts w:cs="Times New Roman"/>
                <w:color w:val="000000" w:themeColor="text1"/>
                <w:u w:val="single"/>
              </w:rPr>
            </w:pPr>
            <w:r>
              <w:rPr>
                <w:rFonts w:cs="Times New Roman"/>
                <w:color w:val="000000" w:themeColor="text1"/>
                <w:u w:val="single"/>
              </w:rPr>
              <w:t>NH</w:t>
            </w:r>
            <w:r>
              <w:rPr>
                <w:rFonts w:cs="Times New Roman"/>
                <w:color w:val="000000" w:themeColor="text1"/>
                <w:u w:val="single"/>
                <w:vertAlign w:val="subscript"/>
              </w:rPr>
              <w:t>3</w:t>
            </w:r>
          </w:p>
          <w:p>
            <w:pPr>
              <w:pStyle w:val="122"/>
              <w:rPr>
                <w:rFonts w:cs="Times New Roman"/>
                <w:color w:val="000000" w:themeColor="text1"/>
                <w:u w:val="single"/>
              </w:rPr>
            </w:pPr>
            <w:r>
              <w:rPr>
                <w:rFonts w:cs="Times New Roman"/>
                <w:color w:val="000000" w:themeColor="text1"/>
                <w:u w:val="single"/>
              </w:rPr>
              <w:t>H</w:t>
            </w:r>
            <w:r>
              <w:rPr>
                <w:rFonts w:cs="Times New Roman"/>
                <w:color w:val="000000" w:themeColor="text1"/>
                <w:u w:val="single"/>
                <w:vertAlign w:val="subscript"/>
              </w:rPr>
              <w:t>2</w:t>
            </w:r>
            <w:r>
              <w:rPr>
                <w:rFonts w:cs="Times New Roman"/>
                <w:color w:val="000000" w:themeColor="text1"/>
                <w:u w:val="single"/>
              </w:rPr>
              <w:t>S</w:t>
            </w:r>
          </w:p>
        </w:tc>
        <w:tc>
          <w:tcPr>
            <w:tcW w:w="949" w:type="dxa"/>
            <w:vAlign w:val="center"/>
          </w:tcPr>
          <w:p>
            <w:pPr>
              <w:pStyle w:val="122"/>
              <w:rPr>
                <w:rFonts w:cs="Times New Roman"/>
                <w:color w:val="000000" w:themeColor="text1"/>
                <w:u w:val="single"/>
              </w:rPr>
            </w:pPr>
            <w:r>
              <w:rPr>
                <w:rFonts w:hint="eastAsia" w:cs="Times New Roman"/>
                <w:color w:val="000000" w:themeColor="text1"/>
                <w:u w:val="single"/>
              </w:rPr>
              <w:t>有组织排放</w:t>
            </w:r>
          </w:p>
        </w:tc>
        <w:tc>
          <w:tcPr>
            <w:tcW w:w="2693" w:type="dxa"/>
            <w:vAlign w:val="center"/>
          </w:tcPr>
          <w:p>
            <w:pPr>
              <w:pStyle w:val="122"/>
              <w:rPr>
                <w:rFonts w:cs="Times New Roman"/>
                <w:color w:val="000000" w:themeColor="text1"/>
                <w:u w:val="single"/>
              </w:rPr>
            </w:pPr>
            <w:r>
              <w:rPr>
                <w:rFonts w:hint="eastAsia" w:cs="Times New Roman"/>
                <w:color w:val="000000" w:themeColor="text1"/>
                <w:u w:val="single"/>
              </w:rPr>
              <w:t>加盖抽风+生物滤池除臭+15m高排气筒</w:t>
            </w:r>
          </w:p>
        </w:tc>
        <w:tc>
          <w:tcPr>
            <w:tcW w:w="2755" w:type="dxa"/>
            <w:vAlign w:val="center"/>
          </w:tcPr>
          <w:p>
            <w:pPr>
              <w:pStyle w:val="122"/>
              <w:rPr>
                <w:rFonts w:cs="Times New Roman"/>
                <w:color w:val="000000" w:themeColor="text1"/>
                <w:u w:val="single"/>
              </w:rPr>
            </w:pPr>
            <w:r>
              <w:rPr>
                <w:rFonts w:cs="Times New Roman"/>
                <w:color w:val="000000" w:themeColor="text1"/>
                <w:u w:val="single"/>
              </w:rPr>
              <w:t>执行</w:t>
            </w:r>
            <w:r>
              <w:rPr>
                <w:rFonts w:hint="eastAsia" w:cs="Times New Roman"/>
                <w:color w:val="000000" w:themeColor="text1"/>
                <w:u w:val="single"/>
              </w:rPr>
              <w:t>《城镇污水处理厂污染物排放标准》（GB18918-2002）</w:t>
            </w:r>
            <w:r>
              <w:rPr>
                <w:rFonts w:cs="Times New Roman"/>
                <w:color w:val="000000" w:themeColor="text1"/>
                <w:u w:val="single"/>
              </w:rPr>
              <w:t>中</w:t>
            </w:r>
            <w:r>
              <w:rPr>
                <w:rFonts w:hint="eastAsia" w:cs="Times New Roman"/>
                <w:color w:val="000000" w:themeColor="text1"/>
                <w:u w:val="single"/>
              </w:rPr>
              <w:t>的</w:t>
            </w:r>
            <w:r>
              <w:rPr>
                <w:rFonts w:cs="Times New Roman"/>
                <w:color w:val="000000" w:themeColor="text1"/>
                <w:u w:val="single"/>
              </w:rPr>
              <w:t>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Merge w:val="continue"/>
            <w:vAlign w:val="center"/>
          </w:tcPr>
          <w:p>
            <w:pPr>
              <w:pStyle w:val="122"/>
              <w:rPr>
                <w:rFonts w:cs="Times New Roman"/>
                <w:color w:val="000000" w:themeColor="text1"/>
                <w:u w:val="single"/>
              </w:rPr>
            </w:pPr>
          </w:p>
        </w:tc>
        <w:tc>
          <w:tcPr>
            <w:tcW w:w="846" w:type="dxa"/>
            <w:vMerge w:val="continue"/>
            <w:vAlign w:val="center"/>
          </w:tcPr>
          <w:p>
            <w:pPr>
              <w:pStyle w:val="122"/>
              <w:rPr>
                <w:rFonts w:cs="Times New Roman"/>
                <w:color w:val="000000" w:themeColor="text1"/>
                <w:u w:val="single"/>
              </w:rPr>
            </w:pPr>
          </w:p>
        </w:tc>
        <w:tc>
          <w:tcPr>
            <w:tcW w:w="1468" w:type="dxa"/>
            <w:vMerge w:val="continue"/>
            <w:vAlign w:val="center"/>
          </w:tcPr>
          <w:p>
            <w:pPr>
              <w:pStyle w:val="122"/>
              <w:rPr>
                <w:rFonts w:cs="Times New Roman"/>
                <w:color w:val="000000" w:themeColor="text1"/>
                <w:u w:val="single"/>
              </w:rPr>
            </w:pPr>
          </w:p>
        </w:tc>
        <w:tc>
          <w:tcPr>
            <w:tcW w:w="949" w:type="dxa"/>
            <w:vAlign w:val="center"/>
          </w:tcPr>
          <w:p>
            <w:pPr>
              <w:pStyle w:val="122"/>
              <w:rPr>
                <w:rFonts w:cs="Times New Roman"/>
                <w:color w:val="000000" w:themeColor="text1"/>
                <w:u w:val="single"/>
              </w:rPr>
            </w:pPr>
            <w:r>
              <w:rPr>
                <w:rFonts w:hint="eastAsia" w:cs="Times New Roman"/>
                <w:color w:val="000000" w:themeColor="text1"/>
                <w:u w:val="single"/>
              </w:rPr>
              <w:t>无组织排放</w:t>
            </w:r>
          </w:p>
        </w:tc>
        <w:tc>
          <w:tcPr>
            <w:tcW w:w="2693" w:type="dxa"/>
            <w:vAlign w:val="center"/>
          </w:tcPr>
          <w:p>
            <w:pPr>
              <w:pStyle w:val="122"/>
              <w:rPr>
                <w:rFonts w:cs="Times New Roman"/>
                <w:color w:val="000000" w:themeColor="text1"/>
                <w:u w:val="single"/>
              </w:rPr>
            </w:pPr>
            <w:r>
              <w:rPr>
                <w:rFonts w:hint="eastAsia" w:cs="Times New Roman"/>
                <w:color w:val="000000" w:themeColor="text1"/>
                <w:u w:val="single"/>
              </w:rPr>
              <w:t>绿化</w:t>
            </w:r>
          </w:p>
        </w:tc>
        <w:tc>
          <w:tcPr>
            <w:tcW w:w="2755" w:type="dxa"/>
            <w:vAlign w:val="center"/>
          </w:tcPr>
          <w:p>
            <w:pPr>
              <w:pStyle w:val="122"/>
              <w:rPr>
                <w:rFonts w:cs="Times New Roman"/>
                <w:color w:val="000000" w:themeColor="text1"/>
                <w:u w:val="single"/>
              </w:rPr>
            </w:pPr>
            <w:r>
              <w:rPr>
                <w:rFonts w:cs="Times New Roman"/>
                <w:color w:val="000000" w:themeColor="text1"/>
                <w:u w:val="single"/>
              </w:rPr>
              <w:t>执行《恶臭污染物排放标准》（GB14554-93）中</w:t>
            </w:r>
            <w:r>
              <w:rPr>
                <w:rFonts w:hint="eastAsia" w:cs="Times New Roman"/>
                <w:color w:val="000000" w:themeColor="text1"/>
                <w:u w:val="single"/>
              </w:rPr>
              <w:t>的较严</w:t>
            </w:r>
            <w:r>
              <w:rPr>
                <w:rFonts w:cs="Times New Roman"/>
                <w:color w:val="000000" w:themeColor="text1"/>
                <w:u w:val="single"/>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Merge w:val="continue"/>
            <w:vAlign w:val="center"/>
          </w:tcPr>
          <w:p>
            <w:pPr>
              <w:pStyle w:val="122"/>
              <w:rPr>
                <w:rFonts w:cs="Times New Roman"/>
                <w:color w:val="000000" w:themeColor="text1"/>
                <w:u w:val="single"/>
              </w:rPr>
            </w:pPr>
          </w:p>
        </w:tc>
        <w:tc>
          <w:tcPr>
            <w:tcW w:w="846" w:type="dxa"/>
            <w:vAlign w:val="center"/>
          </w:tcPr>
          <w:p>
            <w:pPr>
              <w:pStyle w:val="122"/>
              <w:rPr>
                <w:rFonts w:cs="Times New Roman"/>
                <w:color w:val="000000" w:themeColor="text1"/>
                <w:u w:val="single"/>
              </w:rPr>
            </w:pPr>
            <w:r>
              <w:rPr>
                <w:rFonts w:hint="eastAsia" w:cs="Times New Roman"/>
                <w:color w:val="000000" w:themeColor="text1"/>
                <w:u w:val="single"/>
              </w:rPr>
              <w:t>食堂</w:t>
            </w:r>
          </w:p>
        </w:tc>
        <w:tc>
          <w:tcPr>
            <w:tcW w:w="1468" w:type="dxa"/>
            <w:vAlign w:val="center"/>
          </w:tcPr>
          <w:p>
            <w:pPr>
              <w:pStyle w:val="122"/>
              <w:rPr>
                <w:rFonts w:cs="Times New Roman"/>
                <w:color w:val="000000" w:themeColor="text1"/>
                <w:u w:val="single"/>
              </w:rPr>
            </w:pPr>
            <w:r>
              <w:rPr>
                <w:rFonts w:hint="eastAsia" w:cs="Times New Roman"/>
                <w:color w:val="000000" w:themeColor="text1"/>
                <w:u w:val="single"/>
              </w:rPr>
              <w:t>食堂油烟</w:t>
            </w:r>
          </w:p>
        </w:tc>
        <w:tc>
          <w:tcPr>
            <w:tcW w:w="3642" w:type="dxa"/>
            <w:gridSpan w:val="2"/>
            <w:vAlign w:val="center"/>
          </w:tcPr>
          <w:p>
            <w:pPr>
              <w:pStyle w:val="122"/>
              <w:rPr>
                <w:rFonts w:cs="Times New Roman"/>
                <w:color w:val="000000" w:themeColor="text1"/>
                <w:u w:val="single"/>
              </w:rPr>
            </w:pPr>
            <w:r>
              <w:rPr>
                <w:rFonts w:hint="eastAsia" w:cs="Times New Roman"/>
                <w:color w:val="000000" w:themeColor="text1"/>
                <w:u w:val="single"/>
              </w:rPr>
              <w:t>抽油烟机</w:t>
            </w:r>
          </w:p>
        </w:tc>
        <w:tc>
          <w:tcPr>
            <w:tcW w:w="2755" w:type="dxa"/>
            <w:vAlign w:val="center"/>
          </w:tcPr>
          <w:p>
            <w:pPr>
              <w:pStyle w:val="122"/>
              <w:rPr>
                <w:rFonts w:cs="Times New Roman"/>
                <w:color w:val="000000" w:themeColor="text1"/>
                <w:u w:val="single"/>
              </w:rPr>
            </w:pPr>
            <w:r>
              <w:rPr>
                <w:rFonts w:cs="Times New Roman"/>
                <w:color w:val="000000" w:themeColor="text1"/>
                <w:u w:val="single"/>
              </w:rPr>
              <w:t>达到《饮食业油烟排放标准</w:t>
            </w:r>
            <w:r>
              <w:rPr>
                <w:rFonts w:hint="eastAsia" w:cs="Times New Roman"/>
                <w:color w:val="000000" w:themeColor="text1"/>
                <w:u w:val="single"/>
              </w:rPr>
              <w:t>（试行）</w:t>
            </w:r>
            <w:r>
              <w:rPr>
                <w:rFonts w:cs="Times New Roman"/>
                <w:color w:val="000000" w:themeColor="text1"/>
                <w:u w:val="single"/>
              </w:rPr>
              <w:t>》（GB18483-2001）排放限值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Align w:val="center"/>
          </w:tcPr>
          <w:p>
            <w:pPr>
              <w:pStyle w:val="122"/>
              <w:rPr>
                <w:rFonts w:cs="Times New Roman"/>
                <w:color w:val="000000" w:themeColor="text1"/>
                <w:u w:val="single"/>
              </w:rPr>
            </w:pPr>
            <w:r>
              <w:rPr>
                <w:rFonts w:cs="Times New Roman"/>
                <w:color w:val="000000" w:themeColor="text1"/>
                <w:u w:val="single"/>
              </w:rPr>
              <w:t>废水</w:t>
            </w:r>
          </w:p>
        </w:tc>
        <w:tc>
          <w:tcPr>
            <w:tcW w:w="846" w:type="dxa"/>
            <w:vAlign w:val="center"/>
          </w:tcPr>
          <w:p>
            <w:pPr>
              <w:pStyle w:val="122"/>
              <w:rPr>
                <w:rFonts w:cs="Times New Roman"/>
                <w:color w:val="000000" w:themeColor="text1"/>
                <w:u w:val="single"/>
              </w:rPr>
            </w:pPr>
            <w:r>
              <w:rPr>
                <w:rFonts w:cs="Times New Roman"/>
                <w:color w:val="000000" w:themeColor="text1"/>
                <w:u w:val="single"/>
              </w:rPr>
              <w:t>污水</w:t>
            </w:r>
          </w:p>
        </w:tc>
        <w:tc>
          <w:tcPr>
            <w:tcW w:w="1468" w:type="dxa"/>
            <w:vAlign w:val="center"/>
          </w:tcPr>
          <w:p>
            <w:pPr>
              <w:pStyle w:val="122"/>
              <w:rPr>
                <w:rFonts w:cs="Times New Roman"/>
                <w:color w:val="000000" w:themeColor="text1"/>
                <w:u w:val="single"/>
              </w:rPr>
            </w:pPr>
            <w:r>
              <w:rPr>
                <w:rFonts w:cs="Times New Roman"/>
                <w:color w:val="000000" w:themeColor="text1"/>
                <w:szCs w:val="21"/>
                <w:u w:val="single"/>
              </w:rPr>
              <w:t>CODcr</w:t>
            </w:r>
            <w:r>
              <w:rPr>
                <w:rFonts w:hint="eastAsia" w:cs="Times New Roman"/>
                <w:color w:val="000000" w:themeColor="text1"/>
                <w:szCs w:val="21"/>
                <w:u w:val="single"/>
              </w:rPr>
              <w:t>、</w:t>
            </w:r>
            <w:r>
              <w:rPr>
                <w:rFonts w:cs="Times New Roman"/>
                <w:color w:val="000000" w:themeColor="text1"/>
                <w:szCs w:val="21"/>
                <w:u w:val="single"/>
              </w:rPr>
              <w:t>BOD</w:t>
            </w:r>
            <w:r>
              <w:rPr>
                <w:rFonts w:cs="Times New Roman"/>
                <w:color w:val="000000" w:themeColor="text1"/>
                <w:szCs w:val="21"/>
                <w:u w:val="single"/>
                <w:vertAlign w:val="subscript"/>
              </w:rPr>
              <w:t>5</w:t>
            </w:r>
            <w:r>
              <w:rPr>
                <w:rFonts w:hint="eastAsia" w:cs="Times New Roman"/>
                <w:color w:val="000000" w:themeColor="text1"/>
                <w:szCs w:val="21"/>
                <w:u w:val="single"/>
                <w:vertAlign w:val="subscript"/>
              </w:rPr>
              <w:t>、</w:t>
            </w:r>
            <w:r>
              <w:rPr>
                <w:rFonts w:cs="Times New Roman"/>
                <w:color w:val="000000" w:themeColor="text1"/>
                <w:szCs w:val="21"/>
                <w:u w:val="single"/>
              </w:rPr>
              <w:t>SS</w:t>
            </w:r>
            <w:r>
              <w:rPr>
                <w:rFonts w:hint="eastAsia" w:cs="Times New Roman"/>
                <w:color w:val="000000" w:themeColor="text1"/>
                <w:szCs w:val="21"/>
                <w:u w:val="single"/>
              </w:rPr>
              <w:t>、</w:t>
            </w:r>
            <w:r>
              <w:rPr>
                <w:rFonts w:cs="Times New Roman"/>
                <w:color w:val="000000" w:themeColor="text1"/>
                <w:szCs w:val="21"/>
                <w:u w:val="single"/>
              </w:rPr>
              <w:t>NH</w:t>
            </w:r>
            <w:r>
              <w:rPr>
                <w:rFonts w:cs="Times New Roman"/>
                <w:color w:val="000000" w:themeColor="text1"/>
                <w:szCs w:val="21"/>
                <w:u w:val="single"/>
                <w:vertAlign w:val="subscript"/>
              </w:rPr>
              <w:t>3</w:t>
            </w:r>
            <w:r>
              <w:rPr>
                <w:rFonts w:cs="Times New Roman"/>
                <w:color w:val="000000" w:themeColor="text1"/>
                <w:szCs w:val="21"/>
                <w:u w:val="single"/>
              </w:rPr>
              <w:t>-N</w:t>
            </w:r>
            <w:r>
              <w:rPr>
                <w:rFonts w:hint="eastAsia" w:cs="Times New Roman"/>
                <w:color w:val="000000" w:themeColor="text1"/>
                <w:szCs w:val="21"/>
                <w:u w:val="single"/>
              </w:rPr>
              <w:t>、</w:t>
            </w:r>
            <w:r>
              <w:rPr>
                <w:rFonts w:cs="Times New Roman"/>
                <w:color w:val="000000" w:themeColor="text1"/>
                <w:szCs w:val="21"/>
                <w:u w:val="single"/>
              </w:rPr>
              <w:t>TN</w:t>
            </w:r>
            <w:r>
              <w:rPr>
                <w:rFonts w:hint="eastAsia" w:cs="Times New Roman"/>
                <w:color w:val="000000" w:themeColor="text1"/>
                <w:szCs w:val="21"/>
                <w:u w:val="single"/>
              </w:rPr>
              <w:t>、</w:t>
            </w:r>
            <w:r>
              <w:rPr>
                <w:rFonts w:cs="Times New Roman"/>
                <w:color w:val="000000" w:themeColor="text1"/>
                <w:szCs w:val="21"/>
                <w:u w:val="single"/>
              </w:rPr>
              <w:t>TP</w:t>
            </w:r>
          </w:p>
        </w:tc>
        <w:tc>
          <w:tcPr>
            <w:tcW w:w="3642" w:type="dxa"/>
            <w:gridSpan w:val="2"/>
            <w:vAlign w:val="center"/>
          </w:tcPr>
          <w:p>
            <w:pPr>
              <w:pStyle w:val="122"/>
              <w:rPr>
                <w:rFonts w:cs="Times New Roman"/>
                <w:color w:val="000000" w:themeColor="text1"/>
                <w:u w:val="single"/>
              </w:rPr>
            </w:pPr>
            <w:r>
              <w:rPr>
                <w:rFonts w:hint="eastAsia" w:cs="Times New Roman"/>
                <w:color w:val="000000" w:themeColor="text1"/>
                <w:u w:val="single"/>
              </w:rPr>
              <w:t>（</w:t>
            </w:r>
            <w:r>
              <w:rPr>
                <w:color w:val="000000" w:themeColor="text1"/>
                <w:u w:val="single"/>
              </w:rPr>
              <w:t>废水经自身处理系统处理达标后排放</w:t>
            </w:r>
            <w:r>
              <w:rPr>
                <w:rFonts w:hint="eastAsia" w:cs="Times New Roman"/>
                <w:color w:val="000000" w:themeColor="text1"/>
                <w:u w:val="single"/>
              </w:rPr>
              <w:t>）污水主体工艺采用水解酸化/</w:t>
            </w:r>
            <w:r>
              <w:rPr>
                <w:rFonts w:cs="Times New Roman"/>
                <w:color w:val="000000" w:themeColor="text1"/>
                <w:u w:val="single"/>
              </w:rPr>
              <w:t xml:space="preserve"> AAO生物池工艺，深度处理采用</w:t>
            </w:r>
            <w:r>
              <w:rPr>
                <w:rFonts w:hint="eastAsia" w:cs="Times New Roman"/>
                <w:color w:val="000000" w:themeColor="text1"/>
                <w:u w:val="single"/>
              </w:rPr>
              <w:t>高效混凝沉淀池+滤布滤池</w:t>
            </w:r>
            <w:r>
              <w:rPr>
                <w:rFonts w:cs="Times New Roman"/>
                <w:color w:val="000000" w:themeColor="text1"/>
                <w:u w:val="single"/>
              </w:rPr>
              <w:t>+</w:t>
            </w:r>
            <w:r>
              <w:rPr>
                <w:rFonts w:hint="eastAsia" w:cs="Times New Roman"/>
                <w:color w:val="000000" w:themeColor="text1"/>
                <w:u w:val="single"/>
              </w:rPr>
              <w:t>接触</w:t>
            </w:r>
            <w:r>
              <w:rPr>
                <w:rFonts w:cs="Times New Roman"/>
                <w:color w:val="000000" w:themeColor="text1"/>
                <w:u w:val="single"/>
              </w:rPr>
              <w:t>消毒工艺</w:t>
            </w:r>
          </w:p>
        </w:tc>
        <w:tc>
          <w:tcPr>
            <w:tcW w:w="2755" w:type="dxa"/>
            <w:vAlign w:val="center"/>
          </w:tcPr>
          <w:p>
            <w:pPr>
              <w:pStyle w:val="122"/>
              <w:rPr>
                <w:rFonts w:cs="Times New Roman"/>
                <w:color w:val="000000" w:themeColor="text1"/>
                <w:u w:val="single"/>
              </w:rPr>
            </w:pPr>
            <w:r>
              <w:rPr>
                <w:rFonts w:cs="Times New Roman"/>
                <w:color w:val="000000" w:themeColor="text1"/>
                <w:u w:val="single"/>
              </w:rPr>
              <w:t>达到《城镇污水处理厂污染物排放标准》（GB18918- 2002）中表1中一级标准的A标准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Merge w:val="restart"/>
            <w:vAlign w:val="center"/>
          </w:tcPr>
          <w:p>
            <w:pPr>
              <w:pStyle w:val="122"/>
              <w:rPr>
                <w:rFonts w:cs="Times New Roman"/>
                <w:color w:val="000000" w:themeColor="text1"/>
                <w:u w:val="single"/>
              </w:rPr>
            </w:pPr>
            <w:r>
              <w:rPr>
                <w:rFonts w:cs="Times New Roman"/>
                <w:color w:val="000000" w:themeColor="text1"/>
                <w:u w:val="single"/>
              </w:rPr>
              <w:t>固体废物</w:t>
            </w:r>
          </w:p>
        </w:tc>
        <w:tc>
          <w:tcPr>
            <w:tcW w:w="846" w:type="dxa"/>
            <w:tcBorders>
              <w:bottom w:val="single" w:color="auto" w:sz="4" w:space="0"/>
            </w:tcBorders>
            <w:vAlign w:val="center"/>
          </w:tcPr>
          <w:p>
            <w:pPr>
              <w:pStyle w:val="122"/>
              <w:rPr>
                <w:rFonts w:cs="Times New Roman"/>
                <w:color w:val="000000" w:themeColor="text1"/>
                <w:u w:val="single"/>
              </w:rPr>
            </w:pPr>
            <w:r>
              <w:rPr>
                <w:rFonts w:cs="Times New Roman"/>
                <w:color w:val="000000" w:themeColor="text1"/>
                <w:u w:val="single"/>
              </w:rPr>
              <w:t>办公生活</w:t>
            </w:r>
          </w:p>
        </w:tc>
        <w:tc>
          <w:tcPr>
            <w:tcW w:w="1468" w:type="dxa"/>
            <w:tcBorders>
              <w:bottom w:val="single" w:color="auto" w:sz="4" w:space="0"/>
            </w:tcBorders>
            <w:vAlign w:val="center"/>
          </w:tcPr>
          <w:p>
            <w:pPr>
              <w:pStyle w:val="122"/>
              <w:rPr>
                <w:rFonts w:cs="Times New Roman"/>
                <w:color w:val="000000" w:themeColor="text1"/>
                <w:u w:val="single"/>
              </w:rPr>
            </w:pPr>
            <w:r>
              <w:rPr>
                <w:rFonts w:cs="Times New Roman"/>
                <w:color w:val="000000" w:themeColor="text1"/>
                <w:u w:val="single"/>
              </w:rPr>
              <w:t>生活垃圾</w:t>
            </w:r>
          </w:p>
        </w:tc>
        <w:tc>
          <w:tcPr>
            <w:tcW w:w="3642" w:type="dxa"/>
            <w:gridSpan w:val="2"/>
            <w:vAlign w:val="center"/>
          </w:tcPr>
          <w:p>
            <w:pPr>
              <w:pStyle w:val="122"/>
              <w:rPr>
                <w:rFonts w:cs="Times New Roman"/>
                <w:color w:val="000000" w:themeColor="text1"/>
                <w:u w:val="single"/>
              </w:rPr>
            </w:pPr>
            <w:r>
              <w:rPr>
                <w:rFonts w:cs="Times New Roman"/>
                <w:color w:val="000000" w:themeColor="text1"/>
                <w:u w:val="single"/>
              </w:rPr>
              <w:t>垃圾桶、定期交由环卫部门处理</w:t>
            </w:r>
          </w:p>
        </w:tc>
        <w:tc>
          <w:tcPr>
            <w:tcW w:w="2755" w:type="dxa"/>
            <w:vMerge w:val="restart"/>
            <w:vAlign w:val="center"/>
          </w:tcPr>
          <w:p>
            <w:pPr>
              <w:pStyle w:val="122"/>
              <w:rPr>
                <w:rFonts w:cs="Times New Roman"/>
                <w:color w:val="000000" w:themeColor="text1"/>
                <w:u w:val="single"/>
              </w:rPr>
            </w:pPr>
            <w:r>
              <w:rPr>
                <w:rFonts w:cs="Times New Roman"/>
                <w:color w:val="000000" w:themeColor="text1"/>
                <w:u w:val="single"/>
              </w:rPr>
              <w:t>符合相关环保要求</w:t>
            </w:r>
            <w:r>
              <w:rPr>
                <w:rFonts w:hint="eastAsia" w:cs="Times New Roman"/>
                <w:color w:val="000000" w:themeColor="text1"/>
                <w:u w:val="single"/>
              </w:rPr>
              <w:t>，污泥含水率60%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dxa"/>
            <w:vMerge w:val="continue"/>
            <w:vAlign w:val="center"/>
          </w:tcPr>
          <w:p>
            <w:pPr>
              <w:pStyle w:val="122"/>
              <w:rPr>
                <w:rFonts w:cs="Times New Roman"/>
                <w:color w:val="000000" w:themeColor="text1"/>
                <w:u w:val="single"/>
              </w:rPr>
            </w:pPr>
          </w:p>
        </w:tc>
        <w:tc>
          <w:tcPr>
            <w:tcW w:w="846" w:type="dxa"/>
            <w:vMerge w:val="restart"/>
            <w:tcBorders>
              <w:top w:val="single" w:color="auto" w:sz="4" w:space="0"/>
            </w:tcBorders>
            <w:vAlign w:val="center"/>
          </w:tcPr>
          <w:p>
            <w:pPr>
              <w:pStyle w:val="122"/>
              <w:rPr>
                <w:rFonts w:cs="Times New Roman"/>
                <w:color w:val="000000" w:themeColor="text1"/>
                <w:u w:val="single"/>
              </w:rPr>
            </w:pPr>
            <w:r>
              <w:rPr>
                <w:rFonts w:cs="Times New Roman"/>
                <w:color w:val="000000" w:themeColor="text1"/>
                <w:u w:val="single"/>
              </w:rPr>
              <w:t>一般工业固废</w:t>
            </w:r>
          </w:p>
        </w:tc>
        <w:tc>
          <w:tcPr>
            <w:tcW w:w="1468" w:type="dxa"/>
            <w:tcBorders>
              <w:top w:val="single" w:color="auto" w:sz="4" w:space="0"/>
              <w:bottom w:val="single" w:color="auto" w:sz="4" w:space="0"/>
            </w:tcBorders>
            <w:vAlign w:val="center"/>
          </w:tcPr>
          <w:p>
            <w:pPr>
              <w:pStyle w:val="122"/>
              <w:rPr>
                <w:rFonts w:cs="Times New Roman"/>
                <w:color w:val="000000" w:themeColor="text1"/>
                <w:u w:val="single"/>
              </w:rPr>
            </w:pPr>
            <w:r>
              <w:rPr>
                <w:rFonts w:cs="Times New Roman"/>
                <w:color w:val="000000" w:themeColor="text1"/>
                <w:u w:val="single"/>
              </w:rPr>
              <w:t>栅渣</w:t>
            </w:r>
          </w:p>
        </w:tc>
        <w:tc>
          <w:tcPr>
            <w:tcW w:w="3642" w:type="dxa"/>
            <w:gridSpan w:val="2"/>
            <w:tcBorders>
              <w:bottom w:val="single" w:color="auto" w:sz="4" w:space="0"/>
            </w:tcBorders>
            <w:vAlign w:val="center"/>
          </w:tcPr>
          <w:p>
            <w:pPr>
              <w:pStyle w:val="122"/>
              <w:rPr>
                <w:rFonts w:cs="Times New Roman"/>
                <w:color w:val="000000" w:themeColor="text1"/>
                <w:u w:val="single"/>
              </w:rPr>
            </w:pPr>
            <w:r>
              <w:rPr>
                <w:rFonts w:cs="Times New Roman"/>
                <w:color w:val="000000" w:themeColor="text1"/>
                <w:u w:val="single"/>
              </w:rPr>
              <w:t>和生活垃圾一起交由环卫部门处理</w:t>
            </w:r>
          </w:p>
        </w:tc>
        <w:tc>
          <w:tcPr>
            <w:tcW w:w="2755" w:type="dxa"/>
            <w:vMerge w:val="continue"/>
            <w:vAlign w:val="center"/>
          </w:tcPr>
          <w:p>
            <w:pPr>
              <w:pStyle w:val="122"/>
              <w:rPr>
                <w:rFonts w:cs="Times New Roman"/>
                <w:color w:val="000000" w:themeColor="text1"/>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531" w:type="dxa"/>
            <w:vMerge w:val="continue"/>
            <w:vAlign w:val="center"/>
          </w:tcPr>
          <w:p>
            <w:pPr>
              <w:pStyle w:val="122"/>
              <w:rPr>
                <w:rFonts w:cs="Times New Roman"/>
                <w:color w:val="FF0000"/>
                <w:u w:val="single"/>
              </w:rPr>
            </w:pPr>
          </w:p>
        </w:tc>
        <w:tc>
          <w:tcPr>
            <w:tcW w:w="846" w:type="dxa"/>
            <w:vMerge w:val="continue"/>
            <w:vAlign w:val="center"/>
          </w:tcPr>
          <w:p>
            <w:pPr>
              <w:pStyle w:val="122"/>
              <w:rPr>
                <w:rFonts w:cs="Times New Roman"/>
                <w:color w:val="FF0000"/>
                <w:u w:val="single"/>
              </w:rPr>
            </w:pPr>
          </w:p>
        </w:tc>
        <w:tc>
          <w:tcPr>
            <w:tcW w:w="1468" w:type="dxa"/>
            <w:tcBorders>
              <w:top w:val="single" w:color="auto" w:sz="4" w:space="0"/>
              <w:bottom w:val="single" w:color="auto" w:sz="4" w:space="0"/>
            </w:tcBorders>
            <w:vAlign w:val="center"/>
          </w:tcPr>
          <w:p>
            <w:pPr>
              <w:pStyle w:val="122"/>
              <w:rPr>
                <w:rFonts w:cs="Times New Roman"/>
                <w:color w:val="000000" w:themeColor="text1"/>
                <w:u w:val="single"/>
              </w:rPr>
            </w:pPr>
            <w:r>
              <w:rPr>
                <w:rFonts w:cs="Times New Roman"/>
                <w:color w:val="000000" w:themeColor="text1"/>
                <w:u w:val="single"/>
              </w:rPr>
              <w:t>沉砂</w:t>
            </w:r>
          </w:p>
        </w:tc>
        <w:tc>
          <w:tcPr>
            <w:tcW w:w="3642" w:type="dxa"/>
            <w:gridSpan w:val="2"/>
            <w:vMerge w:val="restart"/>
            <w:tcBorders>
              <w:top w:val="single" w:color="auto" w:sz="4" w:space="0"/>
            </w:tcBorders>
            <w:vAlign w:val="center"/>
          </w:tcPr>
          <w:p>
            <w:pPr>
              <w:pStyle w:val="122"/>
              <w:rPr>
                <w:rFonts w:cs="Times New Roman"/>
                <w:color w:val="FF0000"/>
                <w:u w:val="single"/>
              </w:rPr>
            </w:pPr>
            <w:r>
              <w:rPr>
                <w:rFonts w:hint="eastAsia" w:cs="Times New Roman"/>
                <w:color w:val="000000" w:themeColor="text1"/>
                <w:u w:val="single"/>
              </w:rPr>
              <w:t>收集后委托资质单位处理</w:t>
            </w:r>
          </w:p>
        </w:tc>
        <w:tc>
          <w:tcPr>
            <w:tcW w:w="2755" w:type="dxa"/>
            <w:vMerge w:val="continue"/>
            <w:vAlign w:val="center"/>
          </w:tcPr>
          <w:p>
            <w:pPr>
              <w:pStyle w:val="122"/>
              <w:rPr>
                <w:rFonts w:cs="Times New Roman"/>
                <w:color w:val="FF0000"/>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19" w:hRule="atLeast"/>
          <w:jc w:val="center"/>
        </w:trPr>
        <w:tc>
          <w:tcPr>
            <w:tcW w:w="531" w:type="dxa"/>
            <w:vMerge w:val="continue"/>
            <w:vAlign w:val="center"/>
          </w:tcPr>
          <w:p>
            <w:pPr>
              <w:pStyle w:val="122"/>
              <w:rPr>
                <w:rFonts w:cs="Times New Roman"/>
                <w:color w:val="FF0000"/>
                <w:u w:val="single"/>
              </w:rPr>
            </w:pPr>
          </w:p>
        </w:tc>
        <w:tc>
          <w:tcPr>
            <w:tcW w:w="846" w:type="dxa"/>
            <w:vMerge w:val="continue"/>
            <w:vAlign w:val="center"/>
          </w:tcPr>
          <w:p>
            <w:pPr>
              <w:pStyle w:val="122"/>
              <w:rPr>
                <w:rFonts w:cs="Times New Roman"/>
                <w:color w:val="FF0000"/>
                <w:u w:val="single"/>
              </w:rPr>
            </w:pPr>
          </w:p>
        </w:tc>
        <w:tc>
          <w:tcPr>
            <w:tcW w:w="1468" w:type="dxa"/>
            <w:tcBorders>
              <w:top w:val="single" w:color="auto" w:sz="4" w:space="0"/>
            </w:tcBorders>
            <w:vAlign w:val="center"/>
          </w:tcPr>
          <w:p>
            <w:pPr>
              <w:pStyle w:val="122"/>
              <w:rPr>
                <w:rFonts w:cs="Times New Roman"/>
                <w:color w:val="000000" w:themeColor="text1"/>
                <w:u w:val="single"/>
              </w:rPr>
            </w:pPr>
            <w:r>
              <w:rPr>
                <w:rFonts w:cs="Times New Roman"/>
                <w:color w:val="000000" w:themeColor="text1"/>
                <w:u w:val="single"/>
              </w:rPr>
              <w:t>污泥</w:t>
            </w:r>
          </w:p>
        </w:tc>
        <w:tc>
          <w:tcPr>
            <w:tcW w:w="3642" w:type="dxa"/>
            <w:gridSpan w:val="2"/>
            <w:vMerge w:val="continue"/>
            <w:vAlign w:val="center"/>
          </w:tcPr>
          <w:p>
            <w:pPr>
              <w:pStyle w:val="122"/>
              <w:rPr>
                <w:rFonts w:cs="Times New Roman"/>
                <w:color w:val="FF0000"/>
                <w:u w:val="single"/>
              </w:rPr>
            </w:pPr>
          </w:p>
        </w:tc>
        <w:tc>
          <w:tcPr>
            <w:tcW w:w="2755" w:type="dxa"/>
            <w:vMerge w:val="continue"/>
            <w:vAlign w:val="center"/>
          </w:tcPr>
          <w:p>
            <w:pPr>
              <w:pStyle w:val="122"/>
              <w:rPr>
                <w:rFonts w:cs="Times New Roman"/>
                <w:color w:val="FF0000"/>
                <w:u w:val="singl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Align w:val="center"/>
          </w:tcPr>
          <w:p>
            <w:pPr>
              <w:pStyle w:val="122"/>
              <w:rPr>
                <w:rFonts w:cs="Times New Roman"/>
                <w:color w:val="000000" w:themeColor="text1"/>
                <w:u w:val="single"/>
              </w:rPr>
            </w:pPr>
            <w:r>
              <w:rPr>
                <w:rFonts w:cs="Times New Roman"/>
                <w:color w:val="000000" w:themeColor="text1"/>
                <w:u w:val="single"/>
              </w:rPr>
              <w:t>噪声</w:t>
            </w:r>
          </w:p>
        </w:tc>
        <w:tc>
          <w:tcPr>
            <w:tcW w:w="846" w:type="dxa"/>
            <w:vAlign w:val="center"/>
          </w:tcPr>
          <w:p>
            <w:pPr>
              <w:pStyle w:val="122"/>
              <w:rPr>
                <w:rFonts w:cs="Times New Roman"/>
                <w:color w:val="000000" w:themeColor="text1"/>
                <w:u w:val="single"/>
              </w:rPr>
            </w:pPr>
            <w:r>
              <w:rPr>
                <w:rFonts w:cs="Times New Roman"/>
                <w:color w:val="000000" w:themeColor="text1"/>
                <w:u w:val="single"/>
              </w:rPr>
              <w:t>设备</w:t>
            </w:r>
          </w:p>
        </w:tc>
        <w:tc>
          <w:tcPr>
            <w:tcW w:w="1468" w:type="dxa"/>
            <w:vAlign w:val="center"/>
          </w:tcPr>
          <w:p>
            <w:pPr>
              <w:pStyle w:val="122"/>
              <w:rPr>
                <w:rFonts w:cs="Times New Roman"/>
                <w:color w:val="000000" w:themeColor="text1"/>
                <w:u w:val="single"/>
              </w:rPr>
            </w:pPr>
            <w:r>
              <w:rPr>
                <w:rFonts w:hint="eastAsia" w:cs="Times New Roman"/>
                <w:color w:val="000000" w:themeColor="text1"/>
                <w:u w:val="single"/>
              </w:rPr>
              <w:t>L</w:t>
            </w:r>
            <w:r>
              <w:rPr>
                <w:rFonts w:cs="Times New Roman"/>
                <w:color w:val="000000" w:themeColor="text1"/>
                <w:u w:val="single"/>
              </w:rPr>
              <w:t>eqA</w:t>
            </w:r>
          </w:p>
        </w:tc>
        <w:tc>
          <w:tcPr>
            <w:tcW w:w="3642" w:type="dxa"/>
            <w:gridSpan w:val="2"/>
            <w:vAlign w:val="center"/>
          </w:tcPr>
          <w:p>
            <w:pPr>
              <w:pStyle w:val="122"/>
              <w:rPr>
                <w:rFonts w:cs="Times New Roman"/>
                <w:color w:val="000000" w:themeColor="text1"/>
                <w:u w:val="single"/>
              </w:rPr>
            </w:pPr>
            <w:r>
              <w:rPr>
                <w:rFonts w:cs="Times New Roman"/>
                <w:color w:val="000000" w:themeColor="text1"/>
                <w:u w:val="single"/>
              </w:rPr>
              <w:t>基础减振、厂房隔声等降噪措施</w:t>
            </w:r>
          </w:p>
        </w:tc>
        <w:tc>
          <w:tcPr>
            <w:tcW w:w="2755" w:type="dxa"/>
            <w:vAlign w:val="center"/>
          </w:tcPr>
          <w:p>
            <w:pPr>
              <w:pStyle w:val="122"/>
              <w:rPr>
                <w:rFonts w:cs="Times New Roman"/>
                <w:color w:val="000000" w:themeColor="text1"/>
                <w:u w:val="single"/>
              </w:rPr>
            </w:pPr>
            <w:r>
              <w:rPr>
                <w:rFonts w:cs="Times New Roman"/>
                <w:color w:val="000000" w:themeColor="text1"/>
                <w:u w:val="single"/>
              </w:rPr>
              <w:t>场界噪声达到</w:t>
            </w:r>
            <w:r>
              <w:rPr>
                <w:rFonts w:hint="eastAsia" w:cs="Times New Roman"/>
                <w:color w:val="000000" w:themeColor="text1"/>
                <w:u w:val="single"/>
              </w:rPr>
              <w:t>达到《工业企业厂界环境噪声排放标准》（GB12348-2008）中3类标准要求</w:t>
            </w:r>
            <w:r>
              <w:rPr>
                <w:rFonts w:cs="Times New Roman"/>
                <w:color w:val="000000" w:themeColor="text1"/>
                <w:u w:val="single"/>
              </w:rPr>
              <w:t>，临路一侧达到</w:t>
            </w:r>
            <w:r>
              <w:rPr>
                <w:rFonts w:hint="eastAsia" w:cs="Times New Roman"/>
                <w:color w:val="000000" w:themeColor="text1"/>
                <w:u w:val="single"/>
              </w:rPr>
              <w:t>达到《工业企业厂界环境噪声排放标准》（GB12348-2008）中4类标准要求</w:t>
            </w:r>
            <w:r>
              <w:rPr>
                <w:rFonts w:cs="Times New Roman"/>
                <w:color w:val="000000" w:themeColor="text1"/>
                <w:u w:val="singl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dxa"/>
            <w:vAlign w:val="center"/>
          </w:tcPr>
          <w:p>
            <w:pPr>
              <w:pStyle w:val="122"/>
              <w:rPr>
                <w:rFonts w:cs="Times New Roman"/>
                <w:color w:val="000000" w:themeColor="text1"/>
                <w:u w:val="single"/>
              </w:rPr>
            </w:pPr>
            <w:r>
              <w:rPr>
                <w:rFonts w:cs="Times New Roman"/>
                <w:color w:val="000000" w:themeColor="text1"/>
                <w:u w:val="single"/>
              </w:rPr>
              <w:t>地下水</w:t>
            </w:r>
          </w:p>
        </w:tc>
        <w:tc>
          <w:tcPr>
            <w:tcW w:w="846" w:type="dxa"/>
            <w:vAlign w:val="center"/>
          </w:tcPr>
          <w:p>
            <w:pPr>
              <w:pStyle w:val="122"/>
              <w:rPr>
                <w:rFonts w:cs="Times New Roman"/>
                <w:color w:val="000000" w:themeColor="text1"/>
                <w:u w:val="single"/>
              </w:rPr>
            </w:pPr>
            <w:r>
              <w:rPr>
                <w:rFonts w:cs="Times New Roman"/>
                <w:color w:val="000000" w:themeColor="text1"/>
                <w:u w:val="single"/>
              </w:rPr>
              <w:t>污水处理区和污泥脱水区</w:t>
            </w:r>
          </w:p>
        </w:tc>
        <w:tc>
          <w:tcPr>
            <w:tcW w:w="1468" w:type="dxa"/>
            <w:vAlign w:val="center"/>
          </w:tcPr>
          <w:p>
            <w:pPr>
              <w:pStyle w:val="122"/>
              <w:rPr>
                <w:rFonts w:cs="Times New Roman"/>
                <w:color w:val="000000" w:themeColor="text1"/>
                <w:u w:val="single"/>
              </w:rPr>
            </w:pPr>
            <w:r>
              <w:rPr>
                <w:rFonts w:hint="eastAsia" w:cs="Times New Roman"/>
                <w:color w:val="000000" w:themeColor="text1"/>
                <w:u w:val="single"/>
              </w:rPr>
              <w:t>防渗</w:t>
            </w:r>
          </w:p>
        </w:tc>
        <w:tc>
          <w:tcPr>
            <w:tcW w:w="3642" w:type="dxa"/>
            <w:gridSpan w:val="2"/>
            <w:vAlign w:val="center"/>
          </w:tcPr>
          <w:p>
            <w:pPr>
              <w:pStyle w:val="122"/>
              <w:rPr>
                <w:rFonts w:cs="Times New Roman"/>
                <w:color w:val="000000" w:themeColor="text1"/>
                <w:u w:val="single"/>
              </w:rPr>
            </w:pPr>
            <w:r>
              <w:rPr>
                <w:rFonts w:hint="eastAsia" w:cs="Times New Roman"/>
                <w:u w:val="single"/>
              </w:rPr>
              <w:t>①</w:t>
            </w:r>
            <w:r>
              <w:rPr>
                <w:rFonts w:cs="Times New Roman"/>
                <w:u w:val="single"/>
              </w:rPr>
              <w:t>埋地污水管道全部采用UPVC；</w:t>
            </w:r>
            <w:r>
              <w:rPr>
                <w:rFonts w:hint="eastAsia" w:cs="Times New Roman"/>
                <w:u w:val="single"/>
              </w:rPr>
              <w:t>②</w:t>
            </w:r>
            <w:r>
              <w:rPr>
                <w:rFonts w:cs="Times New Roman"/>
                <w:u w:val="single"/>
              </w:rPr>
              <w:t>管道设计壁厚的腐蚀余量不小于2mm；</w:t>
            </w:r>
            <w:r>
              <w:rPr>
                <w:rFonts w:hint="eastAsia" w:ascii="宋体" w:hAnsi="宋体" w:cs="宋体"/>
                <w:u w:val="single"/>
              </w:rPr>
              <w:t>③</w:t>
            </w:r>
            <w:r>
              <w:rPr>
                <w:rFonts w:cs="Times New Roman"/>
                <w:u w:val="single"/>
              </w:rPr>
              <w:t>污染雨水系统当设有雨水口时选用预制混凝土装配式雨水口，混凝土的抗渗等级≥S8；</w:t>
            </w:r>
            <w:r>
              <w:rPr>
                <w:rFonts w:hint="eastAsia" w:ascii="宋体" w:hAnsi="宋体" w:cs="宋体"/>
                <w:u w:val="single"/>
              </w:rPr>
              <w:t>④</w:t>
            </w:r>
            <w:r>
              <w:rPr>
                <w:rFonts w:cs="Times New Roman"/>
                <w:u w:val="single"/>
              </w:rPr>
              <w:t>混凝土水池、污水沟和井的混凝土耐久性符合现行国家标准《混凝土结构设计规范》GB50010 的有关规定，且混凝土强度等级不低于C30。按一般污染设防的水池和污水沟，还符合下列规定：结构厚度：水池不小于250mm，污水沟不小于150mm；混凝土抗渗等级不低于P8。水池、污水沟和井的内表面涂刷抗渗混凝土，厚度不小于1.0mm或在混凝土内掺加水泥基渗透结晶型防水剂，掺量不小于混凝土胶凝材料总量的0.8%。管道设计壁厚的腐蚀余量不小于2mm。</w:t>
            </w:r>
          </w:p>
        </w:tc>
        <w:tc>
          <w:tcPr>
            <w:tcW w:w="2755" w:type="dxa"/>
            <w:vAlign w:val="center"/>
          </w:tcPr>
          <w:p>
            <w:pPr>
              <w:pStyle w:val="122"/>
              <w:rPr>
                <w:rFonts w:cs="Times New Roman"/>
                <w:color w:val="000000" w:themeColor="text1"/>
                <w:u w:val="single"/>
              </w:rPr>
            </w:pPr>
            <w:r>
              <w:rPr>
                <w:rFonts w:cs="Times New Roman"/>
                <w:color w:val="000000" w:themeColor="text1"/>
                <w:u w:val="single"/>
              </w:rPr>
              <w:t>一般防渗区要求</w:t>
            </w:r>
            <w:r>
              <w:rPr>
                <w:rFonts w:hint="eastAsia"/>
                <w:szCs w:val="21"/>
                <w:u w:val="single"/>
              </w:rPr>
              <w:t>等效黏土防渗层</w:t>
            </w:r>
            <w:r>
              <w:rPr>
                <w:szCs w:val="21"/>
                <w:u w:val="single"/>
              </w:rPr>
              <w:t>Mb≥1.5m</w:t>
            </w:r>
            <w:r>
              <w:rPr>
                <w:rFonts w:hint="eastAsia"/>
                <w:szCs w:val="21"/>
                <w:u w:val="single"/>
              </w:rPr>
              <w:t>，渗透系数</w:t>
            </w:r>
            <w:r>
              <w:rPr>
                <w:szCs w:val="21"/>
                <w:u w:val="single"/>
              </w:rPr>
              <w:t>K≤1</w:t>
            </w:r>
            <w:r>
              <w:rPr>
                <w:rFonts w:hint="eastAsia"/>
                <w:szCs w:val="21"/>
                <w:u w:val="single"/>
              </w:rPr>
              <w:t>×</w:t>
            </w:r>
            <w:r>
              <w:rPr>
                <w:szCs w:val="21"/>
                <w:u w:val="single"/>
              </w:rPr>
              <w:t>10-7cm/s</w:t>
            </w:r>
            <w:r>
              <w:rPr>
                <w:rFonts w:hint="eastAsia"/>
                <w:szCs w:val="21"/>
                <w:u w:val="single"/>
              </w:rPr>
              <w:t>；</w:t>
            </w:r>
            <w:r>
              <w:rPr>
                <w:szCs w:val="21"/>
                <w:u w:val="single"/>
              </w:rPr>
              <w:t>简单防渗区要求</w:t>
            </w:r>
            <w:r>
              <w:rPr>
                <w:rFonts w:hint="eastAsia"/>
                <w:szCs w:val="21"/>
                <w:u w:val="single"/>
              </w:rPr>
              <w:t>一般地面硬化</w:t>
            </w:r>
          </w:p>
        </w:tc>
      </w:tr>
    </w:tbl>
    <w:p>
      <w:pPr>
        <w:rPr>
          <w:rFonts w:eastAsia="宋体" w:cstheme="majorBidi"/>
          <w:kern w:val="44"/>
          <w:sz w:val="30"/>
          <w:szCs w:val="44"/>
        </w:rPr>
      </w:pPr>
      <w:bookmarkStart w:id="277" w:name="_Toc532763234"/>
      <w:bookmarkStart w:id="278" w:name="_Toc532498770"/>
      <w:bookmarkStart w:id="279" w:name="_Toc532376177"/>
      <w:bookmarkStart w:id="280" w:name="_Toc532497708"/>
      <w:r>
        <w:br w:type="page"/>
      </w:r>
    </w:p>
    <w:p>
      <w:pPr>
        <w:pStyle w:val="2"/>
        <w:spacing w:line="360" w:lineRule="auto"/>
      </w:pPr>
      <w:bookmarkStart w:id="281" w:name="_Toc27292"/>
      <w:r>
        <w:rPr>
          <w:rFonts w:hint="eastAsia"/>
        </w:rPr>
        <w:t>项目可行性分析</w:t>
      </w:r>
      <w:bookmarkEnd w:id="277"/>
      <w:bookmarkEnd w:id="278"/>
      <w:bookmarkEnd w:id="279"/>
      <w:bookmarkEnd w:id="280"/>
      <w:bookmarkEnd w:id="281"/>
    </w:p>
    <w:p>
      <w:pPr>
        <w:pStyle w:val="5"/>
        <w:rPr>
          <w:color w:val="000000" w:themeColor="text1"/>
        </w:rPr>
      </w:pPr>
      <w:bookmarkStart w:id="282" w:name="_Toc532497713"/>
      <w:r>
        <w:rPr>
          <w:rFonts w:hint="eastAsia"/>
          <w:color w:val="000000" w:themeColor="text1"/>
        </w:rPr>
        <w:t>项目建设与 “三线一单”符合判定性</w:t>
      </w:r>
    </w:p>
    <w:p>
      <w:pPr>
        <w:adjustRightInd w:val="0"/>
        <w:snapToGrid w:val="0"/>
        <w:spacing w:line="360" w:lineRule="auto"/>
        <w:ind w:firstLine="480" w:firstLineChars="200"/>
      </w:pPr>
      <w:r>
        <w:rPr>
          <w:rFonts w:hint="eastAsia"/>
        </w:rPr>
        <w:t>根据环保部发布的《关于改善环境质量为核心加强环境影响评价管理的通知》，要求切实加强环境影响评价管理，落实“生态保护红线、环境质量底线、资源利用上线和环境准入负面清单”约束，建立项目环评审批和规划环评、现有项目环境管理、区域环境质量联动机制，更好地发挥环评制度从源头防范环境污染和生态破坏的作用，加快推进改善环境质量。本项目建设与“三线一单”符合判定性具体见</w:t>
      </w:r>
      <w:r>
        <w:fldChar w:fldCharType="begin"/>
      </w:r>
      <w:r>
        <w:rPr>
          <w:rFonts w:hint="eastAsia"/>
        </w:rPr>
        <w:instrText xml:space="preserve">REF _Ref532210010 \h</w:instrText>
      </w:r>
      <w:r>
        <w:fldChar w:fldCharType="separate"/>
      </w:r>
      <w:r>
        <w:rPr>
          <w:rFonts w:hint="eastAsia"/>
        </w:rPr>
        <w:t>表</w:t>
      </w:r>
      <w:r>
        <w:t>8.5</w:t>
      </w:r>
      <w:r>
        <w:noBreakHyphen/>
      </w:r>
      <w:r>
        <w:t>1</w:t>
      </w:r>
      <w:r>
        <w:fldChar w:fldCharType="end"/>
      </w:r>
      <w:r>
        <w:rPr>
          <w:rFonts w:hint="eastAsia"/>
        </w:rPr>
        <w:t>。</w:t>
      </w:r>
    </w:p>
    <w:p>
      <w:pPr>
        <w:pStyle w:val="14"/>
        <w:spacing w:line="240" w:lineRule="auto"/>
      </w:pPr>
      <w:bookmarkStart w:id="283" w:name="_Ref532210010"/>
      <w:r>
        <w:rPr>
          <w:rFonts w:hint="eastAsia"/>
        </w:rPr>
        <w:t>表</w:t>
      </w:r>
      <w:bookmarkEnd w:id="283"/>
      <w:r>
        <w:fldChar w:fldCharType="begin"/>
      </w:r>
      <w:r>
        <w:rPr>
          <w:rFonts w:hint="eastAsia"/>
        </w:rPr>
        <w:instrText xml:space="preserve">STYLEREF 2 \s</w:instrText>
      </w:r>
      <w:r>
        <w:fldChar w:fldCharType="separate"/>
      </w:r>
      <w:r>
        <w:t>7.5</w:t>
      </w:r>
      <w:r>
        <w:fldChar w:fldCharType="end"/>
      </w:r>
      <w:r>
        <w:noBreakHyphen/>
      </w:r>
      <w:r>
        <w:fldChar w:fldCharType="begin"/>
      </w:r>
      <w:r>
        <w:rPr>
          <w:rFonts w:hint="eastAsia"/>
        </w:rPr>
        <w:instrText xml:space="preserve">SEQ 表 \* ARABIC \s 2</w:instrText>
      </w:r>
      <w:r>
        <w:fldChar w:fldCharType="separate"/>
      </w:r>
      <w:r>
        <w:rPr>
          <w:rFonts w:hint="eastAsia"/>
        </w:rPr>
        <w:t>2</w:t>
      </w:r>
      <w:r>
        <w:fldChar w:fldCharType="end"/>
      </w:r>
      <w:r>
        <w:rPr>
          <w:rFonts w:hint="eastAsia"/>
        </w:rPr>
        <w:t xml:space="preserve"> “三线一单”符合判定性</w:t>
      </w:r>
    </w:p>
    <w:tbl>
      <w:tblPr>
        <w:tblStyle w:val="39"/>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2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eastAsia="宋体" w:cs="Times New Roman"/>
                <w:kern w:val="0"/>
                <w:sz w:val="21"/>
              </w:rPr>
            </w:pPr>
            <w:bookmarkStart w:id="284" w:name="_Toc532497714"/>
            <w:r>
              <w:rPr>
                <w:rFonts w:hint="eastAsia" w:eastAsia="宋体" w:cs="Times New Roman"/>
                <w:kern w:val="0"/>
                <w:sz w:val="21"/>
              </w:rPr>
              <w:t>内容</w:t>
            </w:r>
            <w:bookmarkEnd w:id="284"/>
          </w:p>
        </w:tc>
        <w:tc>
          <w:tcPr>
            <w:tcW w:w="8283" w:type="dxa"/>
            <w:vAlign w:val="center"/>
          </w:tcPr>
          <w:p>
            <w:pPr>
              <w:jc w:val="center"/>
              <w:rPr>
                <w:rFonts w:eastAsia="宋体" w:cs="Times New Roman"/>
                <w:kern w:val="0"/>
                <w:sz w:val="21"/>
              </w:rPr>
            </w:pPr>
            <w:bookmarkStart w:id="285" w:name="_Toc532497715"/>
            <w:r>
              <w:rPr>
                <w:rFonts w:hint="eastAsia" w:eastAsia="宋体" w:cs="Times New Roman"/>
                <w:kern w:val="0"/>
                <w:sz w:val="21"/>
              </w:rPr>
              <w:t>符合性分析</w:t>
            </w:r>
            <w:bookmarkEnd w:id="28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eastAsia="宋体" w:cs="Times New Roman"/>
                <w:kern w:val="0"/>
                <w:sz w:val="21"/>
              </w:rPr>
            </w:pPr>
            <w:bookmarkStart w:id="286" w:name="_Toc532497716"/>
            <w:r>
              <w:rPr>
                <w:rFonts w:hint="eastAsia" w:eastAsia="宋体" w:cs="Times New Roman"/>
                <w:kern w:val="0"/>
                <w:sz w:val="21"/>
              </w:rPr>
              <w:t>生态保护红线</w:t>
            </w:r>
            <w:bookmarkEnd w:id="286"/>
          </w:p>
        </w:tc>
        <w:tc>
          <w:tcPr>
            <w:tcW w:w="8283" w:type="dxa"/>
            <w:vAlign w:val="center"/>
          </w:tcPr>
          <w:p>
            <w:pPr>
              <w:ind w:firstLine="482"/>
              <w:rPr>
                <w:rFonts w:eastAsia="宋体" w:cs="Times New Roman"/>
                <w:sz w:val="21"/>
              </w:rPr>
            </w:pPr>
            <w:r>
              <w:rPr>
                <w:rFonts w:ascii="宋体" w:hAnsi="宋体" w:eastAsia="宋体" w:cs="Times New Roman"/>
                <w:sz w:val="21"/>
              </w:rPr>
              <w:t>根据湖南省政府公布关于印发《湖南省生态保护红线》的通知（湘政发〔</w:t>
            </w:r>
            <w:r>
              <w:rPr>
                <w:rFonts w:eastAsia="宋体" w:cs="Times New Roman"/>
                <w:sz w:val="21"/>
              </w:rPr>
              <w:t>2018</w:t>
            </w:r>
            <w:r>
              <w:rPr>
                <w:rFonts w:ascii="宋体" w:hAnsi="宋体" w:eastAsia="宋体" w:cs="Times New Roman"/>
                <w:sz w:val="21"/>
              </w:rPr>
              <w:t>〕</w:t>
            </w:r>
            <w:r>
              <w:rPr>
                <w:rFonts w:eastAsia="宋体" w:cs="Times New Roman"/>
                <w:sz w:val="21"/>
              </w:rPr>
              <w:t>20</w:t>
            </w:r>
            <w:r>
              <w:rPr>
                <w:rFonts w:ascii="宋体" w:hAnsi="宋体" w:eastAsia="宋体" w:cs="Times New Roman"/>
                <w:sz w:val="21"/>
              </w:rPr>
              <w:t>号），湖南省生态保护红线划定面积为</w:t>
            </w:r>
            <w:r>
              <w:rPr>
                <w:rFonts w:eastAsia="宋体" w:cs="Times New Roman"/>
                <w:sz w:val="21"/>
              </w:rPr>
              <w:t>4.28</w:t>
            </w:r>
            <w:r>
              <w:rPr>
                <w:rFonts w:ascii="宋体" w:hAnsi="宋体" w:eastAsia="宋体" w:cs="Times New Roman"/>
                <w:sz w:val="21"/>
              </w:rPr>
              <w:t>万</w:t>
            </w:r>
            <w:r>
              <w:rPr>
                <w:rFonts w:eastAsia="宋体" w:cs="Times New Roman"/>
                <w:sz w:val="21"/>
              </w:rPr>
              <w:t>km</w:t>
            </w:r>
            <w:r>
              <w:rPr>
                <w:rFonts w:eastAsia="宋体" w:cs="Times New Roman"/>
                <w:sz w:val="21"/>
                <w:vertAlign w:val="superscript"/>
              </w:rPr>
              <w:t>2</w:t>
            </w:r>
            <w:r>
              <w:rPr>
                <w:rFonts w:ascii="宋体" w:hAnsi="宋体" w:eastAsia="宋体" w:cs="Times New Roman"/>
                <w:sz w:val="21"/>
              </w:rPr>
              <w:t>，占全省国土面积的</w:t>
            </w:r>
            <w:r>
              <w:rPr>
                <w:rFonts w:eastAsia="宋体" w:cs="Times New Roman"/>
                <w:sz w:val="21"/>
              </w:rPr>
              <w:t>20.23%</w:t>
            </w:r>
            <w:r>
              <w:rPr>
                <w:rFonts w:ascii="宋体" w:hAnsi="宋体" w:eastAsia="宋体" w:cs="Times New Roman"/>
                <w:sz w:val="21"/>
              </w:rPr>
              <w:t>。全省生态保护红线空间格局为</w:t>
            </w:r>
            <w:r>
              <w:rPr>
                <w:rFonts w:eastAsia="宋体" w:cs="Times New Roman"/>
                <w:sz w:val="21"/>
              </w:rPr>
              <w:t>“</w:t>
            </w:r>
            <w:r>
              <w:rPr>
                <w:rFonts w:ascii="宋体" w:hAnsi="宋体" w:eastAsia="宋体" w:cs="Times New Roman"/>
                <w:sz w:val="21"/>
              </w:rPr>
              <w:t>一湖三山四水</w:t>
            </w:r>
            <w:r>
              <w:rPr>
                <w:rFonts w:eastAsia="宋体" w:cs="Times New Roman"/>
                <w:sz w:val="21"/>
              </w:rPr>
              <w:t>”</w:t>
            </w:r>
            <w:r>
              <w:rPr>
                <w:rFonts w:ascii="宋体" w:hAnsi="宋体" w:eastAsia="宋体" w:cs="Times New Roman"/>
                <w:sz w:val="21"/>
              </w:rPr>
              <w:t>：</w:t>
            </w:r>
            <w:r>
              <w:rPr>
                <w:rFonts w:eastAsia="宋体" w:cs="Times New Roman"/>
                <w:sz w:val="21"/>
              </w:rPr>
              <w:t>“</w:t>
            </w:r>
            <w:r>
              <w:rPr>
                <w:rFonts w:ascii="宋体" w:hAnsi="宋体" w:eastAsia="宋体" w:cs="Times New Roman"/>
                <w:sz w:val="21"/>
              </w:rPr>
              <w:t>一湖</w:t>
            </w:r>
            <w:r>
              <w:rPr>
                <w:rFonts w:eastAsia="宋体" w:cs="Times New Roman"/>
                <w:sz w:val="21"/>
              </w:rPr>
              <w:t>”</w:t>
            </w:r>
            <w:r>
              <w:rPr>
                <w:rFonts w:ascii="宋体" w:hAnsi="宋体" w:eastAsia="宋体" w:cs="Times New Roman"/>
                <w:sz w:val="21"/>
              </w:rPr>
              <w:t>为洞庭湖（要包括东洞庭湖、南洞庭湖、横岭湖、西洞庭湖等自然保护区和长江岸线主），主要生态功能为生物多样性维护、洪水调蓄。</w:t>
            </w:r>
            <w:r>
              <w:rPr>
                <w:rFonts w:eastAsia="宋体" w:cs="Times New Roman"/>
                <w:sz w:val="21"/>
              </w:rPr>
              <w:t>“</w:t>
            </w:r>
            <w:r>
              <w:rPr>
                <w:rFonts w:ascii="宋体" w:hAnsi="宋体" w:eastAsia="宋体" w:cs="Times New Roman"/>
                <w:sz w:val="21"/>
              </w:rPr>
              <w:t>三山</w:t>
            </w:r>
            <w:r>
              <w:rPr>
                <w:rFonts w:eastAsia="宋体" w:cs="Times New Roman"/>
                <w:sz w:val="21"/>
              </w:rPr>
              <w:t>”</w:t>
            </w:r>
            <w:r>
              <w:rPr>
                <w:rFonts w:ascii="宋体" w:hAnsi="宋体" w:eastAsia="宋体" w:cs="Times New Roman"/>
                <w:sz w:val="21"/>
              </w:rPr>
              <w:t>包括武陵</w:t>
            </w:r>
            <w:r>
              <w:rPr>
                <w:rFonts w:eastAsia="宋体" w:cs="Times New Roman"/>
                <w:sz w:val="21"/>
              </w:rPr>
              <w:t>-</w:t>
            </w:r>
            <w:r>
              <w:rPr>
                <w:rFonts w:ascii="宋体" w:hAnsi="宋体" w:eastAsia="宋体" w:cs="Times New Roman"/>
                <w:sz w:val="21"/>
              </w:rPr>
              <w:t>雪峰山脉生态屏障，主要生态功能为生物多样性维护与水土保持；罗霄</w:t>
            </w:r>
            <w:r>
              <w:rPr>
                <w:rFonts w:eastAsia="宋体" w:cs="Times New Roman"/>
                <w:sz w:val="21"/>
              </w:rPr>
              <w:t>-</w:t>
            </w:r>
            <w:r>
              <w:rPr>
                <w:rFonts w:ascii="宋体" w:hAnsi="宋体" w:eastAsia="宋体" w:cs="Times New Roman"/>
                <w:sz w:val="21"/>
              </w:rPr>
              <w:t>幕阜山脉生态屏障，主要生态功能为生物多样性维护、水源涵养和水土保持；南岭山脉生态屏障，主要生态功能为水源涵养和生物多样性维护，其中南岭山脉生态屏障是南方丘陵山地带的重要组成部分。</w:t>
            </w:r>
            <w:r>
              <w:rPr>
                <w:rFonts w:eastAsia="宋体" w:cs="Times New Roman"/>
                <w:sz w:val="21"/>
              </w:rPr>
              <w:t>“</w:t>
            </w:r>
            <w:r>
              <w:rPr>
                <w:rFonts w:ascii="宋体" w:hAnsi="宋体" w:eastAsia="宋体" w:cs="Times New Roman"/>
                <w:sz w:val="21"/>
              </w:rPr>
              <w:t>四水</w:t>
            </w:r>
            <w:r>
              <w:rPr>
                <w:rFonts w:eastAsia="宋体" w:cs="Times New Roman"/>
                <w:sz w:val="21"/>
              </w:rPr>
              <w:t>”</w:t>
            </w:r>
            <w:r>
              <w:rPr>
                <w:rFonts w:ascii="宋体" w:hAnsi="宋体" w:eastAsia="宋体" w:cs="Times New Roman"/>
                <w:sz w:val="21"/>
              </w:rPr>
              <w:t>为湘资沅澧</w:t>
            </w:r>
            <w:r>
              <w:rPr>
                <w:rFonts w:eastAsia="宋体" w:cs="Times New Roman"/>
                <w:sz w:val="21"/>
              </w:rPr>
              <w:t>(</w:t>
            </w:r>
            <w:r>
              <w:rPr>
                <w:rFonts w:ascii="宋体" w:hAnsi="宋体" w:eastAsia="宋体" w:cs="Times New Roman"/>
                <w:sz w:val="21"/>
              </w:rPr>
              <w:t>湘江、资水、沅江、澧水</w:t>
            </w:r>
            <w:r>
              <w:rPr>
                <w:rFonts w:eastAsia="宋体" w:cs="Times New Roman"/>
                <w:sz w:val="21"/>
              </w:rPr>
              <w:t>)</w:t>
            </w:r>
            <w:r>
              <w:rPr>
                <w:rFonts w:ascii="宋体" w:hAnsi="宋体" w:eastAsia="宋体" w:cs="Times New Roman"/>
                <w:sz w:val="21"/>
              </w:rPr>
              <w:t>的源头区及重要水域。本工程不在生态红线一类管控区范围内，本项目属于环保工程</w:t>
            </w:r>
            <w:r>
              <w:rPr>
                <w:rFonts w:hint="eastAsia" w:ascii="宋体" w:hAnsi="宋体" w:eastAsia="宋体" w:cs="Times New Roman"/>
                <w:sz w:val="21"/>
              </w:rPr>
              <w:t>，</w:t>
            </w:r>
            <w:r>
              <w:rPr>
                <w:rFonts w:ascii="宋体" w:hAnsi="宋体" w:eastAsia="宋体" w:cs="Times New Roman"/>
                <w:sz w:val="21"/>
              </w:rPr>
              <w:t>建设的污水处理厂主要处理桥东片区的生活污水和石伏工业园的废水</w:t>
            </w:r>
            <w:r>
              <w:rPr>
                <w:rFonts w:hint="eastAsia" w:ascii="宋体" w:hAnsi="宋体" w:eastAsia="宋体" w:cs="Times New Roman"/>
                <w:sz w:val="21"/>
              </w:rPr>
              <w:t>，</w:t>
            </w:r>
            <w:r>
              <w:rPr>
                <w:rFonts w:ascii="宋体" w:hAnsi="宋体" w:eastAsia="宋体" w:cs="Times New Roman"/>
                <w:sz w:val="21"/>
              </w:rPr>
              <w:t>可减少废水排放至华容河的影响</w:t>
            </w:r>
            <w:r>
              <w:rPr>
                <w:rFonts w:hint="eastAsia" w:ascii="宋体" w:hAnsi="宋体" w:eastAsia="宋体" w:cs="Times New Roman"/>
                <w:sz w:val="21"/>
              </w:rPr>
              <w:t>，</w:t>
            </w:r>
            <w:r>
              <w:rPr>
                <w:rFonts w:ascii="宋体" w:hAnsi="宋体" w:eastAsia="宋体" w:cs="Times New Roman"/>
                <w:sz w:val="21"/>
              </w:rPr>
              <w:t>可以改善华容河的水质。本项目的建设是符合生态保护红线要求的。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eastAsia="宋体" w:cs="Times New Roman"/>
                <w:kern w:val="0"/>
                <w:sz w:val="21"/>
              </w:rPr>
            </w:pPr>
            <w:bookmarkStart w:id="287" w:name="_Toc532497718"/>
            <w:r>
              <w:rPr>
                <w:rFonts w:hint="eastAsia" w:eastAsia="宋体" w:cs="Times New Roman"/>
                <w:kern w:val="0"/>
                <w:sz w:val="21"/>
              </w:rPr>
              <w:t>资源利用上线</w:t>
            </w:r>
            <w:bookmarkEnd w:id="287"/>
          </w:p>
        </w:tc>
        <w:tc>
          <w:tcPr>
            <w:tcW w:w="8283" w:type="dxa"/>
            <w:vAlign w:val="center"/>
          </w:tcPr>
          <w:p>
            <w:pPr>
              <w:rPr>
                <w:rFonts w:eastAsia="宋体" w:cs="Times New Roman"/>
                <w:kern w:val="0"/>
                <w:sz w:val="21"/>
              </w:rPr>
            </w:pPr>
            <w:r>
              <w:rPr>
                <w:rFonts w:hint="eastAsia" w:eastAsia="宋体" w:cs="Times New Roman"/>
                <w:kern w:val="0"/>
                <w:sz w:val="21"/>
              </w:rPr>
              <w:t>本项目用地符合各相关部门对土地资源开发利用的管控要求，符合土地资源利用上线管控要求，本项目为废水处理工程的项目，工程建设不新增用地，可以减少废水对华容河的影响，改善华容河的水质，项目本身营运也不会消耗大量资源，符合资源利用上线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eastAsia="宋体" w:cs="Times New Roman"/>
                <w:kern w:val="0"/>
                <w:sz w:val="21"/>
              </w:rPr>
            </w:pPr>
            <w:bookmarkStart w:id="288" w:name="_Toc532497720"/>
            <w:r>
              <w:rPr>
                <w:rFonts w:hint="eastAsia" w:eastAsia="宋体" w:cs="Times New Roman"/>
                <w:kern w:val="0"/>
                <w:sz w:val="21"/>
              </w:rPr>
              <w:t>环境质量底线</w:t>
            </w:r>
            <w:bookmarkEnd w:id="288"/>
          </w:p>
        </w:tc>
        <w:tc>
          <w:tcPr>
            <w:tcW w:w="8283" w:type="dxa"/>
            <w:vAlign w:val="center"/>
          </w:tcPr>
          <w:p>
            <w:pPr>
              <w:rPr>
                <w:rFonts w:eastAsia="宋体" w:cs="Times New Roman"/>
                <w:color w:val="000000" w:themeColor="text1"/>
                <w:kern w:val="0"/>
                <w:sz w:val="21"/>
              </w:rPr>
            </w:pPr>
            <w:bookmarkStart w:id="289" w:name="_Toc532497721"/>
            <w:r>
              <w:rPr>
                <w:rFonts w:hint="eastAsia" w:eastAsia="宋体" w:cs="Times New Roman"/>
                <w:color w:val="000000" w:themeColor="text1"/>
                <w:kern w:val="0"/>
                <w:sz w:val="21"/>
              </w:rPr>
              <w:t>项目选址区域为环境空气功能区二类区，执行二级标准。根据环境空气质量现状的监测数据，项目选址区域环境空气质量能够满足《环境空气质量标准》</w:t>
            </w:r>
            <w:r>
              <w:rPr>
                <w:rFonts w:eastAsia="宋体" w:cs="Times New Roman"/>
                <w:color w:val="000000" w:themeColor="text1"/>
                <w:kern w:val="0"/>
                <w:sz w:val="21"/>
              </w:rPr>
              <w:t>（GB3095-2012）</w:t>
            </w:r>
            <w:r>
              <w:rPr>
                <w:rFonts w:hint="eastAsia" w:eastAsia="宋体" w:cs="Times New Roman"/>
                <w:color w:val="000000" w:themeColor="text1"/>
                <w:kern w:val="0"/>
                <w:sz w:val="21"/>
              </w:rPr>
              <w:t>二级标准的要求；本项目所在区域为2类声环境功能区，根据环境噪声现状监测结果，项目区域目前能够满足《声环境质量标准》2类标准要求。本项目建成后噪声产生量小，能够满足《声环境质量标准》2类标准要求，本项目建设运营不会改变项目所在区域的声环境功能，因此项目建设声环境质量是符合要求的；本项目选址周边地表水环境质量为</w:t>
            </w:r>
            <w:r>
              <w:rPr>
                <w:rFonts w:hint="eastAsia" w:ascii="宋体" w:hAnsi="宋体" w:eastAsia="宋体" w:cs="宋体"/>
                <w:color w:val="000000" w:themeColor="text1"/>
                <w:kern w:val="0"/>
                <w:sz w:val="21"/>
              </w:rPr>
              <w:t>Ⅲ</w:t>
            </w:r>
            <w:r>
              <w:rPr>
                <w:rFonts w:hint="eastAsia" w:eastAsia="宋体" w:cs="Times New Roman"/>
                <w:color w:val="000000" w:themeColor="text1"/>
                <w:kern w:val="0"/>
                <w:sz w:val="21"/>
              </w:rPr>
              <w:t>类水域，根据地表水现状监测得知，地表水可满足《地表水环境质量标准》</w:t>
            </w:r>
            <w:r>
              <w:rPr>
                <w:rFonts w:eastAsia="宋体" w:cs="Times New Roman"/>
                <w:color w:val="000000" w:themeColor="text1"/>
                <w:kern w:val="0"/>
                <w:sz w:val="21"/>
              </w:rPr>
              <w:t>（GB3038-2002</w:t>
            </w:r>
            <w:r>
              <w:rPr>
                <w:rFonts w:hint="eastAsia" w:eastAsia="宋体" w:cs="Times New Roman"/>
                <w:color w:val="000000" w:themeColor="text1"/>
                <w:kern w:val="0"/>
                <w:sz w:val="21"/>
              </w:rPr>
              <w:t>）的</w:t>
            </w:r>
            <w:r>
              <w:rPr>
                <w:rFonts w:hint="eastAsia" w:ascii="宋体" w:hAnsi="宋体" w:eastAsia="宋体" w:cs="宋体"/>
                <w:color w:val="000000" w:themeColor="text1"/>
                <w:kern w:val="0"/>
                <w:sz w:val="21"/>
              </w:rPr>
              <w:t>Ⅲ</w:t>
            </w:r>
            <w:r>
              <w:rPr>
                <w:rFonts w:hint="eastAsia" w:eastAsia="宋体" w:cs="Times New Roman"/>
                <w:color w:val="000000" w:themeColor="text1"/>
                <w:kern w:val="0"/>
                <w:sz w:val="21"/>
              </w:rPr>
              <w:t>类水质要求。</w:t>
            </w:r>
            <w:bookmarkEnd w:id="28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eastAsia="宋体" w:cs="Times New Roman"/>
                <w:kern w:val="0"/>
                <w:sz w:val="21"/>
              </w:rPr>
            </w:pPr>
            <w:bookmarkStart w:id="290" w:name="_Toc532497722"/>
            <w:r>
              <w:rPr>
                <w:rFonts w:hint="eastAsia" w:eastAsia="宋体" w:cs="Times New Roman"/>
                <w:kern w:val="0"/>
                <w:sz w:val="21"/>
              </w:rPr>
              <w:t>负面清单</w:t>
            </w:r>
            <w:bookmarkEnd w:id="290"/>
          </w:p>
        </w:tc>
        <w:tc>
          <w:tcPr>
            <w:tcW w:w="8283" w:type="dxa"/>
            <w:vAlign w:val="center"/>
          </w:tcPr>
          <w:p>
            <w:pPr>
              <w:rPr>
                <w:rFonts w:eastAsia="宋体" w:cs="Times New Roman"/>
                <w:kern w:val="0"/>
                <w:sz w:val="21"/>
              </w:rPr>
            </w:pPr>
            <w:bookmarkStart w:id="291" w:name="_Toc532497723"/>
            <w:r>
              <w:rPr>
                <w:rFonts w:hint="eastAsia" w:eastAsia="宋体" w:cs="Times New Roman"/>
                <w:kern w:val="0"/>
                <w:sz w:val="21"/>
              </w:rPr>
              <w:t>目前项目选址区域暂无明确的环境准入负面清单，本项目不属于高污染、高耗能和资源型的产业类型。因此，本项目应为环境准入允许类别。</w:t>
            </w:r>
            <w:bookmarkEnd w:id="291"/>
          </w:p>
        </w:tc>
      </w:tr>
      <w:bookmarkEnd w:id="282"/>
    </w:tbl>
    <w:p>
      <w:pPr>
        <w:pStyle w:val="4"/>
        <w:adjustRightInd w:val="0"/>
        <w:snapToGrid w:val="0"/>
        <w:rPr>
          <w:color w:val="000000" w:themeColor="text1"/>
        </w:rPr>
      </w:pPr>
      <w:bookmarkStart w:id="292" w:name="_Toc532498773"/>
      <w:bookmarkStart w:id="293" w:name="_Toc18259"/>
      <w:bookmarkStart w:id="294" w:name="_Toc532497724"/>
      <w:bookmarkStart w:id="295" w:name="_Toc532376180"/>
      <w:bookmarkStart w:id="296" w:name="_Toc532763237"/>
      <w:r>
        <w:rPr>
          <w:color w:val="000000" w:themeColor="text1"/>
        </w:rPr>
        <w:t>选址可行性分析</w:t>
      </w:r>
      <w:bookmarkEnd w:id="292"/>
      <w:bookmarkEnd w:id="293"/>
      <w:bookmarkEnd w:id="294"/>
      <w:bookmarkEnd w:id="295"/>
      <w:bookmarkEnd w:id="296"/>
    </w:p>
    <w:p>
      <w:pPr>
        <w:pStyle w:val="5"/>
        <w:rPr>
          <w:color w:val="000000" w:themeColor="text1"/>
        </w:rPr>
      </w:pPr>
      <w:bookmarkStart w:id="297" w:name="_Toc532497725"/>
      <w:r>
        <w:rPr>
          <w:rFonts w:hint="eastAsia"/>
          <w:color w:val="000000" w:themeColor="text1"/>
        </w:rPr>
        <w:t>项目选址合理性</w:t>
      </w:r>
      <w:bookmarkEnd w:id="297"/>
    </w:p>
    <w:p>
      <w:pPr>
        <w:widowControl/>
        <w:spacing w:line="360" w:lineRule="auto"/>
        <w:ind w:firstLine="480" w:firstLineChars="200"/>
        <w:jc w:val="left"/>
        <w:rPr>
          <w:rFonts w:hAnsi="宋体"/>
        </w:rPr>
      </w:pPr>
      <w:r>
        <w:rPr>
          <w:rFonts w:hint="eastAsia"/>
        </w:rPr>
        <w:t>本项目污水处理厂位于华容县石伏村，</w:t>
      </w:r>
      <w:r>
        <w:rPr>
          <w:rFonts w:hint="eastAsia" w:hAnsi="宋体"/>
        </w:rPr>
        <w:t>总用地</w:t>
      </w:r>
      <w:r>
        <w:t>面积</w:t>
      </w:r>
      <w:r>
        <w:rPr>
          <w:rFonts w:hint="eastAsia"/>
        </w:rPr>
        <w:t>57494</w:t>
      </w:r>
      <w:r>
        <w:t>m</w:t>
      </w:r>
      <w:r>
        <w:rPr>
          <w:vertAlign w:val="superscript"/>
        </w:rPr>
        <w:t>2</w:t>
      </w:r>
      <w:r>
        <w:rPr>
          <w:rFonts w:hAnsi="宋体"/>
        </w:rPr>
        <w:t>，</w:t>
      </w:r>
      <w:r>
        <w:t>根据华容县城总体规划（</w:t>
      </w:r>
      <w:r>
        <w:rPr>
          <w:rFonts w:hint="eastAsia"/>
        </w:rPr>
        <w:t>2006年-</w:t>
      </w:r>
      <w:r>
        <w:t>2020年），</w:t>
      </w:r>
      <w:r>
        <w:rPr>
          <w:rFonts w:hint="eastAsia"/>
        </w:rPr>
        <w:t>其周边主要规划为工业用地</w:t>
      </w:r>
      <w:r>
        <w:rPr>
          <w:rFonts w:hint="eastAsia" w:hAnsi="宋体"/>
        </w:rPr>
        <w:t>，</w:t>
      </w:r>
      <w:r>
        <w:rPr>
          <w:rFonts w:hint="eastAsia"/>
        </w:rPr>
        <w:t>根据项目建设用地规划许可证（详见附件1），本项目用地性质属于环境设施用地，</w:t>
      </w:r>
      <w:r>
        <w:rPr>
          <w:rFonts w:hint="eastAsia" w:hAnsi="宋体"/>
        </w:rPr>
        <w:t>因此本项目选址不与当地的县城总体规划相冲突；项目选址离现有建成区和规划区都有一定的距离，周边村民较少，拟建地靠近华容河且位于下游段，出厂水排水管很短；而且临近公路，交通方便，项目所在地水、电供应均有保证，可满足生产需求，该区域无自然保护区、文物景观等环境敏感点。项目排污口具体位置以项目总平面布置图为准，项目建设排污口前需取得当地水利部门意见。综上所述，项目选址合理。</w:t>
      </w:r>
    </w:p>
    <w:p>
      <w:pPr>
        <w:pStyle w:val="5"/>
        <w:rPr>
          <w:color w:val="000000" w:themeColor="text1"/>
        </w:rPr>
      </w:pPr>
      <w:bookmarkStart w:id="298" w:name="_Toc532497726"/>
      <w:r>
        <w:rPr>
          <w:rFonts w:hint="eastAsia"/>
          <w:color w:val="000000" w:themeColor="text1"/>
        </w:rPr>
        <w:t>平面布局合理性与建议</w:t>
      </w:r>
    </w:p>
    <w:p>
      <w:pPr>
        <w:spacing w:line="360" w:lineRule="auto"/>
        <w:ind w:firstLine="480" w:firstLineChars="200"/>
      </w:pPr>
      <w:r>
        <w:t>华容县桥东污水处理厂</w:t>
      </w:r>
      <w:r>
        <w:rPr>
          <w:rFonts w:hint="eastAsia"/>
        </w:rPr>
        <w:t>所在地区</w:t>
      </w:r>
      <w:r>
        <w:t>年主导风向为北风，同时考虑项目周边交通情况（项目厂区周边仅南侧有道路），因此污水处理厂生活办公区及污水处理区呈东西分布。生活办公区设有一栋综合楼位于厂区东侧，与西侧污水处理区设有一道绿化带隔离。在污水处理区布置有</w:t>
      </w:r>
      <w:r>
        <w:rPr>
          <w:spacing w:val="4"/>
        </w:rPr>
        <w:t>粗格栅及污水提升泵站、细格栅及沉砂池、组合池、高效混凝沉淀池、滤布滤池、接触消毒池、贮泥池、污泥脱水间、</w:t>
      </w:r>
      <w:r>
        <w:t>机修间、变配电间和鼓风机房，并为远期建设预留有空地。厂区道路与建构筑物之间均留有不小于3.0米的绿化带，其余空隙地带全部栽种草皮和树木绿化</w:t>
      </w:r>
      <w:r>
        <w:rPr>
          <w:rFonts w:hint="eastAsia"/>
        </w:rPr>
        <w:t>。</w:t>
      </w:r>
      <w:r>
        <w:rPr>
          <w:rFonts w:hAnsi="宋体"/>
        </w:rPr>
        <w:t>项目</w:t>
      </w:r>
      <w:r>
        <w:rPr>
          <w:rFonts w:hint="eastAsia" w:hAnsi="宋体"/>
        </w:rPr>
        <w:t>主要噪声污染源及恶臭污染源靠近西侧布置，远离东北侧居民，避免项目噪声及恶臭气体对周边居民的影响，项目平面布置基本合理。</w:t>
      </w:r>
      <w:r>
        <w:t>厂区平面布置见附图2</w:t>
      </w:r>
    </w:p>
    <w:p>
      <w:pPr>
        <w:pStyle w:val="5"/>
      </w:pPr>
      <w:r>
        <w:t>与《关于以改善环境质量为核心加强环境影响评价管理的通知》（环环评[2016]150号）相符性分析</w:t>
      </w:r>
    </w:p>
    <w:p>
      <w:pPr>
        <w:pStyle w:val="100"/>
        <w:spacing w:line="360" w:lineRule="auto"/>
        <w:ind w:firstLine="480"/>
      </w:pPr>
      <w:r>
        <w:rPr>
          <w:rFonts w:hAnsi="宋体"/>
        </w:rPr>
        <w:t>由环境质量状况可知，本项目所在区域大气、地表水、地下水质量现状均满足相关环境质量标准，通过污染预测分析可知，本项目建成后的污染物排放浓度符合各类排放标准，没有超标因子，对周边环境影响较小，故符合《关于以改善环境质量为核心加强环境影响评价管理的通知》（环环评</w:t>
      </w:r>
      <w:r>
        <w:t>[2016]150</w:t>
      </w:r>
      <w:r>
        <w:rPr>
          <w:rFonts w:hAnsi="宋体"/>
        </w:rPr>
        <w:t>号）中的环境质量底线要求。</w:t>
      </w:r>
    </w:p>
    <w:p>
      <w:pPr>
        <w:pStyle w:val="100"/>
        <w:spacing w:line="360" w:lineRule="auto"/>
        <w:ind w:firstLine="480"/>
        <w:rPr>
          <w:rFonts w:hAnsi="宋体"/>
        </w:rPr>
      </w:pPr>
      <w:r>
        <w:rPr>
          <w:rFonts w:hAnsi="宋体"/>
        </w:rPr>
        <w:t>本项目属于污水治理工程，本项目处理污水2万m</w:t>
      </w:r>
      <w:r>
        <w:rPr>
          <w:rFonts w:hAnsi="宋体"/>
          <w:vertAlign w:val="superscript"/>
        </w:rPr>
        <w:t>3</w:t>
      </w:r>
      <w:r>
        <w:rPr>
          <w:rFonts w:hAnsi="宋体"/>
        </w:rPr>
        <w:t>/d，在一定程度上减少了生活污水直排华容河，对改善华容河水质有一定的积极影响。华容河位于项目南侧，根据《湖南省主要地表水系水环境功能区划》（DB43/023-2005），项目排污河段为华容河华容大桥至六门闸（北支）水质达到国家Ⅲ类水质标准，属渔业用水区；华容河水源地起于华容河右岸丁家潭取水口上游3公里，止于华容河丁家潭右岸取水口下游200米，全长3.2公里，位于排污口上游。目前华容县城已新建长江取水口，丁家潭取水口仅作为备用水源，项目排水不会影响县城饮用水取水水质。</w:t>
      </w:r>
      <w:r>
        <w:rPr>
          <w:rFonts w:hint="eastAsia" w:hAnsi="宋体"/>
        </w:rPr>
        <w:t>符合《关于以改善环境质量为核心加强环境影响评价管理的通知》（环环评[2016]150号）中的资源利用上线要求。</w:t>
      </w:r>
    </w:p>
    <w:p/>
    <w:p>
      <w:pPr>
        <w:pStyle w:val="5"/>
      </w:pPr>
      <w:r>
        <w:t>与《</w:t>
      </w:r>
      <w:r>
        <w:rPr>
          <w:rFonts w:hint="eastAsia"/>
        </w:rPr>
        <w:t>水</w:t>
      </w:r>
      <w:r>
        <w:t>污染防治行动计划》（</w:t>
      </w:r>
      <w:r>
        <w:rPr>
          <w:rFonts w:hint="eastAsia"/>
        </w:rPr>
        <w:t>水</w:t>
      </w:r>
      <w:r>
        <w:t>十条）符合性分析</w:t>
      </w:r>
    </w:p>
    <w:p>
      <w:pPr>
        <w:spacing w:line="360" w:lineRule="auto"/>
        <w:ind w:firstLine="480" w:firstLineChars="200"/>
      </w:pPr>
      <w:r>
        <w:t>201</w:t>
      </w:r>
      <w:r>
        <w:rPr>
          <w:rFonts w:hint="eastAsia"/>
        </w:rPr>
        <w:t>5</w:t>
      </w:r>
      <w:r>
        <w:t>年国务院向各省、自治区、直辖市人民政府，国务院各部委、各直属机构印发了《</w:t>
      </w:r>
      <w:r>
        <w:rPr>
          <w:rFonts w:hint="eastAsia"/>
        </w:rPr>
        <w:t>水</w:t>
      </w:r>
      <w:r>
        <w:t>污染防治行动计划》（简称</w:t>
      </w:r>
      <w:r>
        <w:rPr>
          <w:rFonts w:hint="eastAsia"/>
        </w:rPr>
        <w:t>水</w:t>
      </w:r>
      <w:r>
        <w:t>十条），该文件是目前我国</w:t>
      </w:r>
      <w:r>
        <w:rPr>
          <w:rFonts w:hint="eastAsia"/>
        </w:rPr>
        <w:t>水</w:t>
      </w:r>
      <w:r>
        <w:t>污染防治工作的指导性文件，本评价逐条对照</w:t>
      </w:r>
      <w:r>
        <w:rPr>
          <w:rFonts w:hint="eastAsia"/>
        </w:rPr>
        <w:t>水</w:t>
      </w:r>
      <w:r>
        <w:t>十条条文，就本项目与该文件的符合性分析如下</w:t>
      </w:r>
      <w:r>
        <w:rPr>
          <w:rFonts w:hint="eastAsia"/>
        </w:rPr>
        <w:t>。</w:t>
      </w:r>
    </w:p>
    <w:p>
      <w:pPr>
        <w:pStyle w:val="14"/>
        <w:spacing w:line="240" w:lineRule="auto"/>
      </w:pPr>
      <w:r>
        <w:rPr>
          <w:rFonts w:hint="eastAsia"/>
        </w:rPr>
        <w:t>表</w:t>
      </w:r>
      <w:r>
        <w:fldChar w:fldCharType="begin"/>
      </w:r>
      <w:r>
        <w:instrText xml:space="preserve"> STYLEREF 2 \s </w:instrText>
      </w:r>
      <w:r>
        <w:fldChar w:fldCharType="separate"/>
      </w:r>
      <w:r>
        <w:t>8.2</w:t>
      </w:r>
      <w:r>
        <w:fldChar w:fldCharType="end"/>
      </w:r>
      <w:r>
        <w:noBreakHyphen/>
      </w:r>
      <w:r>
        <w:fldChar w:fldCharType="begin"/>
      </w:r>
      <w:r>
        <w:rPr>
          <w:rFonts w:hint="eastAsia"/>
        </w:rPr>
        <w:instrText xml:space="preserve">SEQ 表 \* ARABIC \s 2</w:instrText>
      </w:r>
      <w:r>
        <w:fldChar w:fldCharType="separate"/>
      </w:r>
      <w:r>
        <w:rPr>
          <w:rFonts w:hint="eastAsia"/>
        </w:rPr>
        <w:t>1</w:t>
      </w:r>
      <w:r>
        <w:fldChar w:fldCharType="end"/>
      </w:r>
      <w:r>
        <w:t>本项目与</w:t>
      </w:r>
      <w:r>
        <w:rPr>
          <w:rFonts w:hint="eastAsia"/>
        </w:rPr>
        <w:t>水</w:t>
      </w:r>
      <w:r>
        <w:t>十条有关条款符合性分析</w:t>
      </w:r>
    </w:p>
    <w:tbl>
      <w:tblPr>
        <w:tblStyle w:val="38"/>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0"/>
        <w:gridCol w:w="1956"/>
        <w:gridCol w:w="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0" w:type="dxa"/>
            <w:vAlign w:val="center"/>
          </w:tcPr>
          <w:p>
            <w:pPr>
              <w:pStyle w:val="122"/>
              <w:ind w:firstLine="480"/>
              <w:rPr>
                <w:kern w:val="2"/>
                <w:szCs w:val="24"/>
              </w:rPr>
            </w:pPr>
            <w:r>
              <w:rPr>
                <w:kern w:val="2"/>
                <w:szCs w:val="24"/>
              </w:rPr>
              <w:t>与本项目相关的水十条要求</w:t>
            </w:r>
          </w:p>
        </w:tc>
        <w:tc>
          <w:tcPr>
            <w:tcW w:w="1956" w:type="dxa"/>
            <w:vAlign w:val="center"/>
          </w:tcPr>
          <w:p>
            <w:pPr>
              <w:pStyle w:val="122"/>
              <w:rPr>
                <w:kern w:val="2"/>
                <w:szCs w:val="24"/>
              </w:rPr>
            </w:pPr>
            <w:r>
              <w:rPr>
                <w:kern w:val="2"/>
                <w:szCs w:val="24"/>
              </w:rPr>
              <w:t>本项目情况</w:t>
            </w:r>
          </w:p>
        </w:tc>
        <w:tc>
          <w:tcPr>
            <w:tcW w:w="946" w:type="dxa"/>
            <w:vAlign w:val="center"/>
          </w:tcPr>
          <w:p>
            <w:pPr>
              <w:pStyle w:val="122"/>
              <w:rPr>
                <w:kern w:val="2"/>
                <w:szCs w:val="24"/>
              </w:rPr>
            </w:pPr>
            <w:r>
              <w:rPr>
                <w:kern w:val="2"/>
                <w:szCs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0" w:type="dxa"/>
            <w:vAlign w:val="center"/>
          </w:tcPr>
          <w:p>
            <w:pPr>
              <w:pStyle w:val="122"/>
              <w:jc w:val="both"/>
              <w:rPr>
                <w:kern w:val="2"/>
                <w:szCs w:val="24"/>
              </w:rPr>
            </w:pPr>
            <w:r>
              <w:rPr>
                <w:kern w:val="2"/>
                <w:szCs w:val="24"/>
              </w:rPr>
              <w:t>一、</w:t>
            </w:r>
            <w:r>
              <w:rPr>
                <w:rFonts w:hint="eastAsia"/>
                <w:kern w:val="2"/>
                <w:szCs w:val="24"/>
              </w:rPr>
              <w:t>全面控制</w:t>
            </w:r>
            <w:r>
              <w:rPr>
                <w:kern w:val="2"/>
                <w:szCs w:val="24"/>
              </w:rPr>
              <w:t>污染物排放</w:t>
            </w:r>
          </w:p>
        </w:tc>
        <w:tc>
          <w:tcPr>
            <w:tcW w:w="1956" w:type="dxa"/>
            <w:vAlign w:val="center"/>
          </w:tcPr>
          <w:p>
            <w:pPr>
              <w:pStyle w:val="122"/>
              <w:jc w:val="both"/>
              <w:rPr>
                <w:kern w:val="2"/>
                <w:szCs w:val="24"/>
              </w:rPr>
            </w:pPr>
          </w:p>
        </w:tc>
        <w:tc>
          <w:tcPr>
            <w:tcW w:w="946" w:type="dxa"/>
            <w:vAlign w:val="center"/>
          </w:tcPr>
          <w:p>
            <w:pPr>
              <w:pStyle w:val="122"/>
              <w:jc w:val="both"/>
              <w:rPr>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0" w:type="dxa"/>
            <w:vAlign w:val="center"/>
          </w:tcPr>
          <w:p>
            <w:pPr>
              <w:pStyle w:val="122"/>
              <w:jc w:val="both"/>
              <w:rPr>
                <w:kern w:val="2"/>
                <w:szCs w:val="24"/>
              </w:rPr>
            </w:pPr>
            <w:r>
              <w:rPr>
                <w:rFonts w:hint="eastAsia"/>
                <w:kern w:val="2"/>
                <w:szCs w:val="24"/>
              </w:rPr>
              <w:t>（一）狠抓工业污染防治</w:t>
            </w:r>
          </w:p>
          <w:p>
            <w:pPr>
              <w:pStyle w:val="122"/>
              <w:ind w:firstLine="420" w:firstLineChars="200"/>
              <w:jc w:val="both"/>
              <w:rPr>
                <w:kern w:val="2"/>
                <w:szCs w:val="24"/>
              </w:rPr>
            </w:pPr>
            <w:r>
              <w:rPr>
                <w:rFonts w:hint="eastAsia"/>
                <w:kern w:val="2"/>
                <w:szCs w:val="24"/>
              </w:rPr>
              <w:t>集中治理工业集聚区水污染。强化经济技术开发区、高新技术产 业开发区、出口加工区等工业集聚区污染治理。集聚区内工业废水必须经预处理达到集中处理要求，方可进入污水集中处理设施。新建、升级工业集聚区应同步规划、建设污水、垃圾集中处理等污染治理设 施。2017年底前，工业集聚区应按规定建成污水集中处理设施，并安装自动在线监控装置，京津冀、长三角、珠三角等区域提前一年完成；逾期未完成的，一律暂停审批和核准其增加水污染物排放的建设项目，并依照有关规定撤销其园区资格。</w:t>
            </w:r>
          </w:p>
        </w:tc>
        <w:tc>
          <w:tcPr>
            <w:tcW w:w="1956" w:type="dxa"/>
            <w:vAlign w:val="center"/>
          </w:tcPr>
          <w:p>
            <w:pPr>
              <w:pStyle w:val="122"/>
              <w:jc w:val="both"/>
              <w:rPr>
                <w:kern w:val="2"/>
                <w:szCs w:val="24"/>
              </w:rPr>
            </w:pPr>
            <w:r>
              <w:rPr>
                <w:rFonts w:hint="eastAsia"/>
                <w:kern w:val="2"/>
                <w:szCs w:val="24"/>
              </w:rPr>
              <w:t>本项目纳污范围包括工业园污水，并且本项目安装自动在线监控装置</w:t>
            </w:r>
          </w:p>
        </w:tc>
        <w:tc>
          <w:tcPr>
            <w:tcW w:w="946" w:type="dxa"/>
            <w:vAlign w:val="center"/>
          </w:tcPr>
          <w:p>
            <w:pPr>
              <w:pStyle w:val="122"/>
              <w:jc w:val="both"/>
              <w:rPr>
                <w:kern w:val="2"/>
                <w:szCs w:val="24"/>
              </w:rPr>
            </w:pPr>
            <w:r>
              <w:rPr>
                <w:rFonts w:hint="eastAsia"/>
                <w:kern w:val="2"/>
                <w:szCs w:val="24"/>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0" w:type="dxa"/>
            <w:vAlign w:val="center"/>
          </w:tcPr>
          <w:p>
            <w:pPr>
              <w:pStyle w:val="122"/>
              <w:jc w:val="both"/>
              <w:rPr>
                <w:color w:val="000000" w:themeColor="text1"/>
                <w:kern w:val="2"/>
                <w:szCs w:val="24"/>
              </w:rPr>
            </w:pPr>
            <w:r>
              <w:rPr>
                <w:color w:val="000000" w:themeColor="text1"/>
                <w:kern w:val="2"/>
                <w:szCs w:val="24"/>
              </w:rPr>
              <w:t>（</w:t>
            </w:r>
            <w:r>
              <w:rPr>
                <w:rFonts w:hint="eastAsia"/>
                <w:color w:val="000000" w:themeColor="text1"/>
                <w:kern w:val="2"/>
                <w:szCs w:val="24"/>
              </w:rPr>
              <w:t>二</w:t>
            </w:r>
            <w:r>
              <w:rPr>
                <w:color w:val="000000" w:themeColor="text1"/>
                <w:kern w:val="2"/>
                <w:szCs w:val="24"/>
              </w:rPr>
              <w:t>）</w:t>
            </w:r>
            <w:r>
              <w:rPr>
                <w:rFonts w:hint="eastAsia"/>
                <w:color w:val="000000" w:themeColor="text1"/>
                <w:kern w:val="2"/>
                <w:szCs w:val="24"/>
              </w:rPr>
              <w:t>强化城镇生活污染治理</w:t>
            </w:r>
          </w:p>
          <w:p>
            <w:pPr>
              <w:pStyle w:val="122"/>
              <w:jc w:val="both"/>
              <w:rPr>
                <w:color w:val="000000" w:themeColor="text1"/>
                <w:kern w:val="2"/>
                <w:szCs w:val="24"/>
              </w:rPr>
            </w:pPr>
            <w:r>
              <w:rPr>
                <w:rFonts w:hint="eastAsia"/>
                <w:color w:val="000000" w:themeColor="text1"/>
                <w:kern w:val="2"/>
                <w:szCs w:val="24"/>
              </w:rPr>
              <w:t>加快城镇污水处理设施建设与改扩建。现有城镇污水处理设施，要因地制宜进行改扩建，2020年底前达到相应排放标准或再生利用要求。敏感区域（重点湖泊、重点水库、近岸海域汇水区域）城镇污水处理设施应于2017年底前全面达到一级</w:t>
            </w:r>
          </w:p>
          <w:p>
            <w:pPr>
              <w:pStyle w:val="122"/>
              <w:jc w:val="both"/>
              <w:rPr>
                <w:color w:val="000000" w:themeColor="text1"/>
                <w:kern w:val="2"/>
                <w:szCs w:val="24"/>
              </w:rPr>
            </w:pPr>
            <w:r>
              <w:rPr>
                <w:rFonts w:hint="eastAsia"/>
                <w:color w:val="000000" w:themeColor="text1"/>
                <w:kern w:val="2"/>
                <w:szCs w:val="24"/>
              </w:rPr>
              <w:t>A排放标准。建成区水体水质达不到地表水Ⅳ类标准的城市，新建城镇污水处理设施要执行一级A排放标准。按照国家新型城镇化规划要求，到2020年，全国所有县城和重点镇具备污水收集处理能力，县城、城市污水处理率分别达到85%、95%左右。京津冀、长三角、珠三角等区域提前一年完成。</w:t>
            </w:r>
          </w:p>
          <w:p>
            <w:pPr>
              <w:pStyle w:val="122"/>
              <w:jc w:val="both"/>
              <w:rPr>
                <w:color w:val="000000" w:themeColor="text1"/>
                <w:kern w:val="2"/>
                <w:szCs w:val="24"/>
              </w:rPr>
            </w:pPr>
            <w:r>
              <w:rPr>
                <w:rFonts w:hint="eastAsia"/>
                <w:color w:val="000000" w:themeColor="text1"/>
                <w:kern w:val="2"/>
                <w:szCs w:val="24"/>
              </w:rPr>
              <w:t>推进污泥处理处置。污水处理设施产生的污泥应进行稳定化、无害化和资源化处理处置，禁止处理处置不达标的污泥进入耕地。非法污泥堆放点一律予以取缔。现有污泥处理处置设施应于2017年底前基本完成达标改扩建，地级及以上城市污泥无害化处理处置率应于2020年底前达到90%以上。</w:t>
            </w:r>
          </w:p>
        </w:tc>
        <w:tc>
          <w:tcPr>
            <w:tcW w:w="1956" w:type="dxa"/>
            <w:vAlign w:val="center"/>
          </w:tcPr>
          <w:p>
            <w:pPr>
              <w:pStyle w:val="122"/>
              <w:jc w:val="both"/>
              <w:rPr>
                <w:color w:val="000000" w:themeColor="text1"/>
              </w:rPr>
            </w:pPr>
            <w:r>
              <w:rPr>
                <w:color w:val="000000" w:themeColor="text1"/>
              </w:rPr>
              <w:t>本项目</w:t>
            </w:r>
            <w:r>
              <w:rPr>
                <w:rFonts w:hint="eastAsia"/>
                <w:color w:val="000000" w:themeColor="text1"/>
              </w:rPr>
              <w:t>为</w:t>
            </w:r>
            <w:r>
              <w:rPr>
                <w:color w:val="000000" w:themeColor="text1"/>
              </w:rPr>
              <w:t>集中式污水处理厂工程</w:t>
            </w:r>
            <w:r>
              <w:rPr>
                <w:rFonts w:hint="eastAsia"/>
                <w:color w:val="000000" w:themeColor="text1"/>
              </w:rPr>
              <w:t>，出水水质为 “一级A标”，污泥含水率为60%以下</w:t>
            </w:r>
          </w:p>
        </w:tc>
        <w:tc>
          <w:tcPr>
            <w:tcW w:w="946" w:type="dxa"/>
            <w:vAlign w:val="center"/>
          </w:tcPr>
          <w:p>
            <w:pPr>
              <w:pStyle w:val="122"/>
              <w:jc w:val="both"/>
              <w:rPr>
                <w:color w:val="000000" w:themeColor="text1"/>
              </w:rPr>
            </w:pPr>
          </w:p>
          <w:p>
            <w:pPr>
              <w:pStyle w:val="122"/>
              <w:jc w:val="both"/>
              <w:rPr>
                <w:color w:val="000000" w:themeColor="text1"/>
              </w:rPr>
            </w:pPr>
          </w:p>
          <w:p>
            <w:pPr>
              <w:pStyle w:val="122"/>
              <w:jc w:val="both"/>
              <w:rPr>
                <w:color w:val="000000" w:themeColor="text1"/>
              </w:rPr>
            </w:pPr>
          </w:p>
          <w:p>
            <w:pPr>
              <w:pStyle w:val="122"/>
              <w:jc w:val="both"/>
              <w:rPr>
                <w:color w:val="000000" w:themeColor="text1"/>
              </w:rPr>
            </w:pPr>
            <w:r>
              <w:rPr>
                <w:color w:val="000000" w:themeColor="text1"/>
              </w:rPr>
              <w:t>符合</w:t>
            </w:r>
          </w:p>
          <w:p>
            <w:pPr>
              <w:pStyle w:val="122"/>
              <w:jc w:val="both"/>
              <w:rPr>
                <w:color w:val="000000" w:themeColor="text1"/>
              </w:rPr>
            </w:pPr>
          </w:p>
          <w:p>
            <w:pPr>
              <w:pStyle w:val="122"/>
              <w:jc w:val="both"/>
              <w:rPr>
                <w:color w:val="000000" w:themeColor="text1"/>
              </w:rPr>
            </w:pPr>
          </w:p>
          <w:p>
            <w:pPr>
              <w:pStyle w:val="122"/>
              <w:jc w:val="both"/>
              <w:rPr>
                <w:color w:val="000000" w:themeColor="text1"/>
              </w:rPr>
            </w:pPr>
          </w:p>
          <w:p>
            <w:pPr>
              <w:pStyle w:val="122"/>
              <w:jc w:val="both"/>
              <w:rPr>
                <w:color w:val="000000" w:themeColor="text1"/>
              </w:rPr>
            </w:pPr>
          </w:p>
        </w:tc>
      </w:tr>
    </w:tbl>
    <w:p>
      <w:pPr>
        <w:pStyle w:val="14"/>
        <w:ind w:firstLine="480" w:firstLineChars="200"/>
        <w:rPr>
          <w:b w:val="0"/>
        </w:rPr>
      </w:pPr>
      <w:r>
        <w:rPr>
          <w:b w:val="0"/>
        </w:rPr>
        <w:t>与</w:t>
      </w:r>
      <w:r>
        <w:rPr>
          <w:rFonts w:hint="eastAsia"/>
          <w:b w:val="0"/>
        </w:rPr>
        <w:t>水</w:t>
      </w:r>
      <w:r>
        <w:rPr>
          <w:b w:val="0"/>
        </w:rPr>
        <w:t>十条文件对照后可见，本项目较好的落实了</w:t>
      </w:r>
      <w:r>
        <w:rPr>
          <w:rFonts w:hint="eastAsia"/>
          <w:b w:val="0"/>
        </w:rPr>
        <w:t>水</w:t>
      </w:r>
      <w:r>
        <w:rPr>
          <w:b w:val="0"/>
        </w:rPr>
        <w:t>十条中提出的各项要求。</w:t>
      </w:r>
    </w:p>
    <w:p>
      <w:pPr>
        <w:pStyle w:val="5"/>
        <w:rPr>
          <w:color w:val="000000" w:themeColor="text1"/>
        </w:rPr>
      </w:pPr>
      <w:r>
        <w:rPr>
          <w:rFonts w:hint="eastAsia"/>
          <w:color w:val="000000" w:themeColor="text1"/>
        </w:rPr>
        <w:t>基础设施可行性分析</w:t>
      </w:r>
      <w:bookmarkEnd w:id="298"/>
    </w:p>
    <w:p>
      <w:pPr>
        <w:adjustRightInd w:val="0"/>
        <w:snapToGrid w:val="0"/>
        <w:spacing w:line="360" w:lineRule="auto"/>
        <w:ind w:firstLine="480" w:firstLineChars="200"/>
        <w:rPr>
          <w:color w:val="000000" w:themeColor="text1"/>
        </w:rPr>
      </w:pPr>
      <w:r>
        <w:rPr>
          <w:rFonts w:hint="eastAsia"/>
          <w:color w:val="000000" w:themeColor="text1"/>
        </w:rPr>
        <w:t>项目交通条件良好，有乡村道路连接县道、省道。项目区域水电条件较好，农村电网可直接接到项目所在地。从基础设施角度分析，项目选址是合理可行的。</w:t>
      </w:r>
    </w:p>
    <w:p>
      <w:pPr>
        <w:pStyle w:val="5"/>
      </w:pPr>
      <w:bookmarkStart w:id="299" w:name="_Toc532497727"/>
      <w:r>
        <w:rPr>
          <w:rFonts w:hint="eastAsia"/>
        </w:rPr>
        <w:t>环境功能区达标分析</w:t>
      </w:r>
      <w:bookmarkEnd w:id="299"/>
    </w:p>
    <w:p>
      <w:pPr>
        <w:pStyle w:val="100"/>
        <w:spacing w:line="360" w:lineRule="auto"/>
        <w:ind w:firstLine="480"/>
      </w:pPr>
      <w:r>
        <w:t>（1）地表水环境</w:t>
      </w:r>
    </w:p>
    <w:p>
      <w:pPr>
        <w:tabs>
          <w:tab w:val="left" w:pos="1440"/>
        </w:tabs>
        <w:adjustRightInd w:val="0"/>
        <w:snapToGrid w:val="0"/>
        <w:spacing w:line="360" w:lineRule="auto"/>
        <w:ind w:firstLine="480" w:firstLineChars="200"/>
      </w:pPr>
      <w:r>
        <w:rPr>
          <w:rFonts w:hint="eastAsia"/>
        </w:rPr>
        <w:t>本项目排污口位于华容县石伏村，属华容河位于华容县城境内流域下游，</w:t>
      </w:r>
      <w:r>
        <w:t>根据《</w:t>
      </w:r>
      <w:r>
        <w:rPr>
          <w:rFonts w:hint="eastAsia"/>
        </w:rPr>
        <w:t>湖南省主要地表水系水环境功能区划</w:t>
      </w:r>
      <w:r>
        <w:t>》（</w:t>
      </w:r>
      <w:r>
        <w:rPr>
          <w:rFonts w:hint="eastAsia"/>
        </w:rPr>
        <w:t>DB43023-2005</w:t>
      </w:r>
      <w:r>
        <w:t>）</w:t>
      </w:r>
      <w:r>
        <w:rPr>
          <w:rFonts w:hint="eastAsia"/>
        </w:rPr>
        <w:t>，项目排污河段为华容河华容大桥至六门闸（北支）</w:t>
      </w:r>
      <w:r>
        <w:t>水质达到国家Ⅲ类水质标准，</w:t>
      </w:r>
      <w:r>
        <w:rPr>
          <w:rFonts w:hint="eastAsia"/>
        </w:rPr>
        <w:t>属渔业用水区</w:t>
      </w:r>
      <w:r>
        <w:t>；</w:t>
      </w:r>
      <w:r>
        <w:rPr>
          <w:rFonts w:hint="eastAsia"/>
        </w:rPr>
        <w:t>华容河水源地起于华容河右岸丁家潭取水口上游3公里，止于华容河丁家潭右岸取水口下游200米，全长3.2公里，位于排污口上游。目前华容县城已新建长江取水口，丁家潭取水口仅作为备用水源，项目排水不会影响县城饮用水取水水质。</w:t>
      </w:r>
    </w:p>
    <w:p>
      <w:pPr>
        <w:pStyle w:val="100"/>
        <w:spacing w:line="360" w:lineRule="auto"/>
        <w:ind w:firstLine="480"/>
      </w:pPr>
      <w:r>
        <w:t>（2）大气环境</w:t>
      </w:r>
    </w:p>
    <w:p>
      <w:pPr>
        <w:pStyle w:val="100"/>
        <w:spacing w:line="360" w:lineRule="auto"/>
        <w:ind w:firstLine="480"/>
        <w:rPr>
          <w:szCs w:val="24"/>
        </w:rPr>
      </w:pPr>
      <w:r>
        <w:rPr>
          <w:szCs w:val="24"/>
        </w:rPr>
        <w:t>本项目位于岳阳市华容县</w:t>
      </w:r>
      <w:r>
        <w:rPr>
          <w:rFonts w:hint="eastAsia"/>
          <w:szCs w:val="24"/>
        </w:rPr>
        <w:t>石伏工业园，</w:t>
      </w:r>
      <w:r>
        <w:rPr>
          <w:szCs w:val="24"/>
        </w:rPr>
        <w:t>根据</w:t>
      </w:r>
      <w:r>
        <w:rPr>
          <w:rFonts w:hAnsi="宋体"/>
          <w:szCs w:val="24"/>
        </w:rPr>
        <w:t>岳阳市环境保护局公开发布的</w:t>
      </w:r>
      <w:r>
        <w:rPr>
          <w:szCs w:val="24"/>
        </w:rPr>
        <w:t>2018</w:t>
      </w:r>
      <w:r>
        <w:rPr>
          <w:rFonts w:hAnsi="宋体"/>
          <w:szCs w:val="24"/>
        </w:rPr>
        <w:t>年环境质量公报</w:t>
      </w:r>
      <w:r>
        <w:rPr>
          <w:rFonts w:hint="eastAsia" w:hAnsi="宋体"/>
          <w:szCs w:val="24"/>
        </w:rPr>
        <w:t>，SO</w:t>
      </w:r>
      <w:r>
        <w:rPr>
          <w:rFonts w:hint="eastAsia" w:hAnsi="宋体"/>
          <w:szCs w:val="24"/>
          <w:vertAlign w:val="subscript"/>
        </w:rPr>
        <w:t>2</w:t>
      </w:r>
      <w:r>
        <w:rPr>
          <w:rFonts w:hint="eastAsia"/>
          <w:szCs w:val="24"/>
        </w:rPr>
        <w:t>、NO</w:t>
      </w:r>
      <w:r>
        <w:rPr>
          <w:rFonts w:hint="eastAsia"/>
          <w:szCs w:val="24"/>
          <w:vertAlign w:val="subscript"/>
        </w:rPr>
        <w:t>2</w:t>
      </w:r>
      <w:r>
        <w:rPr>
          <w:rFonts w:hint="eastAsia"/>
          <w:szCs w:val="24"/>
        </w:rPr>
        <w:t>、PM</w:t>
      </w:r>
      <w:r>
        <w:rPr>
          <w:rFonts w:hint="eastAsia"/>
          <w:szCs w:val="24"/>
          <w:vertAlign w:val="subscript"/>
        </w:rPr>
        <w:t>10</w:t>
      </w:r>
      <w:r>
        <w:rPr>
          <w:rFonts w:hint="eastAsia"/>
          <w:szCs w:val="24"/>
        </w:rPr>
        <w:t>、PM</w:t>
      </w:r>
      <w:r>
        <w:rPr>
          <w:rFonts w:hint="eastAsia"/>
          <w:szCs w:val="24"/>
          <w:vertAlign w:val="subscript"/>
        </w:rPr>
        <w:t>2.5</w:t>
      </w:r>
      <w:r>
        <w:rPr>
          <w:rFonts w:hint="eastAsia"/>
          <w:szCs w:val="24"/>
        </w:rPr>
        <w:t>年均浓度分别为</w:t>
      </w:r>
      <w:r>
        <w:rPr>
          <w:bCs/>
          <w:szCs w:val="24"/>
        </w:rPr>
        <w:t>18</w:t>
      </w:r>
      <w:r>
        <w:rPr>
          <w:szCs w:val="24"/>
        </w:rPr>
        <w:t>μg/m</w:t>
      </w:r>
      <w:r>
        <w:rPr>
          <w:szCs w:val="24"/>
          <w:vertAlign w:val="superscript"/>
        </w:rPr>
        <w:t>3</w:t>
      </w:r>
      <w:r>
        <w:rPr>
          <w:rFonts w:hint="eastAsia"/>
          <w:szCs w:val="24"/>
        </w:rPr>
        <w:t>、</w:t>
      </w:r>
      <w:r>
        <w:rPr>
          <w:szCs w:val="24"/>
        </w:rPr>
        <w:t>26μg/m</w:t>
      </w:r>
      <w:r>
        <w:rPr>
          <w:szCs w:val="24"/>
          <w:vertAlign w:val="superscript"/>
        </w:rPr>
        <w:t>3</w:t>
      </w:r>
      <w:r>
        <w:rPr>
          <w:rFonts w:hint="eastAsia"/>
          <w:szCs w:val="24"/>
        </w:rPr>
        <w:t>、</w:t>
      </w:r>
      <w:r>
        <w:rPr>
          <w:szCs w:val="24"/>
        </w:rPr>
        <w:t>86μg/m</w:t>
      </w:r>
      <w:r>
        <w:rPr>
          <w:szCs w:val="24"/>
          <w:vertAlign w:val="superscript"/>
        </w:rPr>
        <w:t>3</w:t>
      </w:r>
      <w:r>
        <w:rPr>
          <w:rFonts w:hint="eastAsia"/>
          <w:szCs w:val="24"/>
        </w:rPr>
        <w:t>、</w:t>
      </w:r>
      <w:r>
        <w:rPr>
          <w:bCs/>
          <w:szCs w:val="24"/>
        </w:rPr>
        <w:t>48</w:t>
      </w:r>
      <w:r>
        <w:rPr>
          <w:szCs w:val="24"/>
        </w:rPr>
        <w:t>μg/m</w:t>
      </w:r>
      <w:r>
        <w:rPr>
          <w:szCs w:val="24"/>
          <w:vertAlign w:val="superscript"/>
        </w:rPr>
        <w:t>3</w:t>
      </w:r>
      <w:r>
        <w:rPr>
          <w:rFonts w:hint="eastAsia"/>
          <w:szCs w:val="24"/>
        </w:rPr>
        <w:t>；CO</w:t>
      </w:r>
      <w:r>
        <w:rPr>
          <w:szCs w:val="24"/>
        </w:rPr>
        <w:t>24小时平均第95百分位数为1.9mg/m</w:t>
      </w:r>
      <w:r>
        <w:rPr>
          <w:szCs w:val="24"/>
          <w:vertAlign w:val="superscript"/>
        </w:rPr>
        <w:t>3</w:t>
      </w:r>
      <w:r>
        <w:rPr>
          <w:rFonts w:hint="eastAsia"/>
          <w:szCs w:val="24"/>
        </w:rPr>
        <w:t>，O</w:t>
      </w:r>
      <w:r>
        <w:rPr>
          <w:szCs w:val="24"/>
          <w:vertAlign w:val="subscript"/>
        </w:rPr>
        <w:t>3</w:t>
      </w:r>
      <w:r>
        <w:rPr>
          <w:szCs w:val="24"/>
        </w:rPr>
        <w:t>日最大8小时平均第90百分位数为</w:t>
      </w:r>
      <w:r>
        <w:rPr>
          <w:rFonts w:hint="eastAsia"/>
          <w:szCs w:val="24"/>
        </w:rPr>
        <w:t>116</w:t>
      </w:r>
      <w:r>
        <w:rPr>
          <w:szCs w:val="24"/>
        </w:rPr>
        <w:t>ug/m</w:t>
      </w:r>
      <w:r>
        <w:rPr>
          <w:szCs w:val="24"/>
          <w:vertAlign w:val="superscript"/>
        </w:rPr>
        <w:t>3</w:t>
      </w:r>
      <w:r>
        <w:rPr>
          <w:rFonts w:hint="eastAsia"/>
          <w:szCs w:val="24"/>
        </w:rPr>
        <w:t>,</w:t>
      </w:r>
      <w:r>
        <w:rPr>
          <w:szCs w:val="24"/>
        </w:rPr>
        <w:t>超过《环境空气质量标准》（GB3095-2012）中二级标准限值的污染物为PM</w:t>
      </w:r>
      <w:r>
        <w:rPr>
          <w:szCs w:val="24"/>
          <w:vertAlign w:val="subscript"/>
        </w:rPr>
        <w:t>10</w:t>
      </w:r>
      <w:r>
        <w:rPr>
          <w:szCs w:val="24"/>
        </w:rPr>
        <w:t>、PM</w:t>
      </w:r>
      <w:r>
        <w:rPr>
          <w:szCs w:val="24"/>
          <w:vertAlign w:val="subscript"/>
        </w:rPr>
        <w:t>2.5</w:t>
      </w:r>
      <w:r>
        <w:rPr>
          <w:szCs w:val="24"/>
        </w:rPr>
        <w:t>，则项目所在区环境空气质量不达标。各监测点位的NH</w:t>
      </w:r>
      <w:r>
        <w:rPr>
          <w:szCs w:val="24"/>
          <w:vertAlign w:val="subscript"/>
        </w:rPr>
        <w:t>3</w:t>
      </w:r>
      <w:r>
        <w:rPr>
          <w:rFonts w:hint="eastAsia" w:ascii="宋体" w:cs="宋体"/>
          <w:szCs w:val="24"/>
        </w:rPr>
        <w:t>、</w:t>
      </w:r>
      <w:r>
        <w:rPr>
          <w:szCs w:val="24"/>
        </w:rPr>
        <w:t>H</w:t>
      </w:r>
      <w:r>
        <w:rPr>
          <w:szCs w:val="24"/>
          <w:vertAlign w:val="subscript"/>
        </w:rPr>
        <w:t>2</w:t>
      </w:r>
      <w:r>
        <w:rPr>
          <w:szCs w:val="24"/>
        </w:rPr>
        <w:t>S</w:t>
      </w:r>
      <w:r>
        <w:rPr>
          <w:rFonts w:hint="eastAsia" w:ascii="宋体" w:cs="宋体"/>
          <w:szCs w:val="24"/>
        </w:rPr>
        <w:t>的一次浓度值均小于《环境影响评价技术导则大气环境》（</w:t>
      </w:r>
      <w:r>
        <w:rPr>
          <w:szCs w:val="24"/>
        </w:rPr>
        <w:t>HJ2.2-2018</w:t>
      </w:r>
      <w:r>
        <w:rPr>
          <w:rFonts w:hint="eastAsia" w:ascii="宋体" w:cs="宋体"/>
          <w:szCs w:val="24"/>
        </w:rPr>
        <w:t>）附录</w:t>
      </w:r>
      <w:r>
        <w:rPr>
          <w:szCs w:val="24"/>
        </w:rPr>
        <w:t>D</w:t>
      </w:r>
      <w:r>
        <w:rPr>
          <w:rFonts w:hint="eastAsia" w:ascii="宋体" w:cs="宋体"/>
          <w:szCs w:val="24"/>
        </w:rPr>
        <w:t>中浓度限值。</w:t>
      </w:r>
    </w:p>
    <w:p>
      <w:pPr>
        <w:pStyle w:val="100"/>
        <w:spacing w:line="360" w:lineRule="auto"/>
        <w:ind w:firstLine="480"/>
      </w:pPr>
      <w:r>
        <w:t>（3）声环境</w:t>
      </w:r>
    </w:p>
    <w:p>
      <w:pPr>
        <w:pStyle w:val="100"/>
        <w:spacing w:line="360" w:lineRule="auto"/>
        <w:ind w:firstLine="480"/>
      </w:pPr>
      <w:r>
        <w:t>本项目所处区域声环境适用《声环境质量标准》（GB3096-2008）中</w:t>
      </w:r>
      <w:r>
        <w:rPr>
          <w:rFonts w:hint="eastAsia"/>
        </w:rPr>
        <w:t>3</w:t>
      </w:r>
      <w:r>
        <w:t>类声环境功能区，执行《声环境质量标准》（GB3096-2008）中的</w:t>
      </w:r>
      <w:r>
        <w:rPr>
          <w:rFonts w:hint="eastAsia"/>
        </w:rPr>
        <w:t>3</w:t>
      </w:r>
      <w:r>
        <w:t>类环境噪声限值。根据环评期间的环境噪声现状监测结果，厂界声环境均可达到《声环境质量标准》(GB3096-2008)中</w:t>
      </w:r>
      <w:r>
        <w:rPr>
          <w:rFonts w:hint="eastAsia"/>
        </w:rPr>
        <w:t>3</w:t>
      </w:r>
      <w:r>
        <w:t>类标准要求，可满足本项目建设的需要。</w:t>
      </w:r>
    </w:p>
    <w:p>
      <w:pPr>
        <w:pStyle w:val="100"/>
        <w:spacing w:line="360" w:lineRule="auto"/>
        <w:ind w:firstLine="480"/>
      </w:pPr>
      <w:r>
        <w:t>（4）地下水环境</w:t>
      </w:r>
    </w:p>
    <w:p>
      <w:pPr>
        <w:pStyle w:val="100"/>
        <w:spacing w:line="360" w:lineRule="auto"/>
        <w:ind w:firstLine="480"/>
      </w:pPr>
      <w:r>
        <w:t>本项目所在地的地下水执行《地下水环境质量标准》（GB14848-2017）中的Ⅲ类标准，监测点处各监测因子满足《地下水环境质量标准》（GB/T14848-2017）Ⅲ类标准要求。</w:t>
      </w:r>
    </w:p>
    <w:p>
      <w:pPr>
        <w:pStyle w:val="100"/>
        <w:spacing w:line="360" w:lineRule="auto"/>
        <w:ind w:firstLine="480"/>
      </w:pPr>
      <w:r>
        <w:t>（5）土壤环境</w:t>
      </w:r>
    </w:p>
    <w:p>
      <w:pPr>
        <w:adjustRightInd w:val="0"/>
        <w:snapToGrid w:val="0"/>
        <w:spacing w:line="360" w:lineRule="auto"/>
        <w:ind w:firstLine="480" w:firstLineChars="200"/>
      </w:pPr>
      <w:r>
        <w:t>项目所在地土壤执行</w:t>
      </w:r>
      <w:r>
        <w:rPr>
          <w:rFonts w:hint="eastAsia"/>
        </w:rPr>
        <w:t>《土壤环境质量 农业用地土壤污染风险管控标准（试行）》（GB15618-2018）表1中农用地土壤筛选值污染风险筛选值</w:t>
      </w:r>
      <w:r>
        <w:t>，根据土壤的历史监测结果，项目区域土壤各监测因子均能达标，可满足项目建设的需要。</w:t>
      </w:r>
    </w:p>
    <w:p>
      <w:pPr>
        <w:pStyle w:val="4"/>
        <w:adjustRightInd w:val="0"/>
        <w:snapToGrid w:val="0"/>
        <w:rPr>
          <w:color w:val="000000" w:themeColor="text1"/>
        </w:rPr>
      </w:pPr>
      <w:bookmarkStart w:id="300" w:name="_Toc532763238"/>
      <w:bookmarkStart w:id="301" w:name="_Toc532376181"/>
      <w:bookmarkStart w:id="302" w:name="_Toc532497728"/>
      <w:bookmarkStart w:id="303" w:name="_Toc25256"/>
      <w:bookmarkStart w:id="304" w:name="_Toc532498774"/>
      <w:r>
        <w:rPr>
          <w:rFonts w:hint="eastAsia"/>
          <w:color w:val="000000" w:themeColor="text1"/>
        </w:rPr>
        <w:t>结论</w:t>
      </w:r>
      <w:bookmarkEnd w:id="300"/>
      <w:bookmarkEnd w:id="301"/>
      <w:bookmarkEnd w:id="302"/>
      <w:bookmarkEnd w:id="303"/>
      <w:bookmarkEnd w:id="304"/>
    </w:p>
    <w:p>
      <w:pPr>
        <w:adjustRightInd w:val="0"/>
        <w:snapToGrid w:val="0"/>
        <w:spacing w:line="360" w:lineRule="auto"/>
        <w:ind w:firstLine="480" w:firstLineChars="200"/>
        <w:rPr>
          <w:color w:val="000000" w:themeColor="text1"/>
        </w:rPr>
      </w:pPr>
      <w:r>
        <w:rPr>
          <w:rFonts w:hint="eastAsia"/>
          <w:color w:val="000000" w:themeColor="text1"/>
        </w:rPr>
        <w:t>综上所述，本项目建设符合国家和地方的产业政策和相关规划。本地区交通便利、水电通信等基础设施齐全，在污染达标排放的情况下，项目正常生产建设对周围水环境、大气环境、声环境，均不会造成大的影响。综合分析，本项目的选址是可行的。</w:t>
      </w:r>
    </w:p>
    <w:p>
      <w:pPr>
        <w:widowControl/>
        <w:jc w:val="left"/>
        <w:rPr>
          <w:color w:val="000000" w:themeColor="text1"/>
        </w:rPr>
      </w:pPr>
      <w:r>
        <w:rPr>
          <w:color w:val="000000" w:themeColor="text1"/>
        </w:rPr>
        <w:br w:type="page"/>
      </w:r>
    </w:p>
    <w:p>
      <w:pPr>
        <w:pStyle w:val="2"/>
        <w:adjustRightInd w:val="0"/>
        <w:snapToGrid w:val="0"/>
        <w:spacing w:line="360" w:lineRule="auto"/>
        <w:rPr>
          <w:color w:val="000000" w:themeColor="text1"/>
        </w:rPr>
      </w:pPr>
      <w:bookmarkStart w:id="305" w:name="_Toc532376182"/>
      <w:bookmarkStart w:id="306" w:name="_Toc532763239"/>
      <w:bookmarkStart w:id="307" w:name="_Toc532497729"/>
      <w:bookmarkStart w:id="308" w:name="_Toc532498775"/>
      <w:bookmarkStart w:id="309" w:name="_Toc27199"/>
      <w:r>
        <w:rPr>
          <w:rFonts w:hint="eastAsia"/>
          <w:color w:val="000000" w:themeColor="text1"/>
        </w:rPr>
        <w:t>结论与建议</w:t>
      </w:r>
      <w:bookmarkEnd w:id="305"/>
      <w:bookmarkEnd w:id="306"/>
      <w:bookmarkEnd w:id="307"/>
      <w:bookmarkEnd w:id="308"/>
      <w:bookmarkEnd w:id="309"/>
    </w:p>
    <w:p>
      <w:pPr>
        <w:pStyle w:val="4"/>
        <w:adjustRightInd w:val="0"/>
        <w:snapToGrid w:val="0"/>
        <w:rPr>
          <w:color w:val="000000" w:themeColor="text1"/>
        </w:rPr>
      </w:pPr>
      <w:bookmarkStart w:id="310" w:name="_Toc532763240"/>
      <w:bookmarkStart w:id="311" w:name="_Toc532498776"/>
      <w:bookmarkStart w:id="312" w:name="_Toc1014"/>
      <w:bookmarkStart w:id="313" w:name="_Toc532497730"/>
      <w:bookmarkStart w:id="314" w:name="_Toc532376183"/>
      <w:r>
        <w:rPr>
          <w:rFonts w:hint="eastAsia"/>
          <w:color w:val="000000" w:themeColor="text1"/>
        </w:rPr>
        <w:t>建设项目概况</w:t>
      </w:r>
      <w:bookmarkEnd w:id="310"/>
      <w:bookmarkEnd w:id="311"/>
      <w:bookmarkEnd w:id="312"/>
      <w:bookmarkEnd w:id="313"/>
      <w:bookmarkEnd w:id="314"/>
    </w:p>
    <w:p>
      <w:pPr>
        <w:spacing w:line="360" w:lineRule="auto"/>
        <w:ind w:firstLine="480" w:firstLineChars="200"/>
        <w:rPr>
          <w:rFonts w:cs="Times New Roman"/>
        </w:rPr>
      </w:pPr>
      <w:r>
        <w:rPr>
          <w:rFonts w:cs="Times New Roman"/>
          <w:szCs w:val="24"/>
        </w:rPr>
        <w:t>华容县桥东污水处理厂位于</w:t>
      </w:r>
      <w:r>
        <w:rPr>
          <w:rFonts w:eastAsia="宋体" w:cs="Times New Roman"/>
        </w:rPr>
        <w:t>湖南省岳阳市华容县石伏村，项目总投资</w:t>
      </w:r>
      <w:r>
        <w:rPr>
          <w:rFonts w:hint="eastAsia" w:cs="Times New Roman"/>
          <w:color w:val="000000" w:themeColor="text1"/>
        </w:rPr>
        <w:t>14270</w:t>
      </w:r>
      <w:r>
        <w:rPr>
          <w:rFonts w:eastAsia="宋体" w:cs="Times New Roman"/>
        </w:rPr>
        <w:t>万元，设计工程处理规模为20000m</w:t>
      </w:r>
      <w:r>
        <w:rPr>
          <w:rFonts w:eastAsia="宋体" w:cs="Times New Roman"/>
          <w:vertAlign w:val="superscript"/>
        </w:rPr>
        <w:t>3</w:t>
      </w:r>
      <w:r>
        <w:rPr>
          <w:rFonts w:eastAsia="宋体" w:cs="Times New Roman"/>
        </w:rPr>
        <w:t>/d，本项目建设的主要有</w:t>
      </w:r>
      <w:r>
        <w:rPr>
          <w:rFonts w:cs="Times New Roman"/>
        </w:rPr>
        <w:t>粗格栅及提升泵房、细格栅及平流沉砂池、组合池（水解酸化池、AAO生物池、二沉池）、</w:t>
      </w:r>
      <w:r>
        <w:rPr>
          <w:rFonts w:cs="Times New Roman"/>
          <w:color w:val="000000" w:themeColor="text1"/>
        </w:rPr>
        <w:t>高效沉淀池、滤布滤池、接触消毒池、污泥泵站、污泥浓缩池、污泥深度脱水车间及加药间、鼓风机房、变配电间及机修间土建等。出水达到《城镇污水处理厂污染物排放标准》（GB18918-2002）一级A标准后排入华容河。</w:t>
      </w:r>
    </w:p>
    <w:p>
      <w:pPr>
        <w:pStyle w:val="4"/>
        <w:adjustRightInd w:val="0"/>
        <w:snapToGrid w:val="0"/>
        <w:rPr>
          <w:color w:val="000000" w:themeColor="text1"/>
        </w:rPr>
      </w:pPr>
      <w:bookmarkStart w:id="315" w:name="_Toc532497731"/>
      <w:bookmarkStart w:id="316" w:name="_Toc532498777"/>
      <w:bookmarkStart w:id="317" w:name="_Toc532763241"/>
      <w:bookmarkStart w:id="318" w:name="_Toc532376184"/>
      <w:bookmarkStart w:id="319" w:name="_Toc26189"/>
      <w:r>
        <w:rPr>
          <w:rFonts w:hint="eastAsia"/>
          <w:color w:val="000000" w:themeColor="text1"/>
        </w:rPr>
        <w:t>环境和质量现状</w:t>
      </w:r>
      <w:bookmarkEnd w:id="315"/>
      <w:bookmarkEnd w:id="316"/>
      <w:bookmarkEnd w:id="317"/>
      <w:bookmarkEnd w:id="318"/>
      <w:bookmarkEnd w:id="319"/>
    </w:p>
    <w:p>
      <w:pPr>
        <w:pStyle w:val="100"/>
        <w:spacing w:line="360" w:lineRule="auto"/>
        <w:ind w:firstLine="480"/>
      </w:pPr>
      <w:r>
        <w:t>（1）地表水环境</w:t>
      </w:r>
    </w:p>
    <w:p>
      <w:pPr>
        <w:tabs>
          <w:tab w:val="left" w:pos="1440"/>
        </w:tabs>
        <w:adjustRightInd w:val="0"/>
        <w:snapToGrid w:val="0"/>
        <w:spacing w:line="360" w:lineRule="auto"/>
        <w:ind w:firstLine="480" w:firstLineChars="200"/>
        <w:rPr>
          <w:rFonts w:cs="Times New Roman"/>
        </w:rPr>
      </w:pPr>
      <w:r>
        <w:rPr>
          <w:rFonts w:cs="Times New Roman"/>
        </w:rPr>
        <w:t>本项目排污口位于华容县石伏村，属华容河位于华容县城境内流域下游，根据《湖南省主要地表水系水环境功能区划》（DB43023-2005），项目排污河段为华容河华容大桥至六门闸（北支）水质达到国家Ⅲ类水质标准，属渔业用水区；华容河水源地起于华容河右岸丁家潭取水口上游3公里，止于华容河丁家潭右岸取水口下游200米，全长3.2公里，位于排污口上游。目前华容县城已新建长江取水口，丁家潭取水口仅作为备用水源，项目排水不会影响县城饮用水取水水质。</w:t>
      </w:r>
    </w:p>
    <w:p>
      <w:pPr>
        <w:pStyle w:val="100"/>
        <w:spacing w:line="360" w:lineRule="auto"/>
        <w:ind w:firstLine="480"/>
      </w:pPr>
      <w:r>
        <w:t>（2）大气环境</w:t>
      </w:r>
    </w:p>
    <w:p>
      <w:pPr>
        <w:pStyle w:val="100"/>
        <w:spacing w:line="360" w:lineRule="auto"/>
        <w:ind w:firstLine="480"/>
        <w:rPr>
          <w:szCs w:val="24"/>
        </w:rPr>
      </w:pPr>
      <w:r>
        <w:rPr>
          <w:szCs w:val="24"/>
        </w:rPr>
        <w:t>本项目位于岳阳市华容县石伏</w:t>
      </w:r>
      <w:r>
        <w:rPr>
          <w:rFonts w:hint="eastAsia"/>
          <w:szCs w:val="24"/>
        </w:rPr>
        <w:t>工业园，</w:t>
      </w:r>
      <w:r>
        <w:rPr>
          <w:szCs w:val="24"/>
        </w:rPr>
        <w:t>根据</w:t>
      </w:r>
      <w:r>
        <w:rPr>
          <w:rFonts w:hAnsi="宋体"/>
          <w:szCs w:val="24"/>
        </w:rPr>
        <w:t>岳阳市环境保护局公开发布的</w:t>
      </w:r>
      <w:r>
        <w:rPr>
          <w:szCs w:val="24"/>
        </w:rPr>
        <w:t>2018</w:t>
      </w:r>
      <w:r>
        <w:rPr>
          <w:rFonts w:hAnsi="宋体"/>
          <w:szCs w:val="24"/>
        </w:rPr>
        <w:t>年环境质量公报</w:t>
      </w:r>
      <w:r>
        <w:rPr>
          <w:rFonts w:hint="eastAsia" w:hAnsi="宋体"/>
          <w:szCs w:val="24"/>
        </w:rPr>
        <w:t>，SO</w:t>
      </w:r>
      <w:r>
        <w:rPr>
          <w:rFonts w:hint="eastAsia" w:hAnsi="宋体"/>
          <w:szCs w:val="24"/>
          <w:vertAlign w:val="subscript"/>
        </w:rPr>
        <w:t>2</w:t>
      </w:r>
      <w:r>
        <w:rPr>
          <w:rFonts w:hint="eastAsia"/>
          <w:szCs w:val="24"/>
        </w:rPr>
        <w:t>、NO</w:t>
      </w:r>
      <w:r>
        <w:rPr>
          <w:rFonts w:hint="eastAsia"/>
          <w:szCs w:val="24"/>
          <w:vertAlign w:val="subscript"/>
        </w:rPr>
        <w:t>2</w:t>
      </w:r>
      <w:r>
        <w:rPr>
          <w:rFonts w:hint="eastAsia"/>
          <w:szCs w:val="24"/>
        </w:rPr>
        <w:t>、PM</w:t>
      </w:r>
      <w:r>
        <w:rPr>
          <w:rFonts w:hint="eastAsia"/>
          <w:szCs w:val="24"/>
          <w:vertAlign w:val="subscript"/>
        </w:rPr>
        <w:t>10</w:t>
      </w:r>
      <w:r>
        <w:rPr>
          <w:rFonts w:hint="eastAsia"/>
          <w:szCs w:val="24"/>
        </w:rPr>
        <w:t>、PM</w:t>
      </w:r>
      <w:r>
        <w:rPr>
          <w:rFonts w:hint="eastAsia"/>
          <w:szCs w:val="24"/>
          <w:vertAlign w:val="subscript"/>
        </w:rPr>
        <w:t>2.5</w:t>
      </w:r>
      <w:r>
        <w:rPr>
          <w:rFonts w:hint="eastAsia"/>
          <w:szCs w:val="24"/>
        </w:rPr>
        <w:t>年均浓度分别为</w:t>
      </w:r>
      <w:r>
        <w:rPr>
          <w:bCs/>
          <w:szCs w:val="24"/>
        </w:rPr>
        <w:t>18</w:t>
      </w:r>
      <w:r>
        <w:rPr>
          <w:szCs w:val="24"/>
        </w:rPr>
        <w:t>μg/m</w:t>
      </w:r>
      <w:r>
        <w:rPr>
          <w:szCs w:val="24"/>
          <w:vertAlign w:val="superscript"/>
        </w:rPr>
        <w:t>3</w:t>
      </w:r>
      <w:r>
        <w:rPr>
          <w:rFonts w:hint="eastAsia"/>
          <w:szCs w:val="24"/>
        </w:rPr>
        <w:t>、</w:t>
      </w:r>
      <w:r>
        <w:rPr>
          <w:szCs w:val="24"/>
        </w:rPr>
        <w:t>26μg/m</w:t>
      </w:r>
      <w:r>
        <w:rPr>
          <w:szCs w:val="24"/>
          <w:vertAlign w:val="superscript"/>
        </w:rPr>
        <w:t>3</w:t>
      </w:r>
      <w:r>
        <w:rPr>
          <w:rFonts w:hint="eastAsia"/>
          <w:szCs w:val="24"/>
        </w:rPr>
        <w:t>、</w:t>
      </w:r>
      <w:r>
        <w:rPr>
          <w:szCs w:val="24"/>
        </w:rPr>
        <w:t>86μg/m</w:t>
      </w:r>
      <w:r>
        <w:rPr>
          <w:szCs w:val="24"/>
          <w:vertAlign w:val="superscript"/>
        </w:rPr>
        <w:t>3</w:t>
      </w:r>
      <w:r>
        <w:rPr>
          <w:rFonts w:hint="eastAsia"/>
          <w:szCs w:val="24"/>
        </w:rPr>
        <w:t>、</w:t>
      </w:r>
      <w:r>
        <w:rPr>
          <w:bCs/>
          <w:szCs w:val="24"/>
        </w:rPr>
        <w:t>48</w:t>
      </w:r>
      <w:r>
        <w:rPr>
          <w:szCs w:val="24"/>
        </w:rPr>
        <w:t>μg/m</w:t>
      </w:r>
      <w:r>
        <w:rPr>
          <w:szCs w:val="24"/>
          <w:vertAlign w:val="superscript"/>
        </w:rPr>
        <w:t>3</w:t>
      </w:r>
      <w:r>
        <w:rPr>
          <w:rFonts w:hint="eastAsia"/>
          <w:szCs w:val="24"/>
        </w:rPr>
        <w:t>；CO</w:t>
      </w:r>
      <w:r>
        <w:rPr>
          <w:szCs w:val="24"/>
        </w:rPr>
        <w:t>24小时平均第95百分位数为1.9mg/m</w:t>
      </w:r>
      <w:r>
        <w:rPr>
          <w:szCs w:val="24"/>
          <w:vertAlign w:val="superscript"/>
        </w:rPr>
        <w:t>3</w:t>
      </w:r>
      <w:r>
        <w:rPr>
          <w:rFonts w:hint="eastAsia"/>
          <w:szCs w:val="24"/>
        </w:rPr>
        <w:t>，O</w:t>
      </w:r>
      <w:r>
        <w:rPr>
          <w:szCs w:val="24"/>
          <w:vertAlign w:val="subscript"/>
        </w:rPr>
        <w:t>3</w:t>
      </w:r>
      <w:r>
        <w:rPr>
          <w:szCs w:val="24"/>
        </w:rPr>
        <w:t>日最大8小时平均第90百分位数为</w:t>
      </w:r>
      <w:r>
        <w:rPr>
          <w:rFonts w:hint="eastAsia"/>
          <w:szCs w:val="24"/>
        </w:rPr>
        <w:t>116</w:t>
      </w:r>
      <w:r>
        <w:rPr>
          <w:szCs w:val="24"/>
        </w:rPr>
        <w:t>ug/m</w:t>
      </w:r>
      <w:r>
        <w:rPr>
          <w:szCs w:val="24"/>
          <w:vertAlign w:val="superscript"/>
        </w:rPr>
        <w:t>3</w:t>
      </w:r>
      <w:r>
        <w:rPr>
          <w:rFonts w:hint="eastAsia"/>
          <w:szCs w:val="24"/>
        </w:rPr>
        <w:t>,</w:t>
      </w:r>
      <w:r>
        <w:rPr>
          <w:szCs w:val="24"/>
        </w:rPr>
        <w:t>超过《环境空气质量标准》（GB3095-2012）中二级标准限值的污染物为PM</w:t>
      </w:r>
      <w:r>
        <w:rPr>
          <w:szCs w:val="24"/>
          <w:vertAlign w:val="subscript"/>
        </w:rPr>
        <w:t>10</w:t>
      </w:r>
      <w:r>
        <w:rPr>
          <w:szCs w:val="24"/>
        </w:rPr>
        <w:t>、PM</w:t>
      </w:r>
      <w:r>
        <w:rPr>
          <w:szCs w:val="24"/>
          <w:vertAlign w:val="subscript"/>
        </w:rPr>
        <w:t>2.5</w:t>
      </w:r>
      <w:r>
        <w:rPr>
          <w:szCs w:val="24"/>
        </w:rPr>
        <w:t>，则项目所在区环境空气质量不达标。各监测点位的NH</w:t>
      </w:r>
      <w:r>
        <w:rPr>
          <w:szCs w:val="24"/>
          <w:vertAlign w:val="subscript"/>
        </w:rPr>
        <w:t>3</w:t>
      </w:r>
      <w:r>
        <w:rPr>
          <w:rFonts w:hint="eastAsia" w:ascii="宋体" w:cs="宋体"/>
          <w:szCs w:val="24"/>
        </w:rPr>
        <w:t>、</w:t>
      </w:r>
      <w:r>
        <w:rPr>
          <w:szCs w:val="24"/>
        </w:rPr>
        <w:t>H</w:t>
      </w:r>
      <w:r>
        <w:rPr>
          <w:szCs w:val="24"/>
          <w:vertAlign w:val="subscript"/>
        </w:rPr>
        <w:t>2</w:t>
      </w:r>
      <w:r>
        <w:rPr>
          <w:szCs w:val="24"/>
        </w:rPr>
        <w:t>S</w:t>
      </w:r>
      <w:r>
        <w:rPr>
          <w:rFonts w:hint="eastAsia" w:ascii="宋体" w:cs="宋体"/>
          <w:szCs w:val="24"/>
        </w:rPr>
        <w:t>的一次浓度值均小于《环境影响评价技术导则大气环境》（</w:t>
      </w:r>
      <w:r>
        <w:rPr>
          <w:szCs w:val="24"/>
        </w:rPr>
        <w:t>HJ2.2-2018</w:t>
      </w:r>
      <w:r>
        <w:rPr>
          <w:rFonts w:hint="eastAsia" w:ascii="宋体" w:cs="宋体"/>
          <w:szCs w:val="24"/>
        </w:rPr>
        <w:t>）附录</w:t>
      </w:r>
      <w:r>
        <w:rPr>
          <w:szCs w:val="24"/>
        </w:rPr>
        <w:t>D</w:t>
      </w:r>
      <w:r>
        <w:rPr>
          <w:rFonts w:hint="eastAsia" w:ascii="宋体" w:cs="宋体"/>
          <w:szCs w:val="24"/>
        </w:rPr>
        <w:t>中浓度限值。</w:t>
      </w:r>
    </w:p>
    <w:p>
      <w:pPr>
        <w:pStyle w:val="100"/>
        <w:spacing w:line="360" w:lineRule="auto"/>
        <w:ind w:firstLine="480"/>
      </w:pPr>
      <w:r>
        <w:t>（3）声环境</w:t>
      </w:r>
    </w:p>
    <w:p>
      <w:pPr>
        <w:pStyle w:val="100"/>
        <w:spacing w:line="360" w:lineRule="auto"/>
        <w:ind w:firstLine="480"/>
      </w:pPr>
      <w:r>
        <w:t>本项目所处区域声环境适用《声环境质量标准》（GB3096-2008）中</w:t>
      </w:r>
      <w:r>
        <w:rPr>
          <w:rFonts w:hint="eastAsia"/>
        </w:rPr>
        <w:t>3</w:t>
      </w:r>
      <w:r>
        <w:t>类声环境功能区，执行《声环境质量标准》（GB3096-2008）中的</w:t>
      </w:r>
      <w:r>
        <w:rPr>
          <w:rFonts w:hint="eastAsia"/>
        </w:rPr>
        <w:t>3</w:t>
      </w:r>
      <w:r>
        <w:t>类环境噪声限值。根据环评期间的环境噪声现状监测结果，厂界声环境均可达到《声环境质量标准》(GB3096-2008)中</w:t>
      </w:r>
      <w:r>
        <w:rPr>
          <w:rFonts w:hint="eastAsia"/>
        </w:rPr>
        <w:t>3</w:t>
      </w:r>
      <w:r>
        <w:t>类标准要求，可满足本项目建设的需要。</w:t>
      </w:r>
    </w:p>
    <w:p>
      <w:pPr>
        <w:pStyle w:val="100"/>
        <w:spacing w:line="360" w:lineRule="auto"/>
        <w:ind w:firstLine="480"/>
      </w:pPr>
      <w:r>
        <w:t>（4）地下水环境</w:t>
      </w:r>
    </w:p>
    <w:p>
      <w:pPr>
        <w:pStyle w:val="100"/>
        <w:spacing w:line="360" w:lineRule="auto"/>
        <w:ind w:firstLine="480"/>
      </w:pPr>
      <w:r>
        <w:t>本项目所在地的地下水执行《地下水环境质量标准》（GB14848-2017）中的Ⅲ类标准，监测点处各监测因子满足《地下水环境质量标准》（GB/T14848-2017）Ⅲ类标准要求。</w:t>
      </w:r>
    </w:p>
    <w:p>
      <w:pPr>
        <w:pStyle w:val="100"/>
        <w:spacing w:line="360" w:lineRule="auto"/>
        <w:ind w:firstLine="480"/>
      </w:pPr>
      <w:r>
        <w:t>（5）土壤环境</w:t>
      </w:r>
    </w:p>
    <w:p>
      <w:pPr>
        <w:spacing w:line="360" w:lineRule="auto"/>
        <w:ind w:firstLine="480" w:firstLineChars="200"/>
        <w:rPr>
          <w:color w:val="000000" w:themeColor="text1"/>
          <w:szCs w:val="20"/>
        </w:rPr>
      </w:pPr>
      <w:r>
        <w:t>项目所在地土壤执行</w:t>
      </w:r>
      <w:r>
        <w:rPr>
          <w:rFonts w:hint="eastAsia"/>
        </w:rPr>
        <w:t>《土壤环境质量 农业用地土壤污染风险管控标准（试行）》（GB15618-2018）表1中农用地土壤筛选值污染风险筛选值</w:t>
      </w:r>
      <w:r>
        <w:t>，根据土壤的历史监测结果，项目区域土壤各监测因子均能达标，可满足项目建设的需要。</w:t>
      </w:r>
    </w:p>
    <w:p>
      <w:pPr>
        <w:pStyle w:val="4"/>
        <w:adjustRightInd w:val="0"/>
        <w:snapToGrid w:val="0"/>
        <w:rPr>
          <w:color w:val="000000" w:themeColor="text1"/>
        </w:rPr>
      </w:pPr>
      <w:bookmarkStart w:id="320" w:name="_Toc532763242"/>
      <w:bookmarkStart w:id="321" w:name="_Toc532497732"/>
      <w:bookmarkStart w:id="322" w:name="_Toc11777"/>
      <w:bookmarkStart w:id="323" w:name="_Toc532498778"/>
      <w:bookmarkStart w:id="324" w:name="_Toc532376185"/>
      <w:r>
        <w:rPr>
          <w:rFonts w:hint="eastAsia"/>
          <w:color w:val="000000" w:themeColor="text1"/>
        </w:rPr>
        <w:t>环境影响预测与评价</w:t>
      </w:r>
      <w:bookmarkEnd w:id="320"/>
      <w:bookmarkEnd w:id="321"/>
      <w:bookmarkEnd w:id="322"/>
      <w:bookmarkEnd w:id="323"/>
      <w:bookmarkEnd w:id="324"/>
    </w:p>
    <w:p>
      <w:pPr>
        <w:pStyle w:val="5"/>
        <w:rPr>
          <w:color w:val="000000" w:themeColor="text1"/>
        </w:rPr>
      </w:pPr>
      <w:bookmarkStart w:id="325" w:name="_Toc532497734"/>
      <w:r>
        <w:rPr>
          <w:rFonts w:hint="eastAsia"/>
          <w:color w:val="000000" w:themeColor="text1"/>
        </w:rPr>
        <w:t>运营期</w:t>
      </w:r>
      <w:bookmarkEnd w:id="325"/>
    </w:p>
    <w:p>
      <w:pPr>
        <w:spacing w:line="360" w:lineRule="auto"/>
        <w:ind w:firstLine="480" w:firstLineChars="200"/>
      </w:pPr>
      <w:r>
        <w:rPr>
          <w:rFonts w:hint="eastAsia"/>
        </w:rPr>
        <w:t>（1）废气污染防治措施结论</w:t>
      </w:r>
    </w:p>
    <w:p>
      <w:pPr>
        <w:spacing w:line="360" w:lineRule="auto"/>
        <w:ind w:firstLine="480" w:firstLineChars="200"/>
      </w:pPr>
      <w:r>
        <w:t>本项目运行过程中恶臭溢出量较少。本项目配套一套离子除臭系统对污水处理构筑物臭气进行处理。NH</w:t>
      </w:r>
      <w:r>
        <w:rPr>
          <w:vertAlign w:val="subscript"/>
        </w:rPr>
        <w:t>3</w:t>
      </w:r>
      <w:r>
        <w:t>、H</w:t>
      </w:r>
      <w:r>
        <w:rPr>
          <w:vertAlign w:val="subscript"/>
        </w:rPr>
        <w:t>2</w:t>
      </w:r>
      <w:r>
        <w:t xml:space="preserve">S去除率达到85-95%（本项目按85%计），处理后经15m高的排气筒排放。 </w:t>
      </w:r>
    </w:p>
    <w:p>
      <w:pPr>
        <w:spacing w:line="360" w:lineRule="auto"/>
        <w:ind w:firstLine="480" w:firstLineChars="200"/>
      </w:pPr>
      <w:r>
        <w:t>因此，本项目废气污染防治措施可行。</w:t>
      </w:r>
    </w:p>
    <w:p>
      <w:pPr>
        <w:spacing w:line="360" w:lineRule="auto"/>
        <w:ind w:firstLine="480" w:firstLineChars="200"/>
      </w:pPr>
      <w:r>
        <w:rPr>
          <w:rFonts w:hint="eastAsia"/>
        </w:rPr>
        <w:t>（2）废水污染防治措施结论</w:t>
      </w:r>
    </w:p>
    <w:p>
      <w:pPr>
        <w:spacing w:line="360" w:lineRule="auto"/>
        <w:ind w:firstLine="480" w:firstLineChars="200"/>
      </w:pPr>
      <w:r>
        <w:rPr>
          <w:rFonts w:hint="eastAsia"/>
        </w:rPr>
        <w:t>本项目采用</w:t>
      </w:r>
      <w:r>
        <w:t>“</w:t>
      </w:r>
      <w:r>
        <w:rPr>
          <w:rFonts w:hint="eastAsia"/>
        </w:rPr>
        <w:t>预处理</w:t>
      </w:r>
      <w:r>
        <w:t>+</w:t>
      </w:r>
      <w:r>
        <w:rPr>
          <w:rFonts w:hint="eastAsia"/>
        </w:rPr>
        <w:t>组合池（</w:t>
      </w:r>
      <w:r>
        <w:rPr>
          <w:rFonts w:cs="Times New Roman"/>
        </w:rPr>
        <w:t>水解酸化池、AAO生物池、二沉池</w:t>
      </w:r>
      <w:r>
        <w:rPr>
          <w:rFonts w:hint="eastAsia"/>
        </w:rPr>
        <w:t>）</w:t>
      </w:r>
      <w:r>
        <w:t>+</w:t>
      </w:r>
      <w:r>
        <w:rPr>
          <w:rFonts w:hint="eastAsia"/>
        </w:rPr>
        <w:t>后处理</w:t>
      </w:r>
      <w:r>
        <w:t>”</w:t>
      </w:r>
      <w:r>
        <w:rPr>
          <w:rFonts w:hint="eastAsia"/>
        </w:rPr>
        <w:t>作为本工程污水处理工艺。该工艺处理效果好，占地面积不大，工艺流程简单，抗冲击负荷能力强，自控能力强，对外环境影响小。同时，还采取了制定污染源控制制度、尾水安装在线监测设备、事故应急池及防渗处理及废水排污口规范化。废水经处理后其出水水质可满足《城镇污水处理厂污染物排放标准》（</w:t>
      </w:r>
      <w:r>
        <w:t>GB18918-2002</w:t>
      </w:r>
      <w:r>
        <w:rPr>
          <w:rFonts w:hint="eastAsia"/>
        </w:rPr>
        <w:t>）表</w:t>
      </w:r>
      <w:r>
        <w:t>1</w:t>
      </w:r>
      <w:r>
        <w:rPr>
          <w:rFonts w:hint="eastAsia"/>
        </w:rPr>
        <w:t>中一级</w:t>
      </w:r>
      <w:r>
        <w:t>A</w:t>
      </w:r>
      <w:r>
        <w:rPr>
          <w:rFonts w:hint="eastAsia"/>
        </w:rPr>
        <w:t>标准要求。本项目废水处理措施可行。</w:t>
      </w:r>
    </w:p>
    <w:p>
      <w:pPr>
        <w:spacing w:line="360" w:lineRule="auto"/>
        <w:ind w:firstLine="480" w:firstLineChars="200"/>
      </w:pPr>
      <w:r>
        <w:rPr>
          <w:rFonts w:hint="eastAsia"/>
        </w:rPr>
        <w:t>（3）地下水污染防治措施结论</w:t>
      </w:r>
    </w:p>
    <w:p>
      <w:pPr>
        <w:spacing w:line="360" w:lineRule="auto"/>
        <w:ind w:firstLine="480" w:firstLineChars="200"/>
      </w:pPr>
      <w:r>
        <w:rPr>
          <w:rFonts w:hint="eastAsia"/>
        </w:rPr>
        <w:t>本项目地下水污染防治采用源头控制、分区防渗措施，并设置地下水跟踪监测计划和应急措施，可对地下水污染实行有效的监控，地下水污染防治措施可行。</w:t>
      </w:r>
    </w:p>
    <w:p>
      <w:pPr>
        <w:spacing w:line="360" w:lineRule="auto"/>
        <w:ind w:firstLine="480" w:firstLineChars="200"/>
      </w:pPr>
      <w:r>
        <w:rPr>
          <w:rFonts w:hint="eastAsia"/>
        </w:rPr>
        <w:t>（4）噪声污染防治措施结论</w:t>
      </w:r>
    </w:p>
    <w:p>
      <w:pPr>
        <w:spacing w:line="360" w:lineRule="auto"/>
        <w:ind w:firstLine="480" w:firstLineChars="200"/>
      </w:pPr>
      <w:r>
        <w:rPr>
          <w:rFonts w:hint="eastAsia"/>
        </w:rPr>
        <w:t>本项目噪声污染防治选用低噪声设备，通过采取各种减振、隔声、消声等综合治理措施，使项目生产时噪声排放能满足《工业企业厂界环境噪声排放标准》（</w:t>
      </w:r>
      <w:r>
        <w:t>GB12348-2008</w:t>
      </w:r>
      <w:r>
        <w:rPr>
          <w:rFonts w:hint="eastAsia"/>
        </w:rPr>
        <w:t>）中3类标准。噪声污染防治措施可行。</w:t>
      </w:r>
    </w:p>
    <w:p>
      <w:pPr>
        <w:spacing w:line="360" w:lineRule="auto"/>
        <w:ind w:firstLine="480" w:firstLineChars="200"/>
      </w:pPr>
      <w:r>
        <w:rPr>
          <w:rFonts w:hint="eastAsia"/>
        </w:rPr>
        <w:t>（5）固体废弃物污染防治措施结论</w:t>
      </w:r>
    </w:p>
    <w:p>
      <w:pPr>
        <w:spacing w:line="360" w:lineRule="auto"/>
        <w:ind w:firstLine="480" w:firstLineChars="200"/>
      </w:pPr>
      <w:r>
        <w:rPr>
          <w:rFonts w:hint="eastAsia"/>
        </w:rPr>
        <w:t>格栅渣与脱水后的污泥运输要使用密闭的专用运输车；员工生活产生的生活垃圾，由环卫部门统一收集处理。本项目固废能够实现全部有效处置。因此，本项目固废污染防治措施可行。</w:t>
      </w:r>
    </w:p>
    <w:p>
      <w:pPr>
        <w:spacing w:line="360" w:lineRule="auto"/>
        <w:ind w:firstLine="480" w:firstLineChars="200"/>
      </w:pPr>
      <w:r>
        <w:rPr>
          <w:rFonts w:hint="eastAsia"/>
        </w:rPr>
        <w:t>（6）土壤环境污染防治措施结论</w:t>
      </w:r>
    </w:p>
    <w:p>
      <w:pPr>
        <w:spacing w:line="360" w:lineRule="auto"/>
        <w:ind w:firstLine="480" w:firstLineChars="200"/>
        <w:rPr>
          <w:rFonts w:cs="Times New Roman"/>
          <w:szCs w:val="24"/>
        </w:rPr>
      </w:pPr>
      <w:r>
        <w:rPr>
          <w:rFonts w:cs="Times New Roman"/>
          <w:szCs w:val="24"/>
        </w:rPr>
        <w:t>调节池、污泥池、AAO池等严格按照设计规范要求采取防渗措施和事故应急措施，一旦发生渗漏等非正常情况，立即采取应急措施，切断污染源。污泥暂存间应符合《一般工业废弃贮存、处置场污染控制标准》（GB18599-2001）要求，采取防渗措施，避免有毒有害物质渗入土壤，同时做好厂区绿化。</w:t>
      </w:r>
      <w:r>
        <w:rPr>
          <w:rFonts w:hint="eastAsia"/>
        </w:rPr>
        <w:t>因此，本项目土壤环境污染防治措施可行。</w:t>
      </w:r>
    </w:p>
    <w:p>
      <w:pPr>
        <w:spacing w:line="360" w:lineRule="auto"/>
        <w:ind w:firstLine="480" w:firstLineChars="200"/>
      </w:pPr>
      <w:r>
        <w:rPr>
          <w:rFonts w:hint="eastAsia"/>
        </w:rPr>
        <w:t>（7）环境风险防治措施结论</w:t>
      </w:r>
    </w:p>
    <w:p>
      <w:pPr>
        <w:spacing w:line="360" w:lineRule="auto"/>
        <w:ind w:firstLine="480" w:firstLineChars="200"/>
      </w:pPr>
      <w:r>
        <w:rPr>
          <w:rFonts w:hint="eastAsia"/>
        </w:rPr>
        <w:t>环境风险防治措施主要为设置事故应急池及制订环境风险事故应急预案等环境风险措施，采取风险防范措施后，其风险水平总体上是可以接受的。因此，环境风险防治措施可行。</w:t>
      </w:r>
    </w:p>
    <w:p>
      <w:pPr>
        <w:pStyle w:val="4"/>
        <w:adjustRightInd w:val="0"/>
        <w:snapToGrid w:val="0"/>
        <w:rPr>
          <w:color w:val="000000" w:themeColor="text1"/>
        </w:rPr>
      </w:pPr>
      <w:bookmarkStart w:id="326" w:name="_Toc21293"/>
      <w:bookmarkStart w:id="327" w:name="_Toc532497735"/>
      <w:bookmarkStart w:id="328" w:name="_Toc532763243"/>
      <w:bookmarkStart w:id="329" w:name="_Toc532498779"/>
      <w:bookmarkStart w:id="330" w:name="_Toc532376186"/>
      <w:r>
        <w:rPr>
          <w:rFonts w:hint="eastAsia"/>
          <w:color w:val="000000" w:themeColor="text1"/>
        </w:rPr>
        <w:t>项目政策符合性和选址合理性</w:t>
      </w:r>
      <w:bookmarkEnd w:id="326"/>
      <w:bookmarkEnd w:id="327"/>
      <w:bookmarkEnd w:id="328"/>
      <w:bookmarkEnd w:id="329"/>
      <w:bookmarkEnd w:id="330"/>
    </w:p>
    <w:p>
      <w:pPr>
        <w:pStyle w:val="5"/>
        <w:rPr>
          <w:color w:val="000000" w:themeColor="text1"/>
        </w:rPr>
      </w:pPr>
      <w:bookmarkStart w:id="331" w:name="_Toc532497736"/>
      <w:r>
        <w:rPr>
          <w:rFonts w:hint="eastAsia"/>
          <w:color w:val="000000" w:themeColor="text1"/>
        </w:rPr>
        <w:t>产业政策符合性</w:t>
      </w:r>
      <w:bookmarkEnd w:id="331"/>
    </w:p>
    <w:p>
      <w:pPr>
        <w:spacing w:line="360" w:lineRule="auto"/>
        <w:ind w:firstLine="480" w:firstLineChars="200"/>
        <w:rPr>
          <w:rFonts w:cs="Times New Roman"/>
        </w:rPr>
      </w:pPr>
      <w:r>
        <w:rPr>
          <w:rFonts w:cs="Times New Roman"/>
          <w:color w:val="000000" w:themeColor="text1"/>
          <w:szCs w:val="24"/>
        </w:rPr>
        <w:t>对照《产业结构调整指导目录》</w:t>
      </w:r>
      <w:r>
        <w:rPr>
          <w:rFonts w:cs="Times New Roman" w:hAnsiTheme="minorEastAsia"/>
          <w:color w:val="000000" w:themeColor="text1"/>
          <w:szCs w:val="24"/>
        </w:rPr>
        <w:t>（</w:t>
      </w:r>
      <w:r>
        <w:rPr>
          <w:rFonts w:cs="Times New Roman"/>
          <w:color w:val="000000" w:themeColor="text1"/>
          <w:szCs w:val="24"/>
        </w:rPr>
        <w:t>201</w:t>
      </w:r>
      <w:r>
        <w:rPr>
          <w:rFonts w:hint="eastAsia" w:cs="Times New Roman"/>
          <w:color w:val="000000" w:themeColor="text1"/>
          <w:szCs w:val="24"/>
        </w:rPr>
        <w:t>9</w:t>
      </w:r>
      <w:r>
        <w:rPr>
          <w:rFonts w:cs="Times New Roman" w:hAnsiTheme="minorEastAsia"/>
          <w:color w:val="000000" w:themeColor="text1"/>
          <w:szCs w:val="24"/>
        </w:rPr>
        <w:t>年本），本项目属于</w:t>
      </w:r>
      <w:r>
        <w:rPr>
          <w:rFonts w:cs="Times New Roman" w:asciiTheme="minorEastAsia" w:hAnsiTheme="minorEastAsia"/>
          <w:color w:val="000000" w:themeColor="text1"/>
          <w:szCs w:val="24"/>
        </w:rPr>
        <w:t>“</w:t>
      </w:r>
      <w:r>
        <w:rPr>
          <w:rFonts w:cs="Times New Roman" w:hAnsiTheme="minorEastAsia"/>
          <w:color w:val="000000" w:themeColor="text1"/>
          <w:szCs w:val="24"/>
        </w:rPr>
        <w:t>鼓励类</w:t>
      </w:r>
      <w:r>
        <w:rPr>
          <w:rFonts w:cs="Times New Roman" w:asciiTheme="minorEastAsia" w:hAnsiTheme="minorEastAsia"/>
          <w:color w:val="000000" w:themeColor="text1"/>
          <w:szCs w:val="24"/>
        </w:rPr>
        <w:t>”</w:t>
      </w:r>
      <w:r>
        <w:rPr>
          <w:rFonts w:cs="Times New Roman" w:hAnsiTheme="minorEastAsia"/>
          <w:color w:val="000000" w:themeColor="text1"/>
          <w:szCs w:val="24"/>
        </w:rPr>
        <w:t>第</w:t>
      </w:r>
      <w:r>
        <w:rPr>
          <w:rFonts w:hint="eastAsia" w:cs="Times New Roman" w:hAnsiTheme="minorEastAsia"/>
          <w:color w:val="000000" w:themeColor="text1"/>
          <w:szCs w:val="24"/>
        </w:rPr>
        <w:t>四十三</w:t>
      </w:r>
      <w:r>
        <w:rPr>
          <w:rFonts w:cs="Times New Roman" w:hAnsiTheme="minorEastAsia"/>
          <w:color w:val="000000" w:themeColor="text1"/>
          <w:szCs w:val="24"/>
        </w:rPr>
        <w:t>条</w:t>
      </w:r>
      <w:r>
        <w:rPr>
          <w:rFonts w:cs="Times New Roman" w:asciiTheme="minorEastAsia" w:hAnsiTheme="minorEastAsia"/>
          <w:color w:val="000000" w:themeColor="text1"/>
          <w:szCs w:val="24"/>
        </w:rPr>
        <w:t>“</w:t>
      </w:r>
      <w:r>
        <w:rPr>
          <w:rFonts w:hint="eastAsia" w:cs="Times New Roman" w:hAnsiTheme="minorEastAsia"/>
          <w:color w:val="000000" w:themeColor="text1"/>
          <w:szCs w:val="24"/>
        </w:rPr>
        <w:t>环境保护与资源节约综合利用</w:t>
      </w:r>
      <w:r>
        <w:rPr>
          <w:rFonts w:cs="Times New Roman" w:asciiTheme="minorEastAsia" w:hAnsiTheme="minorEastAsia"/>
          <w:color w:val="000000" w:themeColor="text1"/>
          <w:szCs w:val="24"/>
        </w:rPr>
        <w:t>”</w:t>
      </w:r>
      <w:r>
        <w:rPr>
          <w:rFonts w:cs="Times New Roman" w:hAnsiTheme="minorEastAsia"/>
          <w:color w:val="000000" w:themeColor="text1"/>
          <w:szCs w:val="24"/>
        </w:rPr>
        <w:t>中的</w:t>
      </w:r>
      <w:r>
        <w:rPr>
          <w:rFonts w:hint="eastAsia" w:cs="Times New Roman" w:hAnsiTheme="minorEastAsia"/>
          <w:color w:val="000000" w:themeColor="text1"/>
          <w:szCs w:val="24"/>
        </w:rPr>
        <w:t>第15条</w:t>
      </w:r>
      <w:r>
        <w:rPr>
          <w:rFonts w:cs="Times New Roman" w:asciiTheme="minorEastAsia" w:hAnsiTheme="minorEastAsia"/>
          <w:color w:val="000000" w:themeColor="text1"/>
          <w:szCs w:val="24"/>
        </w:rPr>
        <w:t>“</w:t>
      </w:r>
      <w:r>
        <w:rPr>
          <w:rFonts w:hint="eastAsia" w:cs="Times New Roman" w:hAnsiTheme="minorEastAsia"/>
          <w:color w:val="000000" w:themeColor="text1"/>
          <w:szCs w:val="24"/>
        </w:rPr>
        <w:t>三废综合利用及治理工程</w:t>
      </w:r>
      <w:r>
        <w:rPr>
          <w:rFonts w:cs="Times New Roman" w:asciiTheme="minorEastAsia" w:hAnsiTheme="minorEastAsia"/>
          <w:color w:val="000000" w:themeColor="text1"/>
          <w:szCs w:val="24"/>
        </w:rPr>
        <w:t>”</w:t>
      </w:r>
      <w:r>
        <w:rPr>
          <w:rFonts w:hint="eastAsia" w:cs="Times New Roman" w:hAnsiTheme="minorEastAsia"/>
          <w:color w:val="000000" w:themeColor="text1"/>
          <w:szCs w:val="24"/>
        </w:rPr>
        <w:t>同时本项目采用的工艺、设备不属于限制类和淘汰类中的相关内容</w:t>
      </w:r>
      <w:r>
        <w:rPr>
          <w:rFonts w:cs="Times New Roman"/>
          <w:color w:val="000000" w:themeColor="text1"/>
          <w:szCs w:val="24"/>
        </w:rPr>
        <w:t>。</w:t>
      </w:r>
      <w:r>
        <w:rPr>
          <w:rFonts w:hint="eastAsia" w:cs="Times New Roman"/>
          <w:color w:val="000000" w:themeColor="text1"/>
          <w:szCs w:val="24"/>
        </w:rPr>
        <w:t>因此，本项目符合国家现行产业政策</w:t>
      </w:r>
      <w:r>
        <w:rPr>
          <w:rFonts w:hint="eastAsia" w:cs="Times New Roman"/>
        </w:rPr>
        <w:t>。</w:t>
      </w:r>
    </w:p>
    <w:p>
      <w:pPr>
        <w:pStyle w:val="5"/>
        <w:rPr>
          <w:color w:val="000000" w:themeColor="text1"/>
        </w:rPr>
      </w:pPr>
      <w:bookmarkStart w:id="332" w:name="_Toc532497737"/>
      <w:r>
        <w:rPr>
          <w:rFonts w:hint="eastAsia"/>
          <w:color w:val="000000" w:themeColor="text1"/>
        </w:rPr>
        <w:t>选址合理性</w:t>
      </w:r>
      <w:bookmarkEnd w:id="332"/>
    </w:p>
    <w:p>
      <w:pPr>
        <w:spacing w:line="360" w:lineRule="auto"/>
        <w:ind w:firstLine="480" w:firstLineChars="200"/>
      </w:pPr>
      <w:r>
        <w:rPr>
          <w:rFonts w:hint="eastAsia"/>
        </w:rPr>
        <w:t>本项目污水处理厂位于华容县石伏村，</w:t>
      </w:r>
      <w:r>
        <w:rPr>
          <w:rFonts w:hint="eastAsia" w:hAnsi="宋体"/>
        </w:rPr>
        <w:t>总用地</w:t>
      </w:r>
      <w:r>
        <w:t>面积</w:t>
      </w:r>
      <w:r>
        <w:rPr>
          <w:rFonts w:hint="eastAsia"/>
        </w:rPr>
        <w:t>57494</w:t>
      </w:r>
      <w:r>
        <w:t>m</w:t>
      </w:r>
      <w:r>
        <w:rPr>
          <w:vertAlign w:val="superscript"/>
        </w:rPr>
        <w:t>2</w:t>
      </w:r>
      <w:r>
        <w:rPr>
          <w:rFonts w:hAnsi="宋体"/>
        </w:rPr>
        <w:t>，</w:t>
      </w:r>
      <w:r>
        <w:t>根据华容县城总体规划（</w:t>
      </w:r>
      <w:r>
        <w:rPr>
          <w:rFonts w:hint="eastAsia"/>
        </w:rPr>
        <w:t>2006年-</w:t>
      </w:r>
      <w:r>
        <w:t>2020年），</w:t>
      </w:r>
      <w:r>
        <w:rPr>
          <w:rFonts w:hint="eastAsia"/>
        </w:rPr>
        <w:t>其周边主要规划为工业用地</w:t>
      </w:r>
      <w:r>
        <w:rPr>
          <w:rFonts w:hint="eastAsia" w:hAnsi="宋体"/>
        </w:rPr>
        <w:t>，</w:t>
      </w:r>
      <w:r>
        <w:rPr>
          <w:rFonts w:hint="eastAsia"/>
        </w:rPr>
        <w:t>根据项目建设用地规划许可证（详见附件1），本项目用地性质属于环境设施用地，</w:t>
      </w:r>
      <w:r>
        <w:rPr>
          <w:rFonts w:hint="eastAsia" w:hAnsi="宋体"/>
        </w:rPr>
        <w:t>因此本项目选址不与当地的县城总体规划相冲突；项目选址离现有建成区和规划区都有一定的距离，周边村民较少，拟建地靠近华容河且位于下游段，出厂水排水管很短；而且临近公路，交通方便，项目所在地水、电供应均有保证，可满足生产需求，该区域无自然保护区、文物景观等环境敏感点。项目排污口具体位置以项目总平面布置图为准，项目建设排污口前需取得当地水利部门意见。综上所述，项目选址合理。</w:t>
      </w:r>
    </w:p>
    <w:p>
      <w:pPr>
        <w:pStyle w:val="4"/>
        <w:adjustRightInd w:val="0"/>
        <w:snapToGrid w:val="0"/>
        <w:rPr>
          <w:color w:val="000000" w:themeColor="text1"/>
        </w:rPr>
      </w:pPr>
      <w:bookmarkStart w:id="333" w:name="_Toc21885"/>
      <w:bookmarkStart w:id="334" w:name="_Toc532763247"/>
      <w:bookmarkStart w:id="335" w:name="_Toc532498783"/>
      <w:bookmarkStart w:id="336" w:name="_Toc532376190"/>
      <w:bookmarkStart w:id="337" w:name="_Toc532497741"/>
      <w:r>
        <w:rPr>
          <w:rFonts w:hint="eastAsia"/>
          <w:color w:val="000000" w:themeColor="text1"/>
        </w:rPr>
        <w:t>公众参与</w:t>
      </w:r>
      <w:bookmarkEnd w:id="333"/>
      <w:bookmarkEnd w:id="334"/>
      <w:bookmarkEnd w:id="335"/>
      <w:bookmarkEnd w:id="336"/>
      <w:bookmarkEnd w:id="337"/>
    </w:p>
    <w:p>
      <w:pPr>
        <w:adjustRightInd w:val="0"/>
        <w:snapToGrid w:val="0"/>
        <w:spacing w:line="360" w:lineRule="auto"/>
        <w:ind w:firstLine="480" w:firstLineChars="200"/>
        <w:rPr>
          <w:color w:val="000000" w:themeColor="text1"/>
        </w:rPr>
      </w:pPr>
      <w:r>
        <w:rPr>
          <w:rFonts w:hint="eastAsia"/>
          <w:color w:val="000000" w:themeColor="text1"/>
        </w:rPr>
        <w:t>根据建设单位提供的公众参与单行本，建设单位对项目所在地周围群众的调查，在被调查人中，均对本项目表示坚决支持，无反对意见，认为本项目可带动地方经济的发展，并相信企业能解决好环境污染问题。</w:t>
      </w:r>
    </w:p>
    <w:p>
      <w:pPr>
        <w:pStyle w:val="4"/>
        <w:adjustRightInd w:val="0"/>
        <w:snapToGrid w:val="0"/>
        <w:rPr>
          <w:color w:val="000000" w:themeColor="text1"/>
        </w:rPr>
      </w:pPr>
      <w:bookmarkStart w:id="338" w:name="_Toc532498784"/>
      <w:bookmarkStart w:id="339" w:name="_Toc532497742"/>
      <w:bookmarkStart w:id="340" w:name="_Toc1287"/>
      <w:bookmarkStart w:id="341" w:name="_Toc532763248"/>
      <w:bookmarkStart w:id="342" w:name="_Toc532376191"/>
      <w:r>
        <w:rPr>
          <w:rFonts w:hint="eastAsia"/>
          <w:color w:val="000000" w:themeColor="text1"/>
        </w:rPr>
        <w:t>总结论</w:t>
      </w:r>
      <w:bookmarkEnd w:id="338"/>
      <w:bookmarkEnd w:id="339"/>
      <w:bookmarkEnd w:id="340"/>
      <w:bookmarkEnd w:id="341"/>
      <w:bookmarkEnd w:id="342"/>
    </w:p>
    <w:p>
      <w:pPr>
        <w:adjustRightInd w:val="0"/>
        <w:snapToGrid w:val="0"/>
        <w:spacing w:line="360" w:lineRule="auto"/>
        <w:ind w:firstLine="480" w:firstLineChars="200"/>
        <w:rPr>
          <w:color w:val="000000" w:themeColor="text1"/>
        </w:rPr>
      </w:pPr>
      <w:r>
        <w:rPr>
          <w:color w:val="000000" w:themeColor="text1"/>
        </w:rPr>
        <w:t>本项目建设符合国家、地方的产业政策，项目选址合理、可行。项目采取了完善的污染治理措施，有效减少污染物排放量，降低项目对周围环境质量的影响，可维持评价范围内的环境质量功能目标要求。项目建立了各类风险防治措施和应急预案，可有效控制各类风险事故的发生。</w:t>
      </w:r>
    </w:p>
    <w:p>
      <w:pPr>
        <w:adjustRightInd w:val="0"/>
        <w:snapToGrid w:val="0"/>
        <w:spacing w:line="360" w:lineRule="auto"/>
        <w:ind w:firstLine="480" w:firstLineChars="200"/>
        <w:rPr>
          <w:color w:val="000000" w:themeColor="text1"/>
        </w:rPr>
      </w:pPr>
      <w:r>
        <w:rPr>
          <w:color w:val="000000" w:themeColor="text1"/>
        </w:rPr>
        <w:t>综上所述，本次评价认为项目严格执行</w:t>
      </w:r>
      <w:r>
        <w:rPr>
          <w:rFonts w:hint="eastAsia"/>
          <w:color w:val="000000" w:themeColor="text1"/>
        </w:rPr>
        <w:t>“</w:t>
      </w:r>
      <w:r>
        <w:rPr>
          <w:color w:val="000000" w:themeColor="text1"/>
        </w:rPr>
        <w:t>三同时</w:t>
      </w:r>
      <w:r>
        <w:rPr>
          <w:rFonts w:hint="eastAsia"/>
          <w:color w:val="000000" w:themeColor="text1"/>
        </w:rPr>
        <w:t>”</w:t>
      </w:r>
      <w:r>
        <w:rPr>
          <w:color w:val="000000" w:themeColor="text1"/>
        </w:rPr>
        <w:t>制度，加强环境管理，落实本报告中提出的各项污染防治措施和风险防治措施后，从环境保护角度来看该项目是可行的。</w:t>
      </w:r>
    </w:p>
    <w:p>
      <w:pPr>
        <w:pStyle w:val="4"/>
        <w:adjustRightInd w:val="0"/>
        <w:snapToGrid w:val="0"/>
        <w:rPr>
          <w:color w:val="000000" w:themeColor="text1"/>
        </w:rPr>
      </w:pPr>
      <w:bookmarkStart w:id="343" w:name="_Toc532497743"/>
      <w:bookmarkStart w:id="344" w:name="_Toc532376192"/>
      <w:bookmarkStart w:id="345" w:name="_Toc532763249"/>
      <w:bookmarkStart w:id="346" w:name="_Toc532498785"/>
      <w:bookmarkStart w:id="347" w:name="_Toc28461"/>
      <w:r>
        <w:rPr>
          <w:rFonts w:hint="eastAsia"/>
          <w:color w:val="000000" w:themeColor="text1"/>
        </w:rPr>
        <w:t>建议</w:t>
      </w:r>
      <w:bookmarkEnd w:id="343"/>
      <w:bookmarkEnd w:id="344"/>
      <w:bookmarkEnd w:id="345"/>
      <w:bookmarkEnd w:id="346"/>
      <w:bookmarkEnd w:id="347"/>
    </w:p>
    <w:p>
      <w:pPr>
        <w:adjustRightInd w:val="0"/>
        <w:snapToGrid w:val="0"/>
        <w:spacing w:line="360" w:lineRule="auto"/>
        <w:ind w:firstLine="480" w:firstLineChars="200"/>
        <w:rPr>
          <w:color w:val="000000" w:themeColor="text1"/>
        </w:rPr>
      </w:pPr>
      <w:r>
        <w:rPr>
          <w:rFonts w:hint="eastAsia"/>
          <w:color w:val="000000" w:themeColor="text1"/>
        </w:rPr>
        <w:t>（1）</w:t>
      </w:r>
      <w:r>
        <w:rPr>
          <w:color w:val="000000" w:themeColor="text1"/>
        </w:rPr>
        <w:t>建设单位必须按照本报告所提要求落实各项环保措施，严格执行“三同时”制度。</w:t>
      </w:r>
    </w:p>
    <w:p>
      <w:pPr>
        <w:adjustRightInd w:val="0"/>
        <w:snapToGrid w:val="0"/>
        <w:spacing w:line="360" w:lineRule="auto"/>
        <w:ind w:firstLine="480" w:firstLineChars="200"/>
        <w:rPr>
          <w:color w:val="000000" w:themeColor="text1"/>
        </w:rPr>
      </w:pPr>
      <w:r>
        <w:rPr>
          <w:rFonts w:hint="eastAsia"/>
          <w:color w:val="000000" w:themeColor="text1"/>
        </w:rPr>
        <w:t>（2）</w:t>
      </w:r>
      <w:r>
        <w:rPr>
          <w:color w:val="000000" w:themeColor="text1"/>
        </w:rPr>
        <w:t>建设单位应设立环保机构，配备专职环保人员负责环保工作，建立各项环保规章制度和环保岗位责任制，加强各类环保设施的管理与维护，确保环保设施的正常运行和各类污染物长期、稳定达标排放。</w:t>
      </w:r>
    </w:p>
    <w:p>
      <w:pPr>
        <w:adjustRightInd w:val="0"/>
        <w:snapToGrid w:val="0"/>
        <w:spacing w:line="360" w:lineRule="auto"/>
        <w:ind w:firstLine="480" w:firstLineChars="200"/>
        <w:rPr>
          <w:color w:val="000000" w:themeColor="text1"/>
        </w:rPr>
      </w:pPr>
      <w:r>
        <w:rPr>
          <w:rFonts w:hint="eastAsia"/>
          <w:color w:val="000000" w:themeColor="text1"/>
        </w:rPr>
        <w:t>（3）</w:t>
      </w:r>
      <w:r>
        <w:rPr>
          <w:color w:val="000000" w:themeColor="text1"/>
        </w:rPr>
        <w:t>加强厂区及厂区周围绿化，防止水土流失，改善环境。</w:t>
      </w:r>
    </w:p>
    <w:p>
      <w:pPr>
        <w:adjustRightInd w:val="0"/>
        <w:snapToGrid w:val="0"/>
        <w:spacing w:line="360" w:lineRule="auto"/>
        <w:ind w:firstLine="480" w:firstLineChars="200"/>
        <w:rPr>
          <w:color w:val="000000" w:themeColor="text1"/>
        </w:rPr>
      </w:pPr>
      <w:r>
        <w:rPr>
          <w:rFonts w:hint="eastAsia"/>
          <w:color w:val="000000" w:themeColor="text1"/>
        </w:rPr>
        <w:t>（4）</w:t>
      </w:r>
      <w:r>
        <w:rPr>
          <w:color w:val="000000" w:themeColor="text1"/>
        </w:rPr>
        <w:t>加强现场管理，对固体废物应分类登记，堆放到指定场所。</w:t>
      </w:r>
    </w:p>
    <w:p>
      <w:pPr>
        <w:adjustRightInd w:val="0"/>
        <w:snapToGrid w:val="0"/>
        <w:spacing w:line="360" w:lineRule="auto"/>
        <w:ind w:firstLine="480" w:firstLineChars="200"/>
        <w:rPr>
          <w:color w:val="000000" w:themeColor="text1"/>
        </w:rPr>
      </w:pPr>
      <w:r>
        <w:rPr>
          <w:rFonts w:hint="eastAsia"/>
          <w:color w:val="000000" w:themeColor="text1"/>
        </w:rPr>
        <w:t>（5）</w:t>
      </w:r>
      <w:r>
        <w:rPr>
          <w:color w:val="000000" w:themeColor="text1"/>
        </w:rPr>
        <w:t>建设单位采取有效措施防止发生各种事故、制定好各种事故风险防范和应急措施，增强事故防范意识，在发生事故后应立即停产检修，待一切正常后再生产。</w:t>
      </w:r>
    </w:p>
    <w:sectPr>
      <w:pgSz w:w="11906" w:h="16838"/>
      <w:pgMar w:top="1440" w:right="1440" w:bottom="1440" w:left="1440" w:header="851" w:footer="680" w:gutter="0"/>
      <w:pgBorders>
        <w:top w:val="none" w:sz="0" w:space="0"/>
        <w:left w:val="none" w:sz="0" w:space="0"/>
        <w:bottom w:val="none" w:sz="0" w:space="0"/>
        <w:right w:val="none" w:sz="0" w:space="0"/>
      </w:pgBorders>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10" w:usb3="00000000" w:csb0="00020001" w:csb1="00000000"/>
  </w:font>
  <w:font w:name="昆仑仿宋">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MS Mincho">
    <w:altName w:val="Kozuka Mincho Pro M"/>
    <w:panose1 w:val="02020609040205080304"/>
    <w:charset w:val="80"/>
    <w:family w:val="modern"/>
    <w:pitch w:val="default"/>
    <w:sig w:usb0="00000000" w:usb1="00000000" w:usb2="00000012" w:usb3="00000000" w:csb0="4002009F" w:csb1="DFD70000"/>
  </w:font>
  <w:font w:name="TimesNewRoman">
    <w:altName w:val="Kozuka Mincho Pro R"/>
    <w:panose1 w:val="00000000000000000000"/>
    <w:charset w:val="80"/>
    <w:family w:val="auto"/>
    <w:pitch w:val="default"/>
    <w:sig w:usb0="00000000" w:usb1="00000000" w:usb2="00000010" w:usb3="00000000" w:csb0="00020000" w:csb1="00000000"/>
  </w:font>
  <w:font w:name="方正宋三简体">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Kozuka Mincho Pro R">
    <w:panose1 w:val="02020400000000000000"/>
    <w:charset w:val="80"/>
    <w:family w:val="auto"/>
    <w:pitch w:val="default"/>
    <w:sig w:usb0="00000083" w:usb1="2AC71C11" w:usb2="00000012" w:usb3="00000000" w:csb0="20020005"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Kozuka Mincho Pro M">
    <w:panose1 w:val="02020600000000000000"/>
    <w:charset w:val="80"/>
    <w:family w:val="auto"/>
    <w:pitch w:val="default"/>
    <w:sig w:usb0="00000083" w:usb1="2AC71C11" w:usb2="00000012" w:usb3="00000000" w:csb0="20020005" w:csb1="00000000"/>
  </w:font>
  <w:font w:name="华文仿宋">
    <w:panose1 w:val="02010600040101010101"/>
    <w:charset w:val="86"/>
    <w:family w:val="auto"/>
    <w:pitch w:val="default"/>
    <w:sig w:usb0="00000287" w:usb1="080F0000" w:usb2="00000000" w:usb3="00000000" w:csb0="0004009F" w:csb1="DFD70000"/>
  </w:font>
  <w:font w:name="MS Mincho">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62423"/>
    </w:sdtPr>
    <w:sdtContent>
      <w:p>
        <w:pPr>
          <w:pStyle w:val="26"/>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A01A5A"/>
    <w:multiLevelType w:val="singleLevel"/>
    <w:tmpl w:val="B5A01A5A"/>
    <w:lvl w:ilvl="0" w:tentative="0">
      <w:start w:val="1"/>
      <w:numFmt w:val="decimal"/>
      <w:suff w:val="nothing"/>
      <w:lvlText w:val="（%1）"/>
      <w:lvlJc w:val="left"/>
    </w:lvl>
  </w:abstractNum>
  <w:abstractNum w:abstractNumId="1">
    <w:nsid w:val="C6140DAC"/>
    <w:multiLevelType w:val="singleLevel"/>
    <w:tmpl w:val="C6140DAC"/>
    <w:lvl w:ilvl="0" w:tentative="0">
      <w:start w:val="1"/>
      <w:numFmt w:val="decimal"/>
      <w:suff w:val="nothing"/>
      <w:lvlText w:val="（%1）"/>
      <w:lvlJc w:val="left"/>
    </w:lvl>
  </w:abstractNum>
  <w:abstractNum w:abstractNumId="2">
    <w:nsid w:val="DB5BBDB6"/>
    <w:multiLevelType w:val="singleLevel"/>
    <w:tmpl w:val="DB5BBDB6"/>
    <w:lvl w:ilvl="0" w:tentative="0">
      <w:start w:val="1"/>
      <w:numFmt w:val="decimal"/>
      <w:suff w:val="nothing"/>
      <w:lvlText w:val="（%1）"/>
      <w:lvlJc w:val="left"/>
    </w:lvl>
  </w:abstractNum>
  <w:abstractNum w:abstractNumId="3">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46"/>
      <w:lvlText w:val="%3."/>
      <w:lvlJc w:val="right"/>
      <w:pPr>
        <w:tabs>
          <w:tab w:val="left" w:pos="1260"/>
        </w:tabs>
        <w:ind w:left="1260" w:hanging="420"/>
      </w:pPr>
    </w:lvl>
    <w:lvl w:ilvl="3" w:tentative="0">
      <w:start w:val="1"/>
      <w:numFmt w:val="decimal"/>
      <w:pStyle w:val="4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3621FF8"/>
    <w:multiLevelType w:val="singleLevel"/>
    <w:tmpl w:val="13621FF8"/>
    <w:lvl w:ilvl="0" w:tentative="0">
      <w:start w:val="1"/>
      <w:numFmt w:val="decimal"/>
      <w:suff w:val="nothing"/>
      <w:lvlText w:val="（%1）"/>
      <w:lvlJc w:val="left"/>
    </w:lvl>
  </w:abstractNum>
  <w:abstractNum w:abstractNumId="5">
    <w:nsid w:val="159764A0"/>
    <w:multiLevelType w:val="multilevel"/>
    <w:tmpl w:val="159764A0"/>
    <w:lvl w:ilvl="0" w:tentative="0">
      <w:start w:val="1"/>
      <w:numFmt w:val="decimal"/>
      <w:pStyle w:val="2"/>
      <w:suff w:val="space"/>
      <w:lvlText w:val="%1"/>
      <w:lvlJc w:val="left"/>
      <w:pPr>
        <w:ind w:left="432" w:hanging="432"/>
      </w:pPr>
      <w:rPr>
        <w:rFonts w:hint="eastAsia"/>
      </w:rPr>
    </w:lvl>
    <w:lvl w:ilvl="1" w:tentative="0">
      <w:start w:val="1"/>
      <w:numFmt w:val="decimal"/>
      <w:pStyle w:val="4"/>
      <w:suff w:val="space"/>
      <w:lvlText w:val="%1.%2"/>
      <w:lvlJc w:val="left"/>
      <w:pPr>
        <w:ind w:left="576" w:hanging="576"/>
      </w:pPr>
      <w:rPr>
        <w:rFonts w:hint="eastAsia"/>
      </w:rPr>
    </w:lvl>
    <w:lvl w:ilvl="2" w:tentative="0">
      <w:start w:val="1"/>
      <w:numFmt w:val="decimal"/>
      <w:pStyle w:val="5"/>
      <w:suff w:val="space"/>
      <w:lvlText w:val="%1.%2.%3"/>
      <w:lvlJc w:val="left"/>
      <w:pPr>
        <w:ind w:left="3130" w:hanging="720"/>
      </w:pPr>
      <w:rPr>
        <w:rFonts w:hint="eastAsia"/>
      </w:rPr>
    </w:lvl>
    <w:lvl w:ilvl="3" w:tentative="0">
      <w:start w:val="1"/>
      <w:numFmt w:val="decimal"/>
      <w:pStyle w:val="6"/>
      <w:suff w:val="space"/>
      <w:lvlText w:val="%1.%2.%3.%4"/>
      <w:lvlJc w:val="left"/>
      <w:pPr>
        <w:ind w:left="3274" w:hanging="864"/>
      </w:pPr>
      <w:rPr>
        <w:rFonts w:hint="eastAsia"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6">
    <w:nsid w:val="1D337673"/>
    <w:multiLevelType w:val="multilevel"/>
    <w:tmpl w:val="1D337673"/>
    <w:lvl w:ilvl="0" w:tentative="0">
      <w:start w:val="1"/>
      <w:numFmt w:val="decimal"/>
      <w:suff w:val="nothing"/>
      <w:lvlText w:val="（%1）"/>
      <w:lvlJc w:val="left"/>
      <w:pPr>
        <w:ind w:left="85" w:firstLine="482"/>
      </w:pPr>
      <w:rPr>
        <w:rFonts w:hint="eastAsia"/>
        <w:b w:val="0"/>
        <w:sz w:val="24"/>
        <w:szCs w:val="24"/>
      </w:rPr>
    </w:lvl>
    <w:lvl w:ilvl="1" w:tentative="0">
      <w:start w:val="1"/>
      <w:numFmt w:val="decimalEnclosedParen"/>
      <w:lvlText w:val="%2、"/>
      <w:lvlJc w:val="left"/>
      <w:pPr>
        <w:ind w:left="1690" w:hanging="465"/>
      </w:pPr>
      <w:rPr>
        <w:rFonts w:hint="default" w:ascii="宋体" w:hAnsi="宋体" w:cs="宋体"/>
      </w:rPr>
    </w:lvl>
    <w:lvl w:ilvl="2" w:tentative="0">
      <w:start w:val="1"/>
      <w:numFmt w:val="lowerRoman"/>
      <w:lvlText w:val="%3."/>
      <w:lvlJc w:val="right"/>
      <w:pPr>
        <w:ind w:left="2065" w:hanging="420"/>
      </w:pPr>
    </w:lvl>
    <w:lvl w:ilvl="3" w:tentative="0">
      <w:start w:val="1"/>
      <w:numFmt w:val="decimal"/>
      <w:lvlText w:val="%4."/>
      <w:lvlJc w:val="left"/>
      <w:pPr>
        <w:ind w:left="2485" w:hanging="420"/>
      </w:pPr>
    </w:lvl>
    <w:lvl w:ilvl="4" w:tentative="0">
      <w:start w:val="1"/>
      <w:numFmt w:val="lowerLetter"/>
      <w:lvlText w:val="%5)"/>
      <w:lvlJc w:val="left"/>
      <w:pPr>
        <w:ind w:left="2905" w:hanging="420"/>
      </w:pPr>
    </w:lvl>
    <w:lvl w:ilvl="5" w:tentative="0">
      <w:start w:val="1"/>
      <w:numFmt w:val="lowerRoman"/>
      <w:lvlText w:val="%6."/>
      <w:lvlJc w:val="right"/>
      <w:pPr>
        <w:ind w:left="3325" w:hanging="420"/>
      </w:pPr>
    </w:lvl>
    <w:lvl w:ilvl="6" w:tentative="0">
      <w:start w:val="1"/>
      <w:numFmt w:val="decimal"/>
      <w:lvlText w:val="%7."/>
      <w:lvlJc w:val="left"/>
      <w:pPr>
        <w:ind w:left="3745" w:hanging="420"/>
      </w:pPr>
    </w:lvl>
    <w:lvl w:ilvl="7" w:tentative="0">
      <w:start w:val="1"/>
      <w:numFmt w:val="lowerLetter"/>
      <w:lvlText w:val="%8)"/>
      <w:lvlJc w:val="left"/>
      <w:pPr>
        <w:ind w:left="4165" w:hanging="420"/>
      </w:pPr>
    </w:lvl>
    <w:lvl w:ilvl="8" w:tentative="0">
      <w:start w:val="1"/>
      <w:numFmt w:val="lowerRoman"/>
      <w:lvlText w:val="%9."/>
      <w:lvlJc w:val="right"/>
      <w:pPr>
        <w:ind w:left="4585" w:hanging="420"/>
      </w:pPr>
    </w:lvl>
  </w:abstractNum>
  <w:abstractNum w:abstractNumId="7">
    <w:nsid w:val="1DA44EB4"/>
    <w:multiLevelType w:val="multilevel"/>
    <w:tmpl w:val="1DA44EB4"/>
    <w:lvl w:ilvl="0" w:tentative="0">
      <w:start w:val="1"/>
      <w:numFmt w:val="decimal"/>
      <w:suff w:val="nothing"/>
      <w:lvlText w:val="（%1）"/>
      <w:lvlJc w:val="left"/>
      <w:pPr>
        <w:ind w:left="85" w:firstLine="482"/>
      </w:pPr>
      <w:rPr>
        <w:rFonts w:hint="eastAsia"/>
        <w:b w:val="0"/>
        <w:sz w:val="24"/>
        <w:szCs w:val="24"/>
        <w:lang w:val="en-US"/>
      </w:rPr>
    </w:lvl>
    <w:lvl w:ilvl="1" w:tentative="0">
      <w:start w:val="1"/>
      <w:numFmt w:val="decimalEnclosedParen"/>
      <w:lvlText w:val="%2、"/>
      <w:lvlJc w:val="left"/>
      <w:pPr>
        <w:ind w:left="1690" w:hanging="465"/>
      </w:pPr>
      <w:rPr>
        <w:rFonts w:hint="default" w:ascii="宋体" w:hAnsi="宋体" w:cs="宋体"/>
      </w:rPr>
    </w:lvl>
    <w:lvl w:ilvl="2" w:tentative="0">
      <w:start w:val="1"/>
      <w:numFmt w:val="lowerRoman"/>
      <w:lvlText w:val="%3."/>
      <w:lvlJc w:val="right"/>
      <w:pPr>
        <w:ind w:left="2065" w:hanging="420"/>
      </w:pPr>
    </w:lvl>
    <w:lvl w:ilvl="3" w:tentative="0">
      <w:start w:val="1"/>
      <w:numFmt w:val="decimal"/>
      <w:lvlText w:val="%4."/>
      <w:lvlJc w:val="left"/>
      <w:pPr>
        <w:ind w:left="2485" w:hanging="420"/>
      </w:pPr>
    </w:lvl>
    <w:lvl w:ilvl="4" w:tentative="0">
      <w:start w:val="1"/>
      <w:numFmt w:val="lowerLetter"/>
      <w:lvlText w:val="%5)"/>
      <w:lvlJc w:val="left"/>
      <w:pPr>
        <w:ind w:left="2905" w:hanging="420"/>
      </w:pPr>
    </w:lvl>
    <w:lvl w:ilvl="5" w:tentative="0">
      <w:start w:val="1"/>
      <w:numFmt w:val="lowerRoman"/>
      <w:lvlText w:val="%6."/>
      <w:lvlJc w:val="right"/>
      <w:pPr>
        <w:ind w:left="3325" w:hanging="420"/>
      </w:pPr>
    </w:lvl>
    <w:lvl w:ilvl="6" w:tentative="0">
      <w:start w:val="1"/>
      <w:numFmt w:val="decimal"/>
      <w:lvlText w:val="%7."/>
      <w:lvlJc w:val="left"/>
      <w:pPr>
        <w:ind w:left="3745" w:hanging="420"/>
      </w:pPr>
    </w:lvl>
    <w:lvl w:ilvl="7" w:tentative="0">
      <w:start w:val="1"/>
      <w:numFmt w:val="lowerLetter"/>
      <w:lvlText w:val="%8)"/>
      <w:lvlJc w:val="left"/>
      <w:pPr>
        <w:ind w:left="4165" w:hanging="420"/>
      </w:pPr>
    </w:lvl>
    <w:lvl w:ilvl="8" w:tentative="0">
      <w:start w:val="1"/>
      <w:numFmt w:val="lowerRoman"/>
      <w:lvlText w:val="%9."/>
      <w:lvlJc w:val="right"/>
      <w:pPr>
        <w:ind w:left="4585" w:hanging="420"/>
      </w:pPr>
    </w:lvl>
  </w:abstractNum>
  <w:abstractNum w:abstractNumId="8">
    <w:nsid w:val="326028D3"/>
    <w:multiLevelType w:val="singleLevel"/>
    <w:tmpl w:val="326028D3"/>
    <w:lvl w:ilvl="0" w:tentative="0">
      <w:start w:val="1"/>
      <w:numFmt w:val="decimal"/>
      <w:suff w:val="nothing"/>
      <w:lvlText w:val="%1、"/>
      <w:lvlJc w:val="left"/>
    </w:lvl>
  </w:abstractNum>
  <w:abstractNum w:abstractNumId="9">
    <w:nsid w:val="3AC5BE5A"/>
    <w:multiLevelType w:val="singleLevel"/>
    <w:tmpl w:val="3AC5BE5A"/>
    <w:lvl w:ilvl="0" w:tentative="0">
      <w:start w:val="1"/>
      <w:numFmt w:val="decimal"/>
      <w:suff w:val="nothing"/>
      <w:lvlText w:val="（%1）"/>
      <w:lvlJc w:val="left"/>
    </w:lvl>
  </w:abstractNum>
  <w:abstractNum w:abstractNumId="10">
    <w:nsid w:val="3DA81F06"/>
    <w:multiLevelType w:val="multilevel"/>
    <w:tmpl w:val="3DA81F06"/>
    <w:lvl w:ilvl="0" w:tentative="0">
      <w:start w:val="1"/>
      <w:numFmt w:val="decimal"/>
      <w:suff w:val="nothing"/>
      <w:lvlText w:val="（%1）"/>
      <w:lvlJc w:val="left"/>
      <w:pPr>
        <w:ind w:left="0" w:firstLine="482"/>
      </w:pPr>
      <w:rPr>
        <w:rFonts w:hint="eastAsia"/>
        <w:b w:val="0"/>
        <w:sz w:val="24"/>
        <w:szCs w:val="24"/>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68694039"/>
    <w:multiLevelType w:val="multilevel"/>
    <w:tmpl w:val="68694039"/>
    <w:lvl w:ilvl="0" w:tentative="0">
      <w:start w:val="1"/>
      <w:numFmt w:val="decimal"/>
      <w:lvlText w:val="(%1)"/>
      <w:lvlJc w:val="left"/>
      <w:pPr>
        <w:ind w:left="852" w:hanging="420"/>
      </w:pPr>
      <w:rPr>
        <w:rFonts w:hint="eastAsia"/>
      </w:rPr>
    </w:lvl>
    <w:lvl w:ilvl="1" w:tentative="0">
      <w:start w:val="1"/>
      <w:numFmt w:val="lowerLetter"/>
      <w:lvlText w:val="%2)"/>
      <w:lvlJc w:val="left"/>
      <w:pPr>
        <w:ind w:left="1272" w:hanging="420"/>
      </w:pPr>
    </w:lvl>
    <w:lvl w:ilvl="2" w:tentative="0">
      <w:start w:val="1"/>
      <w:numFmt w:val="lowerRoman"/>
      <w:lvlText w:val="%3."/>
      <w:lvlJc w:val="right"/>
      <w:pPr>
        <w:ind w:left="1692" w:hanging="420"/>
      </w:pPr>
    </w:lvl>
    <w:lvl w:ilvl="3" w:tentative="0">
      <w:start w:val="1"/>
      <w:numFmt w:val="decimal"/>
      <w:lvlText w:val="%4."/>
      <w:lvlJc w:val="left"/>
      <w:pPr>
        <w:ind w:left="2112" w:hanging="420"/>
      </w:pPr>
    </w:lvl>
    <w:lvl w:ilvl="4" w:tentative="0">
      <w:start w:val="1"/>
      <w:numFmt w:val="lowerLetter"/>
      <w:lvlText w:val="%5)"/>
      <w:lvlJc w:val="left"/>
      <w:pPr>
        <w:ind w:left="2532" w:hanging="420"/>
      </w:pPr>
    </w:lvl>
    <w:lvl w:ilvl="5" w:tentative="0">
      <w:start w:val="1"/>
      <w:numFmt w:val="lowerRoman"/>
      <w:lvlText w:val="%6."/>
      <w:lvlJc w:val="right"/>
      <w:pPr>
        <w:ind w:left="2952" w:hanging="420"/>
      </w:pPr>
    </w:lvl>
    <w:lvl w:ilvl="6" w:tentative="0">
      <w:start w:val="1"/>
      <w:numFmt w:val="decimal"/>
      <w:lvlText w:val="%7."/>
      <w:lvlJc w:val="left"/>
      <w:pPr>
        <w:ind w:left="3372" w:hanging="420"/>
      </w:pPr>
    </w:lvl>
    <w:lvl w:ilvl="7" w:tentative="0">
      <w:start w:val="1"/>
      <w:numFmt w:val="lowerLetter"/>
      <w:lvlText w:val="%8)"/>
      <w:lvlJc w:val="left"/>
      <w:pPr>
        <w:ind w:left="3792" w:hanging="420"/>
      </w:pPr>
    </w:lvl>
    <w:lvl w:ilvl="8" w:tentative="0">
      <w:start w:val="1"/>
      <w:numFmt w:val="lowerRoman"/>
      <w:lvlText w:val="%9."/>
      <w:lvlJc w:val="right"/>
      <w:pPr>
        <w:ind w:left="4212" w:hanging="420"/>
      </w:pPr>
    </w:lvl>
  </w:abstractNum>
  <w:abstractNum w:abstractNumId="12">
    <w:nsid w:val="7062442D"/>
    <w:multiLevelType w:val="singleLevel"/>
    <w:tmpl w:val="7062442D"/>
    <w:lvl w:ilvl="0" w:tentative="0">
      <w:start w:val="1"/>
      <w:numFmt w:val="decimal"/>
      <w:suff w:val="nothing"/>
      <w:lvlText w:val="（%1）"/>
      <w:lvlJc w:val="left"/>
    </w:lvl>
  </w:abstractNum>
  <w:num w:numId="1">
    <w:abstractNumId w:val="5"/>
  </w:num>
  <w:num w:numId="2">
    <w:abstractNumId w:val="3"/>
  </w:num>
  <w:num w:numId="3">
    <w:abstractNumId w:val="8"/>
  </w:num>
  <w:num w:numId="4">
    <w:abstractNumId w:val="7"/>
  </w:num>
  <w:num w:numId="5">
    <w:abstractNumId w:val="6"/>
  </w:num>
  <w:num w:numId="6">
    <w:abstractNumId w:val="10"/>
  </w:num>
  <w:num w:numId="7">
    <w:abstractNumId w:val="2"/>
  </w:num>
  <w:num w:numId="8">
    <w:abstractNumId w:val="1"/>
  </w:num>
  <w:num w:numId="9">
    <w:abstractNumId w:val="11"/>
  </w:num>
  <w:num w:numId="10">
    <w:abstractNumId w:val="12"/>
  </w:num>
  <w:num w:numId="11">
    <w:abstractNumId w:val="4"/>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12F"/>
    <w:rsid w:val="00001493"/>
    <w:rsid w:val="00001770"/>
    <w:rsid w:val="000019EA"/>
    <w:rsid w:val="00001A02"/>
    <w:rsid w:val="00001BE6"/>
    <w:rsid w:val="00001CC0"/>
    <w:rsid w:val="00002122"/>
    <w:rsid w:val="00002C28"/>
    <w:rsid w:val="00002DBC"/>
    <w:rsid w:val="00003260"/>
    <w:rsid w:val="00003741"/>
    <w:rsid w:val="00004080"/>
    <w:rsid w:val="00004146"/>
    <w:rsid w:val="0000488D"/>
    <w:rsid w:val="000049AB"/>
    <w:rsid w:val="0000509D"/>
    <w:rsid w:val="00005580"/>
    <w:rsid w:val="0000585B"/>
    <w:rsid w:val="000066B2"/>
    <w:rsid w:val="00006ED0"/>
    <w:rsid w:val="000074F0"/>
    <w:rsid w:val="0000756E"/>
    <w:rsid w:val="000077EB"/>
    <w:rsid w:val="00007927"/>
    <w:rsid w:val="00007B3F"/>
    <w:rsid w:val="000105A3"/>
    <w:rsid w:val="0001072F"/>
    <w:rsid w:val="000109A6"/>
    <w:rsid w:val="00010F88"/>
    <w:rsid w:val="00011887"/>
    <w:rsid w:val="0001192D"/>
    <w:rsid w:val="00011C01"/>
    <w:rsid w:val="00013121"/>
    <w:rsid w:val="00013468"/>
    <w:rsid w:val="00013987"/>
    <w:rsid w:val="00013A93"/>
    <w:rsid w:val="00013AA9"/>
    <w:rsid w:val="0001440E"/>
    <w:rsid w:val="00014891"/>
    <w:rsid w:val="00014A4F"/>
    <w:rsid w:val="00014FF1"/>
    <w:rsid w:val="0001565A"/>
    <w:rsid w:val="00015CFA"/>
    <w:rsid w:val="00015DFD"/>
    <w:rsid w:val="000162F9"/>
    <w:rsid w:val="00016FBB"/>
    <w:rsid w:val="00016FF9"/>
    <w:rsid w:val="00017926"/>
    <w:rsid w:val="00017FD2"/>
    <w:rsid w:val="000202F8"/>
    <w:rsid w:val="00020C13"/>
    <w:rsid w:val="000218B5"/>
    <w:rsid w:val="000228B8"/>
    <w:rsid w:val="000234FC"/>
    <w:rsid w:val="00024BF3"/>
    <w:rsid w:val="000257B9"/>
    <w:rsid w:val="0002597E"/>
    <w:rsid w:val="00025BBD"/>
    <w:rsid w:val="000260F8"/>
    <w:rsid w:val="00026262"/>
    <w:rsid w:val="000262C2"/>
    <w:rsid w:val="00026446"/>
    <w:rsid w:val="00026714"/>
    <w:rsid w:val="000267A1"/>
    <w:rsid w:val="00026CBA"/>
    <w:rsid w:val="000305FA"/>
    <w:rsid w:val="00030A7A"/>
    <w:rsid w:val="00030E26"/>
    <w:rsid w:val="0003161C"/>
    <w:rsid w:val="000318F1"/>
    <w:rsid w:val="0003190D"/>
    <w:rsid w:val="00031AA4"/>
    <w:rsid w:val="0003272A"/>
    <w:rsid w:val="00032CF4"/>
    <w:rsid w:val="00033758"/>
    <w:rsid w:val="00033858"/>
    <w:rsid w:val="0003402B"/>
    <w:rsid w:val="00034483"/>
    <w:rsid w:val="00034B70"/>
    <w:rsid w:val="00034D74"/>
    <w:rsid w:val="00034E20"/>
    <w:rsid w:val="000350BF"/>
    <w:rsid w:val="000358A3"/>
    <w:rsid w:val="000366BE"/>
    <w:rsid w:val="000367A6"/>
    <w:rsid w:val="00036880"/>
    <w:rsid w:val="00036CC2"/>
    <w:rsid w:val="0003701F"/>
    <w:rsid w:val="000373BC"/>
    <w:rsid w:val="000376DC"/>
    <w:rsid w:val="00037D14"/>
    <w:rsid w:val="000402D3"/>
    <w:rsid w:val="000415CA"/>
    <w:rsid w:val="00043871"/>
    <w:rsid w:val="00043A5F"/>
    <w:rsid w:val="00045B1D"/>
    <w:rsid w:val="0004619A"/>
    <w:rsid w:val="00046742"/>
    <w:rsid w:val="00046854"/>
    <w:rsid w:val="00046998"/>
    <w:rsid w:val="00046CC4"/>
    <w:rsid w:val="00046FAF"/>
    <w:rsid w:val="00046FFB"/>
    <w:rsid w:val="00047A38"/>
    <w:rsid w:val="00047BCE"/>
    <w:rsid w:val="00047C0D"/>
    <w:rsid w:val="00047E44"/>
    <w:rsid w:val="000502E8"/>
    <w:rsid w:val="000510A1"/>
    <w:rsid w:val="00051F4B"/>
    <w:rsid w:val="000533E3"/>
    <w:rsid w:val="00053618"/>
    <w:rsid w:val="00053BD5"/>
    <w:rsid w:val="000543BE"/>
    <w:rsid w:val="0005578C"/>
    <w:rsid w:val="0005625D"/>
    <w:rsid w:val="000564E7"/>
    <w:rsid w:val="0005712B"/>
    <w:rsid w:val="000605F9"/>
    <w:rsid w:val="0006090E"/>
    <w:rsid w:val="00061708"/>
    <w:rsid w:val="00061B5A"/>
    <w:rsid w:val="00061E65"/>
    <w:rsid w:val="00062734"/>
    <w:rsid w:val="00063032"/>
    <w:rsid w:val="000637AC"/>
    <w:rsid w:val="00063E69"/>
    <w:rsid w:val="00063EFD"/>
    <w:rsid w:val="0006415C"/>
    <w:rsid w:val="000659D6"/>
    <w:rsid w:val="000660A6"/>
    <w:rsid w:val="00066287"/>
    <w:rsid w:val="00066E2F"/>
    <w:rsid w:val="00067257"/>
    <w:rsid w:val="000701C0"/>
    <w:rsid w:val="0007074E"/>
    <w:rsid w:val="0007099A"/>
    <w:rsid w:val="00071C85"/>
    <w:rsid w:val="000721F4"/>
    <w:rsid w:val="00072F05"/>
    <w:rsid w:val="00073C49"/>
    <w:rsid w:val="00073C92"/>
    <w:rsid w:val="0007441F"/>
    <w:rsid w:val="000745A6"/>
    <w:rsid w:val="00074B96"/>
    <w:rsid w:val="00074E72"/>
    <w:rsid w:val="0007566D"/>
    <w:rsid w:val="00075820"/>
    <w:rsid w:val="00075AD6"/>
    <w:rsid w:val="0007605D"/>
    <w:rsid w:val="00076798"/>
    <w:rsid w:val="00076E4D"/>
    <w:rsid w:val="000772E7"/>
    <w:rsid w:val="00077824"/>
    <w:rsid w:val="0008109D"/>
    <w:rsid w:val="00081B22"/>
    <w:rsid w:val="00082256"/>
    <w:rsid w:val="000825C4"/>
    <w:rsid w:val="00082CCC"/>
    <w:rsid w:val="00082D08"/>
    <w:rsid w:val="0008396B"/>
    <w:rsid w:val="00083EC4"/>
    <w:rsid w:val="00084C57"/>
    <w:rsid w:val="00085003"/>
    <w:rsid w:val="0008554B"/>
    <w:rsid w:val="00085AA3"/>
    <w:rsid w:val="00086248"/>
    <w:rsid w:val="0008687D"/>
    <w:rsid w:val="0008695C"/>
    <w:rsid w:val="00087E88"/>
    <w:rsid w:val="00090986"/>
    <w:rsid w:val="00090FDA"/>
    <w:rsid w:val="00091002"/>
    <w:rsid w:val="0009131C"/>
    <w:rsid w:val="000916F9"/>
    <w:rsid w:val="00091B16"/>
    <w:rsid w:val="00092021"/>
    <w:rsid w:val="00092076"/>
    <w:rsid w:val="000934A5"/>
    <w:rsid w:val="000940BF"/>
    <w:rsid w:val="000946EA"/>
    <w:rsid w:val="00094F4F"/>
    <w:rsid w:val="00096B63"/>
    <w:rsid w:val="0009715B"/>
    <w:rsid w:val="00097C96"/>
    <w:rsid w:val="00097F98"/>
    <w:rsid w:val="000A0343"/>
    <w:rsid w:val="000A0A58"/>
    <w:rsid w:val="000A0BAA"/>
    <w:rsid w:val="000A12BA"/>
    <w:rsid w:val="000A1491"/>
    <w:rsid w:val="000A16AD"/>
    <w:rsid w:val="000A1710"/>
    <w:rsid w:val="000A1DEC"/>
    <w:rsid w:val="000A29BD"/>
    <w:rsid w:val="000A3DB8"/>
    <w:rsid w:val="000A4136"/>
    <w:rsid w:val="000A446C"/>
    <w:rsid w:val="000A4F34"/>
    <w:rsid w:val="000A52F8"/>
    <w:rsid w:val="000A5610"/>
    <w:rsid w:val="000A5717"/>
    <w:rsid w:val="000A6077"/>
    <w:rsid w:val="000A73AE"/>
    <w:rsid w:val="000A778A"/>
    <w:rsid w:val="000B02EA"/>
    <w:rsid w:val="000B0A42"/>
    <w:rsid w:val="000B1708"/>
    <w:rsid w:val="000B21E7"/>
    <w:rsid w:val="000B24A9"/>
    <w:rsid w:val="000B2C3E"/>
    <w:rsid w:val="000B2DEC"/>
    <w:rsid w:val="000B3231"/>
    <w:rsid w:val="000B338F"/>
    <w:rsid w:val="000B35E5"/>
    <w:rsid w:val="000B3CF2"/>
    <w:rsid w:val="000B3E44"/>
    <w:rsid w:val="000B40D1"/>
    <w:rsid w:val="000B4685"/>
    <w:rsid w:val="000B46D4"/>
    <w:rsid w:val="000B4E29"/>
    <w:rsid w:val="000B54D2"/>
    <w:rsid w:val="000B58CF"/>
    <w:rsid w:val="000B5D06"/>
    <w:rsid w:val="000B70DC"/>
    <w:rsid w:val="000B7141"/>
    <w:rsid w:val="000B716D"/>
    <w:rsid w:val="000B76C0"/>
    <w:rsid w:val="000B7950"/>
    <w:rsid w:val="000B7A50"/>
    <w:rsid w:val="000B7F54"/>
    <w:rsid w:val="000C014A"/>
    <w:rsid w:val="000C1281"/>
    <w:rsid w:val="000C143E"/>
    <w:rsid w:val="000C1519"/>
    <w:rsid w:val="000C1D06"/>
    <w:rsid w:val="000C2911"/>
    <w:rsid w:val="000C296B"/>
    <w:rsid w:val="000C33EE"/>
    <w:rsid w:val="000C3D8E"/>
    <w:rsid w:val="000C43F5"/>
    <w:rsid w:val="000C45F7"/>
    <w:rsid w:val="000C4D2B"/>
    <w:rsid w:val="000C4E3E"/>
    <w:rsid w:val="000C5248"/>
    <w:rsid w:val="000C52A7"/>
    <w:rsid w:val="000C5949"/>
    <w:rsid w:val="000C5E79"/>
    <w:rsid w:val="000C784D"/>
    <w:rsid w:val="000D01BC"/>
    <w:rsid w:val="000D0757"/>
    <w:rsid w:val="000D0ABC"/>
    <w:rsid w:val="000D1A6E"/>
    <w:rsid w:val="000D216A"/>
    <w:rsid w:val="000D218D"/>
    <w:rsid w:val="000D21E4"/>
    <w:rsid w:val="000D221D"/>
    <w:rsid w:val="000D2236"/>
    <w:rsid w:val="000D29A1"/>
    <w:rsid w:val="000D2B62"/>
    <w:rsid w:val="000D2CD2"/>
    <w:rsid w:val="000D320D"/>
    <w:rsid w:val="000D3540"/>
    <w:rsid w:val="000D3E8A"/>
    <w:rsid w:val="000D3FD5"/>
    <w:rsid w:val="000D41B7"/>
    <w:rsid w:val="000D449F"/>
    <w:rsid w:val="000D488C"/>
    <w:rsid w:val="000D4BF7"/>
    <w:rsid w:val="000D51AA"/>
    <w:rsid w:val="000D57D1"/>
    <w:rsid w:val="000D57EB"/>
    <w:rsid w:val="000D5B58"/>
    <w:rsid w:val="000D5BA9"/>
    <w:rsid w:val="000D5E06"/>
    <w:rsid w:val="000D6A86"/>
    <w:rsid w:val="000D7609"/>
    <w:rsid w:val="000D7F7F"/>
    <w:rsid w:val="000E0269"/>
    <w:rsid w:val="000E03E6"/>
    <w:rsid w:val="000E04BC"/>
    <w:rsid w:val="000E110A"/>
    <w:rsid w:val="000E1174"/>
    <w:rsid w:val="000E1ABD"/>
    <w:rsid w:val="000E1AE0"/>
    <w:rsid w:val="000E2902"/>
    <w:rsid w:val="000E322E"/>
    <w:rsid w:val="000E44CD"/>
    <w:rsid w:val="000E4A24"/>
    <w:rsid w:val="000E6692"/>
    <w:rsid w:val="000E6C0B"/>
    <w:rsid w:val="000E6EE2"/>
    <w:rsid w:val="000E7B55"/>
    <w:rsid w:val="000F01AE"/>
    <w:rsid w:val="000F0327"/>
    <w:rsid w:val="000F03DB"/>
    <w:rsid w:val="000F06DD"/>
    <w:rsid w:val="000F10A2"/>
    <w:rsid w:val="000F139F"/>
    <w:rsid w:val="000F1A71"/>
    <w:rsid w:val="000F1CB0"/>
    <w:rsid w:val="000F2308"/>
    <w:rsid w:val="000F274E"/>
    <w:rsid w:val="000F2986"/>
    <w:rsid w:val="000F2BF1"/>
    <w:rsid w:val="000F325A"/>
    <w:rsid w:val="000F3378"/>
    <w:rsid w:val="000F3BB8"/>
    <w:rsid w:val="000F3CF0"/>
    <w:rsid w:val="000F45CA"/>
    <w:rsid w:val="000F494F"/>
    <w:rsid w:val="000F57C6"/>
    <w:rsid w:val="000F592A"/>
    <w:rsid w:val="000F5DFE"/>
    <w:rsid w:val="000F620E"/>
    <w:rsid w:val="000F684C"/>
    <w:rsid w:val="000F7767"/>
    <w:rsid w:val="001007B0"/>
    <w:rsid w:val="00100BE7"/>
    <w:rsid w:val="00101217"/>
    <w:rsid w:val="00101765"/>
    <w:rsid w:val="00101F5C"/>
    <w:rsid w:val="00102B96"/>
    <w:rsid w:val="00102E65"/>
    <w:rsid w:val="0010323C"/>
    <w:rsid w:val="001038B4"/>
    <w:rsid w:val="001038C8"/>
    <w:rsid w:val="001044A3"/>
    <w:rsid w:val="001046C4"/>
    <w:rsid w:val="001050C8"/>
    <w:rsid w:val="00105D96"/>
    <w:rsid w:val="00106277"/>
    <w:rsid w:val="001062F1"/>
    <w:rsid w:val="00106ADF"/>
    <w:rsid w:val="00106B11"/>
    <w:rsid w:val="00106B71"/>
    <w:rsid w:val="00106E4F"/>
    <w:rsid w:val="00107116"/>
    <w:rsid w:val="00107AAF"/>
    <w:rsid w:val="0011006B"/>
    <w:rsid w:val="001112FF"/>
    <w:rsid w:val="001113EF"/>
    <w:rsid w:val="00111E1D"/>
    <w:rsid w:val="00111EC9"/>
    <w:rsid w:val="00111F1F"/>
    <w:rsid w:val="00112918"/>
    <w:rsid w:val="0011318E"/>
    <w:rsid w:val="00114010"/>
    <w:rsid w:val="0011450D"/>
    <w:rsid w:val="0011549A"/>
    <w:rsid w:val="00115FE1"/>
    <w:rsid w:val="001171BA"/>
    <w:rsid w:val="00117408"/>
    <w:rsid w:val="001174CB"/>
    <w:rsid w:val="00117578"/>
    <w:rsid w:val="001201F0"/>
    <w:rsid w:val="0012079B"/>
    <w:rsid w:val="001212B8"/>
    <w:rsid w:val="001214B4"/>
    <w:rsid w:val="00121D4F"/>
    <w:rsid w:val="00121D5A"/>
    <w:rsid w:val="001224AB"/>
    <w:rsid w:val="00122BB6"/>
    <w:rsid w:val="00123652"/>
    <w:rsid w:val="00123AB8"/>
    <w:rsid w:val="00124042"/>
    <w:rsid w:val="001242C8"/>
    <w:rsid w:val="001245DD"/>
    <w:rsid w:val="0012471D"/>
    <w:rsid w:val="00124A87"/>
    <w:rsid w:val="00124B36"/>
    <w:rsid w:val="00125126"/>
    <w:rsid w:val="001259CF"/>
    <w:rsid w:val="00125DDF"/>
    <w:rsid w:val="00126738"/>
    <w:rsid w:val="0012689C"/>
    <w:rsid w:val="00126E24"/>
    <w:rsid w:val="00126FAC"/>
    <w:rsid w:val="001275E0"/>
    <w:rsid w:val="00127A17"/>
    <w:rsid w:val="00127A44"/>
    <w:rsid w:val="00127B41"/>
    <w:rsid w:val="001303E2"/>
    <w:rsid w:val="00130572"/>
    <w:rsid w:val="00130C38"/>
    <w:rsid w:val="00131326"/>
    <w:rsid w:val="00132735"/>
    <w:rsid w:val="00132A59"/>
    <w:rsid w:val="00132A73"/>
    <w:rsid w:val="00133048"/>
    <w:rsid w:val="00133C8D"/>
    <w:rsid w:val="001342BA"/>
    <w:rsid w:val="001347B4"/>
    <w:rsid w:val="0013485D"/>
    <w:rsid w:val="00135291"/>
    <w:rsid w:val="00135494"/>
    <w:rsid w:val="001365E2"/>
    <w:rsid w:val="001365FC"/>
    <w:rsid w:val="00136DC6"/>
    <w:rsid w:val="00136DED"/>
    <w:rsid w:val="00137E64"/>
    <w:rsid w:val="00137FDC"/>
    <w:rsid w:val="00140CFA"/>
    <w:rsid w:val="00140E05"/>
    <w:rsid w:val="00140F07"/>
    <w:rsid w:val="0014157E"/>
    <w:rsid w:val="0014195C"/>
    <w:rsid w:val="00142998"/>
    <w:rsid w:val="001431AC"/>
    <w:rsid w:val="00143625"/>
    <w:rsid w:val="001437E5"/>
    <w:rsid w:val="001439D4"/>
    <w:rsid w:val="001442AE"/>
    <w:rsid w:val="00144C4C"/>
    <w:rsid w:val="0014516A"/>
    <w:rsid w:val="00145213"/>
    <w:rsid w:val="001463DA"/>
    <w:rsid w:val="001464F1"/>
    <w:rsid w:val="00146C0B"/>
    <w:rsid w:val="0014787B"/>
    <w:rsid w:val="001478E3"/>
    <w:rsid w:val="00151378"/>
    <w:rsid w:val="001532AC"/>
    <w:rsid w:val="001539BB"/>
    <w:rsid w:val="00153CD0"/>
    <w:rsid w:val="0015402C"/>
    <w:rsid w:val="001549CD"/>
    <w:rsid w:val="0015532E"/>
    <w:rsid w:val="0015534E"/>
    <w:rsid w:val="001554F2"/>
    <w:rsid w:val="00155AFC"/>
    <w:rsid w:val="00155EDF"/>
    <w:rsid w:val="001563DB"/>
    <w:rsid w:val="001568B8"/>
    <w:rsid w:val="00157A09"/>
    <w:rsid w:val="001601B4"/>
    <w:rsid w:val="00160394"/>
    <w:rsid w:val="001604D1"/>
    <w:rsid w:val="001604F4"/>
    <w:rsid w:val="00160913"/>
    <w:rsid w:val="00160BD3"/>
    <w:rsid w:val="001613F4"/>
    <w:rsid w:val="00161FB8"/>
    <w:rsid w:val="00162240"/>
    <w:rsid w:val="001627B7"/>
    <w:rsid w:val="001629AE"/>
    <w:rsid w:val="00162E94"/>
    <w:rsid w:val="00164413"/>
    <w:rsid w:val="00164D7B"/>
    <w:rsid w:val="001656F8"/>
    <w:rsid w:val="001657C4"/>
    <w:rsid w:val="001661D6"/>
    <w:rsid w:val="001666C2"/>
    <w:rsid w:val="00166AFE"/>
    <w:rsid w:val="00166E8E"/>
    <w:rsid w:val="00167F4B"/>
    <w:rsid w:val="0017011E"/>
    <w:rsid w:val="00170122"/>
    <w:rsid w:val="00170FD6"/>
    <w:rsid w:val="00171041"/>
    <w:rsid w:val="001716F2"/>
    <w:rsid w:val="00171880"/>
    <w:rsid w:val="00171A12"/>
    <w:rsid w:val="00172661"/>
    <w:rsid w:val="00172A27"/>
    <w:rsid w:val="00172D28"/>
    <w:rsid w:val="001738FA"/>
    <w:rsid w:val="00173D2D"/>
    <w:rsid w:val="00174070"/>
    <w:rsid w:val="001745EB"/>
    <w:rsid w:val="00174FD5"/>
    <w:rsid w:val="001754CF"/>
    <w:rsid w:val="001754F6"/>
    <w:rsid w:val="001755AC"/>
    <w:rsid w:val="00175688"/>
    <w:rsid w:val="0017686C"/>
    <w:rsid w:val="00176C5F"/>
    <w:rsid w:val="00177A27"/>
    <w:rsid w:val="0018062D"/>
    <w:rsid w:val="00181048"/>
    <w:rsid w:val="00181DD4"/>
    <w:rsid w:val="00182567"/>
    <w:rsid w:val="00182D97"/>
    <w:rsid w:val="00184610"/>
    <w:rsid w:val="001847DB"/>
    <w:rsid w:val="00186136"/>
    <w:rsid w:val="0018631A"/>
    <w:rsid w:val="001865A7"/>
    <w:rsid w:val="00186758"/>
    <w:rsid w:val="0018704D"/>
    <w:rsid w:val="0018746F"/>
    <w:rsid w:val="0018786D"/>
    <w:rsid w:val="001878CF"/>
    <w:rsid w:val="001913AB"/>
    <w:rsid w:val="001914A3"/>
    <w:rsid w:val="00192D25"/>
    <w:rsid w:val="00193279"/>
    <w:rsid w:val="00193C6C"/>
    <w:rsid w:val="00194443"/>
    <w:rsid w:val="00194523"/>
    <w:rsid w:val="00194ACA"/>
    <w:rsid w:val="0019529B"/>
    <w:rsid w:val="0019600B"/>
    <w:rsid w:val="00196171"/>
    <w:rsid w:val="00196BCA"/>
    <w:rsid w:val="00197049"/>
    <w:rsid w:val="00197865"/>
    <w:rsid w:val="001979C5"/>
    <w:rsid w:val="00197C6A"/>
    <w:rsid w:val="001A03C7"/>
    <w:rsid w:val="001A03D3"/>
    <w:rsid w:val="001A0879"/>
    <w:rsid w:val="001A0C26"/>
    <w:rsid w:val="001A1EC1"/>
    <w:rsid w:val="001A22A7"/>
    <w:rsid w:val="001A24C1"/>
    <w:rsid w:val="001A31F6"/>
    <w:rsid w:val="001A3D89"/>
    <w:rsid w:val="001A3E7E"/>
    <w:rsid w:val="001A3F45"/>
    <w:rsid w:val="001A47DD"/>
    <w:rsid w:val="001A50DC"/>
    <w:rsid w:val="001A5203"/>
    <w:rsid w:val="001A53C0"/>
    <w:rsid w:val="001A56A6"/>
    <w:rsid w:val="001A5BB2"/>
    <w:rsid w:val="001A5ECD"/>
    <w:rsid w:val="001A647A"/>
    <w:rsid w:val="001A7473"/>
    <w:rsid w:val="001A75D8"/>
    <w:rsid w:val="001A7624"/>
    <w:rsid w:val="001B06AE"/>
    <w:rsid w:val="001B212A"/>
    <w:rsid w:val="001B23A9"/>
    <w:rsid w:val="001B2966"/>
    <w:rsid w:val="001B2C48"/>
    <w:rsid w:val="001B2E4E"/>
    <w:rsid w:val="001B3EED"/>
    <w:rsid w:val="001B4BA7"/>
    <w:rsid w:val="001B50FF"/>
    <w:rsid w:val="001B554E"/>
    <w:rsid w:val="001B62D5"/>
    <w:rsid w:val="001B6409"/>
    <w:rsid w:val="001B6504"/>
    <w:rsid w:val="001B66E0"/>
    <w:rsid w:val="001B6949"/>
    <w:rsid w:val="001B6C38"/>
    <w:rsid w:val="001C0036"/>
    <w:rsid w:val="001C0813"/>
    <w:rsid w:val="001C08B6"/>
    <w:rsid w:val="001C0B45"/>
    <w:rsid w:val="001C1183"/>
    <w:rsid w:val="001C11F1"/>
    <w:rsid w:val="001C131F"/>
    <w:rsid w:val="001C181E"/>
    <w:rsid w:val="001C1BD9"/>
    <w:rsid w:val="001C20C9"/>
    <w:rsid w:val="001C3994"/>
    <w:rsid w:val="001C3F35"/>
    <w:rsid w:val="001C4E6F"/>
    <w:rsid w:val="001C5BE5"/>
    <w:rsid w:val="001C5DEB"/>
    <w:rsid w:val="001C5EE7"/>
    <w:rsid w:val="001C6338"/>
    <w:rsid w:val="001C667E"/>
    <w:rsid w:val="001C7513"/>
    <w:rsid w:val="001C79C3"/>
    <w:rsid w:val="001C7E40"/>
    <w:rsid w:val="001D06B3"/>
    <w:rsid w:val="001D0DD8"/>
    <w:rsid w:val="001D0F1A"/>
    <w:rsid w:val="001D0F2A"/>
    <w:rsid w:val="001D271C"/>
    <w:rsid w:val="001D29A5"/>
    <w:rsid w:val="001D384D"/>
    <w:rsid w:val="001D38A2"/>
    <w:rsid w:val="001D38FF"/>
    <w:rsid w:val="001D3A93"/>
    <w:rsid w:val="001D3C6E"/>
    <w:rsid w:val="001D43EC"/>
    <w:rsid w:val="001D4BD9"/>
    <w:rsid w:val="001D56BB"/>
    <w:rsid w:val="001D5C01"/>
    <w:rsid w:val="001D5F5C"/>
    <w:rsid w:val="001D6507"/>
    <w:rsid w:val="001D6D5E"/>
    <w:rsid w:val="001D6DEF"/>
    <w:rsid w:val="001D7092"/>
    <w:rsid w:val="001D7516"/>
    <w:rsid w:val="001D7991"/>
    <w:rsid w:val="001D7C63"/>
    <w:rsid w:val="001E018C"/>
    <w:rsid w:val="001E06A1"/>
    <w:rsid w:val="001E07C4"/>
    <w:rsid w:val="001E0B9C"/>
    <w:rsid w:val="001E0BF2"/>
    <w:rsid w:val="001E0DAB"/>
    <w:rsid w:val="001E14A4"/>
    <w:rsid w:val="001E155D"/>
    <w:rsid w:val="001E15E7"/>
    <w:rsid w:val="001E269B"/>
    <w:rsid w:val="001E2AF4"/>
    <w:rsid w:val="001E2C54"/>
    <w:rsid w:val="001E34FE"/>
    <w:rsid w:val="001E37A0"/>
    <w:rsid w:val="001E38DE"/>
    <w:rsid w:val="001E4842"/>
    <w:rsid w:val="001E4889"/>
    <w:rsid w:val="001E4BD3"/>
    <w:rsid w:val="001E5294"/>
    <w:rsid w:val="001E5E09"/>
    <w:rsid w:val="001E60C1"/>
    <w:rsid w:val="001E6676"/>
    <w:rsid w:val="001E6B3C"/>
    <w:rsid w:val="001F0BC5"/>
    <w:rsid w:val="001F10FA"/>
    <w:rsid w:val="001F15F5"/>
    <w:rsid w:val="001F1917"/>
    <w:rsid w:val="001F20BA"/>
    <w:rsid w:val="001F265F"/>
    <w:rsid w:val="001F2951"/>
    <w:rsid w:val="001F2BE7"/>
    <w:rsid w:val="001F34D3"/>
    <w:rsid w:val="001F37C3"/>
    <w:rsid w:val="001F388D"/>
    <w:rsid w:val="001F3BBB"/>
    <w:rsid w:val="001F3DF4"/>
    <w:rsid w:val="001F481B"/>
    <w:rsid w:val="001F481F"/>
    <w:rsid w:val="001F4CA4"/>
    <w:rsid w:val="001F4F68"/>
    <w:rsid w:val="001F531C"/>
    <w:rsid w:val="001F55BD"/>
    <w:rsid w:val="001F645C"/>
    <w:rsid w:val="001F66C0"/>
    <w:rsid w:val="001F677B"/>
    <w:rsid w:val="001F705B"/>
    <w:rsid w:val="001F729E"/>
    <w:rsid w:val="001F75F4"/>
    <w:rsid w:val="001F781B"/>
    <w:rsid w:val="001F7951"/>
    <w:rsid w:val="002008A4"/>
    <w:rsid w:val="002008D9"/>
    <w:rsid w:val="00200C2B"/>
    <w:rsid w:val="00201451"/>
    <w:rsid w:val="00201662"/>
    <w:rsid w:val="00201676"/>
    <w:rsid w:val="002016AD"/>
    <w:rsid w:val="00202384"/>
    <w:rsid w:val="00202B15"/>
    <w:rsid w:val="00203193"/>
    <w:rsid w:val="00204B0F"/>
    <w:rsid w:val="00204B3B"/>
    <w:rsid w:val="00205163"/>
    <w:rsid w:val="00205200"/>
    <w:rsid w:val="00205926"/>
    <w:rsid w:val="00205F9C"/>
    <w:rsid w:val="0020657B"/>
    <w:rsid w:val="002068EA"/>
    <w:rsid w:val="00206B14"/>
    <w:rsid w:val="00206D5F"/>
    <w:rsid w:val="002071BB"/>
    <w:rsid w:val="0020725F"/>
    <w:rsid w:val="00207296"/>
    <w:rsid w:val="0021002B"/>
    <w:rsid w:val="002100DD"/>
    <w:rsid w:val="00210364"/>
    <w:rsid w:val="00210A79"/>
    <w:rsid w:val="00211373"/>
    <w:rsid w:val="00211477"/>
    <w:rsid w:val="00211839"/>
    <w:rsid w:val="00211FF8"/>
    <w:rsid w:val="0021213F"/>
    <w:rsid w:val="0021401F"/>
    <w:rsid w:val="0021405F"/>
    <w:rsid w:val="00214420"/>
    <w:rsid w:val="0021531D"/>
    <w:rsid w:val="00215821"/>
    <w:rsid w:val="00215E2E"/>
    <w:rsid w:val="00216102"/>
    <w:rsid w:val="0021621E"/>
    <w:rsid w:val="0021659E"/>
    <w:rsid w:val="00216CAA"/>
    <w:rsid w:val="00216CFB"/>
    <w:rsid w:val="00216D08"/>
    <w:rsid w:val="00216F47"/>
    <w:rsid w:val="00217052"/>
    <w:rsid w:val="0021729A"/>
    <w:rsid w:val="00217E0B"/>
    <w:rsid w:val="00220210"/>
    <w:rsid w:val="00220C4E"/>
    <w:rsid w:val="0022123D"/>
    <w:rsid w:val="00222635"/>
    <w:rsid w:val="002233B8"/>
    <w:rsid w:val="0022366D"/>
    <w:rsid w:val="00223682"/>
    <w:rsid w:val="00223F89"/>
    <w:rsid w:val="00224979"/>
    <w:rsid w:val="00224B03"/>
    <w:rsid w:val="002263AD"/>
    <w:rsid w:val="002265CB"/>
    <w:rsid w:val="00227080"/>
    <w:rsid w:val="00227463"/>
    <w:rsid w:val="002307A0"/>
    <w:rsid w:val="002307E3"/>
    <w:rsid w:val="00230EAE"/>
    <w:rsid w:val="00230F6A"/>
    <w:rsid w:val="00231AED"/>
    <w:rsid w:val="00231D21"/>
    <w:rsid w:val="00232421"/>
    <w:rsid w:val="002331A3"/>
    <w:rsid w:val="00233260"/>
    <w:rsid w:val="00233486"/>
    <w:rsid w:val="002339D4"/>
    <w:rsid w:val="002342C5"/>
    <w:rsid w:val="00234BB6"/>
    <w:rsid w:val="002354F9"/>
    <w:rsid w:val="002357C9"/>
    <w:rsid w:val="002373D7"/>
    <w:rsid w:val="00237570"/>
    <w:rsid w:val="00237858"/>
    <w:rsid w:val="00237A35"/>
    <w:rsid w:val="00237AFE"/>
    <w:rsid w:val="002400D4"/>
    <w:rsid w:val="002403EB"/>
    <w:rsid w:val="002407D1"/>
    <w:rsid w:val="00240CD6"/>
    <w:rsid w:val="002410D5"/>
    <w:rsid w:val="00241447"/>
    <w:rsid w:val="00241B41"/>
    <w:rsid w:val="00242AD4"/>
    <w:rsid w:val="00242AF7"/>
    <w:rsid w:val="00242E18"/>
    <w:rsid w:val="0024367C"/>
    <w:rsid w:val="00243FBE"/>
    <w:rsid w:val="00244801"/>
    <w:rsid w:val="00244C9C"/>
    <w:rsid w:val="0024554B"/>
    <w:rsid w:val="002463F3"/>
    <w:rsid w:val="0024654F"/>
    <w:rsid w:val="002465B0"/>
    <w:rsid w:val="0024697D"/>
    <w:rsid w:val="00247086"/>
    <w:rsid w:val="00247E4D"/>
    <w:rsid w:val="00250C71"/>
    <w:rsid w:val="002511DD"/>
    <w:rsid w:val="00251F84"/>
    <w:rsid w:val="00252278"/>
    <w:rsid w:val="0025282E"/>
    <w:rsid w:val="002539B6"/>
    <w:rsid w:val="00253F84"/>
    <w:rsid w:val="00254097"/>
    <w:rsid w:val="002542B1"/>
    <w:rsid w:val="00255504"/>
    <w:rsid w:val="0025628A"/>
    <w:rsid w:val="00256B42"/>
    <w:rsid w:val="002571DE"/>
    <w:rsid w:val="00257543"/>
    <w:rsid w:val="00257634"/>
    <w:rsid w:val="002609C2"/>
    <w:rsid w:val="00262F8E"/>
    <w:rsid w:val="0026379A"/>
    <w:rsid w:val="00263B14"/>
    <w:rsid w:val="002654AE"/>
    <w:rsid w:val="002654BB"/>
    <w:rsid w:val="00265AD8"/>
    <w:rsid w:val="00266277"/>
    <w:rsid w:val="00266487"/>
    <w:rsid w:val="0026690B"/>
    <w:rsid w:val="00266A50"/>
    <w:rsid w:val="00266C27"/>
    <w:rsid w:val="00266D92"/>
    <w:rsid w:val="00266F58"/>
    <w:rsid w:val="002673FF"/>
    <w:rsid w:val="00267494"/>
    <w:rsid w:val="00267840"/>
    <w:rsid w:val="00267F72"/>
    <w:rsid w:val="00270096"/>
    <w:rsid w:val="0027029D"/>
    <w:rsid w:val="00270945"/>
    <w:rsid w:val="00270E07"/>
    <w:rsid w:val="00270E3D"/>
    <w:rsid w:val="00271AEA"/>
    <w:rsid w:val="00271E94"/>
    <w:rsid w:val="00271FEF"/>
    <w:rsid w:val="00272161"/>
    <w:rsid w:val="002723BB"/>
    <w:rsid w:val="00272A09"/>
    <w:rsid w:val="0027354F"/>
    <w:rsid w:val="002739FF"/>
    <w:rsid w:val="002746FE"/>
    <w:rsid w:val="00274718"/>
    <w:rsid w:val="00274B5A"/>
    <w:rsid w:val="00275750"/>
    <w:rsid w:val="002765CD"/>
    <w:rsid w:val="00276DD8"/>
    <w:rsid w:val="00276DE2"/>
    <w:rsid w:val="002773A7"/>
    <w:rsid w:val="002777C2"/>
    <w:rsid w:val="00281002"/>
    <w:rsid w:val="002817E2"/>
    <w:rsid w:val="002821E9"/>
    <w:rsid w:val="00282952"/>
    <w:rsid w:val="00282B6C"/>
    <w:rsid w:val="00283B55"/>
    <w:rsid w:val="00283F86"/>
    <w:rsid w:val="00284143"/>
    <w:rsid w:val="002845C8"/>
    <w:rsid w:val="00284650"/>
    <w:rsid w:val="00284F51"/>
    <w:rsid w:val="0028505F"/>
    <w:rsid w:val="002854DB"/>
    <w:rsid w:val="00285554"/>
    <w:rsid w:val="00285C1F"/>
    <w:rsid w:val="0028635A"/>
    <w:rsid w:val="0028659E"/>
    <w:rsid w:val="00286CE8"/>
    <w:rsid w:val="00287203"/>
    <w:rsid w:val="002873A7"/>
    <w:rsid w:val="002874A4"/>
    <w:rsid w:val="002875D8"/>
    <w:rsid w:val="00287C6E"/>
    <w:rsid w:val="00287DFD"/>
    <w:rsid w:val="00287F7F"/>
    <w:rsid w:val="002903E3"/>
    <w:rsid w:val="00290D15"/>
    <w:rsid w:val="00290D48"/>
    <w:rsid w:val="0029124D"/>
    <w:rsid w:val="00291656"/>
    <w:rsid w:val="00291925"/>
    <w:rsid w:val="00291CB0"/>
    <w:rsid w:val="00291E7F"/>
    <w:rsid w:val="00292039"/>
    <w:rsid w:val="002929C7"/>
    <w:rsid w:val="00293897"/>
    <w:rsid w:val="0029401B"/>
    <w:rsid w:val="00294A15"/>
    <w:rsid w:val="00294BF4"/>
    <w:rsid w:val="00294C1B"/>
    <w:rsid w:val="002950EB"/>
    <w:rsid w:val="00295839"/>
    <w:rsid w:val="00296571"/>
    <w:rsid w:val="002A0820"/>
    <w:rsid w:val="002A11E4"/>
    <w:rsid w:val="002A160B"/>
    <w:rsid w:val="002A1693"/>
    <w:rsid w:val="002A17FC"/>
    <w:rsid w:val="002A200B"/>
    <w:rsid w:val="002A21C8"/>
    <w:rsid w:val="002A222C"/>
    <w:rsid w:val="002A25E7"/>
    <w:rsid w:val="002A27FF"/>
    <w:rsid w:val="002A2919"/>
    <w:rsid w:val="002A2A0B"/>
    <w:rsid w:val="002A36CE"/>
    <w:rsid w:val="002A4362"/>
    <w:rsid w:val="002A456D"/>
    <w:rsid w:val="002A5E6B"/>
    <w:rsid w:val="002A61A3"/>
    <w:rsid w:val="002A6AED"/>
    <w:rsid w:val="002A6FB4"/>
    <w:rsid w:val="002A7247"/>
    <w:rsid w:val="002A788F"/>
    <w:rsid w:val="002A7C09"/>
    <w:rsid w:val="002B0CD4"/>
    <w:rsid w:val="002B0D12"/>
    <w:rsid w:val="002B0ED5"/>
    <w:rsid w:val="002B1061"/>
    <w:rsid w:val="002B11C2"/>
    <w:rsid w:val="002B1233"/>
    <w:rsid w:val="002B202C"/>
    <w:rsid w:val="002B2187"/>
    <w:rsid w:val="002B2433"/>
    <w:rsid w:val="002B25E7"/>
    <w:rsid w:val="002B2940"/>
    <w:rsid w:val="002B2968"/>
    <w:rsid w:val="002B30B6"/>
    <w:rsid w:val="002B327E"/>
    <w:rsid w:val="002B3C97"/>
    <w:rsid w:val="002B4410"/>
    <w:rsid w:val="002B4994"/>
    <w:rsid w:val="002B4EBF"/>
    <w:rsid w:val="002B5A5E"/>
    <w:rsid w:val="002B6ADA"/>
    <w:rsid w:val="002B772D"/>
    <w:rsid w:val="002B7785"/>
    <w:rsid w:val="002C127B"/>
    <w:rsid w:val="002C195E"/>
    <w:rsid w:val="002C1A3C"/>
    <w:rsid w:val="002C1ED5"/>
    <w:rsid w:val="002C2365"/>
    <w:rsid w:val="002C250B"/>
    <w:rsid w:val="002C3551"/>
    <w:rsid w:val="002C3691"/>
    <w:rsid w:val="002C3CFD"/>
    <w:rsid w:val="002C4B3A"/>
    <w:rsid w:val="002C4BAE"/>
    <w:rsid w:val="002C62D8"/>
    <w:rsid w:val="002C65A2"/>
    <w:rsid w:val="002C6A8A"/>
    <w:rsid w:val="002C730C"/>
    <w:rsid w:val="002C74D3"/>
    <w:rsid w:val="002C7AC4"/>
    <w:rsid w:val="002C7D4C"/>
    <w:rsid w:val="002D0079"/>
    <w:rsid w:val="002D0100"/>
    <w:rsid w:val="002D0B4F"/>
    <w:rsid w:val="002D0C1B"/>
    <w:rsid w:val="002D11F7"/>
    <w:rsid w:val="002D23E2"/>
    <w:rsid w:val="002D288A"/>
    <w:rsid w:val="002D28D7"/>
    <w:rsid w:val="002D2E06"/>
    <w:rsid w:val="002D372C"/>
    <w:rsid w:val="002D3BE6"/>
    <w:rsid w:val="002D3CD8"/>
    <w:rsid w:val="002D3E50"/>
    <w:rsid w:val="002D494F"/>
    <w:rsid w:val="002D4B20"/>
    <w:rsid w:val="002D6313"/>
    <w:rsid w:val="002D66D3"/>
    <w:rsid w:val="002D7205"/>
    <w:rsid w:val="002D7E09"/>
    <w:rsid w:val="002D7EC5"/>
    <w:rsid w:val="002E0238"/>
    <w:rsid w:val="002E046D"/>
    <w:rsid w:val="002E16DA"/>
    <w:rsid w:val="002E1BC8"/>
    <w:rsid w:val="002E29AC"/>
    <w:rsid w:val="002E31AD"/>
    <w:rsid w:val="002E324B"/>
    <w:rsid w:val="002E339D"/>
    <w:rsid w:val="002E3DDA"/>
    <w:rsid w:val="002E41FA"/>
    <w:rsid w:val="002E4E55"/>
    <w:rsid w:val="002E5607"/>
    <w:rsid w:val="002E57C7"/>
    <w:rsid w:val="002E5BA0"/>
    <w:rsid w:val="002E5E2A"/>
    <w:rsid w:val="002E67AD"/>
    <w:rsid w:val="002E6E48"/>
    <w:rsid w:val="002E6E57"/>
    <w:rsid w:val="002F048C"/>
    <w:rsid w:val="002F05ED"/>
    <w:rsid w:val="002F0A4D"/>
    <w:rsid w:val="002F0FCA"/>
    <w:rsid w:val="002F28EC"/>
    <w:rsid w:val="002F369C"/>
    <w:rsid w:val="002F4401"/>
    <w:rsid w:val="002F4B47"/>
    <w:rsid w:val="002F6033"/>
    <w:rsid w:val="002F7EED"/>
    <w:rsid w:val="002F7FDA"/>
    <w:rsid w:val="003000BA"/>
    <w:rsid w:val="003008EE"/>
    <w:rsid w:val="00301327"/>
    <w:rsid w:val="00301B8B"/>
    <w:rsid w:val="00301BD0"/>
    <w:rsid w:val="00301BD9"/>
    <w:rsid w:val="003024BB"/>
    <w:rsid w:val="003030EB"/>
    <w:rsid w:val="00303A4F"/>
    <w:rsid w:val="00303E9D"/>
    <w:rsid w:val="003042E8"/>
    <w:rsid w:val="003050DE"/>
    <w:rsid w:val="00305406"/>
    <w:rsid w:val="003061DA"/>
    <w:rsid w:val="003064AA"/>
    <w:rsid w:val="0030665B"/>
    <w:rsid w:val="00306F6F"/>
    <w:rsid w:val="00307846"/>
    <w:rsid w:val="00307C7E"/>
    <w:rsid w:val="00310394"/>
    <w:rsid w:val="00311297"/>
    <w:rsid w:val="003116D7"/>
    <w:rsid w:val="003122D0"/>
    <w:rsid w:val="00312617"/>
    <w:rsid w:val="0031271B"/>
    <w:rsid w:val="00312BC4"/>
    <w:rsid w:val="00313127"/>
    <w:rsid w:val="003138BB"/>
    <w:rsid w:val="00313B0D"/>
    <w:rsid w:val="00313BED"/>
    <w:rsid w:val="003150ED"/>
    <w:rsid w:val="003156E6"/>
    <w:rsid w:val="00315856"/>
    <w:rsid w:val="00317BDE"/>
    <w:rsid w:val="00317CBA"/>
    <w:rsid w:val="003202DA"/>
    <w:rsid w:val="0032031C"/>
    <w:rsid w:val="00321714"/>
    <w:rsid w:val="00321C94"/>
    <w:rsid w:val="0032205B"/>
    <w:rsid w:val="003221AC"/>
    <w:rsid w:val="0032242E"/>
    <w:rsid w:val="003224C2"/>
    <w:rsid w:val="003226EF"/>
    <w:rsid w:val="00322E5D"/>
    <w:rsid w:val="00323301"/>
    <w:rsid w:val="0032462C"/>
    <w:rsid w:val="00324F9D"/>
    <w:rsid w:val="00324FDE"/>
    <w:rsid w:val="003256B3"/>
    <w:rsid w:val="00326688"/>
    <w:rsid w:val="00326FE0"/>
    <w:rsid w:val="003274D7"/>
    <w:rsid w:val="0032792B"/>
    <w:rsid w:val="00330105"/>
    <w:rsid w:val="003309C0"/>
    <w:rsid w:val="0033142C"/>
    <w:rsid w:val="00331D94"/>
    <w:rsid w:val="00331E1E"/>
    <w:rsid w:val="0033209C"/>
    <w:rsid w:val="00332DE9"/>
    <w:rsid w:val="0033355E"/>
    <w:rsid w:val="00333CA6"/>
    <w:rsid w:val="00333D25"/>
    <w:rsid w:val="00333F85"/>
    <w:rsid w:val="00334923"/>
    <w:rsid w:val="00334B2B"/>
    <w:rsid w:val="00335356"/>
    <w:rsid w:val="00335906"/>
    <w:rsid w:val="00335E44"/>
    <w:rsid w:val="00336724"/>
    <w:rsid w:val="00336876"/>
    <w:rsid w:val="00336FCB"/>
    <w:rsid w:val="003370F1"/>
    <w:rsid w:val="00337CBC"/>
    <w:rsid w:val="00337EE9"/>
    <w:rsid w:val="00340346"/>
    <w:rsid w:val="00340749"/>
    <w:rsid w:val="00340FC9"/>
    <w:rsid w:val="00341570"/>
    <w:rsid w:val="003417AB"/>
    <w:rsid w:val="003427FC"/>
    <w:rsid w:val="00344414"/>
    <w:rsid w:val="003449B4"/>
    <w:rsid w:val="00344C1C"/>
    <w:rsid w:val="00344CF7"/>
    <w:rsid w:val="003459AF"/>
    <w:rsid w:val="00345A0C"/>
    <w:rsid w:val="00346434"/>
    <w:rsid w:val="00346C83"/>
    <w:rsid w:val="00346EC9"/>
    <w:rsid w:val="003472AE"/>
    <w:rsid w:val="003475B0"/>
    <w:rsid w:val="00350880"/>
    <w:rsid w:val="003516BB"/>
    <w:rsid w:val="0035180E"/>
    <w:rsid w:val="00351BA5"/>
    <w:rsid w:val="00351EA2"/>
    <w:rsid w:val="0035253E"/>
    <w:rsid w:val="00353DB3"/>
    <w:rsid w:val="00354208"/>
    <w:rsid w:val="00354918"/>
    <w:rsid w:val="00354C4C"/>
    <w:rsid w:val="003552EA"/>
    <w:rsid w:val="00355695"/>
    <w:rsid w:val="00356E7C"/>
    <w:rsid w:val="003573C9"/>
    <w:rsid w:val="003577CF"/>
    <w:rsid w:val="00357A4B"/>
    <w:rsid w:val="00361D82"/>
    <w:rsid w:val="00361FE6"/>
    <w:rsid w:val="003624F3"/>
    <w:rsid w:val="00362643"/>
    <w:rsid w:val="00362EF1"/>
    <w:rsid w:val="003635CE"/>
    <w:rsid w:val="00363B82"/>
    <w:rsid w:val="00363F25"/>
    <w:rsid w:val="003643E3"/>
    <w:rsid w:val="0036464B"/>
    <w:rsid w:val="003655AF"/>
    <w:rsid w:val="0036571F"/>
    <w:rsid w:val="00365A0B"/>
    <w:rsid w:val="00365AD4"/>
    <w:rsid w:val="0036658A"/>
    <w:rsid w:val="003669A8"/>
    <w:rsid w:val="00366E46"/>
    <w:rsid w:val="0036705A"/>
    <w:rsid w:val="003700DA"/>
    <w:rsid w:val="0037048E"/>
    <w:rsid w:val="003708FF"/>
    <w:rsid w:val="003718DD"/>
    <w:rsid w:val="00371EF9"/>
    <w:rsid w:val="00374D40"/>
    <w:rsid w:val="0037557F"/>
    <w:rsid w:val="003764C2"/>
    <w:rsid w:val="00376698"/>
    <w:rsid w:val="00376B8C"/>
    <w:rsid w:val="00377565"/>
    <w:rsid w:val="00377A7B"/>
    <w:rsid w:val="003801B7"/>
    <w:rsid w:val="0038069D"/>
    <w:rsid w:val="00380ACD"/>
    <w:rsid w:val="003813AD"/>
    <w:rsid w:val="003814BF"/>
    <w:rsid w:val="00381938"/>
    <w:rsid w:val="00381BC2"/>
    <w:rsid w:val="00381C1B"/>
    <w:rsid w:val="00381EDF"/>
    <w:rsid w:val="00382A9D"/>
    <w:rsid w:val="00382EA4"/>
    <w:rsid w:val="00383267"/>
    <w:rsid w:val="0038331C"/>
    <w:rsid w:val="003834F8"/>
    <w:rsid w:val="00383DB0"/>
    <w:rsid w:val="003843DE"/>
    <w:rsid w:val="003844F3"/>
    <w:rsid w:val="003850AB"/>
    <w:rsid w:val="00385DA8"/>
    <w:rsid w:val="00386311"/>
    <w:rsid w:val="003864DB"/>
    <w:rsid w:val="0038652E"/>
    <w:rsid w:val="0038681F"/>
    <w:rsid w:val="00386839"/>
    <w:rsid w:val="003870AE"/>
    <w:rsid w:val="00387518"/>
    <w:rsid w:val="00387CAC"/>
    <w:rsid w:val="00387FB3"/>
    <w:rsid w:val="003904FC"/>
    <w:rsid w:val="0039081D"/>
    <w:rsid w:val="003909E6"/>
    <w:rsid w:val="00391A53"/>
    <w:rsid w:val="003922E7"/>
    <w:rsid w:val="003923F2"/>
    <w:rsid w:val="003925B8"/>
    <w:rsid w:val="003929CC"/>
    <w:rsid w:val="00392C63"/>
    <w:rsid w:val="00392E4A"/>
    <w:rsid w:val="00393E26"/>
    <w:rsid w:val="00393FC6"/>
    <w:rsid w:val="00394603"/>
    <w:rsid w:val="00394618"/>
    <w:rsid w:val="00394FB9"/>
    <w:rsid w:val="00395168"/>
    <w:rsid w:val="003966E9"/>
    <w:rsid w:val="0039736F"/>
    <w:rsid w:val="003977FF"/>
    <w:rsid w:val="00397AD4"/>
    <w:rsid w:val="00397B90"/>
    <w:rsid w:val="00397C83"/>
    <w:rsid w:val="003A0BDA"/>
    <w:rsid w:val="003A120D"/>
    <w:rsid w:val="003A1A9F"/>
    <w:rsid w:val="003A24BC"/>
    <w:rsid w:val="003A26A1"/>
    <w:rsid w:val="003A2C00"/>
    <w:rsid w:val="003A3060"/>
    <w:rsid w:val="003A312E"/>
    <w:rsid w:val="003A3D97"/>
    <w:rsid w:val="003A4532"/>
    <w:rsid w:val="003A46FB"/>
    <w:rsid w:val="003A4A37"/>
    <w:rsid w:val="003A4DFE"/>
    <w:rsid w:val="003A60AE"/>
    <w:rsid w:val="003A6B4C"/>
    <w:rsid w:val="003A7AD9"/>
    <w:rsid w:val="003A7EBD"/>
    <w:rsid w:val="003B08B3"/>
    <w:rsid w:val="003B0973"/>
    <w:rsid w:val="003B0D57"/>
    <w:rsid w:val="003B1856"/>
    <w:rsid w:val="003B1984"/>
    <w:rsid w:val="003B1D51"/>
    <w:rsid w:val="003B1DA7"/>
    <w:rsid w:val="003B213D"/>
    <w:rsid w:val="003B2A82"/>
    <w:rsid w:val="003B31E0"/>
    <w:rsid w:val="003B376C"/>
    <w:rsid w:val="003B3E7C"/>
    <w:rsid w:val="003B4755"/>
    <w:rsid w:val="003B487C"/>
    <w:rsid w:val="003B4942"/>
    <w:rsid w:val="003B4A7C"/>
    <w:rsid w:val="003B4B88"/>
    <w:rsid w:val="003B527D"/>
    <w:rsid w:val="003B5F1F"/>
    <w:rsid w:val="003B5F81"/>
    <w:rsid w:val="003B772F"/>
    <w:rsid w:val="003B77B2"/>
    <w:rsid w:val="003B77F7"/>
    <w:rsid w:val="003B7846"/>
    <w:rsid w:val="003B788A"/>
    <w:rsid w:val="003B7898"/>
    <w:rsid w:val="003B7A14"/>
    <w:rsid w:val="003C02AA"/>
    <w:rsid w:val="003C05FE"/>
    <w:rsid w:val="003C0624"/>
    <w:rsid w:val="003C0892"/>
    <w:rsid w:val="003C0C6A"/>
    <w:rsid w:val="003C0CA8"/>
    <w:rsid w:val="003C2A65"/>
    <w:rsid w:val="003C31B4"/>
    <w:rsid w:val="003C3F1C"/>
    <w:rsid w:val="003C4B19"/>
    <w:rsid w:val="003C4FD0"/>
    <w:rsid w:val="003C5806"/>
    <w:rsid w:val="003C5FA4"/>
    <w:rsid w:val="003C64EA"/>
    <w:rsid w:val="003C6E8C"/>
    <w:rsid w:val="003C72A0"/>
    <w:rsid w:val="003C7F55"/>
    <w:rsid w:val="003D0197"/>
    <w:rsid w:val="003D1459"/>
    <w:rsid w:val="003D17F6"/>
    <w:rsid w:val="003D2567"/>
    <w:rsid w:val="003D2577"/>
    <w:rsid w:val="003D28E9"/>
    <w:rsid w:val="003D3671"/>
    <w:rsid w:val="003D4163"/>
    <w:rsid w:val="003D44A9"/>
    <w:rsid w:val="003D4F97"/>
    <w:rsid w:val="003D5352"/>
    <w:rsid w:val="003D5983"/>
    <w:rsid w:val="003D5D5F"/>
    <w:rsid w:val="003D6A61"/>
    <w:rsid w:val="003D6B5F"/>
    <w:rsid w:val="003D74CA"/>
    <w:rsid w:val="003D7F28"/>
    <w:rsid w:val="003E0522"/>
    <w:rsid w:val="003E0634"/>
    <w:rsid w:val="003E0D1B"/>
    <w:rsid w:val="003E1E8F"/>
    <w:rsid w:val="003E2118"/>
    <w:rsid w:val="003E5934"/>
    <w:rsid w:val="003E5AB2"/>
    <w:rsid w:val="003E611D"/>
    <w:rsid w:val="003E686E"/>
    <w:rsid w:val="003E727B"/>
    <w:rsid w:val="003E750D"/>
    <w:rsid w:val="003E7A73"/>
    <w:rsid w:val="003F03C1"/>
    <w:rsid w:val="003F0598"/>
    <w:rsid w:val="003F07AA"/>
    <w:rsid w:val="003F0ABB"/>
    <w:rsid w:val="003F0E93"/>
    <w:rsid w:val="003F13FD"/>
    <w:rsid w:val="003F142C"/>
    <w:rsid w:val="003F1FFA"/>
    <w:rsid w:val="003F20E8"/>
    <w:rsid w:val="003F2135"/>
    <w:rsid w:val="003F2841"/>
    <w:rsid w:val="003F3016"/>
    <w:rsid w:val="003F30CB"/>
    <w:rsid w:val="003F3810"/>
    <w:rsid w:val="003F3BFA"/>
    <w:rsid w:val="003F3F7A"/>
    <w:rsid w:val="003F4B73"/>
    <w:rsid w:val="003F4F9F"/>
    <w:rsid w:val="003F4FC4"/>
    <w:rsid w:val="003F5721"/>
    <w:rsid w:val="003F574C"/>
    <w:rsid w:val="003F5F77"/>
    <w:rsid w:val="003F6E3D"/>
    <w:rsid w:val="003F6E52"/>
    <w:rsid w:val="003F7CFC"/>
    <w:rsid w:val="00400363"/>
    <w:rsid w:val="004009C5"/>
    <w:rsid w:val="00400F36"/>
    <w:rsid w:val="0040124F"/>
    <w:rsid w:val="004038C1"/>
    <w:rsid w:val="00403E93"/>
    <w:rsid w:val="00405523"/>
    <w:rsid w:val="004055C7"/>
    <w:rsid w:val="004055D4"/>
    <w:rsid w:val="004067C4"/>
    <w:rsid w:val="00406B11"/>
    <w:rsid w:val="00406E58"/>
    <w:rsid w:val="00406FDA"/>
    <w:rsid w:val="00407E02"/>
    <w:rsid w:val="0041024F"/>
    <w:rsid w:val="00411C65"/>
    <w:rsid w:val="00411C83"/>
    <w:rsid w:val="00412360"/>
    <w:rsid w:val="0041273B"/>
    <w:rsid w:val="00412983"/>
    <w:rsid w:val="004137CF"/>
    <w:rsid w:val="00413E1F"/>
    <w:rsid w:val="00413F95"/>
    <w:rsid w:val="00414529"/>
    <w:rsid w:val="00414C2B"/>
    <w:rsid w:val="00414D94"/>
    <w:rsid w:val="0041501C"/>
    <w:rsid w:val="00415860"/>
    <w:rsid w:val="00415861"/>
    <w:rsid w:val="00415BF6"/>
    <w:rsid w:val="00416BF9"/>
    <w:rsid w:val="00420416"/>
    <w:rsid w:val="004212AA"/>
    <w:rsid w:val="00421B97"/>
    <w:rsid w:val="004226BF"/>
    <w:rsid w:val="00422E16"/>
    <w:rsid w:val="00422F0D"/>
    <w:rsid w:val="00424270"/>
    <w:rsid w:val="00424874"/>
    <w:rsid w:val="0042536A"/>
    <w:rsid w:val="00425C94"/>
    <w:rsid w:val="0042604F"/>
    <w:rsid w:val="0042608E"/>
    <w:rsid w:val="004265A2"/>
    <w:rsid w:val="00427400"/>
    <w:rsid w:val="00427A5F"/>
    <w:rsid w:val="0043043B"/>
    <w:rsid w:val="0043110A"/>
    <w:rsid w:val="00431587"/>
    <w:rsid w:val="004317B1"/>
    <w:rsid w:val="004317C3"/>
    <w:rsid w:val="00431B2C"/>
    <w:rsid w:val="00431BDC"/>
    <w:rsid w:val="00431DBB"/>
    <w:rsid w:val="00431F2B"/>
    <w:rsid w:val="00431F9B"/>
    <w:rsid w:val="00432632"/>
    <w:rsid w:val="00432A7E"/>
    <w:rsid w:val="00434854"/>
    <w:rsid w:val="00434DE6"/>
    <w:rsid w:val="00434EFE"/>
    <w:rsid w:val="004352F0"/>
    <w:rsid w:val="00435ABD"/>
    <w:rsid w:val="00436212"/>
    <w:rsid w:val="004362F7"/>
    <w:rsid w:val="004369E6"/>
    <w:rsid w:val="00436A31"/>
    <w:rsid w:val="00437251"/>
    <w:rsid w:val="00440551"/>
    <w:rsid w:val="004405B0"/>
    <w:rsid w:val="00440A9E"/>
    <w:rsid w:val="00440DED"/>
    <w:rsid w:val="004428AF"/>
    <w:rsid w:val="004428D1"/>
    <w:rsid w:val="0044338C"/>
    <w:rsid w:val="00443F91"/>
    <w:rsid w:val="004442CA"/>
    <w:rsid w:val="004448CD"/>
    <w:rsid w:val="0044591B"/>
    <w:rsid w:val="00446B11"/>
    <w:rsid w:val="00446D04"/>
    <w:rsid w:val="00446F93"/>
    <w:rsid w:val="004470B6"/>
    <w:rsid w:val="0044740E"/>
    <w:rsid w:val="00447825"/>
    <w:rsid w:val="004479F4"/>
    <w:rsid w:val="00450769"/>
    <w:rsid w:val="00450F17"/>
    <w:rsid w:val="00451042"/>
    <w:rsid w:val="00451206"/>
    <w:rsid w:val="00451218"/>
    <w:rsid w:val="004514C3"/>
    <w:rsid w:val="00451F4B"/>
    <w:rsid w:val="004528F3"/>
    <w:rsid w:val="004529C6"/>
    <w:rsid w:val="00452D61"/>
    <w:rsid w:val="0045312E"/>
    <w:rsid w:val="004539FB"/>
    <w:rsid w:val="004540CD"/>
    <w:rsid w:val="0045589B"/>
    <w:rsid w:val="004559E2"/>
    <w:rsid w:val="00455C71"/>
    <w:rsid w:val="00455D97"/>
    <w:rsid w:val="00455E9C"/>
    <w:rsid w:val="004560D3"/>
    <w:rsid w:val="004575B1"/>
    <w:rsid w:val="00457840"/>
    <w:rsid w:val="0046011B"/>
    <w:rsid w:val="00460372"/>
    <w:rsid w:val="00460ADC"/>
    <w:rsid w:val="00461061"/>
    <w:rsid w:val="004612FA"/>
    <w:rsid w:val="00463501"/>
    <w:rsid w:val="00463556"/>
    <w:rsid w:val="00463737"/>
    <w:rsid w:val="004637B6"/>
    <w:rsid w:val="00463B25"/>
    <w:rsid w:val="00463B53"/>
    <w:rsid w:val="00463D12"/>
    <w:rsid w:val="004648A8"/>
    <w:rsid w:val="004649F4"/>
    <w:rsid w:val="00464CC3"/>
    <w:rsid w:val="004656DB"/>
    <w:rsid w:val="004659FF"/>
    <w:rsid w:val="00466978"/>
    <w:rsid w:val="00467430"/>
    <w:rsid w:val="00467C9A"/>
    <w:rsid w:val="004704B5"/>
    <w:rsid w:val="004706CA"/>
    <w:rsid w:val="004706FB"/>
    <w:rsid w:val="00470887"/>
    <w:rsid w:val="00470A9F"/>
    <w:rsid w:val="00470C17"/>
    <w:rsid w:val="004712E2"/>
    <w:rsid w:val="00471831"/>
    <w:rsid w:val="0047192A"/>
    <w:rsid w:val="00471997"/>
    <w:rsid w:val="00471AAD"/>
    <w:rsid w:val="004724A8"/>
    <w:rsid w:val="00472EAD"/>
    <w:rsid w:val="0047419C"/>
    <w:rsid w:val="00474D29"/>
    <w:rsid w:val="00474F72"/>
    <w:rsid w:val="0047502C"/>
    <w:rsid w:val="004753F1"/>
    <w:rsid w:val="00476070"/>
    <w:rsid w:val="00476497"/>
    <w:rsid w:val="00476571"/>
    <w:rsid w:val="00476FE5"/>
    <w:rsid w:val="004776F3"/>
    <w:rsid w:val="00477846"/>
    <w:rsid w:val="00480758"/>
    <w:rsid w:val="00481455"/>
    <w:rsid w:val="00481A93"/>
    <w:rsid w:val="0048232C"/>
    <w:rsid w:val="00482AFC"/>
    <w:rsid w:val="00482B46"/>
    <w:rsid w:val="00482ED7"/>
    <w:rsid w:val="00483058"/>
    <w:rsid w:val="00483610"/>
    <w:rsid w:val="00483B24"/>
    <w:rsid w:val="0048426C"/>
    <w:rsid w:val="0048504D"/>
    <w:rsid w:val="0048599D"/>
    <w:rsid w:val="0048639C"/>
    <w:rsid w:val="00486677"/>
    <w:rsid w:val="0048729E"/>
    <w:rsid w:val="00487F84"/>
    <w:rsid w:val="00490BCD"/>
    <w:rsid w:val="00490C63"/>
    <w:rsid w:val="00490E8C"/>
    <w:rsid w:val="00491BBB"/>
    <w:rsid w:val="0049207C"/>
    <w:rsid w:val="0049219F"/>
    <w:rsid w:val="00492456"/>
    <w:rsid w:val="0049289C"/>
    <w:rsid w:val="004939C8"/>
    <w:rsid w:val="00493AB6"/>
    <w:rsid w:val="00493DB0"/>
    <w:rsid w:val="004940B3"/>
    <w:rsid w:val="004952AC"/>
    <w:rsid w:val="00495560"/>
    <w:rsid w:val="004956BC"/>
    <w:rsid w:val="00495FDD"/>
    <w:rsid w:val="004962BC"/>
    <w:rsid w:val="00496AC6"/>
    <w:rsid w:val="00496C53"/>
    <w:rsid w:val="00496DA4"/>
    <w:rsid w:val="00497218"/>
    <w:rsid w:val="004972D3"/>
    <w:rsid w:val="004975BC"/>
    <w:rsid w:val="004A01FF"/>
    <w:rsid w:val="004A06A4"/>
    <w:rsid w:val="004A2309"/>
    <w:rsid w:val="004A2643"/>
    <w:rsid w:val="004A2F26"/>
    <w:rsid w:val="004A319B"/>
    <w:rsid w:val="004A338D"/>
    <w:rsid w:val="004A3650"/>
    <w:rsid w:val="004A3890"/>
    <w:rsid w:val="004A423C"/>
    <w:rsid w:val="004A4258"/>
    <w:rsid w:val="004A453E"/>
    <w:rsid w:val="004A4AD1"/>
    <w:rsid w:val="004A5C46"/>
    <w:rsid w:val="004A634D"/>
    <w:rsid w:val="004A63CF"/>
    <w:rsid w:val="004A63FC"/>
    <w:rsid w:val="004A6F5D"/>
    <w:rsid w:val="004A71AB"/>
    <w:rsid w:val="004A763E"/>
    <w:rsid w:val="004A7669"/>
    <w:rsid w:val="004A775E"/>
    <w:rsid w:val="004A77DC"/>
    <w:rsid w:val="004B0062"/>
    <w:rsid w:val="004B017B"/>
    <w:rsid w:val="004B035A"/>
    <w:rsid w:val="004B0456"/>
    <w:rsid w:val="004B1439"/>
    <w:rsid w:val="004B1544"/>
    <w:rsid w:val="004B1BA6"/>
    <w:rsid w:val="004B1F41"/>
    <w:rsid w:val="004B21E6"/>
    <w:rsid w:val="004B27F2"/>
    <w:rsid w:val="004B3ADB"/>
    <w:rsid w:val="004B3DDA"/>
    <w:rsid w:val="004B4CF8"/>
    <w:rsid w:val="004B4D94"/>
    <w:rsid w:val="004B4E37"/>
    <w:rsid w:val="004B4EFC"/>
    <w:rsid w:val="004B7F74"/>
    <w:rsid w:val="004C10FA"/>
    <w:rsid w:val="004C133A"/>
    <w:rsid w:val="004C1703"/>
    <w:rsid w:val="004C1A5F"/>
    <w:rsid w:val="004C1BCC"/>
    <w:rsid w:val="004C220F"/>
    <w:rsid w:val="004C228F"/>
    <w:rsid w:val="004C2E49"/>
    <w:rsid w:val="004C33F2"/>
    <w:rsid w:val="004C341D"/>
    <w:rsid w:val="004C39B5"/>
    <w:rsid w:val="004C4338"/>
    <w:rsid w:val="004C46F8"/>
    <w:rsid w:val="004C4700"/>
    <w:rsid w:val="004C47A1"/>
    <w:rsid w:val="004C48CB"/>
    <w:rsid w:val="004C49F4"/>
    <w:rsid w:val="004C4E81"/>
    <w:rsid w:val="004C4F97"/>
    <w:rsid w:val="004C50D3"/>
    <w:rsid w:val="004C50F1"/>
    <w:rsid w:val="004C603D"/>
    <w:rsid w:val="004C679D"/>
    <w:rsid w:val="004C75EF"/>
    <w:rsid w:val="004C7D00"/>
    <w:rsid w:val="004D0713"/>
    <w:rsid w:val="004D0F0D"/>
    <w:rsid w:val="004D14CC"/>
    <w:rsid w:val="004D1AB4"/>
    <w:rsid w:val="004D1B2D"/>
    <w:rsid w:val="004D2D86"/>
    <w:rsid w:val="004D2FE4"/>
    <w:rsid w:val="004D358C"/>
    <w:rsid w:val="004D3E82"/>
    <w:rsid w:val="004D4836"/>
    <w:rsid w:val="004D4CA1"/>
    <w:rsid w:val="004D5D6B"/>
    <w:rsid w:val="004D5EB3"/>
    <w:rsid w:val="004D63EC"/>
    <w:rsid w:val="004D64DF"/>
    <w:rsid w:val="004D6856"/>
    <w:rsid w:val="004D6B8E"/>
    <w:rsid w:val="004D6B93"/>
    <w:rsid w:val="004D70F5"/>
    <w:rsid w:val="004D797E"/>
    <w:rsid w:val="004D7AC9"/>
    <w:rsid w:val="004D7FA9"/>
    <w:rsid w:val="004E0916"/>
    <w:rsid w:val="004E0A98"/>
    <w:rsid w:val="004E10EA"/>
    <w:rsid w:val="004E131F"/>
    <w:rsid w:val="004E17B0"/>
    <w:rsid w:val="004E19D7"/>
    <w:rsid w:val="004E227C"/>
    <w:rsid w:val="004E2432"/>
    <w:rsid w:val="004E2D23"/>
    <w:rsid w:val="004E432F"/>
    <w:rsid w:val="004E4DDE"/>
    <w:rsid w:val="004E60E7"/>
    <w:rsid w:val="004E68DE"/>
    <w:rsid w:val="004E6CC2"/>
    <w:rsid w:val="004E7AD0"/>
    <w:rsid w:val="004F0C85"/>
    <w:rsid w:val="004F148B"/>
    <w:rsid w:val="004F2111"/>
    <w:rsid w:val="004F3838"/>
    <w:rsid w:val="004F3AAC"/>
    <w:rsid w:val="004F4863"/>
    <w:rsid w:val="004F49DE"/>
    <w:rsid w:val="004F4A14"/>
    <w:rsid w:val="004F4DC5"/>
    <w:rsid w:val="004F4E8F"/>
    <w:rsid w:val="004F4EF7"/>
    <w:rsid w:val="004F52CC"/>
    <w:rsid w:val="004F5734"/>
    <w:rsid w:val="004F5763"/>
    <w:rsid w:val="004F5B8E"/>
    <w:rsid w:val="004F6765"/>
    <w:rsid w:val="004F6C3A"/>
    <w:rsid w:val="004F70CD"/>
    <w:rsid w:val="004F7402"/>
    <w:rsid w:val="005009B8"/>
    <w:rsid w:val="00500FEC"/>
    <w:rsid w:val="00501956"/>
    <w:rsid w:val="00501F81"/>
    <w:rsid w:val="00502376"/>
    <w:rsid w:val="00502E68"/>
    <w:rsid w:val="00503015"/>
    <w:rsid w:val="00503ECA"/>
    <w:rsid w:val="005057AC"/>
    <w:rsid w:val="00505918"/>
    <w:rsid w:val="00505DFF"/>
    <w:rsid w:val="005072FE"/>
    <w:rsid w:val="0050730C"/>
    <w:rsid w:val="005078FD"/>
    <w:rsid w:val="00507900"/>
    <w:rsid w:val="00507C87"/>
    <w:rsid w:val="00507EDE"/>
    <w:rsid w:val="005101BC"/>
    <w:rsid w:val="005108A1"/>
    <w:rsid w:val="005108DB"/>
    <w:rsid w:val="00510F55"/>
    <w:rsid w:val="00511386"/>
    <w:rsid w:val="00511643"/>
    <w:rsid w:val="00512890"/>
    <w:rsid w:val="0051362E"/>
    <w:rsid w:val="00513BEF"/>
    <w:rsid w:val="00514106"/>
    <w:rsid w:val="00514403"/>
    <w:rsid w:val="00514776"/>
    <w:rsid w:val="0051585B"/>
    <w:rsid w:val="0051607A"/>
    <w:rsid w:val="005172E5"/>
    <w:rsid w:val="0051797B"/>
    <w:rsid w:val="00517B48"/>
    <w:rsid w:val="005205B6"/>
    <w:rsid w:val="0052060C"/>
    <w:rsid w:val="005215A9"/>
    <w:rsid w:val="00521650"/>
    <w:rsid w:val="00521D8D"/>
    <w:rsid w:val="0052222B"/>
    <w:rsid w:val="005227A5"/>
    <w:rsid w:val="00522FD2"/>
    <w:rsid w:val="005238F5"/>
    <w:rsid w:val="0052463F"/>
    <w:rsid w:val="00524B91"/>
    <w:rsid w:val="00524CF3"/>
    <w:rsid w:val="00524D25"/>
    <w:rsid w:val="00524F19"/>
    <w:rsid w:val="0052578F"/>
    <w:rsid w:val="00525D97"/>
    <w:rsid w:val="00526515"/>
    <w:rsid w:val="005265C6"/>
    <w:rsid w:val="00526704"/>
    <w:rsid w:val="00526D3B"/>
    <w:rsid w:val="005272F7"/>
    <w:rsid w:val="005275A2"/>
    <w:rsid w:val="0052760F"/>
    <w:rsid w:val="0053003A"/>
    <w:rsid w:val="005300F1"/>
    <w:rsid w:val="0053154D"/>
    <w:rsid w:val="005316CF"/>
    <w:rsid w:val="005319BD"/>
    <w:rsid w:val="00531E46"/>
    <w:rsid w:val="00531FEB"/>
    <w:rsid w:val="00532348"/>
    <w:rsid w:val="00532631"/>
    <w:rsid w:val="00532EEC"/>
    <w:rsid w:val="00532FCB"/>
    <w:rsid w:val="0053321D"/>
    <w:rsid w:val="0053436B"/>
    <w:rsid w:val="00534B9D"/>
    <w:rsid w:val="0053611E"/>
    <w:rsid w:val="00536B05"/>
    <w:rsid w:val="00537CF0"/>
    <w:rsid w:val="00540769"/>
    <w:rsid w:val="00540A6E"/>
    <w:rsid w:val="005419E4"/>
    <w:rsid w:val="0054286D"/>
    <w:rsid w:val="00542A22"/>
    <w:rsid w:val="00543401"/>
    <w:rsid w:val="00544860"/>
    <w:rsid w:val="00544A24"/>
    <w:rsid w:val="00544C88"/>
    <w:rsid w:val="00545371"/>
    <w:rsid w:val="0054594D"/>
    <w:rsid w:val="00545E02"/>
    <w:rsid w:val="00545E34"/>
    <w:rsid w:val="00546378"/>
    <w:rsid w:val="0054640F"/>
    <w:rsid w:val="00546D49"/>
    <w:rsid w:val="0054714E"/>
    <w:rsid w:val="00547170"/>
    <w:rsid w:val="00547598"/>
    <w:rsid w:val="00547C43"/>
    <w:rsid w:val="00547C51"/>
    <w:rsid w:val="00547C86"/>
    <w:rsid w:val="00550385"/>
    <w:rsid w:val="005506EF"/>
    <w:rsid w:val="00550BFE"/>
    <w:rsid w:val="00550D9E"/>
    <w:rsid w:val="00550FB3"/>
    <w:rsid w:val="0055117E"/>
    <w:rsid w:val="005511E2"/>
    <w:rsid w:val="0055180A"/>
    <w:rsid w:val="005523B2"/>
    <w:rsid w:val="00552E44"/>
    <w:rsid w:val="00552EF7"/>
    <w:rsid w:val="00553F3F"/>
    <w:rsid w:val="0055406B"/>
    <w:rsid w:val="00554254"/>
    <w:rsid w:val="00554CE8"/>
    <w:rsid w:val="00556B3A"/>
    <w:rsid w:val="00556DFA"/>
    <w:rsid w:val="005570DA"/>
    <w:rsid w:val="00557317"/>
    <w:rsid w:val="00557B59"/>
    <w:rsid w:val="00557BCA"/>
    <w:rsid w:val="00560018"/>
    <w:rsid w:val="005604BB"/>
    <w:rsid w:val="00560C60"/>
    <w:rsid w:val="00560F46"/>
    <w:rsid w:val="00561C25"/>
    <w:rsid w:val="0056201E"/>
    <w:rsid w:val="0056398B"/>
    <w:rsid w:val="0056467A"/>
    <w:rsid w:val="00564795"/>
    <w:rsid w:val="00564C20"/>
    <w:rsid w:val="00564DE7"/>
    <w:rsid w:val="00564E21"/>
    <w:rsid w:val="005652F4"/>
    <w:rsid w:val="00565699"/>
    <w:rsid w:val="00565FCE"/>
    <w:rsid w:val="0056641D"/>
    <w:rsid w:val="00566C04"/>
    <w:rsid w:val="00567BB0"/>
    <w:rsid w:val="00570FF4"/>
    <w:rsid w:val="00571870"/>
    <w:rsid w:val="00571979"/>
    <w:rsid w:val="005735DF"/>
    <w:rsid w:val="00573BCB"/>
    <w:rsid w:val="00573C1C"/>
    <w:rsid w:val="005740AE"/>
    <w:rsid w:val="00574658"/>
    <w:rsid w:val="005748C4"/>
    <w:rsid w:val="0057578A"/>
    <w:rsid w:val="005800EE"/>
    <w:rsid w:val="00580362"/>
    <w:rsid w:val="00580B6B"/>
    <w:rsid w:val="00580B75"/>
    <w:rsid w:val="00580CEF"/>
    <w:rsid w:val="0058185B"/>
    <w:rsid w:val="00581B4F"/>
    <w:rsid w:val="00581EA6"/>
    <w:rsid w:val="0058214D"/>
    <w:rsid w:val="00582B38"/>
    <w:rsid w:val="00583DA7"/>
    <w:rsid w:val="0058413E"/>
    <w:rsid w:val="00584659"/>
    <w:rsid w:val="00587E93"/>
    <w:rsid w:val="00590391"/>
    <w:rsid w:val="005905D4"/>
    <w:rsid w:val="00590696"/>
    <w:rsid w:val="00590D14"/>
    <w:rsid w:val="00591892"/>
    <w:rsid w:val="00591C1C"/>
    <w:rsid w:val="005923E1"/>
    <w:rsid w:val="00592A06"/>
    <w:rsid w:val="00592D35"/>
    <w:rsid w:val="005933C7"/>
    <w:rsid w:val="00593A6B"/>
    <w:rsid w:val="0059464D"/>
    <w:rsid w:val="005951DA"/>
    <w:rsid w:val="005958BB"/>
    <w:rsid w:val="005963DF"/>
    <w:rsid w:val="005964E1"/>
    <w:rsid w:val="00596913"/>
    <w:rsid w:val="00596EAE"/>
    <w:rsid w:val="00597C73"/>
    <w:rsid w:val="005A0244"/>
    <w:rsid w:val="005A16E9"/>
    <w:rsid w:val="005A1BE0"/>
    <w:rsid w:val="005A3192"/>
    <w:rsid w:val="005A38EF"/>
    <w:rsid w:val="005A3A5A"/>
    <w:rsid w:val="005A3A7D"/>
    <w:rsid w:val="005A4425"/>
    <w:rsid w:val="005A49AD"/>
    <w:rsid w:val="005A5963"/>
    <w:rsid w:val="005A5D51"/>
    <w:rsid w:val="005A5D54"/>
    <w:rsid w:val="005A63D1"/>
    <w:rsid w:val="005A66B8"/>
    <w:rsid w:val="005A680C"/>
    <w:rsid w:val="005A7150"/>
    <w:rsid w:val="005B00B1"/>
    <w:rsid w:val="005B0457"/>
    <w:rsid w:val="005B10F3"/>
    <w:rsid w:val="005B148A"/>
    <w:rsid w:val="005B1883"/>
    <w:rsid w:val="005B3553"/>
    <w:rsid w:val="005B3937"/>
    <w:rsid w:val="005B4B62"/>
    <w:rsid w:val="005B4CBC"/>
    <w:rsid w:val="005B4CBD"/>
    <w:rsid w:val="005B5010"/>
    <w:rsid w:val="005B5C55"/>
    <w:rsid w:val="005B5DDC"/>
    <w:rsid w:val="005B65E7"/>
    <w:rsid w:val="005B69FE"/>
    <w:rsid w:val="005B6D18"/>
    <w:rsid w:val="005B6D96"/>
    <w:rsid w:val="005B6E3B"/>
    <w:rsid w:val="005B7EB6"/>
    <w:rsid w:val="005C1461"/>
    <w:rsid w:val="005C1D55"/>
    <w:rsid w:val="005C2056"/>
    <w:rsid w:val="005C3999"/>
    <w:rsid w:val="005C3A4E"/>
    <w:rsid w:val="005C42AE"/>
    <w:rsid w:val="005C4B32"/>
    <w:rsid w:val="005C4B9B"/>
    <w:rsid w:val="005C4BC4"/>
    <w:rsid w:val="005C4BD5"/>
    <w:rsid w:val="005C5042"/>
    <w:rsid w:val="005C5522"/>
    <w:rsid w:val="005C6078"/>
    <w:rsid w:val="005C6268"/>
    <w:rsid w:val="005C6748"/>
    <w:rsid w:val="005C69BA"/>
    <w:rsid w:val="005C6C5B"/>
    <w:rsid w:val="005D115F"/>
    <w:rsid w:val="005D141B"/>
    <w:rsid w:val="005D1A0B"/>
    <w:rsid w:val="005D1B03"/>
    <w:rsid w:val="005D319A"/>
    <w:rsid w:val="005D381C"/>
    <w:rsid w:val="005D54D7"/>
    <w:rsid w:val="005D5E26"/>
    <w:rsid w:val="005D6BBF"/>
    <w:rsid w:val="005D6D15"/>
    <w:rsid w:val="005D73F4"/>
    <w:rsid w:val="005D7445"/>
    <w:rsid w:val="005D7791"/>
    <w:rsid w:val="005D7841"/>
    <w:rsid w:val="005D7B00"/>
    <w:rsid w:val="005D7F5A"/>
    <w:rsid w:val="005E1351"/>
    <w:rsid w:val="005E1882"/>
    <w:rsid w:val="005E259A"/>
    <w:rsid w:val="005E286C"/>
    <w:rsid w:val="005E29E3"/>
    <w:rsid w:val="005E2D8C"/>
    <w:rsid w:val="005E339F"/>
    <w:rsid w:val="005E34D0"/>
    <w:rsid w:val="005E4010"/>
    <w:rsid w:val="005E417A"/>
    <w:rsid w:val="005E47B1"/>
    <w:rsid w:val="005E48D2"/>
    <w:rsid w:val="005E4B9E"/>
    <w:rsid w:val="005E504D"/>
    <w:rsid w:val="005E5BFB"/>
    <w:rsid w:val="005E66A7"/>
    <w:rsid w:val="005E6D17"/>
    <w:rsid w:val="005E72E0"/>
    <w:rsid w:val="005E7529"/>
    <w:rsid w:val="005F059C"/>
    <w:rsid w:val="005F0B10"/>
    <w:rsid w:val="005F0D58"/>
    <w:rsid w:val="005F14D3"/>
    <w:rsid w:val="005F1AA2"/>
    <w:rsid w:val="005F2F2F"/>
    <w:rsid w:val="005F32C2"/>
    <w:rsid w:val="005F33B5"/>
    <w:rsid w:val="005F355A"/>
    <w:rsid w:val="005F4372"/>
    <w:rsid w:val="005F4619"/>
    <w:rsid w:val="005F4648"/>
    <w:rsid w:val="005F49D5"/>
    <w:rsid w:val="005F4A8A"/>
    <w:rsid w:val="005F4FE4"/>
    <w:rsid w:val="005F575D"/>
    <w:rsid w:val="005F57C2"/>
    <w:rsid w:val="005F618C"/>
    <w:rsid w:val="005F64F5"/>
    <w:rsid w:val="005F65C1"/>
    <w:rsid w:val="005F6741"/>
    <w:rsid w:val="005F6C54"/>
    <w:rsid w:val="005F6C58"/>
    <w:rsid w:val="005F740D"/>
    <w:rsid w:val="006001DB"/>
    <w:rsid w:val="006002D6"/>
    <w:rsid w:val="00601B19"/>
    <w:rsid w:val="00602410"/>
    <w:rsid w:val="00602C75"/>
    <w:rsid w:val="00602EEE"/>
    <w:rsid w:val="006034EC"/>
    <w:rsid w:val="00603D13"/>
    <w:rsid w:val="00604423"/>
    <w:rsid w:val="006050E2"/>
    <w:rsid w:val="006056C4"/>
    <w:rsid w:val="00605D1D"/>
    <w:rsid w:val="00606058"/>
    <w:rsid w:val="006068A4"/>
    <w:rsid w:val="006075E8"/>
    <w:rsid w:val="00610509"/>
    <w:rsid w:val="0061067F"/>
    <w:rsid w:val="006112E0"/>
    <w:rsid w:val="00611CA8"/>
    <w:rsid w:val="0061307C"/>
    <w:rsid w:val="00614A0D"/>
    <w:rsid w:val="00614D6C"/>
    <w:rsid w:val="00615181"/>
    <w:rsid w:val="006156C0"/>
    <w:rsid w:val="00615B31"/>
    <w:rsid w:val="00621D98"/>
    <w:rsid w:val="006220F9"/>
    <w:rsid w:val="00622470"/>
    <w:rsid w:val="00622DAB"/>
    <w:rsid w:val="00622E1A"/>
    <w:rsid w:val="00622F66"/>
    <w:rsid w:val="0062300A"/>
    <w:rsid w:val="0062308E"/>
    <w:rsid w:val="00623760"/>
    <w:rsid w:val="006245E8"/>
    <w:rsid w:val="00624AC3"/>
    <w:rsid w:val="00625200"/>
    <w:rsid w:val="00625CA9"/>
    <w:rsid w:val="006262B0"/>
    <w:rsid w:val="0062658E"/>
    <w:rsid w:val="00627180"/>
    <w:rsid w:val="00630378"/>
    <w:rsid w:val="006305CE"/>
    <w:rsid w:val="006307CC"/>
    <w:rsid w:val="00630994"/>
    <w:rsid w:val="00630EE0"/>
    <w:rsid w:val="0063104F"/>
    <w:rsid w:val="0063143F"/>
    <w:rsid w:val="00633901"/>
    <w:rsid w:val="00633931"/>
    <w:rsid w:val="00633C2F"/>
    <w:rsid w:val="00633DDB"/>
    <w:rsid w:val="00634B95"/>
    <w:rsid w:val="00635FC0"/>
    <w:rsid w:val="00636D60"/>
    <w:rsid w:val="00636F8E"/>
    <w:rsid w:val="006375F3"/>
    <w:rsid w:val="00640020"/>
    <w:rsid w:val="00640243"/>
    <w:rsid w:val="00640253"/>
    <w:rsid w:val="006403E7"/>
    <w:rsid w:val="00641030"/>
    <w:rsid w:val="006410F3"/>
    <w:rsid w:val="00641999"/>
    <w:rsid w:val="00641A4D"/>
    <w:rsid w:val="00641D88"/>
    <w:rsid w:val="00641EBA"/>
    <w:rsid w:val="00642042"/>
    <w:rsid w:val="00642239"/>
    <w:rsid w:val="0064278E"/>
    <w:rsid w:val="00642B9C"/>
    <w:rsid w:val="006433F8"/>
    <w:rsid w:val="006438EA"/>
    <w:rsid w:val="00644443"/>
    <w:rsid w:val="0064484E"/>
    <w:rsid w:val="00644D8C"/>
    <w:rsid w:val="0064540D"/>
    <w:rsid w:val="006458F8"/>
    <w:rsid w:val="00646634"/>
    <w:rsid w:val="00646A0A"/>
    <w:rsid w:val="00646B6A"/>
    <w:rsid w:val="00646BFD"/>
    <w:rsid w:val="006477A0"/>
    <w:rsid w:val="006478B0"/>
    <w:rsid w:val="00647CF7"/>
    <w:rsid w:val="00650E40"/>
    <w:rsid w:val="00650F47"/>
    <w:rsid w:val="006513E5"/>
    <w:rsid w:val="00651452"/>
    <w:rsid w:val="0065185D"/>
    <w:rsid w:val="00651FB5"/>
    <w:rsid w:val="0065204C"/>
    <w:rsid w:val="006520AF"/>
    <w:rsid w:val="00652FF0"/>
    <w:rsid w:val="00653A0F"/>
    <w:rsid w:val="00653EF2"/>
    <w:rsid w:val="00653F8A"/>
    <w:rsid w:val="00654B9A"/>
    <w:rsid w:val="00654E94"/>
    <w:rsid w:val="006550AC"/>
    <w:rsid w:val="0065551E"/>
    <w:rsid w:val="0065579C"/>
    <w:rsid w:val="006558F9"/>
    <w:rsid w:val="00655993"/>
    <w:rsid w:val="006565B1"/>
    <w:rsid w:val="00656A76"/>
    <w:rsid w:val="00656B60"/>
    <w:rsid w:val="006572A5"/>
    <w:rsid w:val="006579C6"/>
    <w:rsid w:val="00657A6F"/>
    <w:rsid w:val="00657B43"/>
    <w:rsid w:val="00657FA5"/>
    <w:rsid w:val="0066071C"/>
    <w:rsid w:val="0066114E"/>
    <w:rsid w:val="006611DF"/>
    <w:rsid w:val="00661CE7"/>
    <w:rsid w:val="00662FEC"/>
    <w:rsid w:val="00663405"/>
    <w:rsid w:val="00663570"/>
    <w:rsid w:val="00663BC3"/>
    <w:rsid w:val="00664C3B"/>
    <w:rsid w:val="0066564B"/>
    <w:rsid w:val="006656FB"/>
    <w:rsid w:val="00665AFD"/>
    <w:rsid w:val="006660BD"/>
    <w:rsid w:val="006675C0"/>
    <w:rsid w:val="00670565"/>
    <w:rsid w:val="0067143E"/>
    <w:rsid w:val="0067166F"/>
    <w:rsid w:val="006717A4"/>
    <w:rsid w:val="00671DA0"/>
    <w:rsid w:val="00672528"/>
    <w:rsid w:val="006731B6"/>
    <w:rsid w:val="00673322"/>
    <w:rsid w:val="00673BE1"/>
    <w:rsid w:val="00673CBF"/>
    <w:rsid w:val="006746F2"/>
    <w:rsid w:val="00674885"/>
    <w:rsid w:val="00675D51"/>
    <w:rsid w:val="00676700"/>
    <w:rsid w:val="006767BA"/>
    <w:rsid w:val="00676AEC"/>
    <w:rsid w:val="00676B1A"/>
    <w:rsid w:val="00676BEC"/>
    <w:rsid w:val="00676E9A"/>
    <w:rsid w:val="006773A8"/>
    <w:rsid w:val="006774FD"/>
    <w:rsid w:val="00677929"/>
    <w:rsid w:val="00677E37"/>
    <w:rsid w:val="00677FC9"/>
    <w:rsid w:val="00680518"/>
    <w:rsid w:val="00680EF1"/>
    <w:rsid w:val="00680F4F"/>
    <w:rsid w:val="00681DF6"/>
    <w:rsid w:val="00681DFC"/>
    <w:rsid w:val="0068331B"/>
    <w:rsid w:val="00684843"/>
    <w:rsid w:val="00684850"/>
    <w:rsid w:val="00684A22"/>
    <w:rsid w:val="00684A9D"/>
    <w:rsid w:val="0068502F"/>
    <w:rsid w:val="00685145"/>
    <w:rsid w:val="006852DD"/>
    <w:rsid w:val="00685307"/>
    <w:rsid w:val="006859AF"/>
    <w:rsid w:val="00686C14"/>
    <w:rsid w:val="00686E1C"/>
    <w:rsid w:val="00686EC1"/>
    <w:rsid w:val="00686ECF"/>
    <w:rsid w:val="00686EF9"/>
    <w:rsid w:val="00687384"/>
    <w:rsid w:val="006873B5"/>
    <w:rsid w:val="006903F1"/>
    <w:rsid w:val="00690984"/>
    <w:rsid w:val="0069194F"/>
    <w:rsid w:val="00691D05"/>
    <w:rsid w:val="00692DD7"/>
    <w:rsid w:val="006931D5"/>
    <w:rsid w:val="0069416B"/>
    <w:rsid w:val="00694397"/>
    <w:rsid w:val="0069484B"/>
    <w:rsid w:val="00695142"/>
    <w:rsid w:val="00695171"/>
    <w:rsid w:val="006952CC"/>
    <w:rsid w:val="00695670"/>
    <w:rsid w:val="0069569A"/>
    <w:rsid w:val="00695877"/>
    <w:rsid w:val="0069606A"/>
    <w:rsid w:val="00696252"/>
    <w:rsid w:val="006962B3"/>
    <w:rsid w:val="006975E5"/>
    <w:rsid w:val="00697633"/>
    <w:rsid w:val="006979FF"/>
    <w:rsid w:val="006A10D2"/>
    <w:rsid w:val="006A22A7"/>
    <w:rsid w:val="006A2F22"/>
    <w:rsid w:val="006A32EC"/>
    <w:rsid w:val="006A4684"/>
    <w:rsid w:val="006A6D52"/>
    <w:rsid w:val="006A7634"/>
    <w:rsid w:val="006A7918"/>
    <w:rsid w:val="006A7992"/>
    <w:rsid w:val="006B03A4"/>
    <w:rsid w:val="006B03F9"/>
    <w:rsid w:val="006B0516"/>
    <w:rsid w:val="006B2949"/>
    <w:rsid w:val="006B2C1C"/>
    <w:rsid w:val="006B2D87"/>
    <w:rsid w:val="006B2DAD"/>
    <w:rsid w:val="006B3857"/>
    <w:rsid w:val="006B4507"/>
    <w:rsid w:val="006B483D"/>
    <w:rsid w:val="006B64BE"/>
    <w:rsid w:val="006B6DEF"/>
    <w:rsid w:val="006B6F56"/>
    <w:rsid w:val="006C043E"/>
    <w:rsid w:val="006C04B0"/>
    <w:rsid w:val="006C0C5D"/>
    <w:rsid w:val="006C1564"/>
    <w:rsid w:val="006C2081"/>
    <w:rsid w:val="006C250D"/>
    <w:rsid w:val="006C3E77"/>
    <w:rsid w:val="006C4E90"/>
    <w:rsid w:val="006C50E6"/>
    <w:rsid w:val="006C650B"/>
    <w:rsid w:val="006C650C"/>
    <w:rsid w:val="006C660F"/>
    <w:rsid w:val="006C6780"/>
    <w:rsid w:val="006C692C"/>
    <w:rsid w:val="006C7775"/>
    <w:rsid w:val="006C7F93"/>
    <w:rsid w:val="006D069C"/>
    <w:rsid w:val="006D0B6B"/>
    <w:rsid w:val="006D1A05"/>
    <w:rsid w:val="006D2020"/>
    <w:rsid w:val="006D2503"/>
    <w:rsid w:val="006D2B35"/>
    <w:rsid w:val="006D424B"/>
    <w:rsid w:val="006D44B9"/>
    <w:rsid w:val="006D4A16"/>
    <w:rsid w:val="006D4A6C"/>
    <w:rsid w:val="006D566F"/>
    <w:rsid w:val="006D58D5"/>
    <w:rsid w:val="006D5DDA"/>
    <w:rsid w:val="006D5F28"/>
    <w:rsid w:val="006D6831"/>
    <w:rsid w:val="006D6AD2"/>
    <w:rsid w:val="006D6CC0"/>
    <w:rsid w:val="006D7CE9"/>
    <w:rsid w:val="006E009C"/>
    <w:rsid w:val="006E13AA"/>
    <w:rsid w:val="006E17AA"/>
    <w:rsid w:val="006E19C0"/>
    <w:rsid w:val="006E1A5A"/>
    <w:rsid w:val="006E2142"/>
    <w:rsid w:val="006E2A2B"/>
    <w:rsid w:val="006E3706"/>
    <w:rsid w:val="006E4289"/>
    <w:rsid w:val="006E4890"/>
    <w:rsid w:val="006E4E28"/>
    <w:rsid w:val="006E53B4"/>
    <w:rsid w:val="006E5957"/>
    <w:rsid w:val="006E5CDC"/>
    <w:rsid w:val="006E60AE"/>
    <w:rsid w:val="006E6160"/>
    <w:rsid w:val="006E67BA"/>
    <w:rsid w:val="006E7715"/>
    <w:rsid w:val="006E7862"/>
    <w:rsid w:val="006E7AA2"/>
    <w:rsid w:val="006E7EFF"/>
    <w:rsid w:val="006F0F3F"/>
    <w:rsid w:val="006F1689"/>
    <w:rsid w:val="006F1712"/>
    <w:rsid w:val="006F1DDC"/>
    <w:rsid w:val="006F1DF9"/>
    <w:rsid w:val="006F1FA8"/>
    <w:rsid w:val="006F222A"/>
    <w:rsid w:val="006F36BA"/>
    <w:rsid w:val="006F43A4"/>
    <w:rsid w:val="006F589E"/>
    <w:rsid w:val="006F5A50"/>
    <w:rsid w:val="006F7118"/>
    <w:rsid w:val="006F7DF9"/>
    <w:rsid w:val="006F7EAD"/>
    <w:rsid w:val="0070009A"/>
    <w:rsid w:val="00700859"/>
    <w:rsid w:val="007008D2"/>
    <w:rsid w:val="0070175B"/>
    <w:rsid w:val="0070184C"/>
    <w:rsid w:val="00701CBF"/>
    <w:rsid w:val="00702787"/>
    <w:rsid w:val="00702F3A"/>
    <w:rsid w:val="007035A4"/>
    <w:rsid w:val="00703B08"/>
    <w:rsid w:val="00703B3E"/>
    <w:rsid w:val="00704B90"/>
    <w:rsid w:val="0070505E"/>
    <w:rsid w:val="00705250"/>
    <w:rsid w:val="007058DB"/>
    <w:rsid w:val="00705F45"/>
    <w:rsid w:val="007068C9"/>
    <w:rsid w:val="00706CFC"/>
    <w:rsid w:val="00706D7C"/>
    <w:rsid w:val="00707172"/>
    <w:rsid w:val="007075F2"/>
    <w:rsid w:val="007106A1"/>
    <w:rsid w:val="007108B5"/>
    <w:rsid w:val="00711277"/>
    <w:rsid w:val="00711E73"/>
    <w:rsid w:val="00712543"/>
    <w:rsid w:val="00712781"/>
    <w:rsid w:val="00712C2F"/>
    <w:rsid w:val="00712C6D"/>
    <w:rsid w:val="00712D6F"/>
    <w:rsid w:val="00713CF8"/>
    <w:rsid w:val="007145F8"/>
    <w:rsid w:val="00715017"/>
    <w:rsid w:val="0071513A"/>
    <w:rsid w:val="00717D3B"/>
    <w:rsid w:val="00720735"/>
    <w:rsid w:val="00720BFD"/>
    <w:rsid w:val="007222E9"/>
    <w:rsid w:val="00722A3A"/>
    <w:rsid w:val="00722A5F"/>
    <w:rsid w:val="00723045"/>
    <w:rsid w:val="007238F0"/>
    <w:rsid w:val="007238F2"/>
    <w:rsid w:val="00724132"/>
    <w:rsid w:val="007241D2"/>
    <w:rsid w:val="007245A2"/>
    <w:rsid w:val="007246FE"/>
    <w:rsid w:val="0072475D"/>
    <w:rsid w:val="00724B80"/>
    <w:rsid w:val="00725750"/>
    <w:rsid w:val="0072731C"/>
    <w:rsid w:val="0072737D"/>
    <w:rsid w:val="007278BF"/>
    <w:rsid w:val="00727E00"/>
    <w:rsid w:val="0073011B"/>
    <w:rsid w:val="00730336"/>
    <w:rsid w:val="00730AC0"/>
    <w:rsid w:val="00730E12"/>
    <w:rsid w:val="0073127C"/>
    <w:rsid w:val="00731AC1"/>
    <w:rsid w:val="00732561"/>
    <w:rsid w:val="00732918"/>
    <w:rsid w:val="00732BD9"/>
    <w:rsid w:val="00732C87"/>
    <w:rsid w:val="00733268"/>
    <w:rsid w:val="0073331F"/>
    <w:rsid w:val="007333E3"/>
    <w:rsid w:val="0073352C"/>
    <w:rsid w:val="0073433C"/>
    <w:rsid w:val="0073463A"/>
    <w:rsid w:val="007349EF"/>
    <w:rsid w:val="00735249"/>
    <w:rsid w:val="00735901"/>
    <w:rsid w:val="0073629E"/>
    <w:rsid w:val="0073697D"/>
    <w:rsid w:val="00736CB5"/>
    <w:rsid w:val="00736D7A"/>
    <w:rsid w:val="0073749F"/>
    <w:rsid w:val="007378DC"/>
    <w:rsid w:val="0073799A"/>
    <w:rsid w:val="00740400"/>
    <w:rsid w:val="00740869"/>
    <w:rsid w:val="0074179B"/>
    <w:rsid w:val="00741F98"/>
    <w:rsid w:val="00742CBE"/>
    <w:rsid w:val="0074313D"/>
    <w:rsid w:val="00743C90"/>
    <w:rsid w:val="00743DCF"/>
    <w:rsid w:val="00744515"/>
    <w:rsid w:val="007446D6"/>
    <w:rsid w:val="007455BF"/>
    <w:rsid w:val="007455C6"/>
    <w:rsid w:val="00745C04"/>
    <w:rsid w:val="00745C59"/>
    <w:rsid w:val="00746821"/>
    <w:rsid w:val="007474E8"/>
    <w:rsid w:val="00747BFD"/>
    <w:rsid w:val="00751217"/>
    <w:rsid w:val="0075133A"/>
    <w:rsid w:val="00752B2C"/>
    <w:rsid w:val="00752B90"/>
    <w:rsid w:val="00752C50"/>
    <w:rsid w:val="00752DD1"/>
    <w:rsid w:val="00752EDB"/>
    <w:rsid w:val="00752F86"/>
    <w:rsid w:val="00753FEB"/>
    <w:rsid w:val="007543B6"/>
    <w:rsid w:val="00754412"/>
    <w:rsid w:val="0075441D"/>
    <w:rsid w:val="0075464F"/>
    <w:rsid w:val="007553E0"/>
    <w:rsid w:val="00755AFB"/>
    <w:rsid w:val="00756B53"/>
    <w:rsid w:val="00760078"/>
    <w:rsid w:val="00760801"/>
    <w:rsid w:val="00760D9C"/>
    <w:rsid w:val="00761093"/>
    <w:rsid w:val="0076113F"/>
    <w:rsid w:val="00761576"/>
    <w:rsid w:val="00762052"/>
    <w:rsid w:val="00762122"/>
    <w:rsid w:val="007627A0"/>
    <w:rsid w:val="007627FB"/>
    <w:rsid w:val="00762AF0"/>
    <w:rsid w:val="00762DC6"/>
    <w:rsid w:val="00763AE0"/>
    <w:rsid w:val="00763E1F"/>
    <w:rsid w:val="00763F96"/>
    <w:rsid w:val="007647CF"/>
    <w:rsid w:val="00764CF2"/>
    <w:rsid w:val="00764FF4"/>
    <w:rsid w:val="0076519E"/>
    <w:rsid w:val="0076636C"/>
    <w:rsid w:val="00766515"/>
    <w:rsid w:val="00766AC3"/>
    <w:rsid w:val="00766F24"/>
    <w:rsid w:val="00767C6D"/>
    <w:rsid w:val="00767DB8"/>
    <w:rsid w:val="0077066A"/>
    <w:rsid w:val="00770D25"/>
    <w:rsid w:val="007716CD"/>
    <w:rsid w:val="0077188F"/>
    <w:rsid w:val="007723BB"/>
    <w:rsid w:val="00772E38"/>
    <w:rsid w:val="007732B0"/>
    <w:rsid w:val="007737B6"/>
    <w:rsid w:val="00773A55"/>
    <w:rsid w:val="00773D10"/>
    <w:rsid w:val="0077441F"/>
    <w:rsid w:val="007744CE"/>
    <w:rsid w:val="007748A4"/>
    <w:rsid w:val="00775E84"/>
    <w:rsid w:val="00775FBD"/>
    <w:rsid w:val="00776A1C"/>
    <w:rsid w:val="00776F09"/>
    <w:rsid w:val="00777519"/>
    <w:rsid w:val="00777DE4"/>
    <w:rsid w:val="007801FA"/>
    <w:rsid w:val="00780C17"/>
    <w:rsid w:val="00780D16"/>
    <w:rsid w:val="00781239"/>
    <w:rsid w:val="00781929"/>
    <w:rsid w:val="00781AC4"/>
    <w:rsid w:val="00781CE4"/>
    <w:rsid w:val="00782289"/>
    <w:rsid w:val="00782435"/>
    <w:rsid w:val="0078261C"/>
    <w:rsid w:val="007827EB"/>
    <w:rsid w:val="007830FC"/>
    <w:rsid w:val="007837CF"/>
    <w:rsid w:val="007839B4"/>
    <w:rsid w:val="007839E8"/>
    <w:rsid w:val="007860A5"/>
    <w:rsid w:val="007864ED"/>
    <w:rsid w:val="00786F7E"/>
    <w:rsid w:val="00787377"/>
    <w:rsid w:val="0078745A"/>
    <w:rsid w:val="0078768B"/>
    <w:rsid w:val="0079038E"/>
    <w:rsid w:val="00790862"/>
    <w:rsid w:val="00790A3C"/>
    <w:rsid w:val="00790B62"/>
    <w:rsid w:val="007915FA"/>
    <w:rsid w:val="0079222C"/>
    <w:rsid w:val="007928BB"/>
    <w:rsid w:val="00792A4A"/>
    <w:rsid w:val="00792B8B"/>
    <w:rsid w:val="00792DC0"/>
    <w:rsid w:val="007930D7"/>
    <w:rsid w:val="007932CD"/>
    <w:rsid w:val="00793D2A"/>
    <w:rsid w:val="00793D35"/>
    <w:rsid w:val="00793D47"/>
    <w:rsid w:val="007944BC"/>
    <w:rsid w:val="0079492D"/>
    <w:rsid w:val="0079540F"/>
    <w:rsid w:val="00795869"/>
    <w:rsid w:val="007958BC"/>
    <w:rsid w:val="007974DB"/>
    <w:rsid w:val="00797689"/>
    <w:rsid w:val="00797735"/>
    <w:rsid w:val="007A05C2"/>
    <w:rsid w:val="007A0DC2"/>
    <w:rsid w:val="007A12B7"/>
    <w:rsid w:val="007A1767"/>
    <w:rsid w:val="007A19FF"/>
    <w:rsid w:val="007A21DA"/>
    <w:rsid w:val="007A2B11"/>
    <w:rsid w:val="007A371D"/>
    <w:rsid w:val="007A45DB"/>
    <w:rsid w:val="007A46A9"/>
    <w:rsid w:val="007A46C5"/>
    <w:rsid w:val="007A4BD5"/>
    <w:rsid w:val="007A4BE2"/>
    <w:rsid w:val="007A572C"/>
    <w:rsid w:val="007A5D08"/>
    <w:rsid w:val="007A5F9A"/>
    <w:rsid w:val="007A679F"/>
    <w:rsid w:val="007A76AA"/>
    <w:rsid w:val="007A7B7A"/>
    <w:rsid w:val="007A7DC5"/>
    <w:rsid w:val="007B0146"/>
    <w:rsid w:val="007B0C5D"/>
    <w:rsid w:val="007B0D73"/>
    <w:rsid w:val="007B0EA5"/>
    <w:rsid w:val="007B102B"/>
    <w:rsid w:val="007B1D2F"/>
    <w:rsid w:val="007B30A3"/>
    <w:rsid w:val="007B3256"/>
    <w:rsid w:val="007B34F2"/>
    <w:rsid w:val="007B37F5"/>
    <w:rsid w:val="007B3BB0"/>
    <w:rsid w:val="007B3C2D"/>
    <w:rsid w:val="007B42BB"/>
    <w:rsid w:val="007B48AE"/>
    <w:rsid w:val="007B4A5D"/>
    <w:rsid w:val="007B5282"/>
    <w:rsid w:val="007B5290"/>
    <w:rsid w:val="007B52F4"/>
    <w:rsid w:val="007B59E4"/>
    <w:rsid w:val="007B5A81"/>
    <w:rsid w:val="007B5C15"/>
    <w:rsid w:val="007B5CFB"/>
    <w:rsid w:val="007B6AE4"/>
    <w:rsid w:val="007B70A6"/>
    <w:rsid w:val="007B78E8"/>
    <w:rsid w:val="007C04FF"/>
    <w:rsid w:val="007C06ED"/>
    <w:rsid w:val="007C08BD"/>
    <w:rsid w:val="007C097B"/>
    <w:rsid w:val="007C0B55"/>
    <w:rsid w:val="007C0CDC"/>
    <w:rsid w:val="007C1E9E"/>
    <w:rsid w:val="007C1FAA"/>
    <w:rsid w:val="007C2FBF"/>
    <w:rsid w:val="007C30FC"/>
    <w:rsid w:val="007C32A6"/>
    <w:rsid w:val="007C3862"/>
    <w:rsid w:val="007C5EF3"/>
    <w:rsid w:val="007C6529"/>
    <w:rsid w:val="007C6C80"/>
    <w:rsid w:val="007C7432"/>
    <w:rsid w:val="007D020C"/>
    <w:rsid w:val="007D0479"/>
    <w:rsid w:val="007D0835"/>
    <w:rsid w:val="007D165A"/>
    <w:rsid w:val="007D16BF"/>
    <w:rsid w:val="007D2281"/>
    <w:rsid w:val="007D2AC8"/>
    <w:rsid w:val="007D3048"/>
    <w:rsid w:val="007D435B"/>
    <w:rsid w:val="007D441F"/>
    <w:rsid w:val="007D44BC"/>
    <w:rsid w:val="007D4C22"/>
    <w:rsid w:val="007D4F8D"/>
    <w:rsid w:val="007D4FCD"/>
    <w:rsid w:val="007D5D6B"/>
    <w:rsid w:val="007D5DF9"/>
    <w:rsid w:val="007D5E88"/>
    <w:rsid w:val="007D5EB7"/>
    <w:rsid w:val="007D63BB"/>
    <w:rsid w:val="007D65CB"/>
    <w:rsid w:val="007D6993"/>
    <w:rsid w:val="007D6F3F"/>
    <w:rsid w:val="007D7069"/>
    <w:rsid w:val="007D7206"/>
    <w:rsid w:val="007D7EFA"/>
    <w:rsid w:val="007E0DFA"/>
    <w:rsid w:val="007E1592"/>
    <w:rsid w:val="007E15C3"/>
    <w:rsid w:val="007E1747"/>
    <w:rsid w:val="007E1C8F"/>
    <w:rsid w:val="007E3487"/>
    <w:rsid w:val="007E3C8D"/>
    <w:rsid w:val="007E41B5"/>
    <w:rsid w:val="007E4283"/>
    <w:rsid w:val="007E446C"/>
    <w:rsid w:val="007E48EC"/>
    <w:rsid w:val="007E4A21"/>
    <w:rsid w:val="007E51D0"/>
    <w:rsid w:val="007E53AD"/>
    <w:rsid w:val="007E5508"/>
    <w:rsid w:val="007E5B85"/>
    <w:rsid w:val="007E5E09"/>
    <w:rsid w:val="007E7057"/>
    <w:rsid w:val="007E70D0"/>
    <w:rsid w:val="007E73B6"/>
    <w:rsid w:val="007E76EA"/>
    <w:rsid w:val="007F08A6"/>
    <w:rsid w:val="007F0DE9"/>
    <w:rsid w:val="007F0EB9"/>
    <w:rsid w:val="007F14D7"/>
    <w:rsid w:val="007F26DB"/>
    <w:rsid w:val="007F2946"/>
    <w:rsid w:val="007F34BC"/>
    <w:rsid w:val="007F3E6E"/>
    <w:rsid w:val="007F3FD3"/>
    <w:rsid w:val="007F4394"/>
    <w:rsid w:val="007F45DE"/>
    <w:rsid w:val="007F5000"/>
    <w:rsid w:val="007F50C9"/>
    <w:rsid w:val="007F5673"/>
    <w:rsid w:val="007F589A"/>
    <w:rsid w:val="007F58D6"/>
    <w:rsid w:val="007F5DC1"/>
    <w:rsid w:val="007F5E28"/>
    <w:rsid w:val="007F7A0D"/>
    <w:rsid w:val="007F7B1B"/>
    <w:rsid w:val="007F7CB3"/>
    <w:rsid w:val="007F7D82"/>
    <w:rsid w:val="007F7E34"/>
    <w:rsid w:val="007F7E67"/>
    <w:rsid w:val="00800946"/>
    <w:rsid w:val="00800FC1"/>
    <w:rsid w:val="0080105B"/>
    <w:rsid w:val="00801355"/>
    <w:rsid w:val="008020CF"/>
    <w:rsid w:val="00802117"/>
    <w:rsid w:val="00802653"/>
    <w:rsid w:val="00802A7F"/>
    <w:rsid w:val="00802BF2"/>
    <w:rsid w:val="00802DB1"/>
    <w:rsid w:val="008043AB"/>
    <w:rsid w:val="008043E7"/>
    <w:rsid w:val="0080444E"/>
    <w:rsid w:val="00805C09"/>
    <w:rsid w:val="00806B14"/>
    <w:rsid w:val="00806C84"/>
    <w:rsid w:val="00806DB3"/>
    <w:rsid w:val="00807A88"/>
    <w:rsid w:val="00810207"/>
    <w:rsid w:val="0081041D"/>
    <w:rsid w:val="008118B7"/>
    <w:rsid w:val="00811A26"/>
    <w:rsid w:val="00812BBE"/>
    <w:rsid w:val="00812D2A"/>
    <w:rsid w:val="00813E1B"/>
    <w:rsid w:val="00813FAB"/>
    <w:rsid w:val="0081415D"/>
    <w:rsid w:val="0081425A"/>
    <w:rsid w:val="00814597"/>
    <w:rsid w:val="00815EDD"/>
    <w:rsid w:val="008174B1"/>
    <w:rsid w:val="008177ED"/>
    <w:rsid w:val="00817B13"/>
    <w:rsid w:val="00817EA5"/>
    <w:rsid w:val="008212AF"/>
    <w:rsid w:val="00821B77"/>
    <w:rsid w:val="008220BF"/>
    <w:rsid w:val="00822DAA"/>
    <w:rsid w:val="00822E93"/>
    <w:rsid w:val="008236CA"/>
    <w:rsid w:val="00823F58"/>
    <w:rsid w:val="008240AA"/>
    <w:rsid w:val="00824C13"/>
    <w:rsid w:val="00824C73"/>
    <w:rsid w:val="008253C5"/>
    <w:rsid w:val="00825BB3"/>
    <w:rsid w:val="00825DB5"/>
    <w:rsid w:val="00826180"/>
    <w:rsid w:val="0082659C"/>
    <w:rsid w:val="00826F43"/>
    <w:rsid w:val="008273CF"/>
    <w:rsid w:val="00830753"/>
    <w:rsid w:val="00830EF8"/>
    <w:rsid w:val="0083190D"/>
    <w:rsid w:val="00831D02"/>
    <w:rsid w:val="00831EA8"/>
    <w:rsid w:val="00832EF2"/>
    <w:rsid w:val="0083308C"/>
    <w:rsid w:val="00833C11"/>
    <w:rsid w:val="00834761"/>
    <w:rsid w:val="00834CD5"/>
    <w:rsid w:val="00834F92"/>
    <w:rsid w:val="008350D8"/>
    <w:rsid w:val="00836166"/>
    <w:rsid w:val="0083643C"/>
    <w:rsid w:val="0083645E"/>
    <w:rsid w:val="00836B49"/>
    <w:rsid w:val="00837A70"/>
    <w:rsid w:val="00840238"/>
    <w:rsid w:val="008406E7"/>
    <w:rsid w:val="00840757"/>
    <w:rsid w:val="008412AC"/>
    <w:rsid w:val="00842063"/>
    <w:rsid w:val="00842771"/>
    <w:rsid w:val="00842C1F"/>
    <w:rsid w:val="00842C98"/>
    <w:rsid w:val="00842D19"/>
    <w:rsid w:val="00842EA7"/>
    <w:rsid w:val="008433FE"/>
    <w:rsid w:val="00843789"/>
    <w:rsid w:val="00843A1A"/>
    <w:rsid w:val="00843B6B"/>
    <w:rsid w:val="008454D1"/>
    <w:rsid w:val="00845B44"/>
    <w:rsid w:val="00845F3F"/>
    <w:rsid w:val="00846074"/>
    <w:rsid w:val="008466B4"/>
    <w:rsid w:val="008469FE"/>
    <w:rsid w:val="0084745B"/>
    <w:rsid w:val="008474F3"/>
    <w:rsid w:val="00847A1C"/>
    <w:rsid w:val="00847C5C"/>
    <w:rsid w:val="00847D1F"/>
    <w:rsid w:val="008503EE"/>
    <w:rsid w:val="008505B8"/>
    <w:rsid w:val="00851246"/>
    <w:rsid w:val="00851368"/>
    <w:rsid w:val="008515C7"/>
    <w:rsid w:val="0085198A"/>
    <w:rsid w:val="00852C6C"/>
    <w:rsid w:val="00853B24"/>
    <w:rsid w:val="00853B69"/>
    <w:rsid w:val="00853BE4"/>
    <w:rsid w:val="008540AE"/>
    <w:rsid w:val="0085453D"/>
    <w:rsid w:val="00854B47"/>
    <w:rsid w:val="00854E25"/>
    <w:rsid w:val="0085569E"/>
    <w:rsid w:val="00856248"/>
    <w:rsid w:val="008567A4"/>
    <w:rsid w:val="008569C2"/>
    <w:rsid w:val="00857561"/>
    <w:rsid w:val="00857C57"/>
    <w:rsid w:val="00860680"/>
    <w:rsid w:val="00860B77"/>
    <w:rsid w:val="00861BE7"/>
    <w:rsid w:val="00862086"/>
    <w:rsid w:val="00862D4F"/>
    <w:rsid w:val="008634F2"/>
    <w:rsid w:val="00864A27"/>
    <w:rsid w:val="00864D92"/>
    <w:rsid w:val="00865DC2"/>
    <w:rsid w:val="008661F3"/>
    <w:rsid w:val="0086638F"/>
    <w:rsid w:val="0086754E"/>
    <w:rsid w:val="0086777F"/>
    <w:rsid w:val="008709F4"/>
    <w:rsid w:val="00870F99"/>
    <w:rsid w:val="00870FA1"/>
    <w:rsid w:val="00871B0E"/>
    <w:rsid w:val="00872ECE"/>
    <w:rsid w:val="00873778"/>
    <w:rsid w:val="008738C7"/>
    <w:rsid w:val="00873D62"/>
    <w:rsid w:val="00874995"/>
    <w:rsid w:val="00875798"/>
    <w:rsid w:val="00875AB0"/>
    <w:rsid w:val="0087656C"/>
    <w:rsid w:val="008768C2"/>
    <w:rsid w:val="00876CDC"/>
    <w:rsid w:val="00876EED"/>
    <w:rsid w:val="0087712B"/>
    <w:rsid w:val="00877C1C"/>
    <w:rsid w:val="00877E6E"/>
    <w:rsid w:val="0088018F"/>
    <w:rsid w:val="00880239"/>
    <w:rsid w:val="0088024B"/>
    <w:rsid w:val="008804E6"/>
    <w:rsid w:val="0088075A"/>
    <w:rsid w:val="0088147C"/>
    <w:rsid w:val="008817B3"/>
    <w:rsid w:val="00881CF3"/>
    <w:rsid w:val="00882090"/>
    <w:rsid w:val="0088241E"/>
    <w:rsid w:val="00882949"/>
    <w:rsid w:val="00882A6C"/>
    <w:rsid w:val="0088362F"/>
    <w:rsid w:val="00883BA4"/>
    <w:rsid w:val="008840A9"/>
    <w:rsid w:val="008840D6"/>
    <w:rsid w:val="008845CE"/>
    <w:rsid w:val="00884B31"/>
    <w:rsid w:val="00884B79"/>
    <w:rsid w:val="00885A91"/>
    <w:rsid w:val="00886753"/>
    <w:rsid w:val="00886776"/>
    <w:rsid w:val="008876DC"/>
    <w:rsid w:val="00887A10"/>
    <w:rsid w:val="00890C05"/>
    <w:rsid w:val="00890C71"/>
    <w:rsid w:val="00890F98"/>
    <w:rsid w:val="0089142D"/>
    <w:rsid w:val="008916A7"/>
    <w:rsid w:val="00891DBC"/>
    <w:rsid w:val="0089241E"/>
    <w:rsid w:val="008924A8"/>
    <w:rsid w:val="0089254F"/>
    <w:rsid w:val="008928F0"/>
    <w:rsid w:val="00893C32"/>
    <w:rsid w:val="008950E0"/>
    <w:rsid w:val="008951D8"/>
    <w:rsid w:val="00895390"/>
    <w:rsid w:val="0089540A"/>
    <w:rsid w:val="008970DA"/>
    <w:rsid w:val="00897240"/>
    <w:rsid w:val="0089735C"/>
    <w:rsid w:val="008A17E0"/>
    <w:rsid w:val="008A1924"/>
    <w:rsid w:val="008A1F72"/>
    <w:rsid w:val="008A24B7"/>
    <w:rsid w:val="008A2DC5"/>
    <w:rsid w:val="008A2E89"/>
    <w:rsid w:val="008A317E"/>
    <w:rsid w:val="008A3D5F"/>
    <w:rsid w:val="008A3FDE"/>
    <w:rsid w:val="008A4522"/>
    <w:rsid w:val="008A495E"/>
    <w:rsid w:val="008A4A3C"/>
    <w:rsid w:val="008A4EE1"/>
    <w:rsid w:val="008A5546"/>
    <w:rsid w:val="008A5995"/>
    <w:rsid w:val="008A64D8"/>
    <w:rsid w:val="008A6673"/>
    <w:rsid w:val="008A72BF"/>
    <w:rsid w:val="008A7879"/>
    <w:rsid w:val="008A798F"/>
    <w:rsid w:val="008B0396"/>
    <w:rsid w:val="008B0A2F"/>
    <w:rsid w:val="008B1985"/>
    <w:rsid w:val="008B1DE5"/>
    <w:rsid w:val="008B22CC"/>
    <w:rsid w:val="008B247E"/>
    <w:rsid w:val="008B2670"/>
    <w:rsid w:val="008B3147"/>
    <w:rsid w:val="008B3436"/>
    <w:rsid w:val="008B464A"/>
    <w:rsid w:val="008B50CE"/>
    <w:rsid w:val="008B5694"/>
    <w:rsid w:val="008B5B6B"/>
    <w:rsid w:val="008B60F5"/>
    <w:rsid w:val="008B65DA"/>
    <w:rsid w:val="008B671D"/>
    <w:rsid w:val="008B67CB"/>
    <w:rsid w:val="008B760D"/>
    <w:rsid w:val="008B7FF4"/>
    <w:rsid w:val="008C08A1"/>
    <w:rsid w:val="008C0EE5"/>
    <w:rsid w:val="008C2C9E"/>
    <w:rsid w:val="008C2EF6"/>
    <w:rsid w:val="008C33CC"/>
    <w:rsid w:val="008C3D84"/>
    <w:rsid w:val="008C4175"/>
    <w:rsid w:val="008C4740"/>
    <w:rsid w:val="008C4993"/>
    <w:rsid w:val="008C53FA"/>
    <w:rsid w:val="008C5443"/>
    <w:rsid w:val="008C6CB1"/>
    <w:rsid w:val="008C6DAF"/>
    <w:rsid w:val="008D11BC"/>
    <w:rsid w:val="008D211D"/>
    <w:rsid w:val="008D3D7E"/>
    <w:rsid w:val="008D4FCB"/>
    <w:rsid w:val="008D52F1"/>
    <w:rsid w:val="008D53CA"/>
    <w:rsid w:val="008D556B"/>
    <w:rsid w:val="008D5AB8"/>
    <w:rsid w:val="008D6456"/>
    <w:rsid w:val="008D6A09"/>
    <w:rsid w:val="008D6F74"/>
    <w:rsid w:val="008D7AF7"/>
    <w:rsid w:val="008D7EB1"/>
    <w:rsid w:val="008E01B1"/>
    <w:rsid w:val="008E04FC"/>
    <w:rsid w:val="008E075A"/>
    <w:rsid w:val="008E1220"/>
    <w:rsid w:val="008E1C49"/>
    <w:rsid w:val="008E1E7A"/>
    <w:rsid w:val="008E2140"/>
    <w:rsid w:val="008E2F35"/>
    <w:rsid w:val="008E3875"/>
    <w:rsid w:val="008E3BD5"/>
    <w:rsid w:val="008E425E"/>
    <w:rsid w:val="008E582E"/>
    <w:rsid w:val="008E7B4F"/>
    <w:rsid w:val="008E7E7F"/>
    <w:rsid w:val="008F01A6"/>
    <w:rsid w:val="008F0EB0"/>
    <w:rsid w:val="008F109C"/>
    <w:rsid w:val="008F189E"/>
    <w:rsid w:val="008F2A69"/>
    <w:rsid w:val="008F2BD0"/>
    <w:rsid w:val="008F2FD5"/>
    <w:rsid w:val="008F4A31"/>
    <w:rsid w:val="008F5B27"/>
    <w:rsid w:val="008F6367"/>
    <w:rsid w:val="008F68B2"/>
    <w:rsid w:val="008F692C"/>
    <w:rsid w:val="008F71DA"/>
    <w:rsid w:val="008F7495"/>
    <w:rsid w:val="008F7C0D"/>
    <w:rsid w:val="008F7C7F"/>
    <w:rsid w:val="009000D8"/>
    <w:rsid w:val="00900471"/>
    <w:rsid w:val="00900712"/>
    <w:rsid w:val="00900A9B"/>
    <w:rsid w:val="00900C20"/>
    <w:rsid w:val="009010A3"/>
    <w:rsid w:val="00901516"/>
    <w:rsid w:val="00901FC7"/>
    <w:rsid w:val="0090231E"/>
    <w:rsid w:val="00902681"/>
    <w:rsid w:val="009028DA"/>
    <w:rsid w:val="009039AC"/>
    <w:rsid w:val="0090459D"/>
    <w:rsid w:val="00905458"/>
    <w:rsid w:val="00906A87"/>
    <w:rsid w:val="00906BB0"/>
    <w:rsid w:val="00906F8D"/>
    <w:rsid w:val="00906FC3"/>
    <w:rsid w:val="0090700B"/>
    <w:rsid w:val="009075B9"/>
    <w:rsid w:val="00907615"/>
    <w:rsid w:val="009076FD"/>
    <w:rsid w:val="00907937"/>
    <w:rsid w:val="00907D87"/>
    <w:rsid w:val="00911487"/>
    <w:rsid w:val="009114D8"/>
    <w:rsid w:val="009116CA"/>
    <w:rsid w:val="00911ADD"/>
    <w:rsid w:val="00913864"/>
    <w:rsid w:val="00913E27"/>
    <w:rsid w:val="009141AF"/>
    <w:rsid w:val="0091433B"/>
    <w:rsid w:val="00914376"/>
    <w:rsid w:val="0091523B"/>
    <w:rsid w:val="00915523"/>
    <w:rsid w:val="00915ED2"/>
    <w:rsid w:val="009161F9"/>
    <w:rsid w:val="0091623B"/>
    <w:rsid w:val="009166B2"/>
    <w:rsid w:val="009167E6"/>
    <w:rsid w:val="0091697D"/>
    <w:rsid w:val="00916D87"/>
    <w:rsid w:val="0091712C"/>
    <w:rsid w:val="00920883"/>
    <w:rsid w:val="00920A92"/>
    <w:rsid w:val="00920BAA"/>
    <w:rsid w:val="00920D68"/>
    <w:rsid w:val="00921A4B"/>
    <w:rsid w:val="00921EF9"/>
    <w:rsid w:val="00922237"/>
    <w:rsid w:val="0092303A"/>
    <w:rsid w:val="00923405"/>
    <w:rsid w:val="009236D6"/>
    <w:rsid w:val="009238BC"/>
    <w:rsid w:val="009244D3"/>
    <w:rsid w:val="009244DF"/>
    <w:rsid w:val="00925C5A"/>
    <w:rsid w:val="009262BB"/>
    <w:rsid w:val="009269F6"/>
    <w:rsid w:val="009270B6"/>
    <w:rsid w:val="009271D2"/>
    <w:rsid w:val="0092786F"/>
    <w:rsid w:val="00927BC8"/>
    <w:rsid w:val="009302B5"/>
    <w:rsid w:val="00930902"/>
    <w:rsid w:val="0093158C"/>
    <w:rsid w:val="009335E2"/>
    <w:rsid w:val="00933932"/>
    <w:rsid w:val="0093394D"/>
    <w:rsid w:val="00933C49"/>
    <w:rsid w:val="009340FA"/>
    <w:rsid w:val="00934F51"/>
    <w:rsid w:val="00935B60"/>
    <w:rsid w:val="009360B3"/>
    <w:rsid w:val="00936DE6"/>
    <w:rsid w:val="00936FFA"/>
    <w:rsid w:val="0094024A"/>
    <w:rsid w:val="009408E3"/>
    <w:rsid w:val="00940CE1"/>
    <w:rsid w:val="00941136"/>
    <w:rsid w:val="009416A4"/>
    <w:rsid w:val="00941964"/>
    <w:rsid w:val="00942501"/>
    <w:rsid w:val="00942653"/>
    <w:rsid w:val="00942923"/>
    <w:rsid w:val="00943432"/>
    <w:rsid w:val="0094347B"/>
    <w:rsid w:val="0094358E"/>
    <w:rsid w:val="009439C7"/>
    <w:rsid w:val="00943A90"/>
    <w:rsid w:val="00943AB4"/>
    <w:rsid w:val="00943BDD"/>
    <w:rsid w:val="009457C3"/>
    <w:rsid w:val="00945854"/>
    <w:rsid w:val="00945F84"/>
    <w:rsid w:val="00946142"/>
    <w:rsid w:val="00946286"/>
    <w:rsid w:val="0094659F"/>
    <w:rsid w:val="00946874"/>
    <w:rsid w:val="00946BFB"/>
    <w:rsid w:val="009477F7"/>
    <w:rsid w:val="00947ED0"/>
    <w:rsid w:val="00950064"/>
    <w:rsid w:val="009506DB"/>
    <w:rsid w:val="00952921"/>
    <w:rsid w:val="00952C43"/>
    <w:rsid w:val="00952E7E"/>
    <w:rsid w:val="00953191"/>
    <w:rsid w:val="00953513"/>
    <w:rsid w:val="00953D6F"/>
    <w:rsid w:val="00955593"/>
    <w:rsid w:val="0095565A"/>
    <w:rsid w:val="009558A2"/>
    <w:rsid w:val="00955AF5"/>
    <w:rsid w:val="00955B22"/>
    <w:rsid w:val="00955B27"/>
    <w:rsid w:val="00955B8C"/>
    <w:rsid w:val="00955E3A"/>
    <w:rsid w:val="009568F3"/>
    <w:rsid w:val="00956F87"/>
    <w:rsid w:val="00957877"/>
    <w:rsid w:val="009605B4"/>
    <w:rsid w:val="0096065C"/>
    <w:rsid w:val="00960857"/>
    <w:rsid w:val="00960A72"/>
    <w:rsid w:val="00960FD2"/>
    <w:rsid w:val="009612BB"/>
    <w:rsid w:val="00961715"/>
    <w:rsid w:val="00961CD1"/>
    <w:rsid w:val="00962FC7"/>
    <w:rsid w:val="00963771"/>
    <w:rsid w:val="009638FD"/>
    <w:rsid w:val="00964027"/>
    <w:rsid w:val="00970967"/>
    <w:rsid w:val="00970F47"/>
    <w:rsid w:val="00971CB8"/>
    <w:rsid w:val="00972285"/>
    <w:rsid w:val="0097246D"/>
    <w:rsid w:val="00972AE8"/>
    <w:rsid w:val="00972E7D"/>
    <w:rsid w:val="00973E6C"/>
    <w:rsid w:val="00974959"/>
    <w:rsid w:val="00974D4E"/>
    <w:rsid w:val="0097515D"/>
    <w:rsid w:val="009758AA"/>
    <w:rsid w:val="00975B26"/>
    <w:rsid w:val="009769C9"/>
    <w:rsid w:val="00976F2B"/>
    <w:rsid w:val="00977C7E"/>
    <w:rsid w:val="00981017"/>
    <w:rsid w:val="009811C3"/>
    <w:rsid w:val="00981296"/>
    <w:rsid w:val="00981495"/>
    <w:rsid w:val="00981993"/>
    <w:rsid w:val="009822FE"/>
    <w:rsid w:val="00983D9C"/>
    <w:rsid w:val="00983EE9"/>
    <w:rsid w:val="00984122"/>
    <w:rsid w:val="009850A3"/>
    <w:rsid w:val="00985C8E"/>
    <w:rsid w:val="00985E15"/>
    <w:rsid w:val="00986385"/>
    <w:rsid w:val="00986647"/>
    <w:rsid w:val="009867A0"/>
    <w:rsid w:val="00986B6B"/>
    <w:rsid w:val="009909C0"/>
    <w:rsid w:val="009909F0"/>
    <w:rsid w:val="00990E95"/>
    <w:rsid w:val="0099182D"/>
    <w:rsid w:val="00991D70"/>
    <w:rsid w:val="009926D1"/>
    <w:rsid w:val="00992B5D"/>
    <w:rsid w:val="00992EA6"/>
    <w:rsid w:val="00993F69"/>
    <w:rsid w:val="00993F6D"/>
    <w:rsid w:val="00994C1F"/>
    <w:rsid w:val="00995207"/>
    <w:rsid w:val="00995CB9"/>
    <w:rsid w:val="009961B0"/>
    <w:rsid w:val="00996298"/>
    <w:rsid w:val="0099684E"/>
    <w:rsid w:val="00996966"/>
    <w:rsid w:val="009969F4"/>
    <w:rsid w:val="00997AC5"/>
    <w:rsid w:val="00997B30"/>
    <w:rsid w:val="00997DFC"/>
    <w:rsid w:val="00997F3F"/>
    <w:rsid w:val="009A048C"/>
    <w:rsid w:val="009A0878"/>
    <w:rsid w:val="009A1223"/>
    <w:rsid w:val="009A1424"/>
    <w:rsid w:val="009A2FAF"/>
    <w:rsid w:val="009A39D4"/>
    <w:rsid w:val="009A3AE2"/>
    <w:rsid w:val="009A3F0A"/>
    <w:rsid w:val="009A3F77"/>
    <w:rsid w:val="009A4105"/>
    <w:rsid w:val="009A418B"/>
    <w:rsid w:val="009A4419"/>
    <w:rsid w:val="009A45D2"/>
    <w:rsid w:val="009A5A8B"/>
    <w:rsid w:val="009A631A"/>
    <w:rsid w:val="009B0404"/>
    <w:rsid w:val="009B0699"/>
    <w:rsid w:val="009B0FC0"/>
    <w:rsid w:val="009B1011"/>
    <w:rsid w:val="009B1A2E"/>
    <w:rsid w:val="009B2464"/>
    <w:rsid w:val="009B278F"/>
    <w:rsid w:val="009B3172"/>
    <w:rsid w:val="009B3598"/>
    <w:rsid w:val="009B3626"/>
    <w:rsid w:val="009B46AD"/>
    <w:rsid w:val="009B48CC"/>
    <w:rsid w:val="009B49F1"/>
    <w:rsid w:val="009B4C5A"/>
    <w:rsid w:val="009B501E"/>
    <w:rsid w:val="009B50EA"/>
    <w:rsid w:val="009B5472"/>
    <w:rsid w:val="009B6165"/>
    <w:rsid w:val="009B6EE2"/>
    <w:rsid w:val="009B7122"/>
    <w:rsid w:val="009C10C2"/>
    <w:rsid w:val="009C1360"/>
    <w:rsid w:val="009C178F"/>
    <w:rsid w:val="009C190B"/>
    <w:rsid w:val="009C1ED7"/>
    <w:rsid w:val="009C23B3"/>
    <w:rsid w:val="009C25AF"/>
    <w:rsid w:val="009C2758"/>
    <w:rsid w:val="009C3207"/>
    <w:rsid w:val="009C3C43"/>
    <w:rsid w:val="009C3CF7"/>
    <w:rsid w:val="009C40AE"/>
    <w:rsid w:val="009C4AE4"/>
    <w:rsid w:val="009C5B31"/>
    <w:rsid w:val="009C5EE3"/>
    <w:rsid w:val="009C66B6"/>
    <w:rsid w:val="009C678C"/>
    <w:rsid w:val="009C6DAD"/>
    <w:rsid w:val="009C7137"/>
    <w:rsid w:val="009C78F6"/>
    <w:rsid w:val="009C7CDD"/>
    <w:rsid w:val="009C7EC4"/>
    <w:rsid w:val="009D0069"/>
    <w:rsid w:val="009D1383"/>
    <w:rsid w:val="009D178C"/>
    <w:rsid w:val="009D1A85"/>
    <w:rsid w:val="009D1F9D"/>
    <w:rsid w:val="009D2206"/>
    <w:rsid w:val="009D23E9"/>
    <w:rsid w:val="009D4637"/>
    <w:rsid w:val="009D4DD4"/>
    <w:rsid w:val="009D5361"/>
    <w:rsid w:val="009D686B"/>
    <w:rsid w:val="009D6A47"/>
    <w:rsid w:val="009D6C96"/>
    <w:rsid w:val="009D7962"/>
    <w:rsid w:val="009D7FA6"/>
    <w:rsid w:val="009E0676"/>
    <w:rsid w:val="009E072C"/>
    <w:rsid w:val="009E07E6"/>
    <w:rsid w:val="009E132E"/>
    <w:rsid w:val="009E1BEC"/>
    <w:rsid w:val="009E1F04"/>
    <w:rsid w:val="009E24BD"/>
    <w:rsid w:val="009E29DB"/>
    <w:rsid w:val="009E2C40"/>
    <w:rsid w:val="009E2DF8"/>
    <w:rsid w:val="009E2E8B"/>
    <w:rsid w:val="009E3491"/>
    <w:rsid w:val="009E362E"/>
    <w:rsid w:val="009E436C"/>
    <w:rsid w:val="009E4D8A"/>
    <w:rsid w:val="009E5808"/>
    <w:rsid w:val="009E6240"/>
    <w:rsid w:val="009E7001"/>
    <w:rsid w:val="009E7ABB"/>
    <w:rsid w:val="009E7B75"/>
    <w:rsid w:val="009E7E3F"/>
    <w:rsid w:val="009F2078"/>
    <w:rsid w:val="009F258D"/>
    <w:rsid w:val="009F2643"/>
    <w:rsid w:val="009F2A98"/>
    <w:rsid w:val="009F2CB8"/>
    <w:rsid w:val="009F3464"/>
    <w:rsid w:val="009F363A"/>
    <w:rsid w:val="009F3B13"/>
    <w:rsid w:val="009F3F27"/>
    <w:rsid w:val="009F4B88"/>
    <w:rsid w:val="009F5EE1"/>
    <w:rsid w:val="009F674A"/>
    <w:rsid w:val="009F6888"/>
    <w:rsid w:val="009F6EA3"/>
    <w:rsid w:val="009F6F14"/>
    <w:rsid w:val="009F7293"/>
    <w:rsid w:val="009F7AD1"/>
    <w:rsid w:val="009F7C8F"/>
    <w:rsid w:val="009F7E63"/>
    <w:rsid w:val="009F7F35"/>
    <w:rsid w:val="00A000EE"/>
    <w:rsid w:val="00A00407"/>
    <w:rsid w:val="00A00D1D"/>
    <w:rsid w:val="00A01613"/>
    <w:rsid w:val="00A01766"/>
    <w:rsid w:val="00A01799"/>
    <w:rsid w:val="00A017D5"/>
    <w:rsid w:val="00A019AC"/>
    <w:rsid w:val="00A02227"/>
    <w:rsid w:val="00A023FF"/>
    <w:rsid w:val="00A0248F"/>
    <w:rsid w:val="00A029D1"/>
    <w:rsid w:val="00A02A40"/>
    <w:rsid w:val="00A02DF4"/>
    <w:rsid w:val="00A036DF"/>
    <w:rsid w:val="00A03A66"/>
    <w:rsid w:val="00A03FDD"/>
    <w:rsid w:val="00A048E1"/>
    <w:rsid w:val="00A05091"/>
    <w:rsid w:val="00A05206"/>
    <w:rsid w:val="00A055C8"/>
    <w:rsid w:val="00A05ABE"/>
    <w:rsid w:val="00A0602B"/>
    <w:rsid w:val="00A067F4"/>
    <w:rsid w:val="00A06A66"/>
    <w:rsid w:val="00A07561"/>
    <w:rsid w:val="00A0775F"/>
    <w:rsid w:val="00A07B46"/>
    <w:rsid w:val="00A111AF"/>
    <w:rsid w:val="00A119D2"/>
    <w:rsid w:val="00A123B2"/>
    <w:rsid w:val="00A12898"/>
    <w:rsid w:val="00A129F9"/>
    <w:rsid w:val="00A12B23"/>
    <w:rsid w:val="00A12C15"/>
    <w:rsid w:val="00A139D8"/>
    <w:rsid w:val="00A1503A"/>
    <w:rsid w:val="00A15172"/>
    <w:rsid w:val="00A16335"/>
    <w:rsid w:val="00A163C1"/>
    <w:rsid w:val="00A17E99"/>
    <w:rsid w:val="00A20320"/>
    <w:rsid w:val="00A20354"/>
    <w:rsid w:val="00A20411"/>
    <w:rsid w:val="00A20619"/>
    <w:rsid w:val="00A2072B"/>
    <w:rsid w:val="00A20A2D"/>
    <w:rsid w:val="00A20B7A"/>
    <w:rsid w:val="00A20C5E"/>
    <w:rsid w:val="00A20CB4"/>
    <w:rsid w:val="00A21698"/>
    <w:rsid w:val="00A21AE2"/>
    <w:rsid w:val="00A21E31"/>
    <w:rsid w:val="00A21ED0"/>
    <w:rsid w:val="00A233C4"/>
    <w:rsid w:val="00A235BE"/>
    <w:rsid w:val="00A2396D"/>
    <w:rsid w:val="00A23A7D"/>
    <w:rsid w:val="00A240A5"/>
    <w:rsid w:val="00A242BC"/>
    <w:rsid w:val="00A24B13"/>
    <w:rsid w:val="00A24CAC"/>
    <w:rsid w:val="00A25B1E"/>
    <w:rsid w:val="00A25B21"/>
    <w:rsid w:val="00A25FC0"/>
    <w:rsid w:val="00A266E2"/>
    <w:rsid w:val="00A26FA0"/>
    <w:rsid w:val="00A26FF0"/>
    <w:rsid w:val="00A300A3"/>
    <w:rsid w:val="00A30D04"/>
    <w:rsid w:val="00A31475"/>
    <w:rsid w:val="00A31703"/>
    <w:rsid w:val="00A31B26"/>
    <w:rsid w:val="00A31C87"/>
    <w:rsid w:val="00A31CD0"/>
    <w:rsid w:val="00A3230E"/>
    <w:rsid w:val="00A33F9E"/>
    <w:rsid w:val="00A34159"/>
    <w:rsid w:val="00A3450D"/>
    <w:rsid w:val="00A345E8"/>
    <w:rsid w:val="00A34C2D"/>
    <w:rsid w:val="00A34EAD"/>
    <w:rsid w:val="00A370AC"/>
    <w:rsid w:val="00A3720E"/>
    <w:rsid w:val="00A3740F"/>
    <w:rsid w:val="00A374BA"/>
    <w:rsid w:val="00A376FE"/>
    <w:rsid w:val="00A3784C"/>
    <w:rsid w:val="00A40010"/>
    <w:rsid w:val="00A4065A"/>
    <w:rsid w:val="00A40A9A"/>
    <w:rsid w:val="00A4170A"/>
    <w:rsid w:val="00A4213D"/>
    <w:rsid w:val="00A428B0"/>
    <w:rsid w:val="00A43817"/>
    <w:rsid w:val="00A45466"/>
    <w:rsid w:val="00A46682"/>
    <w:rsid w:val="00A469C4"/>
    <w:rsid w:val="00A469E1"/>
    <w:rsid w:val="00A46E28"/>
    <w:rsid w:val="00A46EF6"/>
    <w:rsid w:val="00A4709B"/>
    <w:rsid w:val="00A47236"/>
    <w:rsid w:val="00A472DD"/>
    <w:rsid w:val="00A47848"/>
    <w:rsid w:val="00A478DC"/>
    <w:rsid w:val="00A50C4E"/>
    <w:rsid w:val="00A511B5"/>
    <w:rsid w:val="00A51A46"/>
    <w:rsid w:val="00A541DD"/>
    <w:rsid w:val="00A543E2"/>
    <w:rsid w:val="00A5494A"/>
    <w:rsid w:val="00A54F9C"/>
    <w:rsid w:val="00A5544A"/>
    <w:rsid w:val="00A55549"/>
    <w:rsid w:val="00A55FD4"/>
    <w:rsid w:val="00A56B56"/>
    <w:rsid w:val="00A56E4B"/>
    <w:rsid w:val="00A56EB7"/>
    <w:rsid w:val="00A576B1"/>
    <w:rsid w:val="00A60397"/>
    <w:rsid w:val="00A60AAF"/>
    <w:rsid w:val="00A61068"/>
    <w:rsid w:val="00A61F7F"/>
    <w:rsid w:val="00A6219C"/>
    <w:rsid w:val="00A622B0"/>
    <w:rsid w:val="00A62867"/>
    <w:rsid w:val="00A62913"/>
    <w:rsid w:val="00A63718"/>
    <w:rsid w:val="00A63C02"/>
    <w:rsid w:val="00A63D59"/>
    <w:rsid w:val="00A63F5D"/>
    <w:rsid w:val="00A63FB6"/>
    <w:rsid w:val="00A64828"/>
    <w:rsid w:val="00A6552E"/>
    <w:rsid w:val="00A6577E"/>
    <w:rsid w:val="00A659B8"/>
    <w:rsid w:val="00A65B36"/>
    <w:rsid w:val="00A6603B"/>
    <w:rsid w:val="00A66C46"/>
    <w:rsid w:val="00A67BA0"/>
    <w:rsid w:val="00A67D48"/>
    <w:rsid w:val="00A67D4E"/>
    <w:rsid w:val="00A67FF8"/>
    <w:rsid w:val="00A70D27"/>
    <w:rsid w:val="00A71785"/>
    <w:rsid w:val="00A71788"/>
    <w:rsid w:val="00A71856"/>
    <w:rsid w:val="00A71BCC"/>
    <w:rsid w:val="00A72016"/>
    <w:rsid w:val="00A7261B"/>
    <w:rsid w:val="00A72D74"/>
    <w:rsid w:val="00A7389D"/>
    <w:rsid w:val="00A7396C"/>
    <w:rsid w:val="00A73C3A"/>
    <w:rsid w:val="00A7472A"/>
    <w:rsid w:val="00A74939"/>
    <w:rsid w:val="00A75F3A"/>
    <w:rsid w:val="00A768DB"/>
    <w:rsid w:val="00A76D25"/>
    <w:rsid w:val="00A76F92"/>
    <w:rsid w:val="00A7709F"/>
    <w:rsid w:val="00A7756A"/>
    <w:rsid w:val="00A7799E"/>
    <w:rsid w:val="00A77C89"/>
    <w:rsid w:val="00A80010"/>
    <w:rsid w:val="00A80454"/>
    <w:rsid w:val="00A8296C"/>
    <w:rsid w:val="00A83232"/>
    <w:rsid w:val="00A83306"/>
    <w:rsid w:val="00A83EDC"/>
    <w:rsid w:val="00A84297"/>
    <w:rsid w:val="00A8494C"/>
    <w:rsid w:val="00A85613"/>
    <w:rsid w:val="00A859C1"/>
    <w:rsid w:val="00A8624C"/>
    <w:rsid w:val="00A8709E"/>
    <w:rsid w:val="00A87675"/>
    <w:rsid w:val="00A91029"/>
    <w:rsid w:val="00A913DA"/>
    <w:rsid w:val="00A91885"/>
    <w:rsid w:val="00A921D1"/>
    <w:rsid w:val="00A92B32"/>
    <w:rsid w:val="00A92E5D"/>
    <w:rsid w:val="00A93861"/>
    <w:rsid w:val="00A941D5"/>
    <w:rsid w:val="00A944EE"/>
    <w:rsid w:val="00A94F9A"/>
    <w:rsid w:val="00A9538E"/>
    <w:rsid w:val="00A95FA4"/>
    <w:rsid w:val="00A960AE"/>
    <w:rsid w:val="00A9651C"/>
    <w:rsid w:val="00A9711C"/>
    <w:rsid w:val="00A975E5"/>
    <w:rsid w:val="00AA0F5F"/>
    <w:rsid w:val="00AA12C9"/>
    <w:rsid w:val="00AA2385"/>
    <w:rsid w:val="00AA26D7"/>
    <w:rsid w:val="00AA2AAC"/>
    <w:rsid w:val="00AA2B0A"/>
    <w:rsid w:val="00AA3852"/>
    <w:rsid w:val="00AA3C3B"/>
    <w:rsid w:val="00AA3D14"/>
    <w:rsid w:val="00AA4D8A"/>
    <w:rsid w:val="00AA5083"/>
    <w:rsid w:val="00AA52FB"/>
    <w:rsid w:val="00AA5310"/>
    <w:rsid w:val="00AA5FB6"/>
    <w:rsid w:val="00AA72C2"/>
    <w:rsid w:val="00AA7B7E"/>
    <w:rsid w:val="00AA7BF9"/>
    <w:rsid w:val="00AB0EA0"/>
    <w:rsid w:val="00AB13B5"/>
    <w:rsid w:val="00AB15EB"/>
    <w:rsid w:val="00AB1A62"/>
    <w:rsid w:val="00AB21A8"/>
    <w:rsid w:val="00AB2424"/>
    <w:rsid w:val="00AB28C8"/>
    <w:rsid w:val="00AB32A6"/>
    <w:rsid w:val="00AB33BB"/>
    <w:rsid w:val="00AB459F"/>
    <w:rsid w:val="00AB46B3"/>
    <w:rsid w:val="00AB4967"/>
    <w:rsid w:val="00AB58BE"/>
    <w:rsid w:val="00AB5C34"/>
    <w:rsid w:val="00AB63A1"/>
    <w:rsid w:val="00AB7B3D"/>
    <w:rsid w:val="00AB7BF8"/>
    <w:rsid w:val="00AC023B"/>
    <w:rsid w:val="00AC0F6D"/>
    <w:rsid w:val="00AC25C7"/>
    <w:rsid w:val="00AC282D"/>
    <w:rsid w:val="00AC2873"/>
    <w:rsid w:val="00AC28ED"/>
    <w:rsid w:val="00AC2CEF"/>
    <w:rsid w:val="00AC3CCE"/>
    <w:rsid w:val="00AC48DC"/>
    <w:rsid w:val="00AC6042"/>
    <w:rsid w:val="00AC682F"/>
    <w:rsid w:val="00AC6D18"/>
    <w:rsid w:val="00AC6F33"/>
    <w:rsid w:val="00AC78A4"/>
    <w:rsid w:val="00AC78E5"/>
    <w:rsid w:val="00AC7F2A"/>
    <w:rsid w:val="00AD0014"/>
    <w:rsid w:val="00AD03C3"/>
    <w:rsid w:val="00AD1914"/>
    <w:rsid w:val="00AD273A"/>
    <w:rsid w:val="00AD3049"/>
    <w:rsid w:val="00AD32D7"/>
    <w:rsid w:val="00AD33C1"/>
    <w:rsid w:val="00AD3D4A"/>
    <w:rsid w:val="00AD4AA1"/>
    <w:rsid w:val="00AD4F3F"/>
    <w:rsid w:val="00AD5014"/>
    <w:rsid w:val="00AD5022"/>
    <w:rsid w:val="00AD5DC6"/>
    <w:rsid w:val="00AD5F1D"/>
    <w:rsid w:val="00AD68E1"/>
    <w:rsid w:val="00AD68FE"/>
    <w:rsid w:val="00AD755F"/>
    <w:rsid w:val="00AD783A"/>
    <w:rsid w:val="00AD7E70"/>
    <w:rsid w:val="00AE0830"/>
    <w:rsid w:val="00AE0CB7"/>
    <w:rsid w:val="00AE1F22"/>
    <w:rsid w:val="00AE20AC"/>
    <w:rsid w:val="00AE2E8F"/>
    <w:rsid w:val="00AE3A51"/>
    <w:rsid w:val="00AE4603"/>
    <w:rsid w:val="00AE4624"/>
    <w:rsid w:val="00AE46BF"/>
    <w:rsid w:val="00AE4A94"/>
    <w:rsid w:val="00AE4E39"/>
    <w:rsid w:val="00AE6263"/>
    <w:rsid w:val="00AE6856"/>
    <w:rsid w:val="00AE7DF6"/>
    <w:rsid w:val="00AF1382"/>
    <w:rsid w:val="00AF13AA"/>
    <w:rsid w:val="00AF268C"/>
    <w:rsid w:val="00AF3100"/>
    <w:rsid w:val="00AF3914"/>
    <w:rsid w:val="00AF4027"/>
    <w:rsid w:val="00AF413B"/>
    <w:rsid w:val="00AF465C"/>
    <w:rsid w:val="00AF4801"/>
    <w:rsid w:val="00AF4B5D"/>
    <w:rsid w:val="00AF5DD9"/>
    <w:rsid w:val="00AF5F65"/>
    <w:rsid w:val="00AF6083"/>
    <w:rsid w:val="00AF6A7F"/>
    <w:rsid w:val="00AF6C7E"/>
    <w:rsid w:val="00AF6E19"/>
    <w:rsid w:val="00AF71DC"/>
    <w:rsid w:val="00AF7ADD"/>
    <w:rsid w:val="00B00560"/>
    <w:rsid w:val="00B00592"/>
    <w:rsid w:val="00B00B86"/>
    <w:rsid w:val="00B00F2B"/>
    <w:rsid w:val="00B01531"/>
    <w:rsid w:val="00B01A73"/>
    <w:rsid w:val="00B0236C"/>
    <w:rsid w:val="00B02452"/>
    <w:rsid w:val="00B02C28"/>
    <w:rsid w:val="00B02D5E"/>
    <w:rsid w:val="00B03332"/>
    <w:rsid w:val="00B0416B"/>
    <w:rsid w:val="00B044F2"/>
    <w:rsid w:val="00B045C8"/>
    <w:rsid w:val="00B050E6"/>
    <w:rsid w:val="00B0598B"/>
    <w:rsid w:val="00B06DD8"/>
    <w:rsid w:val="00B07A72"/>
    <w:rsid w:val="00B111D1"/>
    <w:rsid w:val="00B11D2B"/>
    <w:rsid w:val="00B126B0"/>
    <w:rsid w:val="00B126BA"/>
    <w:rsid w:val="00B12BE4"/>
    <w:rsid w:val="00B13075"/>
    <w:rsid w:val="00B134FA"/>
    <w:rsid w:val="00B1363F"/>
    <w:rsid w:val="00B13685"/>
    <w:rsid w:val="00B14ACB"/>
    <w:rsid w:val="00B15461"/>
    <w:rsid w:val="00B161B6"/>
    <w:rsid w:val="00B16218"/>
    <w:rsid w:val="00B171BE"/>
    <w:rsid w:val="00B17796"/>
    <w:rsid w:val="00B17DF7"/>
    <w:rsid w:val="00B21172"/>
    <w:rsid w:val="00B21635"/>
    <w:rsid w:val="00B2174E"/>
    <w:rsid w:val="00B21C16"/>
    <w:rsid w:val="00B22523"/>
    <w:rsid w:val="00B22CBC"/>
    <w:rsid w:val="00B23042"/>
    <w:rsid w:val="00B23B95"/>
    <w:rsid w:val="00B23CFF"/>
    <w:rsid w:val="00B2414E"/>
    <w:rsid w:val="00B241D8"/>
    <w:rsid w:val="00B2440D"/>
    <w:rsid w:val="00B2446A"/>
    <w:rsid w:val="00B24761"/>
    <w:rsid w:val="00B24B74"/>
    <w:rsid w:val="00B24D0B"/>
    <w:rsid w:val="00B24FF7"/>
    <w:rsid w:val="00B25CE8"/>
    <w:rsid w:val="00B26E71"/>
    <w:rsid w:val="00B2779A"/>
    <w:rsid w:val="00B27B4C"/>
    <w:rsid w:val="00B27C6C"/>
    <w:rsid w:val="00B30A98"/>
    <w:rsid w:val="00B30BD9"/>
    <w:rsid w:val="00B310A6"/>
    <w:rsid w:val="00B31395"/>
    <w:rsid w:val="00B3139C"/>
    <w:rsid w:val="00B31404"/>
    <w:rsid w:val="00B31414"/>
    <w:rsid w:val="00B314C0"/>
    <w:rsid w:val="00B31B52"/>
    <w:rsid w:val="00B322D3"/>
    <w:rsid w:val="00B331A1"/>
    <w:rsid w:val="00B333E1"/>
    <w:rsid w:val="00B335C8"/>
    <w:rsid w:val="00B339C2"/>
    <w:rsid w:val="00B33F8D"/>
    <w:rsid w:val="00B34340"/>
    <w:rsid w:val="00B346CE"/>
    <w:rsid w:val="00B368D8"/>
    <w:rsid w:val="00B36C71"/>
    <w:rsid w:val="00B37251"/>
    <w:rsid w:val="00B374EB"/>
    <w:rsid w:val="00B37590"/>
    <w:rsid w:val="00B37A6A"/>
    <w:rsid w:val="00B40331"/>
    <w:rsid w:val="00B40851"/>
    <w:rsid w:val="00B40FA0"/>
    <w:rsid w:val="00B4140C"/>
    <w:rsid w:val="00B41BBB"/>
    <w:rsid w:val="00B41F73"/>
    <w:rsid w:val="00B42CC8"/>
    <w:rsid w:val="00B42DA1"/>
    <w:rsid w:val="00B43AF1"/>
    <w:rsid w:val="00B43CC8"/>
    <w:rsid w:val="00B43F33"/>
    <w:rsid w:val="00B444CD"/>
    <w:rsid w:val="00B44814"/>
    <w:rsid w:val="00B4571D"/>
    <w:rsid w:val="00B45F9F"/>
    <w:rsid w:val="00B46313"/>
    <w:rsid w:val="00B46605"/>
    <w:rsid w:val="00B47A5C"/>
    <w:rsid w:val="00B47C4E"/>
    <w:rsid w:val="00B50ABC"/>
    <w:rsid w:val="00B51B5D"/>
    <w:rsid w:val="00B51D8B"/>
    <w:rsid w:val="00B52F6C"/>
    <w:rsid w:val="00B5403F"/>
    <w:rsid w:val="00B5404C"/>
    <w:rsid w:val="00B5424B"/>
    <w:rsid w:val="00B54DBF"/>
    <w:rsid w:val="00B553BB"/>
    <w:rsid w:val="00B555F8"/>
    <w:rsid w:val="00B563DF"/>
    <w:rsid w:val="00B566E4"/>
    <w:rsid w:val="00B56B8B"/>
    <w:rsid w:val="00B57162"/>
    <w:rsid w:val="00B5792D"/>
    <w:rsid w:val="00B57ADF"/>
    <w:rsid w:val="00B57D14"/>
    <w:rsid w:val="00B6048F"/>
    <w:rsid w:val="00B60DB6"/>
    <w:rsid w:val="00B620E6"/>
    <w:rsid w:val="00B62221"/>
    <w:rsid w:val="00B6255F"/>
    <w:rsid w:val="00B62763"/>
    <w:rsid w:val="00B62E02"/>
    <w:rsid w:val="00B6400D"/>
    <w:rsid w:val="00B64C82"/>
    <w:rsid w:val="00B655A3"/>
    <w:rsid w:val="00B65E10"/>
    <w:rsid w:val="00B663CA"/>
    <w:rsid w:val="00B6676F"/>
    <w:rsid w:val="00B66948"/>
    <w:rsid w:val="00B67316"/>
    <w:rsid w:val="00B674D6"/>
    <w:rsid w:val="00B67A8D"/>
    <w:rsid w:val="00B70FD8"/>
    <w:rsid w:val="00B71062"/>
    <w:rsid w:val="00B715A4"/>
    <w:rsid w:val="00B7160C"/>
    <w:rsid w:val="00B71A8B"/>
    <w:rsid w:val="00B720F5"/>
    <w:rsid w:val="00B72208"/>
    <w:rsid w:val="00B726BE"/>
    <w:rsid w:val="00B7301B"/>
    <w:rsid w:val="00B7304F"/>
    <w:rsid w:val="00B73EBA"/>
    <w:rsid w:val="00B7425B"/>
    <w:rsid w:val="00B743FF"/>
    <w:rsid w:val="00B74886"/>
    <w:rsid w:val="00B74C9E"/>
    <w:rsid w:val="00B74DCC"/>
    <w:rsid w:val="00B75507"/>
    <w:rsid w:val="00B75EBE"/>
    <w:rsid w:val="00B765A6"/>
    <w:rsid w:val="00B766DA"/>
    <w:rsid w:val="00B766F8"/>
    <w:rsid w:val="00B769D3"/>
    <w:rsid w:val="00B76BB3"/>
    <w:rsid w:val="00B802CC"/>
    <w:rsid w:val="00B8077E"/>
    <w:rsid w:val="00B80974"/>
    <w:rsid w:val="00B81454"/>
    <w:rsid w:val="00B81CA8"/>
    <w:rsid w:val="00B8275C"/>
    <w:rsid w:val="00B82B4C"/>
    <w:rsid w:val="00B82CD3"/>
    <w:rsid w:val="00B83587"/>
    <w:rsid w:val="00B840BF"/>
    <w:rsid w:val="00B84BA7"/>
    <w:rsid w:val="00B8512E"/>
    <w:rsid w:val="00B858D1"/>
    <w:rsid w:val="00B85992"/>
    <w:rsid w:val="00B85994"/>
    <w:rsid w:val="00B86CC3"/>
    <w:rsid w:val="00B877B6"/>
    <w:rsid w:val="00B87DE5"/>
    <w:rsid w:val="00B904D2"/>
    <w:rsid w:val="00B90877"/>
    <w:rsid w:val="00B90B8C"/>
    <w:rsid w:val="00B9101C"/>
    <w:rsid w:val="00B91E3B"/>
    <w:rsid w:val="00B9203B"/>
    <w:rsid w:val="00B92108"/>
    <w:rsid w:val="00B92267"/>
    <w:rsid w:val="00B92350"/>
    <w:rsid w:val="00B927AA"/>
    <w:rsid w:val="00B937EA"/>
    <w:rsid w:val="00B9385A"/>
    <w:rsid w:val="00B93E9F"/>
    <w:rsid w:val="00B9413C"/>
    <w:rsid w:val="00B94632"/>
    <w:rsid w:val="00B94CA6"/>
    <w:rsid w:val="00B95084"/>
    <w:rsid w:val="00B956C8"/>
    <w:rsid w:val="00B95CA6"/>
    <w:rsid w:val="00B96625"/>
    <w:rsid w:val="00B966B6"/>
    <w:rsid w:val="00B97480"/>
    <w:rsid w:val="00B97617"/>
    <w:rsid w:val="00B97DBD"/>
    <w:rsid w:val="00BA0FA1"/>
    <w:rsid w:val="00BA14F8"/>
    <w:rsid w:val="00BA172E"/>
    <w:rsid w:val="00BA241A"/>
    <w:rsid w:val="00BA25DD"/>
    <w:rsid w:val="00BA26F4"/>
    <w:rsid w:val="00BA2737"/>
    <w:rsid w:val="00BA2738"/>
    <w:rsid w:val="00BA332C"/>
    <w:rsid w:val="00BA39B9"/>
    <w:rsid w:val="00BA3BDD"/>
    <w:rsid w:val="00BA44FC"/>
    <w:rsid w:val="00BA4848"/>
    <w:rsid w:val="00BA4D7F"/>
    <w:rsid w:val="00BA5C28"/>
    <w:rsid w:val="00BA61CD"/>
    <w:rsid w:val="00BA631C"/>
    <w:rsid w:val="00BB0ACB"/>
    <w:rsid w:val="00BB0F3F"/>
    <w:rsid w:val="00BB2DD4"/>
    <w:rsid w:val="00BB3FA5"/>
    <w:rsid w:val="00BB40C4"/>
    <w:rsid w:val="00BB4B4C"/>
    <w:rsid w:val="00BB5705"/>
    <w:rsid w:val="00BB57B3"/>
    <w:rsid w:val="00BB596E"/>
    <w:rsid w:val="00BB78D8"/>
    <w:rsid w:val="00BC0D53"/>
    <w:rsid w:val="00BC1464"/>
    <w:rsid w:val="00BC18E2"/>
    <w:rsid w:val="00BC2179"/>
    <w:rsid w:val="00BC32C9"/>
    <w:rsid w:val="00BC3753"/>
    <w:rsid w:val="00BC41DC"/>
    <w:rsid w:val="00BC431F"/>
    <w:rsid w:val="00BC505A"/>
    <w:rsid w:val="00BC5C16"/>
    <w:rsid w:val="00BC5C41"/>
    <w:rsid w:val="00BC6604"/>
    <w:rsid w:val="00BC7BE1"/>
    <w:rsid w:val="00BD04DB"/>
    <w:rsid w:val="00BD0716"/>
    <w:rsid w:val="00BD09EF"/>
    <w:rsid w:val="00BD101E"/>
    <w:rsid w:val="00BD14A4"/>
    <w:rsid w:val="00BD25DD"/>
    <w:rsid w:val="00BD282A"/>
    <w:rsid w:val="00BD53AC"/>
    <w:rsid w:val="00BD54C8"/>
    <w:rsid w:val="00BD5AD5"/>
    <w:rsid w:val="00BD5D6D"/>
    <w:rsid w:val="00BD61B5"/>
    <w:rsid w:val="00BD6209"/>
    <w:rsid w:val="00BD6232"/>
    <w:rsid w:val="00BD6F58"/>
    <w:rsid w:val="00BD760A"/>
    <w:rsid w:val="00BD76EC"/>
    <w:rsid w:val="00BD7869"/>
    <w:rsid w:val="00BD79AE"/>
    <w:rsid w:val="00BE0F7E"/>
    <w:rsid w:val="00BE1AFA"/>
    <w:rsid w:val="00BE214F"/>
    <w:rsid w:val="00BE29CA"/>
    <w:rsid w:val="00BE3661"/>
    <w:rsid w:val="00BE3AE4"/>
    <w:rsid w:val="00BE5750"/>
    <w:rsid w:val="00BE6018"/>
    <w:rsid w:val="00BE6EAA"/>
    <w:rsid w:val="00BE760F"/>
    <w:rsid w:val="00BE7F6F"/>
    <w:rsid w:val="00BE7F78"/>
    <w:rsid w:val="00BF0D04"/>
    <w:rsid w:val="00BF0EBD"/>
    <w:rsid w:val="00BF16F8"/>
    <w:rsid w:val="00BF1914"/>
    <w:rsid w:val="00BF1B3D"/>
    <w:rsid w:val="00BF2097"/>
    <w:rsid w:val="00BF2508"/>
    <w:rsid w:val="00BF2687"/>
    <w:rsid w:val="00BF3564"/>
    <w:rsid w:val="00BF3F63"/>
    <w:rsid w:val="00BF40C6"/>
    <w:rsid w:val="00BF5298"/>
    <w:rsid w:val="00BF5E5F"/>
    <w:rsid w:val="00BF6F7D"/>
    <w:rsid w:val="00BF701B"/>
    <w:rsid w:val="00BF7316"/>
    <w:rsid w:val="00C00057"/>
    <w:rsid w:val="00C00899"/>
    <w:rsid w:val="00C017BF"/>
    <w:rsid w:val="00C01F72"/>
    <w:rsid w:val="00C0208B"/>
    <w:rsid w:val="00C02913"/>
    <w:rsid w:val="00C03105"/>
    <w:rsid w:val="00C03D23"/>
    <w:rsid w:val="00C040DD"/>
    <w:rsid w:val="00C0441E"/>
    <w:rsid w:val="00C05510"/>
    <w:rsid w:val="00C05A39"/>
    <w:rsid w:val="00C0786E"/>
    <w:rsid w:val="00C07BAD"/>
    <w:rsid w:val="00C07F2F"/>
    <w:rsid w:val="00C10463"/>
    <w:rsid w:val="00C1088E"/>
    <w:rsid w:val="00C11F24"/>
    <w:rsid w:val="00C12313"/>
    <w:rsid w:val="00C12446"/>
    <w:rsid w:val="00C12B63"/>
    <w:rsid w:val="00C13902"/>
    <w:rsid w:val="00C13FAE"/>
    <w:rsid w:val="00C14DAF"/>
    <w:rsid w:val="00C15349"/>
    <w:rsid w:val="00C15E2D"/>
    <w:rsid w:val="00C161AF"/>
    <w:rsid w:val="00C16CCE"/>
    <w:rsid w:val="00C2071B"/>
    <w:rsid w:val="00C217A0"/>
    <w:rsid w:val="00C21977"/>
    <w:rsid w:val="00C21C0F"/>
    <w:rsid w:val="00C21C41"/>
    <w:rsid w:val="00C22258"/>
    <w:rsid w:val="00C222FE"/>
    <w:rsid w:val="00C227FC"/>
    <w:rsid w:val="00C22F22"/>
    <w:rsid w:val="00C22F9D"/>
    <w:rsid w:val="00C22FB8"/>
    <w:rsid w:val="00C24957"/>
    <w:rsid w:val="00C2530C"/>
    <w:rsid w:val="00C25719"/>
    <w:rsid w:val="00C279C0"/>
    <w:rsid w:val="00C27D7E"/>
    <w:rsid w:val="00C27DE8"/>
    <w:rsid w:val="00C27EE7"/>
    <w:rsid w:val="00C300E1"/>
    <w:rsid w:val="00C3023B"/>
    <w:rsid w:val="00C30274"/>
    <w:rsid w:val="00C31885"/>
    <w:rsid w:val="00C31961"/>
    <w:rsid w:val="00C319A2"/>
    <w:rsid w:val="00C3218B"/>
    <w:rsid w:val="00C321C8"/>
    <w:rsid w:val="00C32515"/>
    <w:rsid w:val="00C32896"/>
    <w:rsid w:val="00C334E8"/>
    <w:rsid w:val="00C3386C"/>
    <w:rsid w:val="00C33A40"/>
    <w:rsid w:val="00C3400A"/>
    <w:rsid w:val="00C3413C"/>
    <w:rsid w:val="00C3491C"/>
    <w:rsid w:val="00C34CD7"/>
    <w:rsid w:val="00C35F79"/>
    <w:rsid w:val="00C36180"/>
    <w:rsid w:val="00C36403"/>
    <w:rsid w:val="00C36714"/>
    <w:rsid w:val="00C369C8"/>
    <w:rsid w:val="00C36DEE"/>
    <w:rsid w:val="00C37292"/>
    <w:rsid w:val="00C37592"/>
    <w:rsid w:val="00C375E8"/>
    <w:rsid w:val="00C3770E"/>
    <w:rsid w:val="00C37E6A"/>
    <w:rsid w:val="00C40738"/>
    <w:rsid w:val="00C40C4C"/>
    <w:rsid w:val="00C40CB1"/>
    <w:rsid w:val="00C42103"/>
    <w:rsid w:val="00C4275F"/>
    <w:rsid w:val="00C42923"/>
    <w:rsid w:val="00C429D4"/>
    <w:rsid w:val="00C43976"/>
    <w:rsid w:val="00C43F3D"/>
    <w:rsid w:val="00C442C0"/>
    <w:rsid w:val="00C444AB"/>
    <w:rsid w:val="00C44848"/>
    <w:rsid w:val="00C44FEB"/>
    <w:rsid w:val="00C45496"/>
    <w:rsid w:val="00C47264"/>
    <w:rsid w:val="00C47521"/>
    <w:rsid w:val="00C4762B"/>
    <w:rsid w:val="00C47A9E"/>
    <w:rsid w:val="00C47C27"/>
    <w:rsid w:val="00C47FAB"/>
    <w:rsid w:val="00C50176"/>
    <w:rsid w:val="00C51F78"/>
    <w:rsid w:val="00C51F91"/>
    <w:rsid w:val="00C5266A"/>
    <w:rsid w:val="00C528B0"/>
    <w:rsid w:val="00C52A3B"/>
    <w:rsid w:val="00C52F56"/>
    <w:rsid w:val="00C535A9"/>
    <w:rsid w:val="00C537AF"/>
    <w:rsid w:val="00C538AA"/>
    <w:rsid w:val="00C54482"/>
    <w:rsid w:val="00C54BC3"/>
    <w:rsid w:val="00C54E9B"/>
    <w:rsid w:val="00C5513A"/>
    <w:rsid w:val="00C553FB"/>
    <w:rsid w:val="00C55EC0"/>
    <w:rsid w:val="00C5632C"/>
    <w:rsid w:val="00C5647B"/>
    <w:rsid w:val="00C565BC"/>
    <w:rsid w:val="00C5680E"/>
    <w:rsid w:val="00C57425"/>
    <w:rsid w:val="00C57435"/>
    <w:rsid w:val="00C601C6"/>
    <w:rsid w:val="00C6045D"/>
    <w:rsid w:val="00C60DC1"/>
    <w:rsid w:val="00C60F24"/>
    <w:rsid w:val="00C62BFC"/>
    <w:rsid w:val="00C62F8E"/>
    <w:rsid w:val="00C6311C"/>
    <w:rsid w:val="00C636FE"/>
    <w:rsid w:val="00C63B97"/>
    <w:rsid w:val="00C63FDD"/>
    <w:rsid w:val="00C642F4"/>
    <w:rsid w:val="00C6437B"/>
    <w:rsid w:val="00C644A6"/>
    <w:rsid w:val="00C645EF"/>
    <w:rsid w:val="00C64612"/>
    <w:rsid w:val="00C647B2"/>
    <w:rsid w:val="00C64E5C"/>
    <w:rsid w:val="00C65278"/>
    <w:rsid w:val="00C6675F"/>
    <w:rsid w:val="00C66B52"/>
    <w:rsid w:val="00C66C1E"/>
    <w:rsid w:val="00C66D6E"/>
    <w:rsid w:val="00C66E77"/>
    <w:rsid w:val="00C6706F"/>
    <w:rsid w:val="00C670BF"/>
    <w:rsid w:val="00C676B7"/>
    <w:rsid w:val="00C67A4C"/>
    <w:rsid w:val="00C67C9E"/>
    <w:rsid w:val="00C70CCA"/>
    <w:rsid w:val="00C720D0"/>
    <w:rsid w:val="00C72C7A"/>
    <w:rsid w:val="00C731A6"/>
    <w:rsid w:val="00C73487"/>
    <w:rsid w:val="00C73997"/>
    <w:rsid w:val="00C73F55"/>
    <w:rsid w:val="00C741BC"/>
    <w:rsid w:val="00C742D9"/>
    <w:rsid w:val="00C74668"/>
    <w:rsid w:val="00C74A42"/>
    <w:rsid w:val="00C74E51"/>
    <w:rsid w:val="00C764AC"/>
    <w:rsid w:val="00C7679F"/>
    <w:rsid w:val="00C76D84"/>
    <w:rsid w:val="00C770A1"/>
    <w:rsid w:val="00C77572"/>
    <w:rsid w:val="00C8009E"/>
    <w:rsid w:val="00C81731"/>
    <w:rsid w:val="00C81CC0"/>
    <w:rsid w:val="00C81E5D"/>
    <w:rsid w:val="00C8286B"/>
    <w:rsid w:val="00C830A9"/>
    <w:rsid w:val="00C8340B"/>
    <w:rsid w:val="00C83D7F"/>
    <w:rsid w:val="00C83FEE"/>
    <w:rsid w:val="00C8436D"/>
    <w:rsid w:val="00C84D41"/>
    <w:rsid w:val="00C8522F"/>
    <w:rsid w:val="00C85316"/>
    <w:rsid w:val="00C8559E"/>
    <w:rsid w:val="00C856D7"/>
    <w:rsid w:val="00C85855"/>
    <w:rsid w:val="00C861D8"/>
    <w:rsid w:val="00C868C3"/>
    <w:rsid w:val="00C86F11"/>
    <w:rsid w:val="00C8704E"/>
    <w:rsid w:val="00C874F6"/>
    <w:rsid w:val="00C87626"/>
    <w:rsid w:val="00C876F5"/>
    <w:rsid w:val="00C9119F"/>
    <w:rsid w:val="00C91C25"/>
    <w:rsid w:val="00C929D3"/>
    <w:rsid w:val="00C937F1"/>
    <w:rsid w:val="00C93810"/>
    <w:rsid w:val="00C93CD8"/>
    <w:rsid w:val="00C93D4B"/>
    <w:rsid w:val="00C941F2"/>
    <w:rsid w:val="00C949BE"/>
    <w:rsid w:val="00C94EAC"/>
    <w:rsid w:val="00C95022"/>
    <w:rsid w:val="00C95CBA"/>
    <w:rsid w:val="00CA01A4"/>
    <w:rsid w:val="00CA01FB"/>
    <w:rsid w:val="00CA03C6"/>
    <w:rsid w:val="00CA04AD"/>
    <w:rsid w:val="00CA05B0"/>
    <w:rsid w:val="00CA0A4C"/>
    <w:rsid w:val="00CA0FB1"/>
    <w:rsid w:val="00CA1B2B"/>
    <w:rsid w:val="00CA22A1"/>
    <w:rsid w:val="00CA28B2"/>
    <w:rsid w:val="00CA2ACA"/>
    <w:rsid w:val="00CA2E51"/>
    <w:rsid w:val="00CA3635"/>
    <w:rsid w:val="00CA40A2"/>
    <w:rsid w:val="00CA42E3"/>
    <w:rsid w:val="00CA4DC9"/>
    <w:rsid w:val="00CA5B46"/>
    <w:rsid w:val="00CA5CF8"/>
    <w:rsid w:val="00CA60FB"/>
    <w:rsid w:val="00CA68D1"/>
    <w:rsid w:val="00CA7173"/>
    <w:rsid w:val="00CB0197"/>
    <w:rsid w:val="00CB0A5D"/>
    <w:rsid w:val="00CB0E9F"/>
    <w:rsid w:val="00CB1F17"/>
    <w:rsid w:val="00CB208F"/>
    <w:rsid w:val="00CB2641"/>
    <w:rsid w:val="00CB2E87"/>
    <w:rsid w:val="00CB4218"/>
    <w:rsid w:val="00CB4B88"/>
    <w:rsid w:val="00CB4F15"/>
    <w:rsid w:val="00CB4F4B"/>
    <w:rsid w:val="00CB5247"/>
    <w:rsid w:val="00CB57FC"/>
    <w:rsid w:val="00CB5B53"/>
    <w:rsid w:val="00CB5C97"/>
    <w:rsid w:val="00CB5D95"/>
    <w:rsid w:val="00CB621C"/>
    <w:rsid w:val="00CB6442"/>
    <w:rsid w:val="00CB6D78"/>
    <w:rsid w:val="00CB6E85"/>
    <w:rsid w:val="00CB718A"/>
    <w:rsid w:val="00CB7299"/>
    <w:rsid w:val="00CB7542"/>
    <w:rsid w:val="00CB77A0"/>
    <w:rsid w:val="00CB7D9E"/>
    <w:rsid w:val="00CC03A4"/>
    <w:rsid w:val="00CC0A02"/>
    <w:rsid w:val="00CC0B8F"/>
    <w:rsid w:val="00CC0CE6"/>
    <w:rsid w:val="00CC1DD2"/>
    <w:rsid w:val="00CC1E67"/>
    <w:rsid w:val="00CC20AC"/>
    <w:rsid w:val="00CC221C"/>
    <w:rsid w:val="00CC29DA"/>
    <w:rsid w:val="00CC2CD6"/>
    <w:rsid w:val="00CC2D1B"/>
    <w:rsid w:val="00CC32A8"/>
    <w:rsid w:val="00CC48AA"/>
    <w:rsid w:val="00CC4E9C"/>
    <w:rsid w:val="00CC577A"/>
    <w:rsid w:val="00CC57F6"/>
    <w:rsid w:val="00CC5813"/>
    <w:rsid w:val="00CC5D6A"/>
    <w:rsid w:val="00CC6159"/>
    <w:rsid w:val="00CC6DC4"/>
    <w:rsid w:val="00CC7278"/>
    <w:rsid w:val="00CC75F3"/>
    <w:rsid w:val="00CC7FB3"/>
    <w:rsid w:val="00CD017A"/>
    <w:rsid w:val="00CD0306"/>
    <w:rsid w:val="00CD0910"/>
    <w:rsid w:val="00CD0CD5"/>
    <w:rsid w:val="00CD0E67"/>
    <w:rsid w:val="00CD0F7F"/>
    <w:rsid w:val="00CD114A"/>
    <w:rsid w:val="00CD5AAB"/>
    <w:rsid w:val="00CD5C48"/>
    <w:rsid w:val="00CD603C"/>
    <w:rsid w:val="00CD743E"/>
    <w:rsid w:val="00CD764E"/>
    <w:rsid w:val="00CD7AE0"/>
    <w:rsid w:val="00CE0E16"/>
    <w:rsid w:val="00CE1120"/>
    <w:rsid w:val="00CE1845"/>
    <w:rsid w:val="00CE2218"/>
    <w:rsid w:val="00CE22C4"/>
    <w:rsid w:val="00CE2A7B"/>
    <w:rsid w:val="00CE2DA6"/>
    <w:rsid w:val="00CE2DC5"/>
    <w:rsid w:val="00CE2EB3"/>
    <w:rsid w:val="00CE38FD"/>
    <w:rsid w:val="00CE4A45"/>
    <w:rsid w:val="00CE4BBE"/>
    <w:rsid w:val="00CE5480"/>
    <w:rsid w:val="00CE5A86"/>
    <w:rsid w:val="00CE5E69"/>
    <w:rsid w:val="00CE6C27"/>
    <w:rsid w:val="00CE6F1E"/>
    <w:rsid w:val="00CE7413"/>
    <w:rsid w:val="00CE7BE2"/>
    <w:rsid w:val="00CF051C"/>
    <w:rsid w:val="00CF131F"/>
    <w:rsid w:val="00CF199E"/>
    <w:rsid w:val="00CF1B51"/>
    <w:rsid w:val="00CF1BAA"/>
    <w:rsid w:val="00CF3395"/>
    <w:rsid w:val="00CF397E"/>
    <w:rsid w:val="00CF43C1"/>
    <w:rsid w:val="00CF446B"/>
    <w:rsid w:val="00CF4AFE"/>
    <w:rsid w:val="00CF4B33"/>
    <w:rsid w:val="00CF53DF"/>
    <w:rsid w:val="00CF64A3"/>
    <w:rsid w:val="00CF6915"/>
    <w:rsid w:val="00CF6BBF"/>
    <w:rsid w:val="00CF7E86"/>
    <w:rsid w:val="00D000C5"/>
    <w:rsid w:val="00D00438"/>
    <w:rsid w:val="00D00A7A"/>
    <w:rsid w:val="00D00CD2"/>
    <w:rsid w:val="00D0132F"/>
    <w:rsid w:val="00D01C92"/>
    <w:rsid w:val="00D01FA3"/>
    <w:rsid w:val="00D0273C"/>
    <w:rsid w:val="00D02866"/>
    <w:rsid w:val="00D03398"/>
    <w:rsid w:val="00D03E13"/>
    <w:rsid w:val="00D03EF1"/>
    <w:rsid w:val="00D04BE8"/>
    <w:rsid w:val="00D04D3D"/>
    <w:rsid w:val="00D04F45"/>
    <w:rsid w:val="00D0520C"/>
    <w:rsid w:val="00D05A4F"/>
    <w:rsid w:val="00D05B35"/>
    <w:rsid w:val="00D066C3"/>
    <w:rsid w:val="00D0674A"/>
    <w:rsid w:val="00D06BA8"/>
    <w:rsid w:val="00D06D13"/>
    <w:rsid w:val="00D06FB2"/>
    <w:rsid w:val="00D07C0F"/>
    <w:rsid w:val="00D07E1E"/>
    <w:rsid w:val="00D100D5"/>
    <w:rsid w:val="00D108C8"/>
    <w:rsid w:val="00D11160"/>
    <w:rsid w:val="00D111FE"/>
    <w:rsid w:val="00D120C2"/>
    <w:rsid w:val="00D1299B"/>
    <w:rsid w:val="00D1308D"/>
    <w:rsid w:val="00D139C0"/>
    <w:rsid w:val="00D13B12"/>
    <w:rsid w:val="00D13DC4"/>
    <w:rsid w:val="00D141D7"/>
    <w:rsid w:val="00D144CD"/>
    <w:rsid w:val="00D1465C"/>
    <w:rsid w:val="00D14A9C"/>
    <w:rsid w:val="00D15C4C"/>
    <w:rsid w:val="00D16234"/>
    <w:rsid w:val="00D1625D"/>
    <w:rsid w:val="00D17416"/>
    <w:rsid w:val="00D176B9"/>
    <w:rsid w:val="00D176D2"/>
    <w:rsid w:val="00D17ECE"/>
    <w:rsid w:val="00D20B84"/>
    <w:rsid w:val="00D20DC2"/>
    <w:rsid w:val="00D2143A"/>
    <w:rsid w:val="00D2159D"/>
    <w:rsid w:val="00D217B8"/>
    <w:rsid w:val="00D219C4"/>
    <w:rsid w:val="00D21BA9"/>
    <w:rsid w:val="00D22118"/>
    <w:rsid w:val="00D22796"/>
    <w:rsid w:val="00D23E43"/>
    <w:rsid w:val="00D24093"/>
    <w:rsid w:val="00D2498C"/>
    <w:rsid w:val="00D25DC9"/>
    <w:rsid w:val="00D265F4"/>
    <w:rsid w:val="00D26656"/>
    <w:rsid w:val="00D312D8"/>
    <w:rsid w:val="00D314D5"/>
    <w:rsid w:val="00D31E97"/>
    <w:rsid w:val="00D322A1"/>
    <w:rsid w:val="00D32427"/>
    <w:rsid w:val="00D32F26"/>
    <w:rsid w:val="00D33413"/>
    <w:rsid w:val="00D334D1"/>
    <w:rsid w:val="00D335A8"/>
    <w:rsid w:val="00D33E52"/>
    <w:rsid w:val="00D34349"/>
    <w:rsid w:val="00D352F7"/>
    <w:rsid w:val="00D358D0"/>
    <w:rsid w:val="00D35DCF"/>
    <w:rsid w:val="00D36429"/>
    <w:rsid w:val="00D36730"/>
    <w:rsid w:val="00D36804"/>
    <w:rsid w:val="00D36DEE"/>
    <w:rsid w:val="00D370EF"/>
    <w:rsid w:val="00D3767D"/>
    <w:rsid w:val="00D37D82"/>
    <w:rsid w:val="00D4015B"/>
    <w:rsid w:val="00D40B53"/>
    <w:rsid w:val="00D41577"/>
    <w:rsid w:val="00D41A1B"/>
    <w:rsid w:val="00D41E8B"/>
    <w:rsid w:val="00D42AD7"/>
    <w:rsid w:val="00D43FE9"/>
    <w:rsid w:val="00D441AF"/>
    <w:rsid w:val="00D444E6"/>
    <w:rsid w:val="00D460E8"/>
    <w:rsid w:val="00D46A7C"/>
    <w:rsid w:val="00D46E19"/>
    <w:rsid w:val="00D46E93"/>
    <w:rsid w:val="00D478D3"/>
    <w:rsid w:val="00D47BEC"/>
    <w:rsid w:val="00D47E9D"/>
    <w:rsid w:val="00D503B2"/>
    <w:rsid w:val="00D504F7"/>
    <w:rsid w:val="00D50EE0"/>
    <w:rsid w:val="00D511A5"/>
    <w:rsid w:val="00D513AB"/>
    <w:rsid w:val="00D518D7"/>
    <w:rsid w:val="00D5243A"/>
    <w:rsid w:val="00D52827"/>
    <w:rsid w:val="00D52AF8"/>
    <w:rsid w:val="00D52B16"/>
    <w:rsid w:val="00D52BA3"/>
    <w:rsid w:val="00D52CF7"/>
    <w:rsid w:val="00D52D17"/>
    <w:rsid w:val="00D536A5"/>
    <w:rsid w:val="00D53A48"/>
    <w:rsid w:val="00D54292"/>
    <w:rsid w:val="00D5569A"/>
    <w:rsid w:val="00D558B1"/>
    <w:rsid w:val="00D55D18"/>
    <w:rsid w:val="00D55E9C"/>
    <w:rsid w:val="00D560DA"/>
    <w:rsid w:val="00D56780"/>
    <w:rsid w:val="00D56DE6"/>
    <w:rsid w:val="00D56DF1"/>
    <w:rsid w:val="00D576A9"/>
    <w:rsid w:val="00D57CF0"/>
    <w:rsid w:val="00D57EA4"/>
    <w:rsid w:val="00D60181"/>
    <w:rsid w:val="00D60BAB"/>
    <w:rsid w:val="00D60F4D"/>
    <w:rsid w:val="00D60FB9"/>
    <w:rsid w:val="00D6187E"/>
    <w:rsid w:val="00D61ED2"/>
    <w:rsid w:val="00D623EE"/>
    <w:rsid w:val="00D62A47"/>
    <w:rsid w:val="00D6324F"/>
    <w:rsid w:val="00D64398"/>
    <w:rsid w:val="00D64D0E"/>
    <w:rsid w:val="00D64D19"/>
    <w:rsid w:val="00D6519B"/>
    <w:rsid w:val="00D655E1"/>
    <w:rsid w:val="00D662E0"/>
    <w:rsid w:val="00D667FB"/>
    <w:rsid w:val="00D6784A"/>
    <w:rsid w:val="00D70CBC"/>
    <w:rsid w:val="00D7140C"/>
    <w:rsid w:val="00D72116"/>
    <w:rsid w:val="00D7255B"/>
    <w:rsid w:val="00D72ED1"/>
    <w:rsid w:val="00D72FC5"/>
    <w:rsid w:val="00D73D5D"/>
    <w:rsid w:val="00D74600"/>
    <w:rsid w:val="00D7514E"/>
    <w:rsid w:val="00D753BE"/>
    <w:rsid w:val="00D75773"/>
    <w:rsid w:val="00D76B2C"/>
    <w:rsid w:val="00D77EE2"/>
    <w:rsid w:val="00D816CC"/>
    <w:rsid w:val="00D81ECD"/>
    <w:rsid w:val="00D82726"/>
    <w:rsid w:val="00D82BF5"/>
    <w:rsid w:val="00D83D46"/>
    <w:rsid w:val="00D83D8F"/>
    <w:rsid w:val="00D840EE"/>
    <w:rsid w:val="00D84910"/>
    <w:rsid w:val="00D8492C"/>
    <w:rsid w:val="00D84C76"/>
    <w:rsid w:val="00D85792"/>
    <w:rsid w:val="00D85C01"/>
    <w:rsid w:val="00D86063"/>
    <w:rsid w:val="00D86263"/>
    <w:rsid w:val="00D862AB"/>
    <w:rsid w:val="00D8633F"/>
    <w:rsid w:val="00D86812"/>
    <w:rsid w:val="00D86BF9"/>
    <w:rsid w:val="00D8730C"/>
    <w:rsid w:val="00D873B6"/>
    <w:rsid w:val="00D9023B"/>
    <w:rsid w:val="00D9076A"/>
    <w:rsid w:val="00D90E85"/>
    <w:rsid w:val="00D9122A"/>
    <w:rsid w:val="00D91A03"/>
    <w:rsid w:val="00D91C2B"/>
    <w:rsid w:val="00D91D8F"/>
    <w:rsid w:val="00D91EF6"/>
    <w:rsid w:val="00D92060"/>
    <w:rsid w:val="00D920A7"/>
    <w:rsid w:val="00D92880"/>
    <w:rsid w:val="00D93501"/>
    <w:rsid w:val="00D93D25"/>
    <w:rsid w:val="00D941D4"/>
    <w:rsid w:val="00D943BA"/>
    <w:rsid w:val="00D953B3"/>
    <w:rsid w:val="00D953FE"/>
    <w:rsid w:val="00D95D93"/>
    <w:rsid w:val="00D9622E"/>
    <w:rsid w:val="00D9641E"/>
    <w:rsid w:val="00D97168"/>
    <w:rsid w:val="00D97C18"/>
    <w:rsid w:val="00DA088E"/>
    <w:rsid w:val="00DA0D5F"/>
    <w:rsid w:val="00DA10ED"/>
    <w:rsid w:val="00DA1621"/>
    <w:rsid w:val="00DA1764"/>
    <w:rsid w:val="00DA2583"/>
    <w:rsid w:val="00DA30F4"/>
    <w:rsid w:val="00DA3444"/>
    <w:rsid w:val="00DA516D"/>
    <w:rsid w:val="00DA554D"/>
    <w:rsid w:val="00DA56E1"/>
    <w:rsid w:val="00DA5937"/>
    <w:rsid w:val="00DA5954"/>
    <w:rsid w:val="00DA5C40"/>
    <w:rsid w:val="00DA5D5D"/>
    <w:rsid w:val="00DA5D88"/>
    <w:rsid w:val="00DA76D3"/>
    <w:rsid w:val="00DB039E"/>
    <w:rsid w:val="00DB1562"/>
    <w:rsid w:val="00DB18A0"/>
    <w:rsid w:val="00DB210C"/>
    <w:rsid w:val="00DB3061"/>
    <w:rsid w:val="00DB3A0B"/>
    <w:rsid w:val="00DB50FE"/>
    <w:rsid w:val="00DB54EA"/>
    <w:rsid w:val="00DB57AB"/>
    <w:rsid w:val="00DB5C3E"/>
    <w:rsid w:val="00DB6648"/>
    <w:rsid w:val="00DB714A"/>
    <w:rsid w:val="00DB74EB"/>
    <w:rsid w:val="00DB7D16"/>
    <w:rsid w:val="00DC056C"/>
    <w:rsid w:val="00DC07E1"/>
    <w:rsid w:val="00DC0A11"/>
    <w:rsid w:val="00DC10B9"/>
    <w:rsid w:val="00DC2292"/>
    <w:rsid w:val="00DC3914"/>
    <w:rsid w:val="00DC3EBE"/>
    <w:rsid w:val="00DC401C"/>
    <w:rsid w:val="00DC4700"/>
    <w:rsid w:val="00DC6201"/>
    <w:rsid w:val="00DC628E"/>
    <w:rsid w:val="00DC64AB"/>
    <w:rsid w:val="00DC6AD4"/>
    <w:rsid w:val="00DC6AF6"/>
    <w:rsid w:val="00DC79BE"/>
    <w:rsid w:val="00DC7EAE"/>
    <w:rsid w:val="00DD0014"/>
    <w:rsid w:val="00DD03C3"/>
    <w:rsid w:val="00DD05AA"/>
    <w:rsid w:val="00DD08B5"/>
    <w:rsid w:val="00DD0B17"/>
    <w:rsid w:val="00DD0B84"/>
    <w:rsid w:val="00DD1949"/>
    <w:rsid w:val="00DD235B"/>
    <w:rsid w:val="00DD2528"/>
    <w:rsid w:val="00DD282D"/>
    <w:rsid w:val="00DD321D"/>
    <w:rsid w:val="00DD38E8"/>
    <w:rsid w:val="00DD3AEE"/>
    <w:rsid w:val="00DD4624"/>
    <w:rsid w:val="00DD4786"/>
    <w:rsid w:val="00DD4DD9"/>
    <w:rsid w:val="00DD590A"/>
    <w:rsid w:val="00DD7038"/>
    <w:rsid w:val="00DD7EAA"/>
    <w:rsid w:val="00DE0ADF"/>
    <w:rsid w:val="00DE108D"/>
    <w:rsid w:val="00DE195F"/>
    <w:rsid w:val="00DE1CF5"/>
    <w:rsid w:val="00DE25CD"/>
    <w:rsid w:val="00DE28C3"/>
    <w:rsid w:val="00DE28D2"/>
    <w:rsid w:val="00DE2A8B"/>
    <w:rsid w:val="00DE2AFF"/>
    <w:rsid w:val="00DE2B98"/>
    <w:rsid w:val="00DE3131"/>
    <w:rsid w:val="00DE34C5"/>
    <w:rsid w:val="00DE35D3"/>
    <w:rsid w:val="00DE35F8"/>
    <w:rsid w:val="00DE3BCD"/>
    <w:rsid w:val="00DE3C5E"/>
    <w:rsid w:val="00DE3CFE"/>
    <w:rsid w:val="00DE40DC"/>
    <w:rsid w:val="00DE4BCA"/>
    <w:rsid w:val="00DE4E31"/>
    <w:rsid w:val="00DE4E9A"/>
    <w:rsid w:val="00DE5E15"/>
    <w:rsid w:val="00DE5ED1"/>
    <w:rsid w:val="00DE601A"/>
    <w:rsid w:val="00DE61C5"/>
    <w:rsid w:val="00DE6578"/>
    <w:rsid w:val="00DE70A4"/>
    <w:rsid w:val="00DE7C55"/>
    <w:rsid w:val="00DE7F4D"/>
    <w:rsid w:val="00DE7FB0"/>
    <w:rsid w:val="00DF0A51"/>
    <w:rsid w:val="00DF137D"/>
    <w:rsid w:val="00DF1937"/>
    <w:rsid w:val="00DF1C11"/>
    <w:rsid w:val="00DF2BDE"/>
    <w:rsid w:val="00DF32EC"/>
    <w:rsid w:val="00DF362A"/>
    <w:rsid w:val="00DF382D"/>
    <w:rsid w:val="00DF4254"/>
    <w:rsid w:val="00DF50CD"/>
    <w:rsid w:val="00DF5289"/>
    <w:rsid w:val="00DF696B"/>
    <w:rsid w:val="00DF6A26"/>
    <w:rsid w:val="00DF7843"/>
    <w:rsid w:val="00DF7D6E"/>
    <w:rsid w:val="00DF7DF8"/>
    <w:rsid w:val="00E001FB"/>
    <w:rsid w:val="00E00951"/>
    <w:rsid w:val="00E0198E"/>
    <w:rsid w:val="00E01AB9"/>
    <w:rsid w:val="00E01AEE"/>
    <w:rsid w:val="00E01FC6"/>
    <w:rsid w:val="00E032EE"/>
    <w:rsid w:val="00E034DA"/>
    <w:rsid w:val="00E04660"/>
    <w:rsid w:val="00E04996"/>
    <w:rsid w:val="00E05266"/>
    <w:rsid w:val="00E0644C"/>
    <w:rsid w:val="00E06B45"/>
    <w:rsid w:val="00E0787A"/>
    <w:rsid w:val="00E10044"/>
    <w:rsid w:val="00E10717"/>
    <w:rsid w:val="00E10C55"/>
    <w:rsid w:val="00E1148F"/>
    <w:rsid w:val="00E117CB"/>
    <w:rsid w:val="00E11893"/>
    <w:rsid w:val="00E11CC0"/>
    <w:rsid w:val="00E12354"/>
    <w:rsid w:val="00E12A2E"/>
    <w:rsid w:val="00E12A76"/>
    <w:rsid w:val="00E14BC5"/>
    <w:rsid w:val="00E14DC0"/>
    <w:rsid w:val="00E14EBF"/>
    <w:rsid w:val="00E1520A"/>
    <w:rsid w:val="00E153EC"/>
    <w:rsid w:val="00E1566D"/>
    <w:rsid w:val="00E1576B"/>
    <w:rsid w:val="00E15E53"/>
    <w:rsid w:val="00E16018"/>
    <w:rsid w:val="00E16B87"/>
    <w:rsid w:val="00E17046"/>
    <w:rsid w:val="00E20278"/>
    <w:rsid w:val="00E20B19"/>
    <w:rsid w:val="00E210B7"/>
    <w:rsid w:val="00E21240"/>
    <w:rsid w:val="00E21298"/>
    <w:rsid w:val="00E21C8B"/>
    <w:rsid w:val="00E21EF5"/>
    <w:rsid w:val="00E22032"/>
    <w:rsid w:val="00E22DA5"/>
    <w:rsid w:val="00E231E7"/>
    <w:rsid w:val="00E23246"/>
    <w:rsid w:val="00E23572"/>
    <w:rsid w:val="00E238D8"/>
    <w:rsid w:val="00E23B07"/>
    <w:rsid w:val="00E24C2A"/>
    <w:rsid w:val="00E2526D"/>
    <w:rsid w:val="00E2562A"/>
    <w:rsid w:val="00E25ACE"/>
    <w:rsid w:val="00E25B5D"/>
    <w:rsid w:val="00E2643E"/>
    <w:rsid w:val="00E26732"/>
    <w:rsid w:val="00E267F7"/>
    <w:rsid w:val="00E2692B"/>
    <w:rsid w:val="00E26D63"/>
    <w:rsid w:val="00E270AC"/>
    <w:rsid w:val="00E2799E"/>
    <w:rsid w:val="00E27ABC"/>
    <w:rsid w:val="00E302A2"/>
    <w:rsid w:val="00E30347"/>
    <w:rsid w:val="00E30FFD"/>
    <w:rsid w:val="00E31685"/>
    <w:rsid w:val="00E31872"/>
    <w:rsid w:val="00E31962"/>
    <w:rsid w:val="00E31A39"/>
    <w:rsid w:val="00E31A3B"/>
    <w:rsid w:val="00E31CE9"/>
    <w:rsid w:val="00E32799"/>
    <w:rsid w:val="00E330DF"/>
    <w:rsid w:val="00E338B6"/>
    <w:rsid w:val="00E33FA8"/>
    <w:rsid w:val="00E34B97"/>
    <w:rsid w:val="00E34E30"/>
    <w:rsid w:val="00E35AC3"/>
    <w:rsid w:val="00E35D3C"/>
    <w:rsid w:val="00E37379"/>
    <w:rsid w:val="00E3785E"/>
    <w:rsid w:val="00E37B3A"/>
    <w:rsid w:val="00E400B7"/>
    <w:rsid w:val="00E409CE"/>
    <w:rsid w:val="00E41215"/>
    <w:rsid w:val="00E419B3"/>
    <w:rsid w:val="00E42D03"/>
    <w:rsid w:val="00E42D2C"/>
    <w:rsid w:val="00E42DDA"/>
    <w:rsid w:val="00E437F1"/>
    <w:rsid w:val="00E43E32"/>
    <w:rsid w:val="00E4455A"/>
    <w:rsid w:val="00E44947"/>
    <w:rsid w:val="00E45761"/>
    <w:rsid w:val="00E45A71"/>
    <w:rsid w:val="00E46491"/>
    <w:rsid w:val="00E46BE7"/>
    <w:rsid w:val="00E46E65"/>
    <w:rsid w:val="00E46FC2"/>
    <w:rsid w:val="00E47323"/>
    <w:rsid w:val="00E47445"/>
    <w:rsid w:val="00E47487"/>
    <w:rsid w:val="00E477C0"/>
    <w:rsid w:val="00E50210"/>
    <w:rsid w:val="00E51034"/>
    <w:rsid w:val="00E51CC1"/>
    <w:rsid w:val="00E52303"/>
    <w:rsid w:val="00E5280A"/>
    <w:rsid w:val="00E52D8F"/>
    <w:rsid w:val="00E530E1"/>
    <w:rsid w:val="00E537E6"/>
    <w:rsid w:val="00E53803"/>
    <w:rsid w:val="00E53D8D"/>
    <w:rsid w:val="00E53E41"/>
    <w:rsid w:val="00E54052"/>
    <w:rsid w:val="00E54244"/>
    <w:rsid w:val="00E54275"/>
    <w:rsid w:val="00E544EE"/>
    <w:rsid w:val="00E548B3"/>
    <w:rsid w:val="00E55100"/>
    <w:rsid w:val="00E55293"/>
    <w:rsid w:val="00E56FA0"/>
    <w:rsid w:val="00E574C1"/>
    <w:rsid w:val="00E576B4"/>
    <w:rsid w:val="00E57D8E"/>
    <w:rsid w:val="00E6021F"/>
    <w:rsid w:val="00E609C9"/>
    <w:rsid w:val="00E60AD3"/>
    <w:rsid w:val="00E60CF9"/>
    <w:rsid w:val="00E60F34"/>
    <w:rsid w:val="00E6106C"/>
    <w:rsid w:val="00E6137A"/>
    <w:rsid w:val="00E61DBC"/>
    <w:rsid w:val="00E620DD"/>
    <w:rsid w:val="00E621DF"/>
    <w:rsid w:val="00E62B19"/>
    <w:rsid w:val="00E62BC9"/>
    <w:rsid w:val="00E6316A"/>
    <w:rsid w:val="00E63338"/>
    <w:rsid w:val="00E63496"/>
    <w:rsid w:val="00E636E3"/>
    <w:rsid w:val="00E63CDF"/>
    <w:rsid w:val="00E64B69"/>
    <w:rsid w:val="00E65276"/>
    <w:rsid w:val="00E65732"/>
    <w:rsid w:val="00E65912"/>
    <w:rsid w:val="00E65F61"/>
    <w:rsid w:val="00E66B63"/>
    <w:rsid w:val="00E67321"/>
    <w:rsid w:val="00E678BC"/>
    <w:rsid w:val="00E67C8D"/>
    <w:rsid w:val="00E67F9C"/>
    <w:rsid w:val="00E70770"/>
    <w:rsid w:val="00E70D64"/>
    <w:rsid w:val="00E7125A"/>
    <w:rsid w:val="00E712BC"/>
    <w:rsid w:val="00E712FB"/>
    <w:rsid w:val="00E7142B"/>
    <w:rsid w:val="00E717B2"/>
    <w:rsid w:val="00E718C4"/>
    <w:rsid w:val="00E72030"/>
    <w:rsid w:val="00E72CAA"/>
    <w:rsid w:val="00E72EEC"/>
    <w:rsid w:val="00E73E50"/>
    <w:rsid w:val="00E740D5"/>
    <w:rsid w:val="00E74478"/>
    <w:rsid w:val="00E7472C"/>
    <w:rsid w:val="00E75A4A"/>
    <w:rsid w:val="00E75D24"/>
    <w:rsid w:val="00E75EA6"/>
    <w:rsid w:val="00E76431"/>
    <w:rsid w:val="00E76545"/>
    <w:rsid w:val="00E77444"/>
    <w:rsid w:val="00E775A9"/>
    <w:rsid w:val="00E805B8"/>
    <w:rsid w:val="00E80AA0"/>
    <w:rsid w:val="00E81456"/>
    <w:rsid w:val="00E81755"/>
    <w:rsid w:val="00E827CD"/>
    <w:rsid w:val="00E83DF5"/>
    <w:rsid w:val="00E83E5D"/>
    <w:rsid w:val="00E840EB"/>
    <w:rsid w:val="00E85305"/>
    <w:rsid w:val="00E85883"/>
    <w:rsid w:val="00E85AE1"/>
    <w:rsid w:val="00E86401"/>
    <w:rsid w:val="00E86D10"/>
    <w:rsid w:val="00E872E2"/>
    <w:rsid w:val="00E87402"/>
    <w:rsid w:val="00E8793E"/>
    <w:rsid w:val="00E87DF9"/>
    <w:rsid w:val="00E90FBE"/>
    <w:rsid w:val="00E916BB"/>
    <w:rsid w:val="00E92A72"/>
    <w:rsid w:val="00E93000"/>
    <w:rsid w:val="00E93C39"/>
    <w:rsid w:val="00E93DE6"/>
    <w:rsid w:val="00E93FD1"/>
    <w:rsid w:val="00E94C67"/>
    <w:rsid w:val="00E94FD6"/>
    <w:rsid w:val="00E9613D"/>
    <w:rsid w:val="00E9759A"/>
    <w:rsid w:val="00E97A79"/>
    <w:rsid w:val="00E97D88"/>
    <w:rsid w:val="00E97EE2"/>
    <w:rsid w:val="00E97FCB"/>
    <w:rsid w:val="00EA0078"/>
    <w:rsid w:val="00EA01A9"/>
    <w:rsid w:val="00EA0AC9"/>
    <w:rsid w:val="00EA0ED5"/>
    <w:rsid w:val="00EA10A7"/>
    <w:rsid w:val="00EA145C"/>
    <w:rsid w:val="00EA16B0"/>
    <w:rsid w:val="00EA1767"/>
    <w:rsid w:val="00EA19C9"/>
    <w:rsid w:val="00EA269C"/>
    <w:rsid w:val="00EA3075"/>
    <w:rsid w:val="00EA3304"/>
    <w:rsid w:val="00EA36A3"/>
    <w:rsid w:val="00EA3E4A"/>
    <w:rsid w:val="00EA4110"/>
    <w:rsid w:val="00EA489B"/>
    <w:rsid w:val="00EA4C33"/>
    <w:rsid w:val="00EA4EB0"/>
    <w:rsid w:val="00EA4FAE"/>
    <w:rsid w:val="00EA5145"/>
    <w:rsid w:val="00EA58BC"/>
    <w:rsid w:val="00EA7AC3"/>
    <w:rsid w:val="00EB0009"/>
    <w:rsid w:val="00EB0A14"/>
    <w:rsid w:val="00EB105E"/>
    <w:rsid w:val="00EB133E"/>
    <w:rsid w:val="00EB13CC"/>
    <w:rsid w:val="00EB1CE8"/>
    <w:rsid w:val="00EB1D9C"/>
    <w:rsid w:val="00EB1DC9"/>
    <w:rsid w:val="00EB210D"/>
    <w:rsid w:val="00EB21E2"/>
    <w:rsid w:val="00EB27D5"/>
    <w:rsid w:val="00EB2CF5"/>
    <w:rsid w:val="00EB34E5"/>
    <w:rsid w:val="00EB3811"/>
    <w:rsid w:val="00EB4688"/>
    <w:rsid w:val="00EB5165"/>
    <w:rsid w:val="00EB55F6"/>
    <w:rsid w:val="00EB6169"/>
    <w:rsid w:val="00EB74B1"/>
    <w:rsid w:val="00EB7B96"/>
    <w:rsid w:val="00EB7D27"/>
    <w:rsid w:val="00EC0647"/>
    <w:rsid w:val="00EC0933"/>
    <w:rsid w:val="00EC0944"/>
    <w:rsid w:val="00EC097A"/>
    <w:rsid w:val="00EC14AE"/>
    <w:rsid w:val="00EC19DF"/>
    <w:rsid w:val="00EC2518"/>
    <w:rsid w:val="00EC31DA"/>
    <w:rsid w:val="00EC33AC"/>
    <w:rsid w:val="00EC37C3"/>
    <w:rsid w:val="00EC3E7E"/>
    <w:rsid w:val="00EC439C"/>
    <w:rsid w:val="00EC5C34"/>
    <w:rsid w:val="00EC5E24"/>
    <w:rsid w:val="00EC61BD"/>
    <w:rsid w:val="00EC6506"/>
    <w:rsid w:val="00EC6DA4"/>
    <w:rsid w:val="00EC6F81"/>
    <w:rsid w:val="00EC7057"/>
    <w:rsid w:val="00EC7297"/>
    <w:rsid w:val="00EC7936"/>
    <w:rsid w:val="00ED04E5"/>
    <w:rsid w:val="00ED052B"/>
    <w:rsid w:val="00ED14EC"/>
    <w:rsid w:val="00ED1556"/>
    <w:rsid w:val="00ED2599"/>
    <w:rsid w:val="00ED4415"/>
    <w:rsid w:val="00ED45B1"/>
    <w:rsid w:val="00ED496A"/>
    <w:rsid w:val="00ED502B"/>
    <w:rsid w:val="00ED5F3A"/>
    <w:rsid w:val="00ED6286"/>
    <w:rsid w:val="00ED67BF"/>
    <w:rsid w:val="00ED6804"/>
    <w:rsid w:val="00ED74FE"/>
    <w:rsid w:val="00ED79B6"/>
    <w:rsid w:val="00ED7AC1"/>
    <w:rsid w:val="00ED7D73"/>
    <w:rsid w:val="00ED7F8A"/>
    <w:rsid w:val="00EE0287"/>
    <w:rsid w:val="00EE07A2"/>
    <w:rsid w:val="00EE0C5A"/>
    <w:rsid w:val="00EE12FA"/>
    <w:rsid w:val="00EE16B9"/>
    <w:rsid w:val="00EE1BFC"/>
    <w:rsid w:val="00EE21C5"/>
    <w:rsid w:val="00EE284D"/>
    <w:rsid w:val="00EE29CC"/>
    <w:rsid w:val="00EE3B56"/>
    <w:rsid w:val="00EE3EB4"/>
    <w:rsid w:val="00EE43AF"/>
    <w:rsid w:val="00EE5527"/>
    <w:rsid w:val="00EE553B"/>
    <w:rsid w:val="00EE558D"/>
    <w:rsid w:val="00EE5BB9"/>
    <w:rsid w:val="00EE6F2B"/>
    <w:rsid w:val="00EE7315"/>
    <w:rsid w:val="00EE74E0"/>
    <w:rsid w:val="00EE7783"/>
    <w:rsid w:val="00EE7C4C"/>
    <w:rsid w:val="00EF0D5B"/>
    <w:rsid w:val="00EF1271"/>
    <w:rsid w:val="00EF1272"/>
    <w:rsid w:val="00EF258D"/>
    <w:rsid w:val="00EF2806"/>
    <w:rsid w:val="00EF33C6"/>
    <w:rsid w:val="00EF33D2"/>
    <w:rsid w:val="00EF3598"/>
    <w:rsid w:val="00EF42D6"/>
    <w:rsid w:val="00EF48D0"/>
    <w:rsid w:val="00EF4C96"/>
    <w:rsid w:val="00EF526E"/>
    <w:rsid w:val="00EF6854"/>
    <w:rsid w:val="00EF68CA"/>
    <w:rsid w:val="00EF6F3F"/>
    <w:rsid w:val="00EF7DAB"/>
    <w:rsid w:val="00EF7E61"/>
    <w:rsid w:val="00EF7FCC"/>
    <w:rsid w:val="00F00350"/>
    <w:rsid w:val="00F00724"/>
    <w:rsid w:val="00F0093D"/>
    <w:rsid w:val="00F00D59"/>
    <w:rsid w:val="00F012F9"/>
    <w:rsid w:val="00F015A3"/>
    <w:rsid w:val="00F02462"/>
    <w:rsid w:val="00F0297B"/>
    <w:rsid w:val="00F02A94"/>
    <w:rsid w:val="00F032A4"/>
    <w:rsid w:val="00F05A4E"/>
    <w:rsid w:val="00F05C7E"/>
    <w:rsid w:val="00F0624A"/>
    <w:rsid w:val="00F06451"/>
    <w:rsid w:val="00F0703D"/>
    <w:rsid w:val="00F07EA2"/>
    <w:rsid w:val="00F10268"/>
    <w:rsid w:val="00F103E9"/>
    <w:rsid w:val="00F10807"/>
    <w:rsid w:val="00F1109B"/>
    <w:rsid w:val="00F1112B"/>
    <w:rsid w:val="00F1160B"/>
    <w:rsid w:val="00F11C0D"/>
    <w:rsid w:val="00F125F1"/>
    <w:rsid w:val="00F12852"/>
    <w:rsid w:val="00F132B1"/>
    <w:rsid w:val="00F1346D"/>
    <w:rsid w:val="00F13BC6"/>
    <w:rsid w:val="00F14DEB"/>
    <w:rsid w:val="00F15D33"/>
    <w:rsid w:val="00F15DCF"/>
    <w:rsid w:val="00F16B1B"/>
    <w:rsid w:val="00F17BD1"/>
    <w:rsid w:val="00F17BDD"/>
    <w:rsid w:val="00F20333"/>
    <w:rsid w:val="00F205F9"/>
    <w:rsid w:val="00F20712"/>
    <w:rsid w:val="00F20A30"/>
    <w:rsid w:val="00F21CDB"/>
    <w:rsid w:val="00F229ED"/>
    <w:rsid w:val="00F2307A"/>
    <w:rsid w:val="00F23197"/>
    <w:rsid w:val="00F24025"/>
    <w:rsid w:val="00F2463D"/>
    <w:rsid w:val="00F246EB"/>
    <w:rsid w:val="00F24911"/>
    <w:rsid w:val="00F25472"/>
    <w:rsid w:val="00F25847"/>
    <w:rsid w:val="00F25C4D"/>
    <w:rsid w:val="00F26419"/>
    <w:rsid w:val="00F26496"/>
    <w:rsid w:val="00F2663A"/>
    <w:rsid w:val="00F26B75"/>
    <w:rsid w:val="00F26D14"/>
    <w:rsid w:val="00F275AF"/>
    <w:rsid w:val="00F27FC0"/>
    <w:rsid w:val="00F302B7"/>
    <w:rsid w:val="00F30326"/>
    <w:rsid w:val="00F30353"/>
    <w:rsid w:val="00F30AC6"/>
    <w:rsid w:val="00F32B80"/>
    <w:rsid w:val="00F32C0F"/>
    <w:rsid w:val="00F32F55"/>
    <w:rsid w:val="00F3383B"/>
    <w:rsid w:val="00F34507"/>
    <w:rsid w:val="00F34621"/>
    <w:rsid w:val="00F3481E"/>
    <w:rsid w:val="00F3486B"/>
    <w:rsid w:val="00F35652"/>
    <w:rsid w:val="00F3630D"/>
    <w:rsid w:val="00F364C4"/>
    <w:rsid w:val="00F37017"/>
    <w:rsid w:val="00F3715C"/>
    <w:rsid w:val="00F3718D"/>
    <w:rsid w:val="00F37422"/>
    <w:rsid w:val="00F3753F"/>
    <w:rsid w:val="00F377C7"/>
    <w:rsid w:val="00F40007"/>
    <w:rsid w:val="00F4012C"/>
    <w:rsid w:val="00F40767"/>
    <w:rsid w:val="00F40B92"/>
    <w:rsid w:val="00F41339"/>
    <w:rsid w:val="00F41C11"/>
    <w:rsid w:val="00F41C39"/>
    <w:rsid w:val="00F44931"/>
    <w:rsid w:val="00F45260"/>
    <w:rsid w:val="00F4583E"/>
    <w:rsid w:val="00F46534"/>
    <w:rsid w:val="00F46C63"/>
    <w:rsid w:val="00F47E09"/>
    <w:rsid w:val="00F50ABE"/>
    <w:rsid w:val="00F50C3B"/>
    <w:rsid w:val="00F51549"/>
    <w:rsid w:val="00F515C6"/>
    <w:rsid w:val="00F51F7E"/>
    <w:rsid w:val="00F52075"/>
    <w:rsid w:val="00F52B2A"/>
    <w:rsid w:val="00F53227"/>
    <w:rsid w:val="00F53B81"/>
    <w:rsid w:val="00F541E6"/>
    <w:rsid w:val="00F5423B"/>
    <w:rsid w:val="00F550BA"/>
    <w:rsid w:val="00F55150"/>
    <w:rsid w:val="00F55A1D"/>
    <w:rsid w:val="00F55DAF"/>
    <w:rsid w:val="00F55EAA"/>
    <w:rsid w:val="00F561CC"/>
    <w:rsid w:val="00F56B8C"/>
    <w:rsid w:val="00F56CE3"/>
    <w:rsid w:val="00F56D68"/>
    <w:rsid w:val="00F56EA2"/>
    <w:rsid w:val="00F57EDC"/>
    <w:rsid w:val="00F57FFA"/>
    <w:rsid w:val="00F601A5"/>
    <w:rsid w:val="00F6056C"/>
    <w:rsid w:val="00F60B85"/>
    <w:rsid w:val="00F61449"/>
    <w:rsid w:val="00F61804"/>
    <w:rsid w:val="00F61ACB"/>
    <w:rsid w:val="00F61CD8"/>
    <w:rsid w:val="00F61CFF"/>
    <w:rsid w:val="00F625FA"/>
    <w:rsid w:val="00F627B9"/>
    <w:rsid w:val="00F63274"/>
    <w:rsid w:val="00F63742"/>
    <w:rsid w:val="00F648FF"/>
    <w:rsid w:val="00F64B55"/>
    <w:rsid w:val="00F660B2"/>
    <w:rsid w:val="00F67C2F"/>
    <w:rsid w:val="00F7045A"/>
    <w:rsid w:val="00F706A5"/>
    <w:rsid w:val="00F70A52"/>
    <w:rsid w:val="00F70E57"/>
    <w:rsid w:val="00F710D4"/>
    <w:rsid w:val="00F712EE"/>
    <w:rsid w:val="00F71D20"/>
    <w:rsid w:val="00F728DD"/>
    <w:rsid w:val="00F7299E"/>
    <w:rsid w:val="00F73ED3"/>
    <w:rsid w:val="00F743C5"/>
    <w:rsid w:val="00F74458"/>
    <w:rsid w:val="00F750A8"/>
    <w:rsid w:val="00F75A39"/>
    <w:rsid w:val="00F761BF"/>
    <w:rsid w:val="00F7640B"/>
    <w:rsid w:val="00F76FFD"/>
    <w:rsid w:val="00F770A3"/>
    <w:rsid w:val="00F7714F"/>
    <w:rsid w:val="00F77399"/>
    <w:rsid w:val="00F77603"/>
    <w:rsid w:val="00F80A81"/>
    <w:rsid w:val="00F8170B"/>
    <w:rsid w:val="00F819C8"/>
    <w:rsid w:val="00F821E5"/>
    <w:rsid w:val="00F82544"/>
    <w:rsid w:val="00F8280E"/>
    <w:rsid w:val="00F82F19"/>
    <w:rsid w:val="00F83290"/>
    <w:rsid w:val="00F83987"/>
    <w:rsid w:val="00F83A3F"/>
    <w:rsid w:val="00F83E1E"/>
    <w:rsid w:val="00F840D0"/>
    <w:rsid w:val="00F840F4"/>
    <w:rsid w:val="00F841F2"/>
    <w:rsid w:val="00F84B0B"/>
    <w:rsid w:val="00F85620"/>
    <w:rsid w:val="00F8668F"/>
    <w:rsid w:val="00F86E19"/>
    <w:rsid w:val="00F908B2"/>
    <w:rsid w:val="00F909FE"/>
    <w:rsid w:val="00F90E47"/>
    <w:rsid w:val="00F91E8C"/>
    <w:rsid w:val="00F91EEA"/>
    <w:rsid w:val="00F91F3A"/>
    <w:rsid w:val="00F9254C"/>
    <w:rsid w:val="00F93452"/>
    <w:rsid w:val="00F93D82"/>
    <w:rsid w:val="00F93E93"/>
    <w:rsid w:val="00F94B34"/>
    <w:rsid w:val="00F95D41"/>
    <w:rsid w:val="00F95D44"/>
    <w:rsid w:val="00F95F3A"/>
    <w:rsid w:val="00F96022"/>
    <w:rsid w:val="00F96867"/>
    <w:rsid w:val="00F96930"/>
    <w:rsid w:val="00F96BE6"/>
    <w:rsid w:val="00F96C3C"/>
    <w:rsid w:val="00F96F1B"/>
    <w:rsid w:val="00F97686"/>
    <w:rsid w:val="00F977DB"/>
    <w:rsid w:val="00FA0684"/>
    <w:rsid w:val="00FA077C"/>
    <w:rsid w:val="00FA1544"/>
    <w:rsid w:val="00FA1784"/>
    <w:rsid w:val="00FA196A"/>
    <w:rsid w:val="00FA1C8D"/>
    <w:rsid w:val="00FA2D69"/>
    <w:rsid w:val="00FA2EEE"/>
    <w:rsid w:val="00FA3250"/>
    <w:rsid w:val="00FA37EA"/>
    <w:rsid w:val="00FA3AA2"/>
    <w:rsid w:val="00FA402D"/>
    <w:rsid w:val="00FA4316"/>
    <w:rsid w:val="00FA4358"/>
    <w:rsid w:val="00FA4CF3"/>
    <w:rsid w:val="00FA558E"/>
    <w:rsid w:val="00FA584E"/>
    <w:rsid w:val="00FA588B"/>
    <w:rsid w:val="00FA60E9"/>
    <w:rsid w:val="00FA6930"/>
    <w:rsid w:val="00FA6F2B"/>
    <w:rsid w:val="00FA71A6"/>
    <w:rsid w:val="00FA723E"/>
    <w:rsid w:val="00FA751D"/>
    <w:rsid w:val="00FA797E"/>
    <w:rsid w:val="00FA79D7"/>
    <w:rsid w:val="00FA7A6B"/>
    <w:rsid w:val="00FA7A89"/>
    <w:rsid w:val="00FA7C63"/>
    <w:rsid w:val="00FB00AE"/>
    <w:rsid w:val="00FB0B54"/>
    <w:rsid w:val="00FB17DD"/>
    <w:rsid w:val="00FB211E"/>
    <w:rsid w:val="00FB245B"/>
    <w:rsid w:val="00FB2B93"/>
    <w:rsid w:val="00FB344C"/>
    <w:rsid w:val="00FB390C"/>
    <w:rsid w:val="00FB3CD4"/>
    <w:rsid w:val="00FB3DBD"/>
    <w:rsid w:val="00FB3FE7"/>
    <w:rsid w:val="00FB4112"/>
    <w:rsid w:val="00FB41FC"/>
    <w:rsid w:val="00FB4826"/>
    <w:rsid w:val="00FB4CA8"/>
    <w:rsid w:val="00FB4CF2"/>
    <w:rsid w:val="00FB5329"/>
    <w:rsid w:val="00FB57B0"/>
    <w:rsid w:val="00FB5E12"/>
    <w:rsid w:val="00FB694F"/>
    <w:rsid w:val="00FB74AA"/>
    <w:rsid w:val="00FB79A5"/>
    <w:rsid w:val="00FB79AE"/>
    <w:rsid w:val="00FB7B6F"/>
    <w:rsid w:val="00FC0D35"/>
    <w:rsid w:val="00FC1665"/>
    <w:rsid w:val="00FC1927"/>
    <w:rsid w:val="00FC2EF6"/>
    <w:rsid w:val="00FC3EEB"/>
    <w:rsid w:val="00FC3F5D"/>
    <w:rsid w:val="00FC48DF"/>
    <w:rsid w:val="00FC5529"/>
    <w:rsid w:val="00FC5657"/>
    <w:rsid w:val="00FC59E7"/>
    <w:rsid w:val="00FC6634"/>
    <w:rsid w:val="00FC76E7"/>
    <w:rsid w:val="00FD020F"/>
    <w:rsid w:val="00FD0390"/>
    <w:rsid w:val="00FD0A46"/>
    <w:rsid w:val="00FD0AB1"/>
    <w:rsid w:val="00FD0BFA"/>
    <w:rsid w:val="00FD0FB2"/>
    <w:rsid w:val="00FD1635"/>
    <w:rsid w:val="00FD224B"/>
    <w:rsid w:val="00FD23B0"/>
    <w:rsid w:val="00FD24C8"/>
    <w:rsid w:val="00FD2809"/>
    <w:rsid w:val="00FD2921"/>
    <w:rsid w:val="00FD292D"/>
    <w:rsid w:val="00FD3A36"/>
    <w:rsid w:val="00FD43CA"/>
    <w:rsid w:val="00FD6B52"/>
    <w:rsid w:val="00FD7A26"/>
    <w:rsid w:val="00FE0507"/>
    <w:rsid w:val="00FE05F6"/>
    <w:rsid w:val="00FE1566"/>
    <w:rsid w:val="00FE19D0"/>
    <w:rsid w:val="00FE23A4"/>
    <w:rsid w:val="00FE23AC"/>
    <w:rsid w:val="00FE2A17"/>
    <w:rsid w:val="00FE2C3E"/>
    <w:rsid w:val="00FE2CE3"/>
    <w:rsid w:val="00FE34E1"/>
    <w:rsid w:val="00FE37EF"/>
    <w:rsid w:val="00FE42BE"/>
    <w:rsid w:val="00FE43E7"/>
    <w:rsid w:val="00FE46DE"/>
    <w:rsid w:val="00FE520A"/>
    <w:rsid w:val="00FE5310"/>
    <w:rsid w:val="00FE59B7"/>
    <w:rsid w:val="00FE64AB"/>
    <w:rsid w:val="00FE7242"/>
    <w:rsid w:val="00FE7AC6"/>
    <w:rsid w:val="00FE7CE0"/>
    <w:rsid w:val="00FF09B8"/>
    <w:rsid w:val="00FF0B00"/>
    <w:rsid w:val="00FF16BA"/>
    <w:rsid w:val="00FF2284"/>
    <w:rsid w:val="00FF23E3"/>
    <w:rsid w:val="00FF2641"/>
    <w:rsid w:val="00FF2F19"/>
    <w:rsid w:val="00FF41A1"/>
    <w:rsid w:val="00FF4826"/>
    <w:rsid w:val="00FF4850"/>
    <w:rsid w:val="00FF4AE2"/>
    <w:rsid w:val="00FF5593"/>
    <w:rsid w:val="00FF5A1C"/>
    <w:rsid w:val="00FF5F01"/>
    <w:rsid w:val="00FF6065"/>
    <w:rsid w:val="00FF64D0"/>
    <w:rsid w:val="00FF64E7"/>
    <w:rsid w:val="00FF6BDB"/>
    <w:rsid w:val="00FF6D83"/>
    <w:rsid w:val="00FF6DC9"/>
    <w:rsid w:val="00FF7E9B"/>
    <w:rsid w:val="01017AF1"/>
    <w:rsid w:val="01E076BA"/>
    <w:rsid w:val="023017F1"/>
    <w:rsid w:val="02596583"/>
    <w:rsid w:val="02D33D2A"/>
    <w:rsid w:val="02D55806"/>
    <w:rsid w:val="037141D2"/>
    <w:rsid w:val="065B051A"/>
    <w:rsid w:val="06E2381C"/>
    <w:rsid w:val="06F92044"/>
    <w:rsid w:val="071C629D"/>
    <w:rsid w:val="07567E1E"/>
    <w:rsid w:val="0814108E"/>
    <w:rsid w:val="08181106"/>
    <w:rsid w:val="08367667"/>
    <w:rsid w:val="08E50ED3"/>
    <w:rsid w:val="090A5DBD"/>
    <w:rsid w:val="098D3891"/>
    <w:rsid w:val="09F22B21"/>
    <w:rsid w:val="0B002082"/>
    <w:rsid w:val="0B614E9A"/>
    <w:rsid w:val="0C0B729E"/>
    <w:rsid w:val="0C3D439D"/>
    <w:rsid w:val="0CE93BE3"/>
    <w:rsid w:val="0D8305EA"/>
    <w:rsid w:val="0DE9020A"/>
    <w:rsid w:val="0EC5244A"/>
    <w:rsid w:val="0F9640BE"/>
    <w:rsid w:val="0FF13686"/>
    <w:rsid w:val="116C599A"/>
    <w:rsid w:val="120879BC"/>
    <w:rsid w:val="12DB32E0"/>
    <w:rsid w:val="130B3A6E"/>
    <w:rsid w:val="13F23EE5"/>
    <w:rsid w:val="163F2BDB"/>
    <w:rsid w:val="16715558"/>
    <w:rsid w:val="169B15A4"/>
    <w:rsid w:val="16BD3C48"/>
    <w:rsid w:val="18115262"/>
    <w:rsid w:val="181C53CF"/>
    <w:rsid w:val="188120FE"/>
    <w:rsid w:val="18C3397A"/>
    <w:rsid w:val="19184671"/>
    <w:rsid w:val="197B2099"/>
    <w:rsid w:val="1A097DA1"/>
    <w:rsid w:val="1A5F2844"/>
    <w:rsid w:val="1A7903E9"/>
    <w:rsid w:val="1A85664F"/>
    <w:rsid w:val="1B0A7053"/>
    <w:rsid w:val="1B420535"/>
    <w:rsid w:val="1CB42057"/>
    <w:rsid w:val="1CC661DD"/>
    <w:rsid w:val="1DA6234A"/>
    <w:rsid w:val="1E023A3C"/>
    <w:rsid w:val="1E495295"/>
    <w:rsid w:val="1EF6278A"/>
    <w:rsid w:val="1FEE10C0"/>
    <w:rsid w:val="20652963"/>
    <w:rsid w:val="22DE4F68"/>
    <w:rsid w:val="242B38C5"/>
    <w:rsid w:val="2469210E"/>
    <w:rsid w:val="24941FB6"/>
    <w:rsid w:val="24B47565"/>
    <w:rsid w:val="24BA3E31"/>
    <w:rsid w:val="24BB0D3D"/>
    <w:rsid w:val="24E91271"/>
    <w:rsid w:val="257A1A87"/>
    <w:rsid w:val="2599370F"/>
    <w:rsid w:val="25E463A3"/>
    <w:rsid w:val="26374EF0"/>
    <w:rsid w:val="277E0D9B"/>
    <w:rsid w:val="283964A1"/>
    <w:rsid w:val="287367DD"/>
    <w:rsid w:val="293514CC"/>
    <w:rsid w:val="29BC389D"/>
    <w:rsid w:val="2A5D1128"/>
    <w:rsid w:val="2BD44D81"/>
    <w:rsid w:val="2D1D7862"/>
    <w:rsid w:val="2DF166C9"/>
    <w:rsid w:val="2E2D7F0E"/>
    <w:rsid w:val="2F460166"/>
    <w:rsid w:val="305529AB"/>
    <w:rsid w:val="306A032F"/>
    <w:rsid w:val="30783BA5"/>
    <w:rsid w:val="32710BB3"/>
    <w:rsid w:val="33F6127E"/>
    <w:rsid w:val="33FC66C5"/>
    <w:rsid w:val="34343653"/>
    <w:rsid w:val="35F62D97"/>
    <w:rsid w:val="36394353"/>
    <w:rsid w:val="36437F1C"/>
    <w:rsid w:val="370561F0"/>
    <w:rsid w:val="37C53C2F"/>
    <w:rsid w:val="37CA62FF"/>
    <w:rsid w:val="37F819A7"/>
    <w:rsid w:val="38181851"/>
    <w:rsid w:val="38CA16CA"/>
    <w:rsid w:val="39441396"/>
    <w:rsid w:val="39566BC0"/>
    <w:rsid w:val="39817126"/>
    <w:rsid w:val="3A511D74"/>
    <w:rsid w:val="3B675B42"/>
    <w:rsid w:val="3B7C07FB"/>
    <w:rsid w:val="3BCC4BBD"/>
    <w:rsid w:val="3D7D4C33"/>
    <w:rsid w:val="3E09414E"/>
    <w:rsid w:val="3E0E4DF5"/>
    <w:rsid w:val="3EC42D42"/>
    <w:rsid w:val="3F0A1C4B"/>
    <w:rsid w:val="3F980868"/>
    <w:rsid w:val="4032385B"/>
    <w:rsid w:val="407B3F16"/>
    <w:rsid w:val="40C47B6A"/>
    <w:rsid w:val="415A556E"/>
    <w:rsid w:val="432C3E69"/>
    <w:rsid w:val="43440D1B"/>
    <w:rsid w:val="44710037"/>
    <w:rsid w:val="44AA0AC2"/>
    <w:rsid w:val="4596232F"/>
    <w:rsid w:val="45F66CE9"/>
    <w:rsid w:val="46382A9D"/>
    <w:rsid w:val="463F2F67"/>
    <w:rsid w:val="46B02A72"/>
    <w:rsid w:val="47247923"/>
    <w:rsid w:val="49586509"/>
    <w:rsid w:val="4BA6168F"/>
    <w:rsid w:val="4BCC7D6D"/>
    <w:rsid w:val="4C4C6AE0"/>
    <w:rsid w:val="4C9F1B33"/>
    <w:rsid w:val="4D406F7F"/>
    <w:rsid w:val="4D447720"/>
    <w:rsid w:val="4DB40B6E"/>
    <w:rsid w:val="4DE73180"/>
    <w:rsid w:val="4ECB6CE9"/>
    <w:rsid w:val="506B5082"/>
    <w:rsid w:val="50731B29"/>
    <w:rsid w:val="508D46F8"/>
    <w:rsid w:val="51395C22"/>
    <w:rsid w:val="51BC2BEE"/>
    <w:rsid w:val="52D610AC"/>
    <w:rsid w:val="540F35DE"/>
    <w:rsid w:val="54DE2B69"/>
    <w:rsid w:val="55141243"/>
    <w:rsid w:val="555056FB"/>
    <w:rsid w:val="55EB7864"/>
    <w:rsid w:val="56DE153A"/>
    <w:rsid w:val="590A31F6"/>
    <w:rsid w:val="593E37D5"/>
    <w:rsid w:val="59CA45E9"/>
    <w:rsid w:val="5A4D731F"/>
    <w:rsid w:val="5C1B0D9B"/>
    <w:rsid w:val="5CEB3771"/>
    <w:rsid w:val="5F7B5691"/>
    <w:rsid w:val="5F9A284E"/>
    <w:rsid w:val="6026023B"/>
    <w:rsid w:val="60F32189"/>
    <w:rsid w:val="6197440C"/>
    <w:rsid w:val="61B22E44"/>
    <w:rsid w:val="621D6285"/>
    <w:rsid w:val="64281999"/>
    <w:rsid w:val="649C6A1D"/>
    <w:rsid w:val="64A6053C"/>
    <w:rsid w:val="65C64CED"/>
    <w:rsid w:val="66467B70"/>
    <w:rsid w:val="67C50D74"/>
    <w:rsid w:val="68476B94"/>
    <w:rsid w:val="684D26AF"/>
    <w:rsid w:val="68B41977"/>
    <w:rsid w:val="69A01CEB"/>
    <w:rsid w:val="6A954EC2"/>
    <w:rsid w:val="6B983FEF"/>
    <w:rsid w:val="6BA1255A"/>
    <w:rsid w:val="6BB21AFF"/>
    <w:rsid w:val="6C736EEF"/>
    <w:rsid w:val="6D282B24"/>
    <w:rsid w:val="6D763325"/>
    <w:rsid w:val="6DAB07D3"/>
    <w:rsid w:val="6E4E1D0D"/>
    <w:rsid w:val="6EE7037A"/>
    <w:rsid w:val="6FC40EE0"/>
    <w:rsid w:val="7038145C"/>
    <w:rsid w:val="70C27C86"/>
    <w:rsid w:val="71732869"/>
    <w:rsid w:val="71C76B95"/>
    <w:rsid w:val="72A24544"/>
    <w:rsid w:val="73310AD3"/>
    <w:rsid w:val="74286B5D"/>
    <w:rsid w:val="747C5D49"/>
    <w:rsid w:val="76547A9D"/>
    <w:rsid w:val="7688668E"/>
    <w:rsid w:val="772F6CB1"/>
    <w:rsid w:val="783451AE"/>
    <w:rsid w:val="785B451D"/>
    <w:rsid w:val="78712725"/>
    <w:rsid w:val="789C65D0"/>
    <w:rsid w:val="78EF55E3"/>
    <w:rsid w:val="794C3EEB"/>
    <w:rsid w:val="79695A44"/>
    <w:rsid w:val="7A325052"/>
    <w:rsid w:val="7B1D6F90"/>
    <w:rsid w:val="7B847BD2"/>
    <w:rsid w:val="7BC00026"/>
    <w:rsid w:val="7BE666B4"/>
    <w:rsid w:val="7F064E94"/>
    <w:rsid w:val="7F721E50"/>
    <w:rsid w:val="7F8805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4"/>
      <w:szCs w:val="21"/>
      <w:lang w:val="en-US" w:eastAsia="zh-CN" w:bidi="ar-SA"/>
    </w:rPr>
  </w:style>
  <w:style w:type="paragraph" w:styleId="2">
    <w:name w:val="heading 1"/>
    <w:basedOn w:val="3"/>
    <w:next w:val="1"/>
    <w:link w:val="49"/>
    <w:qFormat/>
    <w:uiPriority w:val="9"/>
    <w:pPr>
      <w:keepNext/>
      <w:keepLines/>
      <w:numPr>
        <w:ilvl w:val="0"/>
        <w:numId w:val="1"/>
      </w:numPr>
      <w:spacing w:before="0" w:after="0"/>
      <w:jc w:val="left"/>
    </w:pPr>
    <w:rPr>
      <w:rFonts w:ascii="Times New Roman" w:hAnsi="Times New Roman"/>
      <w:bCs w:val="0"/>
      <w:kern w:val="44"/>
      <w:sz w:val="30"/>
      <w:szCs w:val="44"/>
    </w:rPr>
  </w:style>
  <w:style w:type="paragraph" w:styleId="4">
    <w:name w:val="heading 2"/>
    <w:basedOn w:val="3"/>
    <w:next w:val="1"/>
    <w:link w:val="50"/>
    <w:unhideWhenUsed/>
    <w:qFormat/>
    <w:uiPriority w:val="9"/>
    <w:pPr>
      <w:keepLines/>
      <w:numPr>
        <w:ilvl w:val="1"/>
        <w:numId w:val="1"/>
      </w:numPr>
      <w:spacing w:before="0" w:after="0" w:line="360" w:lineRule="auto"/>
      <w:jc w:val="left"/>
      <w:outlineLvl w:val="1"/>
    </w:pPr>
    <w:rPr>
      <w:rFonts w:ascii="Times New Roman" w:hAnsi="Times New Roman"/>
      <w:bCs w:val="0"/>
      <w:sz w:val="28"/>
    </w:rPr>
  </w:style>
  <w:style w:type="paragraph" w:styleId="5">
    <w:name w:val="heading 3"/>
    <w:basedOn w:val="3"/>
    <w:next w:val="1"/>
    <w:link w:val="51"/>
    <w:unhideWhenUsed/>
    <w:qFormat/>
    <w:uiPriority w:val="9"/>
    <w:pPr>
      <w:keepNext/>
      <w:keepLines/>
      <w:numPr>
        <w:ilvl w:val="2"/>
        <w:numId w:val="1"/>
      </w:numPr>
      <w:adjustRightInd w:val="0"/>
      <w:snapToGrid w:val="0"/>
      <w:spacing w:before="0" w:after="0" w:line="360" w:lineRule="auto"/>
      <w:ind w:left="720"/>
      <w:jc w:val="left"/>
      <w:outlineLvl w:val="2"/>
    </w:pPr>
    <w:rPr>
      <w:rFonts w:ascii="Times New Roman" w:hAnsi="Times New Roman"/>
      <w:bCs w:val="0"/>
      <w:sz w:val="24"/>
    </w:rPr>
  </w:style>
  <w:style w:type="paragraph" w:styleId="6">
    <w:name w:val="heading 4"/>
    <w:basedOn w:val="1"/>
    <w:next w:val="1"/>
    <w:link w:val="52"/>
    <w:unhideWhenUsed/>
    <w:qFormat/>
    <w:uiPriority w:val="9"/>
    <w:pPr>
      <w:keepNext/>
      <w:keepLines/>
      <w:numPr>
        <w:ilvl w:val="3"/>
        <w:numId w:val="1"/>
      </w:numPr>
      <w:spacing w:line="360" w:lineRule="auto"/>
      <w:ind w:left="1006"/>
      <w:outlineLvl w:val="3"/>
    </w:pPr>
    <w:rPr>
      <w:rFonts w:cstheme="majorBidi"/>
      <w:b/>
      <w:bCs/>
      <w:szCs w:val="28"/>
    </w:rPr>
  </w:style>
  <w:style w:type="paragraph" w:styleId="7">
    <w:name w:val="heading 5"/>
    <w:basedOn w:val="1"/>
    <w:next w:val="1"/>
    <w:link w:val="53"/>
    <w:semiHidden/>
    <w:qFormat/>
    <w:uiPriority w:val="9"/>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54"/>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9">
    <w:name w:val="heading 7"/>
    <w:basedOn w:val="1"/>
    <w:next w:val="1"/>
    <w:link w:val="55"/>
    <w:unhideWhenUsed/>
    <w:qFormat/>
    <w:uiPriority w:val="9"/>
    <w:pPr>
      <w:keepNext/>
      <w:keepLines/>
      <w:numPr>
        <w:ilvl w:val="6"/>
        <w:numId w:val="1"/>
      </w:numPr>
      <w:spacing w:before="240" w:after="64" w:line="320" w:lineRule="auto"/>
      <w:outlineLvl w:val="6"/>
    </w:pPr>
    <w:rPr>
      <w:b/>
      <w:bCs/>
      <w:szCs w:val="24"/>
    </w:rPr>
  </w:style>
  <w:style w:type="paragraph" w:styleId="10">
    <w:name w:val="heading 8"/>
    <w:basedOn w:val="1"/>
    <w:next w:val="1"/>
    <w:link w:val="56"/>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link w:val="57"/>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58"/>
    <w:semiHidden/>
    <w:qFormat/>
    <w:uiPriority w:val="0"/>
    <w:pPr>
      <w:spacing w:before="240" w:after="60"/>
      <w:jc w:val="center"/>
      <w:outlineLvl w:val="0"/>
    </w:pPr>
    <w:rPr>
      <w:rFonts w:eastAsia="宋体" w:asciiTheme="majorHAnsi" w:hAnsiTheme="majorHAnsi" w:cstheme="majorBidi"/>
      <w:b/>
      <w:bCs/>
      <w:sz w:val="32"/>
      <w:szCs w:val="32"/>
    </w:rPr>
  </w:style>
  <w:style w:type="paragraph" w:styleId="12">
    <w:name w:val="toc 7"/>
    <w:basedOn w:val="1"/>
    <w:next w:val="1"/>
    <w:unhideWhenUsed/>
    <w:qFormat/>
    <w:uiPriority w:val="39"/>
    <w:pPr>
      <w:ind w:left="1440"/>
      <w:jc w:val="left"/>
    </w:pPr>
    <w:rPr>
      <w:rFonts w:asciiTheme="minorHAnsi" w:hAnsiTheme="minorHAnsi"/>
      <w:sz w:val="20"/>
      <w:szCs w:val="20"/>
    </w:rPr>
  </w:style>
  <w:style w:type="paragraph" w:styleId="13">
    <w:name w:val="Normal Indent"/>
    <w:basedOn w:val="1"/>
    <w:link w:val="71"/>
    <w:qFormat/>
    <w:uiPriority w:val="0"/>
    <w:pPr>
      <w:ind w:firstLine="560" w:firstLineChars="200"/>
    </w:pPr>
    <w:rPr>
      <w:rFonts w:eastAsia="宋体" w:asciiTheme="minorHAnsi" w:hAnsiTheme="minorHAnsi"/>
      <w:sz w:val="28"/>
    </w:rPr>
  </w:style>
  <w:style w:type="paragraph" w:styleId="14">
    <w:name w:val="caption"/>
    <w:basedOn w:val="1"/>
    <w:next w:val="1"/>
    <w:link w:val="76"/>
    <w:unhideWhenUsed/>
    <w:qFormat/>
    <w:uiPriority w:val="99"/>
    <w:pPr>
      <w:spacing w:line="360" w:lineRule="auto"/>
      <w:jc w:val="center"/>
    </w:pPr>
    <w:rPr>
      <w:rFonts w:eastAsia="宋体" w:cstheme="majorBidi"/>
      <w:b/>
      <w:szCs w:val="20"/>
    </w:rPr>
  </w:style>
  <w:style w:type="paragraph" w:styleId="15">
    <w:name w:val="Document Map"/>
    <w:basedOn w:val="1"/>
    <w:link w:val="70"/>
    <w:semiHidden/>
    <w:unhideWhenUsed/>
    <w:qFormat/>
    <w:uiPriority w:val="99"/>
    <w:rPr>
      <w:rFonts w:ascii="宋体" w:eastAsia="宋体"/>
      <w:sz w:val="18"/>
      <w:szCs w:val="18"/>
    </w:rPr>
  </w:style>
  <w:style w:type="paragraph" w:styleId="16">
    <w:name w:val="annotation text"/>
    <w:basedOn w:val="1"/>
    <w:link w:val="79"/>
    <w:unhideWhenUsed/>
    <w:qFormat/>
    <w:uiPriority w:val="0"/>
    <w:pPr>
      <w:jc w:val="left"/>
    </w:pPr>
  </w:style>
  <w:style w:type="paragraph" w:styleId="17">
    <w:name w:val="Body Text"/>
    <w:basedOn w:val="1"/>
    <w:link w:val="84"/>
    <w:unhideWhenUsed/>
    <w:qFormat/>
    <w:uiPriority w:val="99"/>
    <w:pPr>
      <w:spacing w:after="120"/>
    </w:pPr>
  </w:style>
  <w:style w:type="paragraph" w:styleId="18">
    <w:name w:val="Body Text Indent"/>
    <w:basedOn w:val="1"/>
    <w:link w:val="65"/>
    <w:unhideWhenUsed/>
    <w:qFormat/>
    <w:uiPriority w:val="99"/>
    <w:pPr>
      <w:spacing w:line="360" w:lineRule="auto"/>
      <w:ind w:firstLine="480"/>
    </w:pPr>
    <w:rPr>
      <w:rFonts w:ascii="宋体" w:hAnsi="宋体" w:eastAsia="宋体" w:cs="Times New Roman"/>
      <w:color w:val="FF6600"/>
      <w:szCs w:val="24"/>
    </w:rPr>
  </w:style>
  <w:style w:type="paragraph" w:styleId="19">
    <w:name w:val="List 2"/>
    <w:basedOn w:val="1"/>
    <w:qFormat/>
    <w:uiPriority w:val="0"/>
    <w:pPr>
      <w:adjustRightInd w:val="0"/>
      <w:snapToGrid w:val="0"/>
      <w:spacing w:line="360" w:lineRule="auto"/>
      <w:ind w:left="100" w:leftChars="200" w:hanging="200" w:hangingChars="200"/>
    </w:pPr>
    <w:rPr>
      <w:rFonts w:eastAsia="宋体" w:cs="Times New Roman"/>
      <w:szCs w:val="24"/>
    </w:rPr>
  </w:style>
  <w:style w:type="paragraph" w:styleId="20">
    <w:name w:val="toc 5"/>
    <w:basedOn w:val="1"/>
    <w:next w:val="1"/>
    <w:unhideWhenUsed/>
    <w:qFormat/>
    <w:uiPriority w:val="39"/>
    <w:pPr>
      <w:ind w:left="960"/>
      <w:jc w:val="left"/>
    </w:pPr>
    <w:rPr>
      <w:rFonts w:asciiTheme="minorHAnsi" w:hAnsiTheme="minorHAnsi"/>
      <w:sz w:val="20"/>
      <w:szCs w:val="20"/>
    </w:rPr>
  </w:style>
  <w:style w:type="paragraph" w:styleId="21">
    <w:name w:val="toc 3"/>
    <w:basedOn w:val="1"/>
    <w:next w:val="1"/>
    <w:unhideWhenUsed/>
    <w:qFormat/>
    <w:uiPriority w:val="39"/>
    <w:pPr>
      <w:ind w:left="480"/>
      <w:jc w:val="left"/>
    </w:pPr>
    <w:rPr>
      <w:rFonts w:asciiTheme="minorHAnsi" w:hAnsiTheme="minorHAnsi"/>
      <w:sz w:val="20"/>
      <w:szCs w:val="20"/>
    </w:rPr>
  </w:style>
  <w:style w:type="paragraph" w:styleId="22">
    <w:name w:val="Plain Text"/>
    <w:basedOn w:val="1"/>
    <w:link w:val="63"/>
    <w:unhideWhenUsed/>
    <w:qFormat/>
    <w:uiPriority w:val="0"/>
    <w:rPr>
      <w:rFonts w:ascii="宋体" w:hAnsi="Courier New" w:eastAsia="宋体" w:cs="Times New Roman"/>
      <w:sz w:val="21"/>
      <w:szCs w:val="20"/>
    </w:rPr>
  </w:style>
  <w:style w:type="paragraph" w:styleId="23">
    <w:name w:val="toc 8"/>
    <w:basedOn w:val="1"/>
    <w:next w:val="1"/>
    <w:unhideWhenUsed/>
    <w:qFormat/>
    <w:uiPriority w:val="39"/>
    <w:pPr>
      <w:ind w:left="1680"/>
      <w:jc w:val="left"/>
    </w:pPr>
    <w:rPr>
      <w:rFonts w:asciiTheme="minorHAnsi" w:hAnsiTheme="minorHAnsi"/>
      <w:sz w:val="20"/>
      <w:szCs w:val="20"/>
    </w:rPr>
  </w:style>
  <w:style w:type="paragraph" w:styleId="24">
    <w:name w:val="Date"/>
    <w:basedOn w:val="1"/>
    <w:next w:val="1"/>
    <w:qFormat/>
    <w:uiPriority w:val="0"/>
    <w:pPr>
      <w:ind w:left="100" w:leftChars="2500"/>
    </w:pPr>
  </w:style>
  <w:style w:type="paragraph" w:styleId="25">
    <w:name w:val="Balloon Text"/>
    <w:basedOn w:val="1"/>
    <w:link w:val="62"/>
    <w:semiHidden/>
    <w:unhideWhenUsed/>
    <w:qFormat/>
    <w:uiPriority w:val="99"/>
    <w:rPr>
      <w:sz w:val="18"/>
      <w:szCs w:val="18"/>
    </w:rPr>
  </w:style>
  <w:style w:type="paragraph" w:styleId="26">
    <w:name w:val="footer"/>
    <w:basedOn w:val="1"/>
    <w:link w:val="60"/>
    <w:unhideWhenUsed/>
    <w:qFormat/>
    <w:uiPriority w:val="99"/>
    <w:pPr>
      <w:tabs>
        <w:tab w:val="center" w:pos="4153"/>
        <w:tab w:val="right" w:pos="8306"/>
      </w:tabs>
      <w:snapToGrid w:val="0"/>
      <w:jc w:val="left"/>
    </w:pPr>
    <w:rPr>
      <w:sz w:val="18"/>
      <w:szCs w:val="18"/>
    </w:rPr>
  </w:style>
  <w:style w:type="paragraph" w:styleId="27">
    <w:name w:val="header"/>
    <w:basedOn w:val="1"/>
    <w:link w:val="59"/>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pPr>
      <w:spacing w:before="240" w:after="120"/>
      <w:jc w:val="left"/>
    </w:pPr>
    <w:rPr>
      <w:rFonts w:asciiTheme="minorHAnsi" w:hAnsiTheme="minorHAnsi"/>
      <w:b/>
      <w:bCs/>
      <w:sz w:val="20"/>
      <w:szCs w:val="20"/>
    </w:rPr>
  </w:style>
  <w:style w:type="paragraph" w:styleId="29">
    <w:name w:val="toc 4"/>
    <w:basedOn w:val="1"/>
    <w:next w:val="1"/>
    <w:unhideWhenUsed/>
    <w:qFormat/>
    <w:uiPriority w:val="39"/>
    <w:pPr>
      <w:ind w:left="720"/>
      <w:jc w:val="left"/>
    </w:pPr>
    <w:rPr>
      <w:rFonts w:asciiTheme="minorHAnsi" w:hAnsiTheme="minorHAnsi"/>
      <w:sz w:val="20"/>
      <w:szCs w:val="20"/>
    </w:rPr>
  </w:style>
  <w:style w:type="paragraph" w:styleId="30">
    <w:name w:val="toc 6"/>
    <w:basedOn w:val="1"/>
    <w:next w:val="1"/>
    <w:unhideWhenUsed/>
    <w:qFormat/>
    <w:uiPriority w:val="39"/>
    <w:pPr>
      <w:ind w:left="1200"/>
      <w:jc w:val="left"/>
    </w:pPr>
    <w:rPr>
      <w:rFonts w:asciiTheme="minorHAnsi" w:hAnsiTheme="minorHAnsi"/>
      <w:sz w:val="20"/>
      <w:szCs w:val="20"/>
    </w:rPr>
  </w:style>
  <w:style w:type="paragraph" w:styleId="31">
    <w:name w:val="toc 2"/>
    <w:basedOn w:val="1"/>
    <w:next w:val="1"/>
    <w:unhideWhenUsed/>
    <w:qFormat/>
    <w:uiPriority w:val="39"/>
    <w:pPr>
      <w:spacing w:before="120"/>
      <w:ind w:left="240"/>
      <w:jc w:val="left"/>
    </w:pPr>
    <w:rPr>
      <w:rFonts w:asciiTheme="minorHAnsi" w:hAnsiTheme="minorHAnsi"/>
      <w:i/>
      <w:iCs/>
      <w:sz w:val="20"/>
      <w:szCs w:val="20"/>
    </w:rPr>
  </w:style>
  <w:style w:type="paragraph" w:styleId="32">
    <w:name w:val="toc 9"/>
    <w:basedOn w:val="1"/>
    <w:next w:val="1"/>
    <w:unhideWhenUsed/>
    <w:qFormat/>
    <w:uiPriority w:val="39"/>
    <w:pPr>
      <w:ind w:left="1920"/>
      <w:jc w:val="left"/>
    </w:pPr>
    <w:rPr>
      <w:rFonts w:asciiTheme="minorHAnsi" w:hAnsiTheme="minorHAnsi"/>
      <w:sz w:val="20"/>
      <w:szCs w:val="20"/>
    </w:rPr>
  </w:style>
  <w:style w:type="paragraph" w:styleId="33">
    <w:name w:val="Body Text 2"/>
    <w:basedOn w:val="1"/>
    <w:link w:val="94"/>
    <w:qFormat/>
    <w:uiPriority w:val="0"/>
    <w:pPr>
      <w:adjustRightInd w:val="0"/>
      <w:snapToGrid w:val="0"/>
      <w:spacing w:after="120" w:line="480" w:lineRule="auto"/>
      <w:ind w:firstLine="200" w:firstLineChars="200"/>
    </w:pPr>
    <w:rPr>
      <w:rFonts w:eastAsia="宋体" w:cs="Times New Roman"/>
      <w:szCs w:val="24"/>
    </w:rPr>
  </w:style>
  <w:style w:type="paragraph" w:styleId="34">
    <w:name w:val="HTML Preformatted"/>
    <w:basedOn w:val="1"/>
    <w:link w:val="150"/>
    <w:semiHidden/>
    <w:unhideWhenUsed/>
    <w:qFormat/>
    <w:uiPriority w:val="99"/>
    <w:rPr>
      <w:rFonts w:ascii="Courier New" w:hAnsi="Courier New" w:cs="Courier New"/>
      <w:sz w:val="20"/>
      <w:szCs w:val="20"/>
    </w:rPr>
  </w:style>
  <w:style w:type="paragraph" w:styleId="35">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36">
    <w:name w:val="annotation subject"/>
    <w:basedOn w:val="16"/>
    <w:next w:val="16"/>
    <w:link w:val="80"/>
    <w:semiHidden/>
    <w:unhideWhenUsed/>
    <w:qFormat/>
    <w:uiPriority w:val="99"/>
    <w:rPr>
      <w:b/>
      <w:bCs/>
    </w:rPr>
  </w:style>
  <w:style w:type="paragraph" w:styleId="37">
    <w:name w:val="Body Text First Indent"/>
    <w:basedOn w:val="17"/>
    <w:link w:val="85"/>
    <w:unhideWhenUsed/>
    <w:qFormat/>
    <w:uiPriority w:val="99"/>
    <w:pPr>
      <w:ind w:firstLine="420" w:firstLineChars="100"/>
    </w:pPr>
  </w:style>
  <w:style w:type="table" w:styleId="39">
    <w:name w:val="Table Grid"/>
    <w:basedOn w:val="3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Hyperlink"/>
    <w:basedOn w:val="40"/>
    <w:unhideWhenUsed/>
    <w:qFormat/>
    <w:uiPriority w:val="99"/>
    <w:rPr>
      <w:color w:val="0000FF" w:themeColor="hyperlink"/>
      <w:u w:val="single"/>
    </w:rPr>
  </w:style>
  <w:style w:type="character" w:styleId="42">
    <w:name w:val="annotation reference"/>
    <w:basedOn w:val="40"/>
    <w:unhideWhenUsed/>
    <w:qFormat/>
    <w:uiPriority w:val="0"/>
    <w:rPr>
      <w:sz w:val="21"/>
      <w:szCs w:val="21"/>
    </w:rPr>
  </w:style>
  <w:style w:type="paragraph" w:customStyle="1" w:styleId="43">
    <w:name w:val="四级条标题"/>
    <w:basedOn w:val="44"/>
    <w:next w:val="48"/>
    <w:qFormat/>
    <w:uiPriority w:val="0"/>
    <w:pPr>
      <w:tabs>
        <w:tab w:val="left" w:pos="1260"/>
      </w:tabs>
      <w:outlineLvl w:val="5"/>
    </w:pPr>
    <w:rPr>
      <w:szCs w:val="20"/>
    </w:rPr>
  </w:style>
  <w:style w:type="paragraph" w:customStyle="1" w:styleId="44">
    <w:name w:val="三级条标题"/>
    <w:basedOn w:val="45"/>
    <w:next w:val="48"/>
    <w:qFormat/>
    <w:uiPriority w:val="0"/>
    <w:pPr>
      <w:numPr>
        <w:numId w:val="0"/>
      </w:numPr>
      <w:tabs>
        <w:tab w:val="left" w:pos="1260"/>
      </w:tabs>
      <w:outlineLvl w:val="4"/>
    </w:pPr>
  </w:style>
  <w:style w:type="paragraph" w:customStyle="1" w:styleId="45">
    <w:name w:val="二级条标题"/>
    <w:basedOn w:val="46"/>
    <w:next w:val="48"/>
    <w:qFormat/>
    <w:uiPriority w:val="0"/>
    <w:pPr>
      <w:numPr>
        <w:ilvl w:val="3"/>
      </w:numPr>
      <w:tabs>
        <w:tab w:val="left" w:pos="1260"/>
      </w:tabs>
      <w:outlineLvl w:val="3"/>
    </w:pPr>
  </w:style>
  <w:style w:type="paragraph" w:customStyle="1" w:styleId="46">
    <w:name w:val="一级条标题"/>
    <w:basedOn w:val="47"/>
    <w:next w:val="48"/>
    <w:qFormat/>
    <w:uiPriority w:val="0"/>
    <w:pPr>
      <w:numPr>
        <w:ilvl w:val="2"/>
        <w:numId w:val="2"/>
      </w:numPr>
      <w:spacing w:beforeLines="0" w:afterLines="0"/>
      <w:outlineLvl w:val="2"/>
    </w:pPr>
  </w:style>
  <w:style w:type="paragraph" w:customStyle="1" w:styleId="47">
    <w:name w:val="章标题"/>
    <w:next w:val="48"/>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48">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49">
    <w:name w:val="标题 1 Char"/>
    <w:basedOn w:val="40"/>
    <w:link w:val="2"/>
    <w:qFormat/>
    <w:uiPriority w:val="9"/>
    <w:rPr>
      <w:rFonts w:ascii="Times New Roman" w:hAnsi="Times New Roman" w:eastAsia="宋体" w:cstheme="majorBidi"/>
      <w:b/>
      <w:kern w:val="44"/>
      <w:sz w:val="30"/>
      <w:szCs w:val="44"/>
    </w:rPr>
  </w:style>
  <w:style w:type="character" w:customStyle="1" w:styleId="50">
    <w:name w:val="标题 2 Char"/>
    <w:basedOn w:val="40"/>
    <w:link w:val="4"/>
    <w:qFormat/>
    <w:uiPriority w:val="9"/>
    <w:rPr>
      <w:rFonts w:ascii="Times New Roman" w:hAnsi="Times New Roman" w:eastAsia="宋体" w:cstheme="majorBidi"/>
      <w:b/>
      <w:sz w:val="28"/>
      <w:szCs w:val="32"/>
    </w:rPr>
  </w:style>
  <w:style w:type="character" w:customStyle="1" w:styleId="51">
    <w:name w:val="标题 3 Char"/>
    <w:basedOn w:val="40"/>
    <w:link w:val="5"/>
    <w:qFormat/>
    <w:uiPriority w:val="9"/>
    <w:rPr>
      <w:rFonts w:ascii="Times New Roman" w:hAnsi="Times New Roman" w:eastAsia="宋体" w:cstheme="majorBidi"/>
      <w:b/>
      <w:sz w:val="24"/>
      <w:szCs w:val="32"/>
    </w:rPr>
  </w:style>
  <w:style w:type="character" w:customStyle="1" w:styleId="52">
    <w:name w:val="标题 4 Char"/>
    <w:basedOn w:val="40"/>
    <w:link w:val="6"/>
    <w:qFormat/>
    <w:uiPriority w:val="9"/>
    <w:rPr>
      <w:rFonts w:ascii="Times New Roman" w:hAnsi="Times New Roman" w:cstheme="majorBidi"/>
      <w:b/>
      <w:bCs/>
      <w:sz w:val="24"/>
      <w:szCs w:val="28"/>
    </w:rPr>
  </w:style>
  <w:style w:type="character" w:customStyle="1" w:styleId="53">
    <w:name w:val="标题 5 Char"/>
    <w:basedOn w:val="40"/>
    <w:link w:val="7"/>
    <w:semiHidden/>
    <w:qFormat/>
    <w:uiPriority w:val="9"/>
    <w:rPr>
      <w:rFonts w:ascii="Times New Roman" w:hAnsi="Times New Roman"/>
      <w:b/>
      <w:bCs/>
      <w:sz w:val="28"/>
      <w:szCs w:val="28"/>
    </w:rPr>
  </w:style>
  <w:style w:type="character" w:customStyle="1" w:styleId="54">
    <w:name w:val="标题 6 Char"/>
    <w:basedOn w:val="40"/>
    <w:link w:val="8"/>
    <w:qFormat/>
    <w:uiPriority w:val="9"/>
    <w:rPr>
      <w:rFonts w:asciiTheme="majorHAnsi" w:hAnsiTheme="majorHAnsi" w:eastAsiaTheme="majorEastAsia" w:cstheme="majorBidi"/>
      <w:b/>
      <w:bCs/>
      <w:sz w:val="24"/>
      <w:szCs w:val="24"/>
    </w:rPr>
  </w:style>
  <w:style w:type="character" w:customStyle="1" w:styleId="55">
    <w:name w:val="标题 7 Char"/>
    <w:basedOn w:val="40"/>
    <w:link w:val="9"/>
    <w:qFormat/>
    <w:uiPriority w:val="9"/>
    <w:rPr>
      <w:rFonts w:ascii="Times New Roman" w:hAnsi="Times New Roman"/>
      <w:b/>
      <w:bCs/>
      <w:sz w:val="24"/>
      <w:szCs w:val="24"/>
    </w:rPr>
  </w:style>
  <w:style w:type="character" w:customStyle="1" w:styleId="56">
    <w:name w:val="标题 8 Char"/>
    <w:basedOn w:val="40"/>
    <w:link w:val="10"/>
    <w:qFormat/>
    <w:uiPriority w:val="9"/>
    <w:rPr>
      <w:rFonts w:asciiTheme="majorHAnsi" w:hAnsiTheme="majorHAnsi" w:eastAsiaTheme="majorEastAsia" w:cstheme="majorBidi"/>
      <w:sz w:val="24"/>
      <w:szCs w:val="24"/>
    </w:rPr>
  </w:style>
  <w:style w:type="character" w:customStyle="1" w:styleId="57">
    <w:name w:val="标题 9 Char"/>
    <w:basedOn w:val="40"/>
    <w:link w:val="11"/>
    <w:qFormat/>
    <w:uiPriority w:val="9"/>
    <w:rPr>
      <w:rFonts w:asciiTheme="majorHAnsi" w:hAnsiTheme="majorHAnsi" w:eastAsiaTheme="majorEastAsia" w:cstheme="majorBidi"/>
      <w:sz w:val="24"/>
    </w:rPr>
  </w:style>
  <w:style w:type="character" w:customStyle="1" w:styleId="58">
    <w:name w:val="标题 Char"/>
    <w:basedOn w:val="40"/>
    <w:link w:val="3"/>
    <w:semiHidden/>
    <w:qFormat/>
    <w:uiPriority w:val="0"/>
    <w:rPr>
      <w:rFonts w:eastAsia="宋体" w:asciiTheme="majorHAnsi" w:hAnsiTheme="majorHAnsi" w:cstheme="majorBidi"/>
      <w:b/>
      <w:bCs/>
      <w:sz w:val="32"/>
      <w:szCs w:val="32"/>
    </w:rPr>
  </w:style>
  <w:style w:type="character" w:customStyle="1" w:styleId="59">
    <w:name w:val="页眉 Char"/>
    <w:basedOn w:val="40"/>
    <w:link w:val="27"/>
    <w:qFormat/>
    <w:uiPriority w:val="99"/>
    <w:rPr>
      <w:sz w:val="18"/>
      <w:szCs w:val="18"/>
    </w:rPr>
  </w:style>
  <w:style w:type="character" w:customStyle="1" w:styleId="60">
    <w:name w:val="页脚 Char"/>
    <w:basedOn w:val="40"/>
    <w:link w:val="26"/>
    <w:qFormat/>
    <w:uiPriority w:val="99"/>
    <w:rPr>
      <w:sz w:val="18"/>
      <w:szCs w:val="18"/>
    </w:rPr>
  </w:style>
  <w:style w:type="paragraph" w:customStyle="1" w:styleId="61">
    <w:name w:val="标题4"/>
    <w:basedOn w:val="6"/>
    <w:qFormat/>
    <w:uiPriority w:val="0"/>
  </w:style>
  <w:style w:type="character" w:customStyle="1" w:styleId="62">
    <w:name w:val="批注框文本 Char"/>
    <w:basedOn w:val="40"/>
    <w:link w:val="25"/>
    <w:semiHidden/>
    <w:qFormat/>
    <w:uiPriority w:val="99"/>
    <w:rPr>
      <w:rFonts w:ascii="Times New Roman" w:hAnsi="Times New Roman"/>
      <w:sz w:val="18"/>
      <w:szCs w:val="18"/>
    </w:rPr>
  </w:style>
  <w:style w:type="character" w:customStyle="1" w:styleId="63">
    <w:name w:val="纯文本 Char"/>
    <w:basedOn w:val="40"/>
    <w:link w:val="22"/>
    <w:qFormat/>
    <w:uiPriority w:val="0"/>
    <w:rPr>
      <w:rFonts w:ascii="宋体" w:hAnsi="Courier New" w:eastAsia="宋体" w:cs="Times New Roman"/>
      <w:szCs w:val="20"/>
    </w:rPr>
  </w:style>
  <w:style w:type="paragraph" w:customStyle="1" w:styleId="64">
    <w:name w:val="本文正文"/>
    <w:basedOn w:val="1"/>
    <w:qFormat/>
    <w:uiPriority w:val="0"/>
    <w:pPr>
      <w:spacing w:before="156" w:after="156" w:line="360" w:lineRule="auto"/>
      <w:ind w:firstLine="480" w:firstLineChars="200"/>
    </w:pPr>
    <w:rPr>
      <w:rFonts w:ascii="宋体" w:hAnsi="宋体" w:eastAsia="宋体" w:cs="宋体"/>
      <w:szCs w:val="20"/>
    </w:rPr>
  </w:style>
  <w:style w:type="character" w:customStyle="1" w:styleId="65">
    <w:name w:val="正文文本缩进 Char"/>
    <w:basedOn w:val="40"/>
    <w:link w:val="18"/>
    <w:qFormat/>
    <w:uiPriority w:val="99"/>
    <w:rPr>
      <w:rFonts w:ascii="宋体" w:hAnsi="宋体" w:eastAsia="宋体" w:cs="Times New Roman"/>
      <w:color w:val="FF6600"/>
      <w:sz w:val="24"/>
      <w:szCs w:val="24"/>
    </w:rPr>
  </w:style>
  <w:style w:type="paragraph" w:customStyle="1" w:styleId="6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 w:val="21"/>
      <w:szCs w:val="20"/>
    </w:rPr>
  </w:style>
  <w:style w:type="character" w:customStyle="1" w:styleId="67">
    <w:name w:val="fontstyle01"/>
    <w:basedOn w:val="40"/>
    <w:qFormat/>
    <w:uiPriority w:val="0"/>
    <w:rPr>
      <w:rFonts w:hint="eastAsia" w:ascii="宋体" w:hAnsi="宋体" w:eastAsia="宋体"/>
      <w:color w:val="000000"/>
      <w:sz w:val="24"/>
      <w:szCs w:val="24"/>
    </w:rPr>
  </w:style>
  <w:style w:type="character" w:customStyle="1" w:styleId="68">
    <w:name w:val="fontstyle21"/>
    <w:basedOn w:val="40"/>
    <w:qFormat/>
    <w:uiPriority w:val="0"/>
    <w:rPr>
      <w:rFonts w:hint="default" w:ascii="TimesNewRomanPSMT" w:hAnsi="TimesNewRomanPSMT"/>
      <w:color w:val="000000"/>
      <w:sz w:val="24"/>
      <w:szCs w:val="24"/>
    </w:rPr>
  </w:style>
  <w:style w:type="paragraph" w:styleId="69">
    <w:name w:val="List Paragraph"/>
    <w:basedOn w:val="1"/>
    <w:qFormat/>
    <w:uiPriority w:val="34"/>
    <w:pPr>
      <w:ind w:firstLine="420" w:firstLineChars="200"/>
    </w:pPr>
  </w:style>
  <w:style w:type="character" w:customStyle="1" w:styleId="70">
    <w:name w:val="文档结构图 Char"/>
    <w:basedOn w:val="40"/>
    <w:link w:val="15"/>
    <w:semiHidden/>
    <w:qFormat/>
    <w:uiPriority w:val="99"/>
    <w:rPr>
      <w:rFonts w:ascii="宋体" w:hAnsi="Times New Roman" w:eastAsia="宋体"/>
      <w:sz w:val="18"/>
      <w:szCs w:val="18"/>
    </w:rPr>
  </w:style>
  <w:style w:type="character" w:customStyle="1" w:styleId="71">
    <w:name w:val="正文缩进 Char"/>
    <w:link w:val="13"/>
    <w:qFormat/>
    <w:uiPriority w:val="0"/>
    <w:rPr>
      <w:rFonts w:eastAsia="宋体"/>
      <w:sz w:val="28"/>
    </w:rPr>
  </w:style>
  <w:style w:type="character" w:customStyle="1" w:styleId="72">
    <w:name w:val="样式2 Char"/>
    <w:basedOn w:val="40"/>
    <w:qFormat/>
    <w:uiPriority w:val="0"/>
    <w:rPr>
      <w:rFonts w:eastAsia="宋体"/>
      <w:kern w:val="2"/>
      <w:sz w:val="24"/>
      <w:szCs w:val="24"/>
      <w:lang w:val="en-US" w:eastAsia="zh-CN" w:bidi="ar-SA"/>
    </w:rPr>
  </w:style>
  <w:style w:type="paragraph" w:customStyle="1" w:styleId="73">
    <w:name w:val="列出段落1"/>
    <w:basedOn w:val="1"/>
    <w:semiHidden/>
    <w:qFormat/>
    <w:uiPriority w:val="34"/>
    <w:pPr>
      <w:ind w:firstLine="420" w:firstLineChars="200"/>
    </w:pPr>
  </w:style>
  <w:style w:type="paragraph" w:customStyle="1" w:styleId="74">
    <w:name w:val="TOC 标题1"/>
    <w:basedOn w:val="2"/>
    <w:next w:val="1"/>
    <w:semiHidden/>
    <w:unhideWhenUsed/>
    <w:qFormat/>
    <w:uiPriority w:val="39"/>
    <w:pPr>
      <w:widowControl/>
      <w:numPr>
        <w:numId w:val="0"/>
      </w:numPr>
      <w:spacing w:before="480" w:line="276" w:lineRule="auto"/>
      <w:outlineLvl w:val="9"/>
    </w:pPr>
    <w:rPr>
      <w:rFonts w:asciiTheme="majorHAnsi" w:hAnsiTheme="majorHAnsi" w:eastAsiaTheme="majorEastAsia"/>
      <w:bCs/>
      <w:color w:val="366091" w:themeColor="accent1" w:themeShade="BF"/>
      <w:kern w:val="0"/>
      <w:szCs w:val="28"/>
    </w:rPr>
  </w:style>
  <w:style w:type="paragraph" w:customStyle="1" w:styleId="75">
    <w:name w:val="表格"/>
    <w:basedOn w:val="1"/>
    <w:next w:val="1"/>
    <w:qFormat/>
    <w:uiPriority w:val="0"/>
    <w:pPr>
      <w:adjustRightInd w:val="0"/>
      <w:spacing w:before="40" w:after="40"/>
      <w:textAlignment w:val="baseline"/>
    </w:pPr>
    <w:rPr>
      <w:rFonts w:ascii="昆仑仿宋" w:eastAsia="昆仑仿宋" w:cs="Times New Roman"/>
      <w:kern w:val="0"/>
      <w:szCs w:val="20"/>
    </w:rPr>
  </w:style>
  <w:style w:type="character" w:customStyle="1" w:styleId="76">
    <w:name w:val="题注 Char"/>
    <w:link w:val="14"/>
    <w:qFormat/>
    <w:uiPriority w:val="99"/>
    <w:rPr>
      <w:rFonts w:ascii="Times New Roman" w:hAnsi="Times New Roman" w:eastAsia="宋体" w:cstheme="majorBidi"/>
      <w:b/>
      <w:sz w:val="24"/>
      <w:szCs w:val="20"/>
    </w:rPr>
  </w:style>
  <w:style w:type="paragraph" w:customStyle="1" w:styleId="77">
    <w:name w:val="报告书正文 Char Char Char"/>
    <w:basedOn w:val="1"/>
    <w:qFormat/>
    <w:uiPriority w:val="0"/>
    <w:pPr>
      <w:spacing w:line="300" w:lineRule="auto"/>
      <w:ind w:firstLine="480" w:firstLineChars="200"/>
    </w:pPr>
    <w:rPr>
      <w:rFonts w:ascii="宋体" w:hAnsi="宋体" w:eastAsia="宋体" w:cs="Times New Roman"/>
      <w:szCs w:val="20"/>
    </w:rPr>
  </w:style>
  <w:style w:type="paragraph" w:customStyle="1" w:styleId="78">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79">
    <w:name w:val="批注文字 Char"/>
    <w:basedOn w:val="40"/>
    <w:link w:val="16"/>
    <w:qFormat/>
    <w:uiPriority w:val="0"/>
    <w:rPr>
      <w:rFonts w:ascii="Times New Roman" w:hAnsi="Times New Roman"/>
      <w:sz w:val="24"/>
    </w:rPr>
  </w:style>
  <w:style w:type="character" w:customStyle="1" w:styleId="80">
    <w:name w:val="批注主题 Char"/>
    <w:basedOn w:val="79"/>
    <w:link w:val="36"/>
    <w:semiHidden/>
    <w:qFormat/>
    <w:uiPriority w:val="99"/>
    <w:rPr>
      <w:rFonts w:ascii="Times New Roman" w:hAnsi="Times New Roman"/>
      <w:b/>
      <w:bCs/>
      <w:sz w:val="24"/>
    </w:rPr>
  </w:style>
  <w:style w:type="character" w:customStyle="1" w:styleId="81">
    <w:name w:val="报告文本 Char"/>
    <w:link w:val="82"/>
    <w:qFormat/>
    <w:uiPriority w:val="0"/>
    <w:rPr>
      <w:sz w:val="24"/>
      <w:szCs w:val="22"/>
    </w:rPr>
  </w:style>
  <w:style w:type="paragraph" w:customStyle="1" w:styleId="82">
    <w:name w:val="报告文本"/>
    <w:link w:val="81"/>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customStyle="1" w:styleId="83">
    <w:name w:val="表格内容"/>
    <w:basedOn w:val="1"/>
    <w:qFormat/>
    <w:uiPriority w:val="0"/>
    <w:pPr>
      <w:adjustRightInd w:val="0"/>
      <w:snapToGrid w:val="0"/>
      <w:spacing w:line="240" w:lineRule="atLeast"/>
      <w:jc w:val="center"/>
    </w:pPr>
    <w:rPr>
      <w:rFonts w:eastAsia="宋体" w:cs="Times New Roman"/>
      <w:snapToGrid w:val="0"/>
      <w:kern w:val="0"/>
      <w:sz w:val="21"/>
      <w:szCs w:val="24"/>
    </w:rPr>
  </w:style>
  <w:style w:type="character" w:customStyle="1" w:styleId="84">
    <w:name w:val="正文文本 Char"/>
    <w:basedOn w:val="40"/>
    <w:link w:val="17"/>
    <w:semiHidden/>
    <w:qFormat/>
    <w:uiPriority w:val="99"/>
    <w:rPr>
      <w:rFonts w:ascii="Times New Roman" w:hAnsi="Times New Roman"/>
      <w:sz w:val="24"/>
    </w:rPr>
  </w:style>
  <w:style w:type="character" w:customStyle="1" w:styleId="85">
    <w:name w:val="正文首行缩进 Char"/>
    <w:basedOn w:val="84"/>
    <w:link w:val="37"/>
    <w:qFormat/>
    <w:uiPriority w:val="99"/>
    <w:rPr>
      <w:rFonts w:ascii="Times New Roman" w:hAnsi="Times New Roman"/>
      <w:sz w:val="24"/>
    </w:rPr>
  </w:style>
  <w:style w:type="character" w:customStyle="1" w:styleId="86">
    <w:name w:val="正文001 Char Char"/>
    <w:link w:val="87"/>
    <w:qFormat/>
    <w:uiPriority w:val="0"/>
    <w:rPr>
      <w:sz w:val="24"/>
    </w:rPr>
  </w:style>
  <w:style w:type="paragraph" w:customStyle="1" w:styleId="87">
    <w:name w:val="正文001"/>
    <w:basedOn w:val="1"/>
    <w:link w:val="86"/>
    <w:qFormat/>
    <w:uiPriority w:val="0"/>
    <w:pPr>
      <w:adjustRightInd w:val="0"/>
      <w:snapToGrid w:val="0"/>
      <w:spacing w:before="60" w:line="420" w:lineRule="exact"/>
      <w:ind w:firstLine="482" w:firstLineChars="200"/>
    </w:pPr>
    <w:rPr>
      <w:rFonts w:asciiTheme="minorHAnsi" w:hAnsiTheme="minorHAnsi"/>
    </w:rPr>
  </w:style>
  <w:style w:type="character" w:customStyle="1" w:styleId="88">
    <w:name w:val="表 头 Char Char"/>
    <w:link w:val="89"/>
    <w:qFormat/>
    <w:uiPriority w:val="0"/>
    <w:rPr>
      <w:rFonts w:ascii="黑体" w:hAnsi="宋体" w:eastAsia="黑体" w:cs="Arial"/>
      <w:kern w:val="24"/>
      <w:sz w:val="24"/>
      <w:szCs w:val="24"/>
      <w:lang w:val="zh-CN"/>
    </w:rPr>
  </w:style>
  <w:style w:type="paragraph" w:customStyle="1" w:styleId="89">
    <w:name w:val="表 头"/>
    <w:basedOn w:val="1"/>
    <w:link w:val="88"/>
    <w:qFormat/>
    <w:uiPriority w:val="0"/>
    <w:pPr>
      <w:tabs>
        <w:tab w:val="left" w:pos="0"/>
      </w:tabs>
      <w:adjustRightInd w:val="0"/>
      <w:snapToGrid w:val="0"/>
      <w:spacing w:line="520" w:lineRule="exact"/>
      <w:ind w:firstLine="470" w:firstLineChars="196"/>
    </w:pPr>
    <w:rPr>
      <w:rFonts w:ascii="黑体" w:hAnsi="宋体" w:eastAsia="黑体" w:cs="Arial"/>
      <w:kern w:val="24"/>
      <w:szCs w:val="24"/>
      <w:lang w:val="zh-CN"/>
    </w:rPr>
  </w:style>
  <w:style w:type="table" w:customStyle="1" w:styleId="90">
    <w:name w:val="网格型5"/>
    <w:basedOn w:val="38"/>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
    <w:name w:val="我的正文"/>
    <w:basedOn w:val="1"/>
    <w:qFormat/>
    <w:uiPriority w:val="0"/>
    <w:pPr>
      <w:widowControl/>
      <w:spacing w:line="360" w:lineRule="auto"/>
      <w:ind w:firstLine="200" w:firstLineChars="200"/>
    </w:pPr>
    <w:rPr>
      <w:rFonts w:eastAsia="宋体" w:cs="Times New Roman"/>
      <w:kern w:val="0"/>
      <w:szCs w:val="22"/>
      <w:lang w:val="en-GB"/>
    </w:rPr>
  </w:style>
  <w:style w:type="table" w:customStyle="1" w:styleId="92">
    <w:name w:val="网格型2"/>
    <w:basedOn w:val="38"/>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网格型3"/>
    <w:basedOn w:val="38"/>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4">
    <w:name w:val="正文文本 2 Char"/>
    <w:basedOn w:val="40"/>
    <w:link w:val="33"/>
    <w:qFormat/>
    <w:uiPriority w:val="0"/>
    <w:rPr>
      <w:rFonts w:ascii="Times New Roman" w:hAnsi="Times New Roman" w:eastAsia="宋体" w:cs="Times New Roman"/>
      <w:sz w:val="24"/>
      <w:szCs w:val="24"/>
    </w:rPr>
  </w:style>
  <w:style w:type="table" w:customStyle="1" w:styleId="95">
    <w:name w:val="网格型4"/>
    <w:basedOn w:val="38"/>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
    <w:name w:val="文本"/>
    <w:basedOn w:val="1"/>
    <w:qFormat/>
    <w:uiPriority w:val="0"/>
    <w:pPr>
      <w:adjustRightInd w:val="0"/>
      <w:snapToGrid w:val="0"/>
      <w:spacing w:line="360" w:lineRule="auto"/>
      <w:ind w:firstLine="200" w:firstLineChars="200"/>
    </w:pPr>
    <w:rPr>
      <w:rFonts w:eastAsia="仿宋_GB2312" w:cs="Times New Roman"/>
      <w:sz w:val="28"/>
      <w:szCs w:val="24"/>
    </w:rPr>
  </w:style>
  <w:style w:type="character" w:customStyle="1" w:styleId="97">
    <w:name w:val="表格文字 Char Char"/>
    <w:link w:val="98"/>
    <w:qFormat/>
    <w:uiPriority w:val="0"/>
    <w:rPr>
      <w:rFonts w:eastAsia="宋体"/>
    </w:rPr>
  </w:style>
  <w:style w:type="paragraph" w:customStyle="1" w:styleId="98">
    <w:name w:val="表格文字"/>
    <w:basedOn w:val="37"/>
    <w:next w:val="1"/>
    <w:link w:val="97"/>
    <w:qFormat/>
    <w:uiPriority w:val="0"/>
    <w:pPr>
      <w:adjustRightInd w:val="0"/>
      <w:snapToGrid w:val="0"/>
      <w:spacing w:after="0" w:line="360" w:lineRule="auto"/>
      <w:ind w:firstLine="0" w:firstLineChars="0"/>
      <w:jc w:val="center"/>
    </w:pPr>
    <w:rPr>
      <w:rFonts w:eastAsia="宋体" w:asciiTheme="minorHAnsi" w:hAnsiTheme="minorHAnsi"/>
      <w:sz w:val="21"/>
    </w:rPr>
  </w:style>
  <w:style w:type="paragraph" w:customStyle="1" w:styleId="99">
    <w:name w:val="表头-丽"/>
    <w:basedOn w:val="1"/>
    <w:qFormat/>
    <w:uiPriority w:val="0"/>
    <w:pPr>
      <w:spacing w:before="120" w:after="120"/>
      <w:jc w:val="center"/>
    </w:pPr>
    <w:rPr>
      <w:rFonts w:ascii="黑体" w:hAnsi="黑体" w:eastAsia="黑体" w:cs="黑体"/>
      <w:b/>
      <w:bCs/>
      <w:sz w:val="21"/>
    </w:rPr>
  </w:style>
  <w:style w:type="paragraph" w:customStyle="1" w:styleId="100">
    <w:name w:val="正文1"/>
    <w:basedOn w:val="1"/>
    <w:link w:val="120"/>
    <w:qFormat/>
    <w:uiPriority w:val="0"/>
    <w:pPr>
      <w:adjustRightInd w:val="0"/>
      <w:snapToGrid w:val="0"/>
      <w:spacing w:before="60" w:line="460" w:lineRule="exact"/>
      <w:ind w:firstLine="200" w:firstLineChars="200"/>
    </w:pPr>
    <w:rPr>
      <w:rFonts w:eastAsia="宋体" w:cs="Times New Roman"/>
      <w:szCs w:val="20"/>
    </w:rPr>
  </w:style>
  <w:style w:type="paragraph" w:customStyle="1" w:styleId="101">
    <w:name w:val="正文-游"/>
    <w:basedOn w:val="17"/>
    <w:link w:val="102"/>
    <w:qFormat/>
    <w:uiPriority w:val="0"/>
    <w:pPr>
      <w:adjustRightInd w:val="0"/>
      <w:snapToGrid w:val="0"/>
      <w:spacing w:after="0" w:line="360" w:lineRule="auto"/>
      <w:ind w:firstLine="482"/>
    </w:pPr>
    <w:rPr>
      <w:rFonts w:eastAsia="宋体" w:cs="Times New Roman"/>
      <w:bCs/>
      <w:color w:val="FF0000"/>
      <w:szCs w:val="24"/>
    </w:rPr>
  </w:style>
  <w:style w:type="character" w:customStyle="1" w:styleId="102">
    <w:name w:val="正文-游 字符"/>
    <w:link w:val="101"/>
    <w:qFormat/>
    <w:uiPriority w:val="0"/>
    <w:rPr>
      <w:rFonts w:ascii="Times New Roman" w:hAnsi="Times New Roman" w:eastAsia="宋体" w:cs="Times New Roman"/>
      <w:bCs/>
      <w:color w:val="FF0000"/>
      <w:sz w:val="24"/>
      <w:szCs w:val="24"/>
    </w:rPr>
  </w:style>
  <w:style w:type="table" w:customStyle="1" w:styleId="103">
    <w:name w:val="网格型6"/>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4">
    <w:name w:val="表头 Char Char"/>
    <w:qFormat/>
    <w:uiPriority w:val="0"/>
    <w:rPr>
      <w:rFonts w:eastAsia="黑体"/>
      <w:kern w:val="2"/>
      <w:sz w:val="24"/>
      <w:szCs w:val="24"/>
      <w:lang w:val="en-US" w:eastAsia="zh-CN"/>
    </w:rPr>
  </w:style>
  <w:style w:type="character" w:customStyle="1" w:styleId="105">
    <w:name w:val="表头 Char1"/>
    <w:link w:val="106"/>
    <w:qFormat/>
    <w:uiPriority w:val="0"/>
    <w:rPr>
      <w:rFonts w:ascii="宋体" w:hAnsi="宋体" w:eastAsia="Times New Roman"/>
      <w:b/>
      <w:color w:val="000000"/>
      <w:sz w:val="24"/>
      <w:szCs w:val="24"/>
    </w:rPr>
  </w:style>
  <w:style w:type="paragraph" w:customStyle="1" w:styleId="106">
    <w:name w:val="表头"/>
    <w:next w:val="1"/>
    <w:link w:val="105"/>
    <w:qFormat/>
    <w:uiPriority w:val="0"/>
    <w:pPr>
      <w:widowControl w:val="0"/>
      <w:adjustRightInd w:val="0"/>
      <w:snapToGrid w:val="0"/>
      <w:spacing w:line="480" w:lineRule="exact"/>
      <w:ind w:firstLine="2048" w:firstLineChars="850"/>
      <w:jc w:val="both"/>
    </w:pPr>
    <w:rPr>
      <w:rFonts w:ascii="宋体" w:hAnsi="宋体" w:eastAsia="Times New Roman" w:cstheme="minorBidi"/>
      <w:b/>
      <w:color w:val="000000"/>
      <w:kern w:val="2"/>
      <w:sz w:val="24"/>
      <w:szCs w:val="24"/>
      <w:lang w:val="en-US" w:eastAsia="zh-CN" w:bidi="ar-SA"/>
    </w:rPr>
  </w:style>
  <w:style w:type="paragraph" w:customStyle="1" w:styleId="107">
    <w:name w:val="样式 列表 2 + 华文仿宋 居中"/>
    <w:basedOn w:val="19"/>
    <w:qFormat/>
    <w:uiPriority w:val="0"/>
    <w:pPr>
      <w:spacing w:line="240" w:lineRule="exact"/>
      <w:ind w:left="0" w:leftChars="0" w:firstLine="0" w:firstLineChars="0"/>
    </w:pPr>
    <w:rPr>
      <w:rFonts w:ascii="宋体" w:hAnsi="宋体"/>
      <w:color w:val="000000"/>
      <w:sz w:val="18"/>
      <w:szCs w:val="18"/>
    </w:rPr>
  </w:style>
  <w:style w:type="table" w:customStyle="1" w:styleId="108">
    <w:name w:val="网格型1"/>
    <w:basedOn w:val="38"/>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9">
    <w:name w:val="_Style 5"/>
    <w:basedOn w:val="1"/>
    <w:qFormat/>
    <w:uiPriority w:val="0"/>
    <w:pPr>
      <w:widowControl/>
      <w:jc w:val="left"/>
    </w:pPr>
    <w:rPr>
      <w:rFonts w:ascii="宋体" w:hAnsi="宋体" w:eastAsia="宋体" w:cs="宋体"/>
      <w:kern w:val="0"/>
      <w:szCs w:val="24"/>
    </w:rPr>
  </w:style>
  <w:style w:type="character" w:customStyle="1" w:styleId="110">
    <w:name w:val="表格内容样式 Char"/>
    <w:link w:val="111"/>
    <w:qFormat/>
    <w:uiPriority w:val="0"/>
    <w:rPr>
      <w:rFonts w:ascii="Times New Roman" w:hAnsi="Times New Roman"/>
      <w:szCs w:val="22"/>
    </w:rPr>
  </w:style>
  <w:style w:type="paragraph" w:customStyle="1" w:styleId="111">
    <w:name w:val="表格内容样式"/>
    <w:basedOn w:val="1"/>
    <w:link w:val="110"/>
    <w:qFormat/>
    <w:uiPriority w:val="0"/>
    <w:pPr>
      <w:jc w:val="center"/>
    </w:pPr>
    <w:rPr>
      <w:sz w:val="21"/>
      <w:szCs w:val="22"/>
    </w:rPr>
  </w:style>
  <w:style w:type="character" w:customStyle="1" w:styleId="112">
    <w:name w:val="不明显强调2"/>
    <w:basedOn w:val="40"/>
    <w:qFormat/>
    <w:uiPriority w:val="0"/>
    <w:rPr>
      <w:rFonts w:hAnsi="Times New Roman"/>
      <w:b/>
      <w:bCs/>
      <w:color w:val="000000"/>
      <w:sz w:val="28"/>
      <w:szCs w:val="28"/>
    </w:rPr>
  </w:style>
  <w:style w:type="character" w:customStyle="1" w:styleId="113">
    <w:name w:val="正文01 Char Char"/>
    <w:link w:val="114"/>
    <w:qFormat/>
    <w:uiPriority w:val="0"/>
    <w:rPr>
      <w:rFonts w:eastAsia="宋体"/>
      <w:sz w:val="24"/>
    </w:rPr>
  </w:style>
  <w:style w:type="paragraph" w:customStyle="1" w:styleId="114">
    <w:name w:val="正文01"/>
    <w:basedOn w:val="13"/>
    <w:link w:val="113"/>
    <w:qFormat/>
    <w:uiPriority w:val="0"/>
    <w:pPr>
      <w:spacing w:line="360" w:lineRule="auto"/>
      <w:ind w:firstLine="480"/>
    </w:pPr>
    <w:rPr>
      <w:sz w:val="24"/>
    </w:rPr>
  </w:style>
  <w:style w:type="paragraph" w:customStyle="1" w:styleId="115">
    <w:name w:val="表中文字"/>
    <w:basedOn w:val="1"/>
    <w:qFormat/>
    <w:uiPriority w:val="0"/>
    <w:pPr>
      <w:adjustRightInd w:val="0"/>
      <w:ind w:left="-2" w:leftChars="-1"/>
      <w:jc w:val="center"/>
    </w:pPr>
    <w:rPr>
      <w:rFonts w:eastAsia="宋体" w:cs="Times New Roman"/>
      <w:kern w:val="0"/>
      <w:sz w:val="20"/>
      <w:szCs w:val="20"/>
    </w:rPr>
  </w:style>
  <w:style w:type="character" w:customStyle="1" w:styleId="116">
    <w:name w:val="报告 Char Char"/>
    <w:basedOn w:val="40"/>
    <w:link w:val="117"/>
    <w:qFormat/>
    <w:uiPriority w:val="0"/>
    <w:rPr>
      <w:rFonts w:eastAsia="宋体"/>
      <w:sz w:val="24"/>
    </w:rPr>
  </w:style>
  <w:style w:type="paragraph" w:customStyle="1" w:styleId="117">
    <w:name w:val="报告"/>
    <w:basedOn w:val="1"/>
    <w:link w:val="116"/>
    <w:qFormat/>
    <w:uiPriority w:val="0"/>
    <w:pPr>
      <w:overflowPunct w:val="0"/>
      <w:autoSpaceDE w:val="0"/>
      <w:autoSpaceDN w:val="0"/>
      <w:adjustRightInd w:val="0"/>
      <w:snapToGrid w:val="0"/>
      <w:spacing w:beforeLines="30" w:afterLines="30" w:line="400" w:lineRule="atLeast"/>
      <w:ind w:left="-25" w:leftChars="-12" w:firstLine="480" w:firstLineChars="200"/>
      <w:textAlignment w:val="baseline"/>
    </w:pPr>
    <w:rPr>
      <w:rFonts w:eastAsia="宋体" w:asciiTheme="minorHAnsi" w:hAnsiTheme="minorHAnsi"/>
    </w:rPr>
  </w:style>
  <w:style w:type="character" w:customStyle="1" w:styleId="118">
    <w:name w:val="无间隔 Char"/>
    <w:link w:val="119"/>
    <w:qFormat/>
    <w:uiPriority w:val="1"/>
    <w:rPr>
      <w:rFonts w:ascii="宋体"/>
      <w:kern w:val="2"/>
      <w:sz w:val="22"/>
      <w:szCs w:val="28"/>
    </w:rPr>
  </w:style>
  <w:style w:type="paragraph" w:styleId="119">
    <w:name w:val="No Spacing"/>
    <w:link w:val="118"/>
    <w:qFormat/>
    <w:uiPriority w:val="1"/>
    <w:pPr>
      <w:widowControl w:val="0"/>
      <w:jc w:val="both"/>
    </w:pPr>
    <w:rPr>
      <w:rFonts w:ascii="宋体" w:hAnsiTheme="minorHAnsi" w:eastAsiaTheme="minorEastAsia" w:cstheme="minorBidi"/>
      <w:kern w:val="2"/>
      <w:sz w:val="22"/>
      <w:szCs w:val="28"/>
      <w:lang w:val="en-US" w:eastAsia="zh-CN" w:bidi="ar-SA"/>
    </w:rPr>
  </w:style>
  <w:style w:type="character" w:customStyle="1" w:styleId="120">
    <w:name w:val="正文1 Char"/>
    <w:link w:val="100"/>
    <w:qFormat/>
    <w:uiPriority w:val="0"/>
    <w:rPr>
      <w:rFonts w:ascii="Times New Roman" w:hAnsi="Times New Roman" w:eastAsia="宋体" w:cs="Times New Roman"/>
      <w:kern w:val="2"/>
      <w:sz w:val="24"/>
    </w:rPr>
  </w:style>
  <w:style w:type="character" w:customStyle="1" w:styleId="121">
    <w:name w:val="表字体 Char"/>
    <w:link w:val="122"/>
    <w:qFormat/>
    <w:uiPriority w:val="0"/>
    <w:rPr>
      <w:rFonts w:ascii="Times New Roman" w:hAnsi="Times New Roman" w:eastAsia="宋体"/>
      <w:sz w:val="21"/>
    </w:rPr>
  </w:style>
  <w:style w:type="paragraph" w:customStyle="1" w:styleId="122">
    <w:name w:val="表字体"/>
    <w:basedOn w:val="1"/>
    <w:next w:val="1"/>
    <w:link w:val="121"/>
    <w:qFormat/>
    <w:uiPriority w:val="0"/>
    <w:pPr>
      <w:jc w:val="center"/>
    </w:pPr>
    <w:rPr>
      <w:rFonts w:eastAsia="宋体"/>
      <w:kern w:val="0"/>
      <w:sz w:val="21"/>
      <w:szCs w:val="20"/>
    </w:rPr>
  </w:style>
  <w:style w:type="paragraph" w:customStyle="1" w:styleId="123">
    <w:name w:val="样式 宋体 小四 行距: 固定值 26 磅1"/>
    <w:basedOn w:val="1"/>
    <w:qFormat/>
    <w:uiPriority w:val="0"/>
    <w:pPr>
      <w:spacing w:line="460" w:lineRule="exact"/>
      <w:ind w:firstLine="480" w:firstLineChars="200"/>
    </w:pPr>
    <w:rPr>
      <w:rFonts w:ascii="宋体" w:hAnsi="宋体" w:eastAsia="宋体" w:cs="宋体"/>
      <w:szCs w:val="24"/>
    </w:rPr>
  </w:style>
  <w:style w:type="paragraph" w:customStyle="1" w:styleId="124">
    <w:name w:val="样式 表格内文字 + (中文) 楷体_GB2312 五号 两端对齐 行距: 固定值 12 磅"/>
    <w:basedOn w:val="1"/>
    <w:qFormat/>
    <w:uiPriority w:val="0"/>
    <w:pPr>
      <w:spacing w:line="240" w:lineRule="exact"/>
    </w:pPr>
    <w:rPr>
      <w:rFonts w:eastAsia="楷体_GB2312" w:cs="楷体_GB2312"/>
      <w:sz w:val="21"/>
    </w:rPr>
  </w:style>
  <w:style w:type="paragraph" w:customStyle="1" w:styleId="125">
    <w:name w:val="表格内"/>
    <w:basedOn w:val="1"/>
    <w:next w:val="1"/>
    <w:qFormat/>
    <w:uiPriority w:val="0"/>
    <w:pPr>
      <w:widowControl/>
      <w:jc w:val="center"/>
    </w:pPr>
    <w:rPr>
      <w:rFonts w:ascii="宋体" w:hAnsi="宋体" w:eastAsia="宋体" w:cs="Times New Roman"/>
      <w:sz w:val="21"/>
      <w:szCs w:val="24"/>
    </w:rPr>
  </w:style>
  <w:style w:type="character" w:customStyle="1" w:styleId="126">
    <w:name w:val="表标题 Char"/>
    <w:link w:val="127"/>
    <w:qFormat/>
    <w:uiPriority w:val="0"/>
    <w:rPr>
      <w:rFonts w:ascii="Times New Roman" w:hAnsi="Times New Roman" w:eastAsia="宋体"/>
      <w:b/>
      <w:sz w:val="21"/>
    </w:rPr>
  </w:style>
  <w:style w:type="paragraph" w:customStyle="1" w:styleId="127">
    <w:name w:val="表标题"/>
    <w:basedOn w:val="1"/>
    <w:link w:val="126"/>
    <w:qFormat/>
    <w:uiPriority w:val="0"/>
    <w:pPr>
      <w:jc w:val="center"/>
    </w:pPr>
    <w:rPr>
      <w:rFonts w:eastAsia="宋体"/>
      <w:b/>
      <w:kern w:val="0"/>
      <w:sz w:val="21"/>
      <w:szCs w:val="20"/>
    </w:rPr>
  </w:style>
  <w:style w:type="paragraph" w:customStyle="1" w:styleId="128">
    <w:name w:val="表格 32"/>
    <w:basedOn w:val="1"/>
    <w:qFormat/>
    <w:uiPriority w:val="0"/>
    <w:pPr>
      <w:autoSpaceDE w:val="0"/>
      <w:autoSpaceDN w:val="0"/>
      <w:adjustRightInd w:val="0"/>
      <w:spacing w:line="240" w:lineRule="atLeast"/>
      <w:jc w:val="center"/>
      <w:textAlignment w:val="baseline"/>
    </w:pPr>
    <w:rPr>
      <w:rFonts w:ascii="Calibri" w:hAnsi="Calibri" w:eastAsia="宋体" w:cs="Calibri"/>
      <w:kern w:val="0"/>
      <w:szCs w:val="24"/>
    </w:rPr>
  </w:style>
  <w:style w:type="paragraph" w:customStyle="1" w:styleId="129">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30">
    <w:name w:val="0730-表内文字"/>
    <w:basedOn w:val="1"/>
    <w:next w:val="1"/>
    <w:qFormat/>
    <w:uiPriority w:val="0"/>
    <w:pPr>
      <w:jc w:val="center"/>
    </w:pPr>
    <w:rPr>
      <w:rFonts w:eastAsia="宋体" w:cs="Times New Roman"/>
      <w:sz w:val="21"/>
    </w:rPr>
  </w:style>
  <w:style w:type="paragraph" w:customStyle="1" w:styleId="131">
    <w:name w:val="样式 样式 样式 小四 左 首行缩进:  2 字符 + 首行缩进:  2 字符 Char + 右  0 字符1"/>
    <w:basedOn w:val="1"/>
    <w:qFormat/>
    <w:uiPriority w:val="0"/>
    <w:pPr>
      <w:widowControl/>
      <w:ind w:firstLine="198"/>
      <w:jc w:val="left"/>
    </w:pPr>
    <w:rPr>
      <w:rFonts w:eastAsia="宋体" w:cs="Times New Roman"/>
      <w:kern w:val="0"/>
      <w:szCs w:val="24"/>
    </w:rPr>
  </w:style>
  <w:style w:type="paragraph" w:customStyle="1" w:styleId="132">
    <w:name w:val="正文段落"/>
    <w:basedOn w:val="1"/>
    <w:qFormat/>
    <w:uiPriority w:val="99"/>
    <w:pPr>
      <w:overflowPunct w:val="0"/>
      <w:spacing w:line="400" w:lineRule="exact"/>
      <w:ind w:firstLine="200" w:firstLineChars="200"/>
    </w:pPr>
    <w:rPr>
      <w:rFonts w:eastAsia="宋体" w:cs="Times New Roman"/>
      <w:szCs w:val="24"/>
    </w:rPr>
  </w:style>
  <w:style w:type="paragraph" w:customStyle="1" w:styleId="133">
    <w:name w:val="样式 小四 左 首行缩进:  2 字符"/>
    <w:basedOn w:val="1"/>
    <w:qFormat/>
    <w:uiPriority w:val="0"/>
    <w:pPr>
      <w:adjustRightInd w:val="0"/>
      <w:spacing w:before="100" w:beforeAutospacing="1" w:after="100" w:afterAutospacing="1"/>
      <w:ind w:right="-20" w:rightChars="-20" w:firstLine="480" w:firstLineChars="200"/>
      <w:jc w:val="left"/>
      <w:textAlignment w:val="baseline"/>
    </w:pPr>
    <w:rPr>
      <w:rFonts w:eastAsia="宋体" w:cs="Times New Roman"/>
      <w:szCs w:val="24"/>
    </w:rPr>
  </w:style>
  <w:style w:type="paragraph" w:customStyle="1" w:styleId="134">
    <w:name w:val="样式 正文缩进2字符 + 首行缩进:  2 字符 段前: 0.15 行"/>
    <w:basedOn w:val="1"/>
    <w:qFormat/>
    <w:uiPriority w:val="0"/>
    <w:pPr>
      <w:spacing w:beforeLines="15" w:after="100" w:afterAutospacing="1"/>
      <w:ind w:firstLine="200" w:firstLineChars="200"/>
    </w:pPr>
    <w:rPr>
      <w:rFonts w:eastAsia="宋体" w:cs="Times New Roman"/>
      <w:szCs w:val="24"/>
    </w:rPr>
  </w:style>
  <w:style w:type="paragraph" w:customStyle="1" w:styleId="135">
    <w:name w:val="样式 样式 小四 左 首行缩进:  2 字符 + 首行缩进:  2 字符"/>
    <w:basedOn w:val="1"/>
    <w:qFormat/>
    <w:uiPriority w:val="0"/>
    <w:pPr>
      <w:adjustRightInd w:val="0"/>
      <w:spacing w:before="100" w:beforeAutospacing="1" w:after="100" w:afterAutospacing="1"/>
      <w:ind w:right="-20" w:rightChars="-20" w:firstLine="480" w:firstLineChars="200"/>
      <w:jc w:val="center"/>
      <w:textAlignment w:val="baseline"/>
    </w:pPr>
    <w:rPr>
      <w:rFonts w:eastAsia="宋体" w:cs="Times New Roman"/>
      <w:szCs w:val="24"/>
    </w:rPr>
  </w:style>
  <w:style w:type="paragraph" w:customStyle="1" w:styleId="136">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37">
    <w:name w:val="正文4"/>
    <w:qFormat/>
    <w:uiPriority w:val="0"/>
    <w:pPr>
      <w:jc w:val="both"/>
    </w:pPr>
    <w:rPr>
      <w:rFonts w:ascii="Times New Roman" w:hAnsi="Times New Roman" w:eastAsia="宋体" w:cs="Times New Roman"/>
      <w:kern w:val="2"/>
      <w:sz w:val="21"/>
      <w:szCs w:val="21"/>
      <w:lang w:val="en-US" w:eastAsia="zh-CN" w:bidi="ar-SA"/>
    </w:rPr>
  </w:style>
  <w:style w:type="character" w:customStyle="1" w:styleId="138">
    <w:name w:val="样式 样式 样式 样式 小四 左 首行缩进:  2 字符 + 首行缩进:  2 字符 Char + 右  0 字符1 + 首行缩...3 Char"/>
    <w:basedOn w:val="40"/>
    <w:link w:val="139"/>
    <w:qFormat/>
    <w:uiPriority w:val="0"/>
    <w:rPr>
      <w:sz w:val="24"/>
    </w:rPr>
  </w:style>
  <w:style w:type="paragraph" w:customStyle="1" w:styleId="139">
    <w:name w:val="样式 样式 样式 样式 小四 左 首行缩进:  2 字符 + 首行缩进:  2 字符 Char + 右  0 字符1 + 首行缩...3"/>
    <w:basedOn w:val="131"/>
    <w:link w:val="138"/>
    <w:qFormat/>
    <w:uiPriority w:val="0"/>
    <w:pPr>
      <w:ind w:firstLine="480"/>
    </w:pPr>
    <w:rPr>
      <w:rFonts w:asciiTheme="minorHAnsi" w:hAnsiTheme="minorHAnsi" w:eastAsiaTheme="minorEastAsia" w:cstheme="minorBidi"/>
      <w:szCs w:val="20"/>
    </w:rPr>
  </w:style>
  <w:style w:type="paragraph" w:customStyle="1" w:styleId="140">
    <w:name w:val="样式 正文缩进2字符 + 首行缩进:  2 字符 段前: 0.15 行1"/>
    <w:basedOn w:val="1"/>
    <w:qFormat/>
    <w:uiPriority w:val="0"/>
    <w:pPr>
      <w:adjustRightInd w:val="0"/>
      <w:ind w:firstLine="200" w:firstLineChars="200"/>
      <w:jc w:val="left"/>
      <w:textAlignment w:val="baseline"/>
    </w:pPr>
    <w:rPr>
      <w:rFonts w:eastAsia="宋体" w:cs="宋体"/>
      <w:sz w:val="21"/>
      <w:szCs w:val="20"/>
    </w:rPr>
  </w:style>
  <w:style w:type="paragraph" w:customStyle="1" w:styleId="141">
    <w:name w:val="表文字"/>
    <w:basedOn w:val="17"/>
    <w:next w:val="1"/>
    <w:qFormat/>
    <w:uiPriority w:val="0"/>
    <w:rPr>
      <w:rFonts w:ascii="Calibri" w:hAnsi="Calibri" w:eastAsia="宋体" w:cs="Times New Roman"/>
      <w:sz w:val="21"/>
    </w:rPr>
  </w:style>
  <w:style w:type="paragraph" w:customStyle="1" w:styleId="142">
    <w:name w:val="表图 内容 五号"/>
    <w:basedOn w:val="1"/>
    <w:qFormat/>
    <w:uiPriority w:val="0"/>
    <w:pPr>
      <w:jc w:val="center"/>
    </w:pPr>
    <w:rPr>
      <w:rFonts w:ascii="Calibri" w:hAnsi="Calibri" w:eastAsia="宋体" w:cs="Times New Roman"/>
      <w:color w:val="000000"/>
      <w:sz w:val="21"/>
    </w:rPr>
  </w:style>
  <w:style w:type="paragraph" w:customStyle="1" w:styleId="143">
    <w:name w:val="表 图 内容"/>
    <w:basedOn w:val="1"/>
    <w:qFormat/>
    <w:uiPriority w:val="0"/>
    <w:pPr>
      <w:jc w:val="center"/>
    </w:pPr>
    <w:rPr>
      <w:rFonts w:ascii="Calibri" w:hAnsi="Calibri" w:eastAsia="宋体" w:cs="Times New Roman"/>
      <w:color w:val="000000"/>
      <w:sz w:val="21"/>
    </w:rPr>
  </w:style>
  <w:style w:type="character" w:customStyle="1" w:styleId="144">
    <w:name w:val="表格内文字 Char"/>
    <w:link w:val="145"/>
    <w:qFormat/>
    <w:uiPriority w:val="0"/>
    <w:rPr>
      <w:kern w:val="2"/>
      <w:sz w:val="21"/>
      <w:szCs w:val="24"/>
    </w:rPr>
  </w:style>
  <w:style w:type="paragraph" w:customStyle="1" w:styleId="145">
    <w:name w:val="表格内文字"/>
    <w:basedOn w:val="1"/>
    <w:next w:val="1"/>
    <w:link w:val="144"/>
    <w:qFormat/>
    <w:uiPriority w:val="0"/>
    <w:pPr>
      <w:jc w:val="center"/>
    </w:pPr>
    <w:rPr>
      <w:rFonts w:asciiTheme="minorHAnsi" w:hAnsiTheme="minorHAnsi"/>
      <w:sz w:val="21"/>
      <w:szCs w:val="24"/>
    </w:rPr>
  </w:style>
  <w:style w:type="paragraph" w:customStyle="1" w:styleId="146">
    <w:name w:val="正文5"/>
    <w:qFormat/>
    <w:uiPriority w:val="0"/>
    <w:pPr>
      <w:jc w:val="both"/>
    </w:pPr>
    <w:rPr>
      <w:rFonts w:ascii="Times New Roman" w:hAnsi="Times New Roman" w:eastAsia="宋体" w:cs="Times New Roman"/>
      <w:kern w:val="2"/>
      <w:sz w:val="21"/>
      <w:szCs w:val="21"/>
      <w:lang w:val="en-US" w:eastAsia="zh-CN" w:bidi="ar-SA"/>
    </w:rPr>
  </w:style>
  <w:style w:type="character" w:customStyle="1" w:styleId="147">
    <w:name w:val="15"/>
    <w:basedOn w:val="40"/>
    <w:qFormat/>
    <w:uiPriority w:val="0"/>
    <w:rPr>
      <w:rFonts w:hint="default" w:ascii="Times New Roman" w:hAnsi="Times New Roman" w:cs="Times New Roman"/>
      <w:sz w:val="24"/>
      <w:szCs w:val="24"/>
    </w:rPr>
  </w:style>
  <w:style w:type="character" w:styleId="148">
    <w:name w:val="Placeholder Text"/>
    <w:basedOn w:val="40"/>
    <w:unhideWhenUsed/>
    <w:qFormat/>
    <w:uiPriority w:val="99"/>
    <w:rPr>
      <w:color w:val="808080"/>
    </w:rPr>
  </w:style>
  <w:style w:type="paragraph" w:customStyle="1" w:styleId="149">
    <w:name w:val="正文6"/>
    <w:qFormat/>
    <w:uiPriority w:val="0"/>
    <w:pPr>
      <w:jc w:val="both"/>
    </w:pPr>
    <w:rPr>
      <w:rFonts w:ascii="Times New Roman" w:hAnsi="Times New Roman" w:eastAsia="宋体" w:cs="Times New Roman"/>
      <w:kern w:val="2"/>
      <w:sz w:val="21"/>
      <w:szCs w:val="21"/>
      <w:lang w:val="en-US" w:eastAsia="zh-CN" w:bidi="ar-SA"/>
    </w:rPr>
  </w:style>
  <w:style w:type="character" w:customStyle="1" w:styleId="150">
    <w:name w:val="HTML 预设格式 Char"/>
    <w:basedOn w:val="40"/>
    <w:link w:val="34"/>
    <w:semiHidden/>
    <w:qFormat/>
    <w:uiPriority w:val="99"/>
    <w:rPr>
      <w:rFonts w:ascii="Courier New" w:hAnsi="Courier New" w:cs="Courier New"/>
      <w:kern w:val="2"/>
    </w:rPr>
  </w:style>
  <w:style w:type="character" w:customStyle="1" w:styleId="151">
    <w:name w:val="apple-converted-space"/>
    <w:basedOn w:val="40"/>
    <w:qFormat/>
    <w:uiPriority w:val="0"/>
  </w:style>
  <w:style w:type="paragraph" w:customStyle="1" w:styleId="152">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153">
    <w:name w:val="正文8"/>
    <w:qFormat/>
    <w:uiPriority w:val="0"/>
    <w:pPr>
      <w:jc w:val="both"/>
    </w:pPr>
    <w:rPr>
      <w:rFonts w:ascii="Times New Roman" w:hAnsi="Times New Roman" w:eastAsia="宋体" w:cs="Times New Roman"/>
      <w:kern w:val="2"/>
      <w:sz w:val="21"/>
      <w:szCs w:val="21"/>
      <w:lang w:val="en-US" w:eastAsia="zh-CN" w:bidi="ar-SA"/>
    </w:rPr>
  </w:style>
  <w:style w:type="paragraph" w:customStyle="1" w:styleId="154">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155">
    <w:name w:val="样式 文本正文 + 首行缩进:  2 字符"/>
    <w:basedOn w:val="1"/>
    <w:qFormat/>
    <w:uiPriority w:val="0"/>
    <w:pPr>
      <w:spacing w:line="360" w:lineRule="auto"/>
      <w:ind w:firstLine="200" w:firstLineChars="200"/>
    </w:pPr>
    <w:rPr>
      <w:rFonts w:eastAsia="宋体" w:cs="宋体"/>
      <w:szCs w:val="24"/>
    </w:rPr>
  </w:style>
  <w:style w:type="paragraph" w:customStyle="1" w:styleId="156">
    <w:name w:val="Date1"/>
    <w:basedOn w:val="1"/>
    <w:next w:val="1"/>
    <w:qFormat/>
    <w:uiPriority w:val="0"/>
    <w:pPr>
      <w:adjustRightInd w:val="0"/>
      <w:textAlignment w:val="baseline"/>
    </w:pPr>
    <w:rPr>
      <w:rFonts w:eastAsia="宋体" w:cs="Times New Roman"/>
      <w:sz w:val="21"/>
    </w:rPr>
  </w:style>
  <w:style w:type="paragraph" w:customStyle="1" w:styleId="157">
    <w:name w:val="固定表格"/>
    <w:basedOn w:val="1"/>
    <w:qFormat/>
    <w:uiPriority w:val="0"/>
    <w:pPr>
      <w:spacing w:line="360" w:lineRule="exact"/>
      <w:jc w:val="center"/>
    </w:pPr>
    <w:rPr>
      <w:rFonts w:eastAsia="宋体" w:cs="Times New Roman"/>
      <w:sz w:val="21"/>
    </w:rPr>
  </w:style>
  <w:style w:type="table" w:customStyle="1" w:styleId="158">
    <w:name w:val="网格型7"/>
    <w:basedOn w:val="38"/>
    <w:qFormat/>
    <w:uiPriority w:val="39"/>
    <w:pPr>
      <w:adjustRightInd w:val="0"/>
      <w:snapToGrid w:val="0"/>
      <w:jc w:val="center"/>
    </w:pPr>
    <w:rPr>
      <w:sz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159">
    <w:name w:val="Table Paragraph"/>
    <w:basedOn w:val="1"/>
    <w:qFormat/>
    <w:uiPriority w:val="1"/>
    <w:pPr>
      <w:jc w:val="center"/>
    </w:pPr>
    <w:rPr>
      <w:rFonts w:ascii="宋体" w:hAnsi="宋体" w:eastAsia="宋体" w:cs="宋体"/>
      <w:lang w:val="zh-CN" w:bidi="zh-CN"/>
    </w:rPr>
  </w:style>
  <w:style w:type="character" w:customStyle="1" w:styleId="160">
    <w:name w:val="font01"/>
    <w:basedOn w:val="40"/>
    <w:qFormat/>
    <w:uiPriority w:val="0"/>
    <w:rPr>
      <w:rFonts w:hint="eastAsia" w:ascii="宋体" w:hAnsi="宋体" w:eastAsia="宋体" w:cs="宋体"/>
      <w:b/>
      <w:color w:val="000000"/>
      <w:sz w:val="22"/>
      <w:szCs w:val="22"/>
      <w:u w:val="none"/>
    </w:rPr>
  </w:style>
  <w:style w:type="character" w:customStyle="1" w:styleId="161">
    <w:name w:val="font41"/>
    <w:basedOn w:val="40"/>
    <w:qFormat/>
    <w:uiPriority w:val="0"/>
    <w:rPr>
      <w:rFonts w:hint="eastAsia" w:ascii="宋体" w:hAnsi="宋体" w:eastAsia="宋体" w:cs="宋体"/>
      <w:b/>
      <w:color w:val="000000"/>
      <w:sz w:val="22"/>
      <w:szCs w:val="22"/>
      <w:u w:val="none"/>
      <w:vertAlign w:val="subscript"/>
    </w:rPr>
  </w:style>
  <w:style w:type="character" w:customStyle="1" w:styleId="162">
    <w:name w:val="font81"/>
    <w:basedOn w:val="40"/>
    <w:qFormat/>
    <w:uiPriority w:val="0"/>
    <w:rPr>
      <w:rFonts w:hint="eastAsia" w:ascii="宋体" w:hAnsi="宋体" w:eastAsia="宋体" w:cs="宋体"/>
      <w:b/>
      <w:color w:val="000000"/>
      <w:sz w:val="22"/>
      <w:szCs w:val="22"/>
      <w:u w:val="none"/>
      <w:vertAlign w:val="superscript"/>
    </w:rPr>
  </w:style>
  <w:style w:type="character" w:customStyle="1" w:styleId="163">
    <w:name w:val="font31"/>
    <w:basedOn w:val="40"/>
    <w:qFormat/>
    <w:uiPriority w:val="0"/>
    <w:rPr>
      <w:rFonts w:hint="eastAsia" w:ascii="宋体" w:hAnsi="宋体" w:eastAsia="宋体" w:cs="宋体"/>
      <w:b/>
      <w:color w:val="000000"/>
      <w:sz w:val="22"/>
      <w:szCs w:val="22"/>
      <w:u w:val="none"/>
    </w:rPr>
  </w:style>
  <w:style w:type="character" w:customStyle="1" w:styleId="164">
    <w:name w:val="font51"/>
    <w:basedOn w:val="40"/>
    <w:qFormat/>
    <w:uiPriority w:val="0"/>
    <w:rPr>
      <w:rFonts w:hint="eastAsia" w:ascii="宋体" w:hAnsi="宋体" w:eastAsia="宋体" w:cs="宋体"/>
      <w:b/>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oleObject" Target="embeddings/oleObject4.bin"/><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34CB44-C8EE-4A20-A563-D3783B866A0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100</Pages>
  <Words>21242</Words>
  <Characters>121083</Characters>
  <Lines>1009</Lines>
  <Paragraphs>284</Paragraphs>
  <TotalTime>10</TotalTime>
  <ScaleCrop>false</ScaleCrop>
  <LinksUpToDate>false</LinksUpToDate>
  <CharactersWithSpaces>142041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2019-09-23T03:24:00Z</dcterms:created>
  <dc:creator>微软用户</dc:creator>
  <cp:lastModifiedBy>M. *^_^*</cp:lastModifiedBy>
  <cp:lastPrinted>2017-12-20T01:07:00Z</cp:lastPrinted>
  <dcterms:modified xsi:type="dcterms:W3CDTF">2020-09-02T08:32:17Z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