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7"/>
        <w:rPr>
          <w:rFonts w:eastAsia="黑体"/>
          <w:b/>
          <w:kern w:val="2"/>
          <w:sz w:val="36"/>
        </w:rPr>
      </w:pPr>
    </w:p>
    <w:p>
      <w:pPr>
        <w:pStyle w:val="17"/>
        <w:rPr>
          <w:rFonts w:eastAsia="黑体"/>
          <w:b/>
          <w:kern w:val="2"/>
          <w:sz w:val="36"/>
        </w:rPr>
      </w:pPr>
    </w:p>
    <w:p>
      <w:pPr>
        <w:pStyle w:val="17"/>
        <w:rPr>
          <w:rFonts w:eastAsia="黑体"/>
          <w:b/>
          <w:kern w:val="2"/>
          <w:sz w:val="36"/>
        </w:rPr>
      </w:pPr>
    </w:p>
    <w:p>
      <w:pPr>
        <w:pStyle w:val="17"/>
        <w:rPr>
          <w:rFonts w:eastAsia="黑体"/>
          <w:b/>
          <w:kern w:val="2"/>
          <w:sz w:val="18"/>
          <w:szCs w:val="18"/>
        </w:rPr>
      </w:pPr>
    </w:p>
    <w:p>
      <w:pPr>
        <w:pStyle w:val="17"/>
        <w:ind w:right="160"/>
        <w:jc w:val="right"/>
        <w:rPr>
          <w:rFonts w:eastAsia="黑体"/>
          <w:b/>
          <w:kern w:val="2"/>
          <w:sz w:val="36"/>
        </w:rPr>
      </w:pPr>
      <w:r>
        <w:rPr>
          <w:rFonts w:hint="eastAsia" w:ascii="仿宋" w:hAnsi="仿宋" w:eastAsia="仿宋"/>
          <w:color w:val="000000"/>
        </w:rPr>
        <w:t>岳环评</w:t>
      </w:r>
      <w:r>
        <w:rPr>
          <w:rFonts w:hint="eastAsia" w:ascii="仿宋" w:hAnsi="仿宋" w:eastAsia="仿宋" w:cs="仿宋"/>
          <w:color w:val="000000"/>
        </w:rPr>
        <w:t>〔</w:t>
      </w:r>
      <w:r>
        <w:rPr>
          <w:rFonts w:hint="eastAsia" w:ascii="仿宋" w:hAnsi="仿宋" w:eastAsia="仿宋"/>
          <w:color w:val="000000"/>
        </w:rPr>
        <w:t>20</w:t>
      </w:r>
      <w:r>
        <w:rPr>
          <w:rFonts w:hint="eastAsia" w:ascii="仿宋" w:hAnsi="仿宋" w:eastAsia="仿宋"/>
          <w:color w:val="000000"/>
          <w:lang w:val="en-US" w:eastAsia="zh-CN"/>
        </w:rPr>
        <w:t>20</w:t>
      </w:r>
      <w:r>
        <w:rPr>
          <w:rFonts w:hint="eastAsia" w:ascii="仿宋" w:hAnsi="仿宋" w:eastAsia="仿宋" w:cs="仿宋"/>
          <w:color w:val="000000"/>
        </w:rPr>
        <w:t>〕</w:t>
      </w:r>
      <w:r>
        <w:rPr>
          <w:rFonts w:hint="eastAsia" w:ascii="仿宋" w:hAnsi="仿宋" w:eastAsia="仿宋" w:cs="仿宋"/>
          <w:color w:val="000000"/>
          <w:lang w:val="en-US" w:eastAsia="zh-CN"/>
        </w:rPr>
        <w:t>145</w:t>
      </w:r>
      <w:r>
        <w:rPr>
          <w:rFonts w:hint="eastAsia" w:ascii="仿宋" w:hAnsi="仿宋" w:eastAsia="仿宋"/>
          <w:color w:val="000000"/>
        </w:rPr>
        <w:t>号</w:t>
      </w:r>
    </w:p>
    <w:p>
      <w:pPr>
        <w:pStyle w:val="17"/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关于</w:t>
      </w:r>
      <w:r>
        <w:rPr>
          <w:rFonts w:hint="default" w:ascii="宋体" w:hAnsi="宋体" w:eastAsia="宋体" w:cs="Times New Roman"/>
          <w:b/>
          <w:sz w:val="36"/>
          <w:szCs w:val="36"/>
          <w:lang w:eastAsia="zh-CN"/>
        </w:rPr>
        <w:t>岳阳市三江卫士环保有限公司船舶废矿物油及生活垃圾回收项目</w:t>
      </w:r>
      <w:r>
        <w:rPr>
          <w:rFonts w:hint="eastAsia" w:ascii="宋体" w:hAnsi="宋体" w:eastAsia="宋体"/>
          <w:b/>
          <w:sz w:val="36"/>
          <w:szCs w:val="36"/>
        </w:rPr>
        <w:t>环境影响报告表的批复</w:t>
      </w:r>
    </w:p>
    <w:p>
      <w:pPr>
        <w:pStyle w:val="21"/>
        <w:spacing w:line="480" w:lineRule="exact"/>
        <w:rPr>
          <w:rFonts w:eastAsia="仿宋_GB2312"/>
          <w:kern w:val="2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岳阳市三江卫士环保有限公司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</w:rPr>
        <w:t>你公司《关于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申请对〈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岳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阳市三江卫士环保有限公司船舶废矿物油及生活垃圾回收项目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环境影响报告表〉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进行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批复的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函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》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和岳阳市生态环境局君山分局、岳阳市生态环境局华容分局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预审意见及有关附件收悉。经研究，批复如下：</w:t>
      </w:r>
      <w:r>
        <w:rPr>
          <w:rFonts w:hint="eastAsia" w:ascii="仿宋" w:hAnsi="仿宋" w:eastAsia="仿宋"/>
          <w:sz w:val="32"/>
          <w:szCs w:val="32"/>
          <w:u w:val="none"/>
        </w:rPr>
        <w:t xml:space="preserve">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0" w:beforeAutospacing="0" w:after="0" w:afterAutospacing="0" w:line="476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一、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岳阳市三江卫士环保有限公司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拟</w:t>
      </w:r>
      <w:r>
        <w:rPr>
          <w:rFonts w:hint="eastAsia" w:ascii="仿宋" w:hAnsi="仿宋" w:eastAsia="仿宋"/>
          <w:sz w:val="32"/>
          <w:szCs w:val="32"/>
          <w:u w:val="none"/>
        </w:rPr>
        <w:t>投资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400</w:t>
      </w:r>
      <w:r>
        <w:rPr>
          <w:rFonts w:hint="eastAsia" w:ascii="仿宋" w:hAnsi="仿宋" w:eastAsia="仿宋"/>
          <w:sz w:val="32"/>
          <w:szCs w:val="32"/>
          <w:u w:val="none"/>
        </w:rPr>
        <w:t>万元（其中环保投资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7.5</w:t>
      </w:r>
      <w:r>
        <w:rPr>
          <w:rFonts w:hint="eastAsia" w:ascii="仿宋" w:hAnsi="仿宋" w:eastAsia="仿宋"/>
          <w:sz w:val="32"/>
          <w:szCs w:val="32"/>
          <w:u w:val="none"/>
        </w:rPr>
        <w:t>万），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实施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船舶废矿物油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及生活垃圾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回收项目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。</w:t>
      </w:r>
      <w:r>
        <w:rPr>
          <w:rFonts w:hint="default" w:ascii="仿宋" w:hAnsi="仿宋" w:eastAsia="仿宋"/>
          <w:sz w:val="32"/>
          <w:szCs w:val="32"/>
          <w:u w:val="none"/>
        </w:rPr>
        <w:t>收集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对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象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为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岳阳市境内长江塔市驿断面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至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三江口断面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约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76.8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公里（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其中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长江华容县段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32.7公里、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君山区段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44.1公里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）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岸线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水域内船只，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项目拟在两个定点码头进行收集工作，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华容县长江段收集点为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华容县塔市驿码头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，君山区临时收集点为七里山码头（待君山区广兴洲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LNG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码头规划建设完成后，将作为君山区收集码头，并取消七里山临时收集点，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仅在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七里山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码头进行生活垃圾</w:t>
      </w:r>
      <w:r>
        <w:rPr>
          <w:rFonts w:hint="default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卸载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。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收集后的废矿物油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在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云溪区中海油码头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停靠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转运，由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岳阳骏德物流有限公司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负责转运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；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生活垃圾在七里山码头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转运，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由湖南城陵矶新港区环境卫生管理所处理。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项目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建设规模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为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年回收废矿物油200吨、生活垃圾150吨。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回收流程为：废矿物油回收专用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船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停靠在两个定点码头进行收集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与被收集船相邻并固定后，利用自吸油泵收集各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船舶废矿物油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（含废机油、废柴油、经船舶油水分离器处理后的废油）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经输送管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将收集的废矿物油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吸入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暂存于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回收船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专用废油舱中，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收集完成后回到转运码头（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云溪区中海油码头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），再由自吸油泵经输送管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泵抽送至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资质单位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岳阳骏德物流有限公司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专用油罐车中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，同时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顺带收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集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船舶产生的生活垃圾，生活垃圾暂存于专用垃圾箱，在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七里山码头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上岸交由湖南城陵矶新港区环境卫生管理所处理。转运周期为每个工作日（即日产日清）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回收的废矿物油由岳阳骏德物流有限公司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载运至有资质的单位进行处置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，本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项目不进行废矿物油的场外贮存、处置和运输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项目回收废矿物油专用船舶为一艘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载重吨50t液货船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船型号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为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GSTS6007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船体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配备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2个10t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的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废矿物油舱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（为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常压双包固定顶罐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，一用一备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cs="Times New Roman"/>
          <w:b/>
          <w:color w:val="auto"/>
          <w:szCs w:val="24"/>
          <w:u w:val="none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4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个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0.5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t生活垃圾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桶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同时配套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油水分离设备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油水报警装置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和</w:t>
      </w:r>
      <w:bookmarkStart w:id="0" w:name="_GoBack"/>
      <w:bookmarkEnd w:id="0"/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生活污水处理装置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等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工作人员不在船上食宿。</w:t>
      </w:r>
      <w:r>
        <w:rPr>
          <w:rFonts w:hint="eastAsia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作业时间为09:00-17：00</w:t>
      </w:r>
      <w:r>
        <w:rPr>
          <w:rFonts w:hint="default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项目</w:t>
      </w:r>
      <w:r>
        <w:rPr>
          <w:rFonts w:hint="default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依托中海油码头停泊与卸载废矿物油，卸载过程的使用的设备</w:t>
      </w:r>
      <w:r>
        <w:rPr>
          <w:rFonts w:hint="eastAsia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（含加压设备）</w:t>
      </w:r>
      <w:r>
        <w:rPr>
          <w:rFonts w:hint="default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及输送管道依托中海油码头已有的专用设施（含油气回收装置、应急设施等）</w:t>
      </w:r>
      <w:r>
        <w:rPr>
          <w:rFonts w:hint="eastAsia" w:ascii="仿宋" w:hAnsi="仿宋" w:eastAsia="仿宋" w:cs="Times New Roman"/>
          <w:kern w:val="2"/>
          <w:sz w:val="32"/>
          <w:szCs w:val="32"/>
          <w:u w:val="none"/>
          <w:lang w:val="en-US" w:eastAsia="zh-CN" w:bidi="ar-SA"/>
        </w:rPr>
        <w:t>。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根据湖南博咨环境技术咨询服务有限公司编制的《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岳阳市三江卫士环保有限公司船舶废矿物油及生活垃圾回收项目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环境影响报告表》（报批稿）基本内容、结论和专家评审意见及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分局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预审意见，综合考虑，我局原则同意你公司环境影响报告表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的环境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影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响评价结论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和环境保护对策措施。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40"/>
        <w:textAlignment w:val="auto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none"/>
        </w:rPr>
        <w:t>二、</w:t>
      </w:r>
      <w:r>
        <w:rPr>
          <w:rFonts w:hint="eastAsia" w:ascii="仿宋" w:hAnsi="仿宋" w:eastAsia="仿宋" w:cs="宋体"/>
          <w:sz w:val="32"/>
          <w:szCs w:val="32"/>
          <w:u w:val="none"/>
        </w:rPr>
        <w:t>项目</w:t>
      </w:r>
      <w:r>
        <w:rPr>
          <w:rFonts w:hint="eastAsia" w:ascii="仿宋" w:hAnsi="仿宋" w:eastAsia="仿宋"/>
          <w:sz w:val="32"/>
          <w:szCs w:val="32"/>
          <w:u w:val="none"/>
        </w:rPr>
        <w:t>实施须严格落实湖南东洞庭湖国家级自然保护区管理局的相关要求。同时</w:t>
      </w:r>
      <w:r>
        <w:rPr>
          <w:rFonts w:hint="eastAsia" w:ascii="仿宋" w:hAnsi="仿宋" w:eastAsia="仿宋" w:cs="宋体"/>
          <w:sz w:val="32"/>
          <w:szCs w:val="32"/>
          <w:u w:val="none"/>
        </w:rPr>
        <w:t>在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项目</w:t>
      </w:r>
      <w:r>
        <w:rPr>
          <w:rFonts w:hint="eastAsia" w:ascii="仿宋" w:hAnsi="仿宋" w:eastAsia="仿宋" w:cs="宋体"/>
          <w:sz w:val="32"/>
          <w:szCs w:val="32"/>
          <w:u w:val="none"/>
        </w:rPr>
        <w:t>建设及营运</w:t>
      </w:r>
      <w:r>
        <w:rPr>
          <w:rFonts w:hint="eastAsia" w:ascii="仿宋" w:hAnsi="仿宋" w:eastAsia="仿宋"/>
          <w:sz w:val="32"/>
          <w:szCs w:val="32"/>
          <w:u w:val="none"/>
        </w:rPr>
        <w:t>过程中，</w:t>
      </w:r>
      <w:r>
        <w:rPr>
          <w:rFonts w:hint="eastAsia" w:ascii="仿宋" w:hAnsi="仿宋" w:eastAsia="仿宋" w:cs="宋体"/>
          <w:sz w:val="32"/>
          <w:szCs w:val="32"/>
          <w:u w:val="none"/>
        </w:rPr>
        <w:t>须全面落实环境影响报告表提出的各项环保措施，并着重做好以下工作：</w:t>
      </w:r>
      <w:r>
        <w:rPr>
          <w:rFonts w:hint="eastAsia" w:ascii="仿宋" w:hAnsi="仿宋" w:eastAsia="仿宋" w:cs="宋体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ind w:firstLine="640"/>
        <w:textAlignment w:val="auto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（一）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鉴于项目收集范围涉及多个保护区，项目须严格按照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《岳阳市东洞庭湖国家级自然保护区条例》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、《</w:t>
      </w:r>
      <w:r>
        <w:rPr>
          <w:rFonts w:hint="eastAsia" w:ascii="仿宋" w:hAnsi="仿宋" w:eastAsia="仿宋"/>
          <w:sz w:val="32"/>
          <w:szCs w:val="32"/>
          <w:u w:val="none"/>
        </w:rPr>
        <w:t>关于公布辽宁五花顶等10处国家级自然保护区面积、范围及功能区划的通知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》（环生态函〔2018〕81号）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中第七条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“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湖南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东洞庭湖自然保护区”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中相关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要求及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其他保护区相关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规定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严禁在相关保护区范围内航行、停泊或作业，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航行范围为离岸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300m范围，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并按航线要求尽快驶离相关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保护区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避免对相关保护区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造成</w:t>
      </w:r>
      <w:r>
        <w:rPr>
          <w:rFonts w:hint="default" w:ascii="仿宋" w:hAnsi="仿宋" w:eastAsia="仿宋"/>
          <w:sz w:val="32"/>
          <w:szCs w:val="32"/>
          <w:u w:val="none"/>
          <w:lang w:val="en-US" w:eastAsia="zh-CN"/>
        </w:rPr>
        <w:t>影响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 w:cs="宋体"/>
          <w:sz w:val="32"/>
          <w:szCs w:val="32"/>
          <w:u w:val="none"/>
        </w:rPr>
        <w:t>（二）废气污染防治工作。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加强油舱管理，规范作业，严格落实各项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无组织废气污染防治措施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液态物料的收集、临时贮存和装卸采取全密闭、液下装载、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负压操作等方式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加强对泵、阀门、法兰等的泄漏监测与控制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采取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各油舱表面喷涂浅色涂层，高温天气水喷淋降温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等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方式，降低油舱呼吸损耗量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确保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油舱区无组织废气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排放浓度满足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《挥发性有机物无组织排放控制标准》（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GB37822-2019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）中相应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限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制要求。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ind w:firstLine="640" w:firstLineChars="200"/>
        <w:textAlignment w:val="auto"/>
        <w:rPr>
          <w:rFonts w:hint="eastAsia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（三）废水污染防治工作。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项目专用油舱不需清洗，船舶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生活污水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经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船舶生活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污水处理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装置处理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、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含油废水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经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油水分离器处理，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满足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《船舶水污染物排放控制标准》（GB3552-2018）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相关标准后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按相关主管部门规定</w:t>
      </w:r>
      <w:r>
        <w:rPr>
          <w:rFonts w:hint="default" w:ascii="仿宋" w:hAnsi="仿宋" w:eastAsia="仿宋" w:cs="Times New Roman"/>
          <w:sz w:val="32"/>
          <w:szCs w:val="32"/>
          <w:u w:val="none"/>
          <w:lang w:eastAsia="zh-CN"/>
        </w:rPr>
        <w:t>排入长江。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ind w:firstLine="640" w:firstLineChars="200"/>
        <w:textAlignment w:val="auto"/>
        <w:rPr>
          <w:rFonts w:hint="default" w:ascii="仿宋" w:hAnsi="仿宋" w:eastAsia="仿宋" w:cs="Times New Roman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（四）噪声防治工作。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船舶发动机、自吸油泵均设在船舱内部，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对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船舶发动机、自吸油泵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等产生高噪声的设备采取隔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声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措施，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减少对航线周边敏感点的影响，</w:t>
      </w:r>
      <w:r>
        <w:rPr>
          <w:rFonts w:hint="eastAsia" w:ascii="仿宋" w:hAnsi="仿宋" w:eastAsia="仿宋" w:cs="Times New Roman"/>
          <w:sz w:val="32"/>
          <w:szCs w:val="32"/>
          <w:u w:val="none"/>
        </w:rPr>
        <w:t>确保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项目行驶中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内河航道两侧区域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满足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《工业企业厂界环境噪声排放标准》（GB12348-2008）4类标准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限值要求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，项目航线区域的岸线陆域环境敏感点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满足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《工业企业厂界环境噪声排放标准》（GB12348-2008）</w:t>
      </w:r>
      <w:r>
        <w:rPr>
          <w:rFonts w:hint="eastAsia" w:ascii="仿宋" w:hAnsi="仿宋" w:eastAsia="仿宋" w:cs="Times New Roman"/>
          <w:sz w:val="32"/>
          <w:szCs w:val="32"/>
          <w:u w:val="none"/>
          <w:lang w:eastAsia="zh-CN"/>
        </w:rPr>
        <w:t>2类标准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限值要求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476" w:lineRule="exact"/>
        <w:ind w:firstLine="640" w:firstLineChars="200"/>
        <w:jc w:val="both"/>
        <w:textAlignment w:val="auto"/>
        <w:rPr>
          <w:rFonts w:ascii="Times New Roman" w:hAnsi="Times New Roman" w:cs="Times New Roman"/>
          <w:u w:val="singl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（五）固体废物管理工作。</w:t>
      </w:r>
      <w:r>
        <w:rPr>
          <w:rFonts w:ascii="仿宋" w:hAnsi="仿宋" w:eastAsia="仿宋"/>
          <w:sz w:val="32"/>
          <w:szCs w:val="32"/>
          <w:u w:val="none"/>
        </w:rPr>
        <w:t>严格按照</w:t>
      </w:r>
      <w:r>
        <w:rPr>
          <w:rFonts w:hint="default" w:ascii="仿宋" w:hAnsi="仿宋" w:eastAsia="仿宋" w:cs="宋体"/>
          <w:sz w:val="32"/>
          <w:szCs w:val="32"/>
          <w:u w:val="none"/>
        </w:rPr>
        <w:t>《船舶水污染物排放控制标准》（GB3552-2018）</w:t>
      </w:r>
      <w:r>
        <w:rPr>
          <w:rFonts w:hint="eastAsia" w:ascii="仿宋" w:hAnsi="仿宋" w:eastAsia="仿宋" w:cs="宋体"/>
          <w:sz w:val="32"/>
          <w:szCs w:val="32"/>
          <w:u w:val="none"/>
          <w:lang w:val="en-US" w:eastAsia="zh-CN"/>
        </w:rPr>
        <w:t>和</w:t>
      </w:r>
      <w:r>
        <w:rPr>
          <w:rFonts w:ascii="仿宋" w:hAnsi="仿宋" w:eastAsia="仿宋"/>
          <w:sz w:val="32"/>
          <w:szCs w:val="32"/>
          <w:u w:val="none"/>
        </w:rPr>
        <w:t>《危险废物贮存污染控制标准》（GB18597-2001）</w:t>
      </w:r>
      <w:r>
        <w:rPr>
          <w:rFonts w:hint="eastAsia" w:ascii="仿宋" w:hAnsi="仿宋" w:eastAsia="仿宋"/>
          <w:sz w:val="32"/>
          <w:szCs w:val="32"/>
          <w:u w:val="none"/>
        </w:rPr>
        <w:t>及2013年修改单</w:t>
      </w:r>
      <w:r>
        <w:rPr>
          <w:rFonts w:ascii="仿宋" w:hAnsi="仿宋" w:eastAsia="仿宋"/>
          <w:sz w:val="32"/>
          <w:szCs w:val="32"/>
          <w:u w:val="none"/>
        </w:rPr>
        <w:t>相关规定，</w:t>
      </w:r>
      <w:r>
        <w:rPr>
          <w:rFonts w:hint="eastAsia" w:ascii="仿宋" w:hAnsi="仿宋" w:eastAsia="仿宋"/>
          <w:sz w:val="32"/>
          <w:szCs w:val="32"/>
          <w:u w:val="none"/>
        </w:rPr>
        <w:t>落实转移联单制度并规范建立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废矿物油收集转运</w:t>
      </w:r>
      <w:r>
        <w:rPr>
          <w:rFonts w:hint="eastAsia" w:ascii="仿宋" w:hAnsi="仿宋" w:eastAsia="仿宋"/>
          <w:sz w:val="32"/>
          <w:szCs w:val="32"/>
          <w:u w:val="none"/>
        </w:rPr>
        <w:t>台帐。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废矿物油由资质单位（岳阳骏德物流有限公司）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载运至有资质单位进行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安全</w:t>
      </w:r>
      <w:r>
        <w:rPr>
          <w:rFonts w:hint="default" w:ascii="仿宋" w:hAnsi="仿宋" w:eastAsia="仿宋" w:cs="Times New Roman"/>
          <w:sz w:val="32"/>
          <w:szCs w:val="32"/>
          <w:u w:val="none"/>
          <w:lang w:val="en-US" w:eastAsia="zh-CN"/>
        </w:rPr>
        <w:t>处置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船舶</w:t>
      </w:r>
      <w:r>
        <w:rPr>
          <w:rFonts w:hint="eastAsia" w:ascii="仿宋" w:hAnsi="仿宋" w:eastAsia="仿宋"/>
          <w:sz w:val="32"/>
          <w:szCs w:val="32"/>
          <w:u w:val="none"/>
        </w:rPr>
        <w:t>生活垃圾交由</w:t>
      </w:r>
      <w:r>
        <w:rPr>
          <w:rFonts w:hint="default" w:ascii="仿宋" w:hAnsi="仿宋" w:eastAsia="仿宋" w:cs="Times New Roman"/>
          <w:sz w:val="32"/>
          <w:szCs w:val="32"/>
          <w:u w:val="none"/>
        </w:rPr>
        <w:t>湖南城陵矶新港区环境卫生管理所处理</w:t>
      </w:r>
      <w:r>
        <w:rPr>
          <w:rFonts w:hint="eastAsia" w:ascii="仿宋" w:hAnsi="仿宋" w:eastAsia="仿宋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ind w:firstLine="640" w:firstLineChars="200"/>
        <w:textAlignment w:val="auto"/>
        <w:rPr>
          <w:rFonts w:ascii="仿宋" w:hAnsi="仿宋" w:eastAsia="仿宋" w:cs="仿宋_GB2312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（六）环境管理和风险防范工作。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规范管理和技术人员的培训。</w:t>
      </w:r>
      <w:r>
        <w:rPr>
          <w:rFonts w:hint="eastAsia" w:ascii="仿宋" w:hAnsi="仿宋" w:eastAsia="仿宋"/>
          <w:sz w:val="32"/>
          <w:szCs w:val="32"/>
          <w:u w:val="none"/>
        </w:rPr>
        <w:t>加强环境风险管理，建立健全操作规程和应急处理机制，制定并落实事故风险应急预案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加强天气预警，长江汛期、大风暴雨等天气须泊港规避，不得开展收集作业。配备好定位系统并与主管部门联网。做好船舶油仓等处</w:t>
      </w:r>
      <w:r>
        <w:rPr>
          <w:rFonts w:hint="eastAsia" w:ascii="仿宋" w:hAnsi="仿宋" w:eastAsia="仿宋"/>
          <w:sz w:val="32"/>
          <w:szCs w:val="32"/>
          <w:u w:val="none"/>
        </w:rPr>
        <w:t>的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防渗防漏措施，加强各管线阀门等设备</w:t>
      </w:r>
      <w:r>
        <w:rPr>
          <w:rFonts w:hint="eastAsia" w:ascii="仿宋" w:hAnsi="仿宋" w:eastAsia="仿宋"/>
          <w:sz w:val="32"/>
          <w:szCs w:val="32"/>
          <w:u w:val="none"/>
        </w:rPr>
        <w:t>维护管理，配备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好各类</w:t>
      </w:r>
      <w:r>
        <w:rPr>
          <w:rFonts w:hint="eastAsia" w:ascii="仿宋" w:hAnsi="仿宋" w:eastAsia="仿宋"/>
          <w:sz w:val="32"/>
          <w:szCs w:val="32"/>
          <w:u w:val="none"/>
        </w:rPr>
        <w:t>应急物资并组织演练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</w:rPr>
        <w:t>避免跑、冒、滴、漏，</w:t>
      </w:r>
      <w:r>
        <w:rPr>
          <w:rFonts w:ascii="仿宋" w:hAnsi="仿宋" w:eastAsia="仿宋"/>
          <w:sz w:val="32"/>
          <w:szCs w:val="32"/>
          <w:u w:val="none"/>
        </w:rPr>
        <w:t>防止发生泄漏污染东洞庭湖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长江</w:t>
      </w:r>
      <w:r>
        <w:rPr>
          <w:rFonts w:ascii="仿宋" w:hAnsi="仿宋" w:eastAsia="仿宋"/>
          <w:sz w:val="32"/>
          <w:szCs w:val="32"/>
          <w:u w:val="none"/>
        </w:rPr>
        <w:t>水质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确保周边环境安全</w:t>
      </w:r>
      <w:r>
        <w:rPr>
          <w:rFonts w:ascii="仿宋" w:hAnsi="仿宋" w:eastAsia="仿宋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76" w:lineRule="exact"/>
        <w:ind w:firstLine="640" w:firstLineChars="200"/>
        <w:textAlignment w:val="auto"/>
        <w:rPr>
          <w:rFonts w:ascii="仿宋" w:hAnsi="仿宋" w:eastAsia="仿宋" w:cs="宋体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none"/>
        </w:rPr>
        <w:t>（七）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项目收集航线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涉及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多个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保护区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  <w:u w:val="none"/>
        </w:rPr>
        <w:t>项目《生态专题报告》结论表明：项目的建设和运营对东洞庭湖国家级自然保护区水体及鱼类、水禽、鸟类产生的负面影响不大。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对</w:t>
      </w:r>
      <w:r>
        <w:rPr>
          <w:rFonts w:hint="default" w:ascii="仿宋" w:hAnsi="仿宋" w:eastAsia="仿宋"/>
          <w:sz w:val="32"/>
          <w:szCs w:val="32"/>
          <w:u w:val="none"/>
        </w:rPr>
        <w:t>四大家鱼国家级水产种质资源保护区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、洞庭湖口铜鱼短颌鲚国家级水产种质资源保护区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、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岳阳市长江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华容段天字一号、东山镇饮用水源保护区和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君山段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潭子坑、长沟子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饮用水水源保护区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的负面影响不大</w:t>
      </w:r>
      <w:r>
        <w:rPr>
          <w:rFonts w:hint="default" w:ascii="仿宋" w:hAnsi="仿宋" w:eastAsia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/>
          <w:sz w:val="32"/>
          <w:szCs w:val="32"/>
          <w:u w:val="none"/>
        </w:rPr>
        <w:t>项目实施须严格执行自然保护区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等保护区</w:t>
      </w:r>
      <w:r>
        <w:rPr>
          <w:rFonts w:hint="eastAsia" w:ascii="仿宋" w:hAnsi="仿宋" w:eastAsia="仿宋"/>
          <w:sz w:val="32"/>
          <w:szCs w:val="32"/>
          <w:u w:val="none"/>
        </w:rPr>
        <w:t>相关规定，认真落实《生态专题报告》提出的各项生态保护措施，确保项目生态环境风险在可控范围内。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/>
          <w:sz w:val="32"/>
          <w:szCs w:val="32"/>
          <w:u w:val="none"/>
        </w:rPr>
        <w:t>三、</w:t>
      </w:r>
      <w:r>
        <w:rPr>
          <w:rFonts w:ascii="仿宋" w:hAnsi="仿宋" w:eastAsia="仿宋"/>
          <w:sz w:val="32"/>
          <w:szCs w:val="32"/>
          <w:u w:val="none"/>
        </w:rPr>
        <w:t>你公司应在收到本批复后15个工作日内，将批复及批准的环评报告文本送至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岳阳市生态环境局君山分局、岳阳市生态环境局华容分局</w:t>
      </w:r>
      <w:r>
        <w:rPr>
          <w:rFonts w:hint="eastAsia" w:ascii="仿宋" w:hAnsi="仿宋" w:eastAsia="仿宋"/>
          <w:sz w:val="32"/>
          <w:szCs w:val="32"/>
          <w:u w:val="none"/>
        </w:rPr>
        <w:t>和湖南博咨环境技术咨询服务有限公司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476" w:lineRule="exact"/>
        <w:ind w:firstLine="640" w:firstLineChars="200"/>
        <w:textAlignment w:val="auto"/>
        <w:rPr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四、</w:t>
      </w:r>
      <w:r>
        <w:rPr>
          <w:rFonts w:ascii="仿宋" w:hAnsi="仿宋" w:eastAsia="仿宋"/>
          <w:sz w:val="32"/>
          <w:szCs w:val="32"/>
          <w:u w:val="none"/>
        </w:rPr>
        <w:t>请</w:t>
      </w:r>
      <w:r>
        <w:rPr>
          <w:rFonts w:hint="eastAsia" w:ascii="仿宋" w:hAnsi="仿宋" w:eastAsia="仿宋" w:cs="Times New Roman"/>
          <w:sz w:val="32"/>
          <w:szCs w:val="32"/>
          <w:u w:val="none"/>
          <w:lang w:val="en-US" w:eastAsia="zh-CN"/>
        </w:rPr>
        <w:t>岳阳市生态环境局君山分局、岳阳市生态环境局华容分局</w:t>
      </w:r>
      <w:r>
        <w:rPr>
          <w:rFonts w:ascii="仿宋" w:hAnsi="仿宋" w:eastAsia="仿宋"/>
          <w:sz w:val="32"/>
          <w:szCs w:val="32"/>
          <w:u w:val="none"/>
        </w:rPr>
        <w:t>负责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各自辖区内</w:t>
      </w:r>
      <w:r>
        <w:rPr>
          <w:rFonts w:ascii="仿宋" w:hAnsi="仿宋" w:eastAsia="仿宋"/>
          <w:sz w:val="32"/>
          <w:szCs w:val="32"/>
          <w:u w:val="none"/>
        </w:rPr>
        <w:t>项目运营期的日常环境监管。</w:t>
      </w:r>
    </w:p>
    <w:p>
      <w:pPr>
        <w:pStyle w:val="21"/>
        <w:spacing w:line="520" w:lineRule="exact"/>
        <w:rPr>
          <w:rFonts w:hint="eastAsia" w:ascii="仿宋" w:hAnsi="仿宋" w:eastAsia="仿宋" w:cs="仿宋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 xml:space="preserve"> </w:t>
      </w:r>
    </w:p>
    <w:p>
      <w:pPr>
        <w:pStyle w:val="21"/>
        <w:spacing w:line="520" w:lineRule="exact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21"/>
        <w:spacing w:line="520" w:lineRule="exact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21"/>
        <w:spacing w:line="520" w:lineRule="exact"/>
        <w:rPr>
          <w:rFonts w:hint="eastAsia" w:ascii="仿宋" w:hAnsi="仿宋" w:eastAsia="仿宋" w:cs="仿宋"/>
          <w:kern w:val="2"/>
          <w:sz w:val="32"/>
          <w:szCs w:val="32"/>
          <w:u w:val="single"/>
        </w:rPr>
      </w:pPr>
    </w:p>
    <w:p>
      <w:pPr>
        <w:pStyle w:val="21"/>
        <w:spacing w:line="520" w:lineRule="exact"/>
        <w:rPr>
          <w:rFonts w:ascii="仿宋" w:hAnsi="仿宋" w:eastAsia="仿宋" w:cs="仿宋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 xml:space="preserve">                            岳阳市生态环境局</w:t>
      </w:r>
    </w:p>
    <w:p>
      <w:pPr>
        <w:pStyle w:val="21"/>
        <w:spacing w:line="520" w:lineRule="exact"/>
        <w:ind w:firstLine="4480" w:firstLineChars="1400"/>
        <w:rPr>
          <w:rFonts w:ascii="仿宋" w:hAnsi="仿宋" w:eastAsia="仿宋" w:cs="仿宋"/>
          <w:kern w:val="2"/>
          <w:sz w:val="32"/>
          <w:szCs w:val="32"/>
          <w:u w:val="none"/>
        </w:rPr>
      </w:pP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20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20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11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  <w:lang w:val="en-US" w:eastAsia="zh-CN"/>
        </w:rPr>
        <w:t>30</w:t>
      </w:r>
      <w:r>
        <w:rPr>
          <w:rFonts w:hint="eastAsia" w:ascii="仿宋" w:hAnsi="仿宋" w:eastAsia="仿宋" w:cs="仿宋"/>
          <w:kern w:val="2"/>
          <w:sz w:val="32"/>
          <w:szCs w:val="32"/>
          <w:u w:val="none"/>
        </w:rPr>
        <w:t>日</w:t>
      </w: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right="-119"/>
        <w:jc w:val="both"/>
        <w:textAlignment w:val="top"/>
        <w:rPr>
          <w:rFonts w:ascii="仿宋" w:hAnsi="仿宋" w:eastAsia="仿宋" w:cs="仿宋"/>
          <w:kern w:val="2"/>
          <w:sz w:val="30"/>
          <w:szCs w:val="3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right="-119"/>
        <w:jc w:val="both"/>
        <w:textAlignment w:val="top"/>
        <w:rPr>
          <w:rFonts w:ascii="仿宋" w:hAnsi="仿宋" w:eastAsia="仿宋" w:cs="仿宋"/>
          <w:kern w:val="2"/>
          <w:sz w:val="30"/>
          <w:szCs w:val="3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right="-119"/>
        <w:jc w:val="both"/>
        <w:textAlignment w:val="top"/>
        <w:rPr>
          <w:rFonts w:ascii="仿宋" w:hAnsi="仿宋" w:eastAsia="仿宋" w:cs="仿宋"/>
          <w:kern w:val="2"/>
          <w:sz w:val="30"/>
          <w:szCs w:val="3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right="-119"/>
        <w:jc w:val="both"/>
        <w:textAlignment w:val="top"/>
        <w:rPr>
          <w:rFonts w:ascii="仿宋" w:hAnsi="仿宋" w:eastAsia="仿宋" w:cs="仿宋"/>
          <w:kern w:val="2"/>
          <w:sz w:val="30"/>
          <w:szCs w:val="3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right="-119"/>
        <w:jc w:val="both"/>
        <w:textAlignment w:val="top"/>
        <w:rPr>
          <w:rFonts w:ascii="仿宋" w:hAnsi="仿宋" w:eastAsia="仿宋" w:cs="仿宋"/>
          <w:kern w:val="2"/>
          <w:sz w:val="30"/>
          <w:szCs w:val="3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right="-119"/>
        <w:jc w:val="both"/>
        <w:textAlignment w:val="top"/>
        <w:rPr>
          <w:rFonts w:ascii="仿宋" w:hAnsi="仿宋" w:eastAsia="仿宋" w:cs="仿宋"/>
          <w:kern w:val="2"/>
          <w:sz w:val="30"/>
          <w:szCs w:val="30"/>
        </w:rPr>
      </w:pPr>
    </w:p>
    <w:p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40" w:lineRule="exact"/>
        <w:ind w:right="-119"/>
        <w:jc w:val="both"/>
        <w:textAlignment w:val="top"/>
        <w:rPr>
          <w:rFonts w:ascii="仿宋" w:hAnsi="仿宋" w:eastAsia="仿宋" w:cs="仿宋"/>
          <w:kern w:val="2"/>
          <w:sz w:val="30"/>
          <w:szCs w:val="30"/>
        </w:rPr>
      </w:pPr>
    </w:p>
    <w:tbl>
      <w:tblPr>
        <w:tblStyle w:val="12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8960" w:type="dxa"/>
            <w:tcBorders>
              <w:left w:val="nil"/>
              <w:right w:val="nil"/>
            </w:tcBorders>
            <w:vAlign w:val="center"/>
          </w:tcPr>
          <w:p>
            <w:pPr>
              <w:pStyle w:val="2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both"/>
              <w:textAlignment w:val="bottom"/>
              <w:rPr>
                <w:rFonts w:ascii="仿宋" w:hAnsi="仿宋" w:eastAsia="仿宋" w:cs="仿宋"/>
                <w:kern w:val="2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抄</w:t>
            </w:r>
            <w:r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  <w:t>送：岳阳市生态环境局君山分局、岳阳市生态环境局华容分局、湖南博咨环境技术咨询服务有限公</w:t>
            </w:r>
            <w:r>
              <w:rPr>
                <w:rFonts w:hint="eastAsia" w:ascii="仿宋" w:hAnsi="仿宋" w:eastAsia="仿宋" w:cs="仿宋"/>
                <w:kern w:val="2"/>
                <w:sz w:val="32"/>
                <w:szCs w:val="32"/>
              </w:rPr>
              <w:t>司</w:t>
            </w:r>
          </w:p>
        </w:tc>
      </w:tr>
    </w:tbl>
    <w:p>
      <w:pPr>
        <w:pStyle w:val="20"/>
        <w:spacing w:line="40" w:lineRule="exact"/>
        <w:ind w:right="-119"/>
        <w:jc w:val="both"/>
        <w:textAlignment w:val="top"/>
        <w:rPr>
          <w:rFonts w:eastAsia="仿宋_GB2312"/>
          <w:sz w:val="10"/>
          <w:szCs w:val="10"/>
          <w:u w:val="single"/>
        </w:rPr>
      </w:pPr>
    </w:p>
    <w:sectPr>
      <w:headerReference r:id="rId3" w:type="default"/>
      <w:footerReference r:id="rId4" w:type="default"/>
      <w:pgSz w:w="11906" w:h="16838"/>
      <w:pgMar w:top="1440" w:right="1588" w:bottom="1418" w:left="1588" w:header="851" w:footer="992" w:gutter="0"/>
      <w:cols w:space="720" w:num="1"/>
      <w:titlePg/>
      <w:docGrid w:type="lines" w:linePitch="29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HorizontalSpacing w:val="105"/>
  <w:drawingGridVerticalSpacing w:val="297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9D6691"/>
    <w:rsid w:val="674A2C60"/>
    <w:rsid w:val="68F7524C"/>
    <w:rsid w:val="7BF02C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11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jc w:val="left"/>
    </w:pPr>
    <w:rPr>
      <w:rFonts w:ascii="宋体"/>
      <w:sz w:val="30"/>
    </w:rPr>
  </w:style>
  <w:style w:type="paragraph" w:customStyle="1" w:styleId="3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styleId="4">
    <w:name w:val="Body Text Indent"/>
    <w:basedOn w:val="1"/>
    <w:qFormat/>
    <w:uiPriority w:val="0"/>
    <w:pPr>
      <w:ind w:firstLine="600"/>
    </w:pPr>
    <w:rPr>
      <w:rFonts w:ascii="宋体"/>
      <w:sz w:val="30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 2"/>
    <w:basedOn w:val="4"/>
    <w:qFormat/>
    <w:uiPriority w:val="0"/>
    <w:pPr>
      <w:ind w:firstLine="420" w:firstLineChars="200"/>
    </w:pPr>
    <w:rPr>
      <w:spacing w:val="0"/>
      <w:sz w:val="21"/>
      <w:szCs w:val="24"/>
    </w:rPr>
  </w:style>
  <w:style w:type="table" w:styleId="12">
    <w:name w:val="Table Grid"/>
    <w:basedOn w:val="11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customStyle="1" w:styleId="16">
    <w:name w:val="p0 Char"/>
    <w:basedOn w:val="13"/>
    <w:link w:val="17"/>
    <w:qFormat/>
    <w:uiPriority w:val="0"/>
    <w:rPr>
      <w:rFonts w:eastAsia="宋体"/>
      <w:sz w:val="32"/>
      <w:szCs w:val="32"/>
      <w:lang w:val="en-US" w:eastAsia="zh-CN" w:bidi="ar-SA"/>
    </w:rPr>
  </w:style>
  <w:style w:type="paragraph" w:customStyle="1" w:styleId="17">
    <w:name w:val="p0"/>
    <w:basedOn w:val="1"/>
    <w:link w:val="16"/>
    <w:qFormat/>
    <w:uiPriority w:val="0"/>
    <w:pPr>
      <w:widowControl/>
    </w:pPr>
    <w:rPr>
      <w:kern w:val="0"/>
      <w:sz w:val="32"/>
      <w:szCs w:val="32"/>
    </w:rPr>
  </w:style>
  <w:style w:type="character" w:customStyle="1" w:styleId="18">
    <w:name w:val="页脚 Char"/>
    <w:basedOn w:val="13"/>
    <w:link w:val="7"/>
    <w:qFormat/>
    <w:uiPriority w:val="99"/>
    <w:rPr>
      <w:kern w:val="2"/>
      <w:sz w:val="18"/>
      <w:szCs w:val="18"/>
    </w:rPr>
  </w:style>
  <w:style w:type="character" w:customStyle="1" w:styleId="19">
    <w:name w:val="页眉 Char"/>
    <w:basedOn w:val="13"/>
    <w:link w:val="8"/>
    <w:qFormat/>
    <w:uiPriority w:val="0"/>
    <w:rPr>
      <w:kern w:val="2"/>
      <w:sz w:val="18"/>
      <w:szCs w:val="18"/>
    </w:rPr>
  </w:style>
  <w:style w:type="paragraph" w:customStyle="1" w:styleId="20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21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  <w:szCs w:val="20"/>
    </w:rPr>
  </w:style>
  <w:style w:type="paragraph" w:customStyle="1" w:styleId="22">
    <w:name w:val="表头字体宋"/>
    <w:basedOn w:val="1"/>
    <w:qFormat/>
    <w:uiPriority w:val="0"/>
    <w:pPr>
      <w:spacing w:line="500" w:lineRule="exact"/>
      <w:jc w:val="center"/>
    </w:pPr>
    <w:rPr>
      <w:rFonts w:ascii="宋体" w:hAnsi="宋体" w:cs="宋体"/>
      <w:b/>
      <w:bCs/>
      <w:sz w:val="24"/>
      <w:szCs w:val="20"/>
    </w:rPr>
  </w:style>
  <w:style w:type="paragraph" w:customStyle="1" w:styleId="23">
    <w:name w:val="表格内容"/>
    <w:basedOn w:val="1"/>
    <w:qFormat/>
    <w:uiPriority w:val="0"/>
    <w:pPr>
      <w:autoSpaceDE w:val="0"/>
      <w:autoSpaceDN w:val="0"/>
      <w:adjustRightInd w:val="0"/>
      <w:spacing w:line="360" w:lineRule="auto"/>
      <w:jc w:val="center"/>
      <w:textAlignment w:val="baseline"/>
    </w:pPr>
    <w:rPr>
      <w:color w:val="000000"/>
      <w:kern w:val="0"/>
      <w:szCs w:val="21"/>
    </w:rPr>
  </w:style>
  <w:style w:type="character" w:customStyle="1" w:styleId="24">
    <w:name w:val="批注框文本 Char"/>
    <w:basedOn w:val="13"/>
    <w:link w:val="6"/>
    <w:qFormat/>
    <w:uiPriority w:val="0"/>
    <w:rPr>
      <w:kern w:val="2"/>
      <w:sz w:val="18"/>
      <w:szCs w:val="18"/>
    </w:rPr>
  </w:style>
  <w:style w:type="character" w:customStyle="1" w:styleId="25">
    <w:name w:val="biaoge Char"/>
    <w:link w:val="26"/>
    <w:qFormat/>
    <w:uiPriority w:val="0"/>
    <w:rPr>
      <w:kern w:val="2"/>
      <w:sz w:val="24"/>
    </w:rPr>
  </w:style>
  <w:style w:type="paragraph" w:customStyle="1" w:styleId="26">
    <w:name w:val="biaoge"/>
    <w:basedOn w:val="1"/>
    <w:link w:val="25"/>
    <w:qFormat/>
    <w:uiPriority w:val="0"/>
    <w:pPr>
      <w:jc w:val="center"/>
    </w:pPr>
    <w:rPr>
      <w:sz w:val="24"/>
      <w:szCs w:val="20"/>
    </w:r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6AA41F-162D-4132-892E-070EDC0A3D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2537</Words>
  <Characters>2659</Characters>
  <Paragraphs>38</Paragraphs>
  <TotalTime>191</TotalTime>
  <ScaleCrop>false</ScaleCrop>
  <LinksUpToDate>false</LinksUpToDate>
  <CharactersWithSpaces>2691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2019-01-29T06:28:00Z</dcterms:created>
  <dc:creator>微软用户</dc:creator>
  <cp:lastModifiedBy>Administrator</cp:lastModifiedBy>
  <cp:lastPrinted>2019-08-07T03:11:00Z</cp:lastPrinted>
  <dcterms:modified xsi:type="dcterms:W3CDTF">2020-11-30T03:31:02Z</dcterms:modified>
  <dc:title>湘 阴 县 大 地 化 工 有 限 公 司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